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7C" w:rsidRDefault="00BE697C">
      <w:pPr>
        <w:ind w:firstLine="560"/>
        <w:rPr>
          <w:rFonts w:ascii="仿宋_GB2312" w:eastAsia="仿宋_GB2312" w:hAnsi="仿宋_GB2312" w:cs="仿宋_GB2312"/>
          <w:kern w:val="24"/>
          <w:sz w:val="44"/>
          <w:szCs w:val="44"/>
          <w:lang w:val="zh-CN"/>
        </w:rPr>
      </w:pPr>
    </w:p>
    <w:p w:rsidR="00BE697C" w:rsidRDefault="00BE697C" w:rsidP="00DD5BF5">
      <w:pPr>
        <w:spacing w:beforeLines="100" w:after="20"/>
        <w:jc w:val="center"/>
        <w:rPr>
          <w:rFonts w:ascii="楷体_GB2312" w:eastAsia="楷体_GB2312" w:hAnsi="楷体_GB2312" w:cs="楷体_GB2312"/>
          <w:b/>
          <w:sz w:val="48"/>
          <w:szCs w:val="48"/>
        </w:rPr>
      </w:pPr>
      <w:r>
        <w:rPr>
          <w:rFonts w:ascii="楷体_GB2312" w:eastAsia="楷体_GB2312" w:hAnsi="楷体_GB2312" w:cs="楷体_GB2312"/>
          <w:b/>
          <w:sz w:val="48"/>
          <w:szCs w:val="48"/>
        </w:rPr>
        <w:t>2017</w:t>
      </w:r>
      <w:r>
        <w:rPr>
          <w:rFonts w:ascii="楷体_GB2312" w:eastAsia="楷体_GB2312" w:hAnsi="楷体_GB2312" w:cs="楷体_GB2312" w:hint="eastAsia"/>
          <w:b/>
          <w:sz w:val="48"/>
          <w:szCs w:val="48"/>
        </w:rPr>
        <w:t>年政府决算公开说明</w:t>
      </w:r>
    </w:p>
    <w:p w:rsidR="00BE697C" w:rsidRPr="007B3AE1" w:rsidRDefault="00BE697C" w:rsidP="007B3AE1">
      <w:pPr>
        <w:spacing w:line="360" w:lineRule="auto"/>
        <w:rPr>
          <w:rFonts w:ascii="仿宋_GB2312" w:eastAsia="仿宋_GB2312" w:hAnsi="仿宋_GB2312" w:cs="仿宋_GB2312"/>
          <w:b/>
          <w:kern w:val="24"/>
          <w:sz w:val="28"/>
          <w:szCs w:val="28"/>
        </w:rPr>
      </w:pPr>
      <w:bookmarkStart w:id="0" w:name="_GoBack"/>
      <w:bookmarkEnd w:id="0"/>
      <w:r w:rsidRPr="007B3AE1">
        <w:rPr>
          <w:rFonts w:ascii="仿宋_GB2312" w:eastAsia="仿宋_GB2312" w:hAnsi="仿宋_GB2312" w:cs="仿宋_GB2312" w:hint="eastAsia"/>
          <w:b/>
          <w:kern w:val="24"/>
          <w:sz w:val="28"/>
          <w:szCs w:val="28"/>
        </w:rPr>
        <w:t>转移支付执行情况说明</w:t>
      </w:r>
    </w:p>
    <w:p w:rsidR="00BE697C" w:rsidRPr="007B3AE1" w:rsidRDefault="00BE697C" w:rsidP="007B3AE1">
      <w:pPr>
        <w:spacing w:line="360" w:lineRule="auto"/>
        <w:ind w:firstLineChars="200" w:firstLine="31680"/>
        <w:rPr>
          <w:rFonts w:ascii="仿宋_GB2312" w:eastAsia="仿宋_GB2312" w:hAnsi="仿宋_GB2312" w:cs="仿宋_GB2312"/>
          <w:kern w:val="24"/>
          <w:sz w:val="28"/>
          <w:szCs w:val="28"/>
        </w:rPr>
      </w:pP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2017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年上级下达返还性收入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2454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,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专项转移支付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12099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,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一般转移支付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15542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.2017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年上解上级支出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12508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万元。</w:t>
      </w:r>
    </w:p>
    <w:p w:rsidR="00BE697C" w:rsidRPr="007B3AE1" w:rsidRDefault="00BE697C" w:rsidP="007B3AE1">
      <w:pPr>
        <w:spacing w:line="360" w:lineRule="auto"/>
        <w:rPr>
          <w:rFonts w:ascii="仿宋_GB2312" w:eastAsia="仿宋_GB2312" w:hAnsi="仿宋_GB2312" w:cs="仿宋_GB2312"/>
          <w:b/>
          <w:kern w:val="24"/>
          <w:sz w:val="28"/>
          <w:szCs w:val="28"/>
        </w:rPr>
      </w:pPr>
      <w:r w:rsidRPr="007B3AE1">
        <w:rPr>
          <w:rFonts w:ascii="仿宋_GB2312" w:eastAsia="仿宋_GB2312" w:hAnsi="仿宋_GB2312" w:cs="仿宋_GB2312" w:hint="eastAsia"/>
          <w:b/>
          <w:kern w:val="24"/>
          <w:sz w:val="28"/>
          <w:szCs w:val="28"/>
        </w:rPr>
        <w:t>举借债务情况说明</w:t>
      </w:r>
    </w:p>
    <w:p w:rsidR="00BE697C" w:rsidRPr="007B3AE1" w:rsidRDefault="00BE697C" w:rsidP="007B3AE1">
      <w:pPr>
        <w:spacing w:line="360" w:lineRule="auto"/>
        <w:ind w:firstLineChars="200" w:firstLine="31680"/>
        <w:rPr>
          <w:rFonts w:ascii="仿宋_GB2312" w:eastAsia="仿宋_GB2312" w:hAnsi="仿宋_GB2312" w:cs="仿宋_GB2312"/>
          <w:kern w:val="24"/>
          <w:sz w:val="28"/>
          <w:szCs w:val="28"/>
        </w:rPr>
      </w:pP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2017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年债务余额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27585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,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其中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: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一般债务余额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26685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,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专项债务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900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kern w:val="24"/>
          <w:sz w:val="28"/>
          <w:szCs w:val="28"/>
        </w:rPr>
        <w:t>。</w:t>
      </w:r>
    </w:p>
    <w:p w:rsidR="00BE697C" w:rsidRPr="007B3AE1" w:rsidRDefault="00BE697C" w:rsidP="007B3AE1">
      <w:pPr>
        <w:spacing w:line="360" w:lineRule="auto"/>
        <w:rPr>
          <w:rFonts w:ascii="仿宋_GB2312" w:eastAsia="仿宋_GB2312" w:hAnsi="仿宋_GB2312" w:cs="仿宋_GB2312"/>
          <w:b/>
          <w:kern w:val="24"/>
          <w:sz w:val="28"/>
          <w:szCs w:val="28"/>
        </w:rPr>
      </w:pPr>
      <w:r w:rsidRPr="007B3AE1">
        <w:rPr>
          <w:rFonts w:ascii="仿宋_GB2312" w:eastAsia="仿宋_GB2312" w:hAnsi="仿宋_GB2312" w:cs="仿宋_GB2312" w:hint="eastAsia"/>
          <w:b/>
          <w:kern w:val="24"/>
          <w:sz w:val="28"/>
          <w:szCs w:val="28"/>
        </w:rPr>
        <w:t>预算绩效工作开展情况说明</w:t>
      </w:r>
    </w:p>
    <w:p w:rsidR="00BE697C" w:rsidRPr="007B3AE1" w:rsidRDefault="00BE697C" w:rsidP="007B3AE1">
      <w:pPr>
        <w:spacing w:line="360" w:lineRule="auto"/>
        <w:ind w:firstLine="560"/>
        <w:rPr>
          <w:rFonts w:ascii="仿宋_GB2312" w:eastAsia="仿宋_GB2312" w:hAnsi="楷体_GB2312" w:cs="楷体_GB2312"/>
          <w:sz w:val="28"/>
          <w:szCs w:val="28"/>
        </w:rPr>
      </w:pP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2017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年按照上级要求继续推进项目资金预算绩效评价工作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,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逐步将绩效评价率达到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100%,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</w:rPr>
        <w:t>将基本支出逐步纳入绩效工作体系。</w:t>
      </w:r>
    </w:p>
    <w:p w:rsidR="00BE697C" w:rsidRPr="007B3AE1" w:rsidRDefault="00BE697C" w:rsidP="007B3AE1">
      <w:pPr>
        <w:spacing w:line="360" w:lineRule="auto"/>
        <w:rPr>
          <w:rFonts w:ascii="仿宋_GB2312" w:eastAsia="仿宋_GB2312" w:hAnsi="仿宋_GB2312" w:cs="仿宋_GB2312"/>
          <w:b/>
          <w:bCs/>
          <w:kern w:val="24"/>
          <w:sz w:val="28"/>
          <w:szCs w:val="28"/>
        </w:rPr>
      </w:pPr>
      <w:r w:rsidRPr="007B3AE1">
        <w:rPr>
          <w:rFonts w:ascii="仿宋_GB2312" w:eastAsia="仿宋_GB2312" w:hAnsi="仿宋_GB2312" w:cs="仿宋_GB2312"/>
          <w:b/>
          <w:bCs/>
          <w:kern w:val="24"/>
          <w:sz w:val="28"/>
          <w:szCs w:val="28"/>
        </w:rPr>
        <w:t>2017</w:t>
      </w:r>
      <w:r w:rsidRPr="007B3AE1">
        <w:rPr>
          <w:rFonts w:ascii="仿宋_GB2312" w:eastAsia="仿宋_GB2312" w:hAnsi="仿宋_GB2312" w:cs="仿宋_GB2312" w:hint="eastAsia"/>
          <w:b/>
          <w:bCs/>
          <w:kern w:val="24"/>
          <w:sz w:val="28"/>
          <w:szCs w:val="28"/>
        </w:rPr>
        <w:t>年三公经费说明</w:t>
      </w:r>
    </w:p>
    <w:p w:rsidR="00BE697C" w:rsidRPr="007B3AE1" w:rsidRDefault="00BE697C" w:rsidP="007B3AE1">
      <w:pPr>
        <w:spacing w:line="360" w:lineRule="auto"/>
        <w:ind w:firstLine="560"/>
        <w:rPr>
          <w:rFonts w:ascii="仿宋_GB2312" w:eastAsia="仿宋_GB2312" w:hAnsi="仿宋_GB2312" w:cs="仿宋_GB2312"/>
          <w:kern w:val="24"/>
          <w:sz w:val="28"/>
          <w:szCs w:val="28"/>
          <w:lang w:val="zh-CN"/>
        </w:rPr>
      </w:pP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三公经费累计支出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350.98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万元，同比下降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25.28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  <w:lang w:val="zh-CN"/>
        </w:rPr>
        <w:t>%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，其中：公务用车支出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267.43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万元，同比下降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22.98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  <w:lang w:val="zh-CN"/>
        </w:rPr>
        <w:t>%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；公务接待支出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83.55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万元，同比下降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31.82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  <w:lang w:val="zh-CN"/>
        </w:rPr>
        <w:t>%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。会议费支出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25.21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万元，同比增长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</w:rPr>
        <w:t>8.99</w:t>
      </w:r>
      <w:r w:rsidRPr="007B3AE1">
        <w:rPr>
          <w:rFonts w:ascii="仿宋_GB2312" w:eastAsia="仿宋_GB2312" w:hAnsi="仿宋_GB2312" w:cs="仿宋_GB2312"/>
          <w:kern w:val="24"/>
          <w:sz w:val="28"/>
          <w:szCs w:val="28"/>
          <w:lang w:val="zh-CN"/>
        </w:rPr>
        <w:t>%</w:t>
      </w:r>
      <w:r w:rsidRPr="007B3AE1">
        <w:rPr>
          <w:rFonts w:ascii="仿宋_GB2312" w:eastAsia="仿宋_GB2312" w:hAnsi="仿宋_GB2312" w:cs="仿宋_GB2312" w:hint="eastAsia"/>
          <w:kern w:val="24"/>
          <w:sz w:val="28"/>
          <w:szCs w:val="28"/>
          <w:lang w:val="zh-CN"/>
        </w:rPr>
        <w:t>。</w:t>
      </w:r>
    </w:p>
    <w:p w:rsidR="00BE697C" w:rsidRDefault="00BE697C">
      <w:pPr>
        <w:ind w:firstLine="560"/>
        <w:rPr>
          <w:rFonts w:ascii="仿宋_GB2312" w:eastAsia="仿宋_GB2312" w:hAnsi="仿宋_GB2312" w:cs="仿宋_GB2312"/>
          <w:kern w:val="24"/>
          <w:sz w:val="28"/>
          <w:szCs w:val="28"/>
          <w:lang w:val="zh-CN"/>
        </w:rPr>
      </w:pPr>
    </w:p>
    <w:sectPr w:rsidR="00BE697C" w:rsidSect="005B1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6EF"/>
    <w:rsid w:val="00063FF1"/>
    <w:rsid w:val="00126AFC"/>
    <w:rsid w:val="005B16EF"/>
    <w:rsid w:val="007B3AE1"/>
    <w:rsid w:val="00BE697C"/>
    <w:rsid w:val="00DD5BF5"/>
    <w:rsid w:val="14467ABE"/>
    <w:rsid w:val="1AB64263"/>
    <w:rsid w:val="1E0F41A6"/>
    <w:rsid w:val="4C0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E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50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2014-10-29T12:08:00Z</dcterms:created>
  <dcterms:modified xsi:type="dcterms:W3CDTF">2018-10-12T06:52:00Z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