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08" w:rsidRDefault="002D1FE0">
      <w:pPr>
        <w:spacing w:line="660" w:lineRule="exact"/>
        <w:jc w:val="center"/>
        <w:rPr>
          <w:rFonts w:ascii="宋体" w:hAnsi="宋体" w:cs="宋体"/>
          <w:b/>
          <w:bCs/>
          <w:color w:val="444444"/>
          <w:sz w:val="44"/>
          <w:szCs w:val="44"/>
        </w:rPr>
      </w:pPr>
      <w:r>
        <w:rPr>
          <w:rFonts w:ascii="宋体" w:hAnsi="宋体" w:cs="宋体" w:hint="eastAsia"/>
          <w:b/>
          <w:bCs/>
          <w:color w:val="444444"/>
          <w:sz w:val="44"/>
          <w:szCs w:val="44"/>
        </w:rPr>
        <w:t>2018年凤泉区科工信委预算说明</w:t>
      </w:r>
    </w:p>
    <w:p w:rsidR="00F24808" w:rsidRDefault="002D1FE0">
      <w:pPr>
        <w:spacing w:line="500" w:lineRule="exact"/>
        <w:rPr>
          <w:rFonts w:ascii="黑体" w:eastAsia="黑体" w:hAnsi="黑体" w:cs="黑体"/>
          <w:color w:val="444444"/>
          <w:sz w:val="32"/>
          <w:szCs w:val="32"/>
        </w:rPr>
      </w:pPr>
      <w:r>
        <w:rPr>
          <w:rFonts w:ascii="黑体" w:eastAsia="黑体" w:hAnsi="黑体" w:cs="黑体" w:hint="eastAsia"/>
          <w:color w:val="444444"/>
          <w:sz w:val="32"/>
          <w:szCs w:val="32"/>
        </w:rPr>
        <w:t xml:space="preserve">    </w:t>
      </w:r>
    </w:p>
    <w:p w:rsidR="00F24808" w:rsidRDefault="002D1FE0">
      <w:pPr>
        <w:spacing w:line="560" w:lineRule="exact"/>
        <w:rPr>
          <w:rFonts w:ascii="黑体" w:eastAsia="黑体" w:hAnsi="黑体" w:cs="黑体"/>
          <w:color w:val="444444"/>
          <w:sz w:val="32"/>
          <w:szCs w:val="32"/>
        </w:rPr>
      </w:pPr>
      <w:r>
        <w:rPr>
          <w:rFonts w:hint="eastAsia"/>
        </w:rPr>
        <w:t xml:space="preserve">    </w:t>
      </w:r>
      <w:r>
        <w:rPr>
          <w:rFonts w:ascii="黑体" w:eastAsia="黑体" w:hAnsi="黑体" w:cs="黑体" w:hint="eastAsia"/>
          <w:color w:val="444444"/>
          <w:sz w:val="32"/>
          <w:szCs w:val="32"/>
        </w:rPr>
        <w:t xml:space="preserve">  一、部门主要职责及部门预算单位构成</w:t>
      </w:r>
    </w:p>
    <w:p w:rsidR="00F24808" w:rsidRDefault="002D1FE0">
      <w:pPr>
        <w:spacing w:line="560" w:lineRule="exact"/>
        <w:ind w:firstLine="645"/>
        <w:rPr>
          <w:rStyle w:val="a5"/>
          <w:rFonts w:ascii="楷体_GB2312" w:eastAsia="楷体_GB2312" w:hAnsi="楷体_GB2312" w:cs="楷体_GB2312"/>
          <w:b w:val="0"/>
          <w:bCs w:val="0"/>
          <w:color w:val="444444"/>
          <w:sz w:val="32"/>
          <w:szCs w:val="32"/>
        </w:rPr>
      </w:pPr>
      <w:r>
        <w:rPr>
          <w:rStyle w:val="a5"/>
          <w:rFonts w:ascii="楷体_GB2312" w:eastAsia="楷体_GB2312" w:hAnsi="楷体_GB2312" w:cs="楷体_GB2312" w:hint="eastAsia"/>
          <w:b w:val="0"/>
          <w:bCs w:val="0"/>
          <w:color w:val="444444"/>
          <w:sz w:val="32"/>
          <w:szCs w:val="32"/>
        </w:rPr>
        <w:t>（一）部门职责</w:t>
      </w:r>
    </w:p>
    <w:p w:rsidR="00F24808" w:rsidRDefault="002D1FE0">
      <w:pPr>
        <w:spacing w:line="560" w:lineRule="exact"/>
        <w:ind w:firstLine="645"/>
        <w:rPr>
          <w:rFonts w:ascii="仿宋_GB2312" w:eastAsia="仿宋_GB2312" w:hAnsi="仿宋_GB2312" w:cs="仿宋_GB2312"/>
          <w:color w:val="444444"/>
          <w:spacing w:val="-6"/>
          <w:sz w:val="32"/>
          <w:szCs w:val="32"/>
        </w:rPr>
      </w:pPr>
      <w:r>
        <w:rPr>
          <w:rFonts w:ascii="仿宋_GB2312" w:eastAsia="仿宋_GB2312" w:hAnsi="仿宋_GB2312" w:cs="仿宋_GB2312" w:hint="eastAsia"/>
          <w:color w:val="444444"/>
          <w:sz w:val="32"/>
          <w:szCs w:val="32"/>
        </w:rPr>
        <w:t>1、提出全区新型工业化发展战略和政策；协调解决新型工业化进程中的重大问题。拟订并组织实施全区工业、信息化的发展规划；推进产业结构战略性调整和优化升级；推进信息化和工业化融合。</w:t>
      </w:r>
      <w:r>
        <w:rPr>
          <w:rFonts w:ascii="仿宋_GB2312" w:eastAsia="仿宋_GB2312" w:hAnsi="仿宋_GB2312" w:cs="仿宋_GB2312" w:hint="eastAsia"/>
          <w:color w:val="444444"/>
          <w:sz w:val="32"/>
          <w:szCs w:val="32"/>
        </w:rPr>
        <w:br/>
        <w:t xml:space="preserve">    2、拟订并组织实施全区工业行业规划、计划和产业政策；提出优化产业布局、结构的政策建议；监测分析全区工业运行态势，统计并发布相关信息，进行预测预警和信息引导，协调解决行业运行发展中的有关问题并提出政策建议。负责工业应急管理、产业安全和国防动员有关工作。</w:t>
      </w:r>
      <w:r>
        <w:rPr>
          <w:rFonts w:ascii="仿宋_GB2312" w:eastAsia="仿宋_GB2312" w:hAnsi="仿宋_GB2312" w:cs="仿宋_GB2312" w:hint="eastAsia"/>
          <w:color w:val="444444"/>
          <w:sz w:val="32"/>
          <w:szCs w:val="32"/>
        </w:rPr>
        <w:br/>
        <w:t xml:space="preserve">    3、</w:t>
      </w:r>
      <w:r>
        <w:rPr>
          <w:rFonts w:ascii="仿宋_GB2312" w:eastAsia="仿宋_GB2312" w:hAnsi="仿宋_GB2312" w:cs="仿宋_GB2312" w:hint="eastAsia"/>
          <w:color w:val="444444"/>
          <w:spacing w:val="-6"/>
          <w:sz w:val="32"/>
          <w:szCs w:val="32"/>
        </w:rPr>
        <w:t>负责提出全区工业、信息化固定资产投资规模和方向。</w:t>
      </w:r>
    </w:p>
    <w:p w:rsidR="00F24808" w:rsidRDefault="002D1FE0">
      <w:pPr>
        <w:spacing w:line="560" w:lineRule="exact"/>
        <w:ind w:firstLine="645"/>
        <w:rPr>
          <w:rStyle w:val="a5"/>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4、拟订并组织实施全区工业、信息化的能源节约和资源综合利用、清洁生产促进政策；参与拟定能源节约和资源综合利用、清洁生产促进规划。组织协调相关重大示范工程建设和新产品、新技术、新设备、新材料的推广应用。</w:t>
      </w:r>
      <w:r>
        <w:rPr>
          <w:rFonts w:ascii="仿宋_GB2312" w:eastAsia="仿宋_GB2312" w:hAnsi="仿宋_GB2312" w:cs="仿宋_GB2312" w:hint="eastAsia"/>
          <w:color w:val="444444"/>
          <w:sz w:val="32"/>
          <w:szCs w:val="32"/>
        </w:rPr>
        <w:br/>
        <w:t xml:space="preserve">    5、承担全区振兴装备制造业组织协调的责任。组织拟订重大技术装备发展和自主创新的规划、政策；依托国家和省、市重点工程建设协调有关重大专项的实施，推进重大技术装备国产化；知道引进重大技术装备的消化创新。</w:t>
      </w:r>
      <w:r>
        <w:rPr>
          <w:rFonts w:ascii="仿宋_GB2312" w:eastAsia="仿宋_GB2312" w:hAnsi="仿宋_GB2312" w:cs="仿宋_GB2312" w:hint="eastAsia"/>
          <w:color w:val="444444"/>
          <w:sz w:val="32"/>
          <w:szCs w:val="32"/>
        </w:rPr>
        <w:br/>
        <w:t xml:space="preserve">    6、负责全区中小企业、民营经济发展的宏观指导。拟定中小企业发展中长期规划并组织实施；负责推动建立和完</w:t>
      </w:r>
      <w:r>
        <w:rPr>
          <w:rFonts w:ascii="仿宋_GB2312" w:eastAsia="仿宋_GB2312" w:hAnsi="仿宋_GB2312" w:cs="仿宋_GB2312" w:hint="eastAsia"/>
          <w:color w:val="444444"/>
          <w:sz w:val="32"/>
          <w:szCs w:val="32"/>
        </w:rPr>
        <w:lastRenderedPageBreak/>
        <w:t>善中小企业服务体系，协调解决重大问题；协调所属企业对外合作及招商引资工作；会同有关部门拟定促进中小企业发展和非国有经济发展的相关政策、措施并监督检查执行情况。负责对所属各种经济成分的工业企业实行宏观管理和指导，规范企业行为规则。负责全区重点企业和企业集团的培育和发展，研究提出政策、措施；指导企业实施战略性改组；指导企业管理人员的培训工作。</w:t>
      </w:r>
      <w:r>
        <w:rPr>
          <w:rFonts w:ascii="仿宋_GB2312" w:eastAsia="仿宋_GB2312" w:hAnsi="仿宋_GB2312" w:cs="仿宋_GB2312" w:hint="eastAsia"/>
          <w:color w:val="444444"/>
          <w:sz w:val="32"/>
          <w:szCs w:val="32"/>
        </w:rPr>
        <w:br/>
        <w:t xml:space="preserve">  7、统筹推进全区信息化工作。组织落实市级制定的相关政策并协调信息化建设中的重大问题；促进电信、广播电视和计算机网络融合；指导协调电子政务、电子商务发展；推动跨行业、跨部门的互联互通和重要信息资源的开发利用、共享；推进物联网、云计算、大数据等基于信息技术的新兴业态发展。承担相关信息安全管理的责任。负责协调维护全区信息安全和信息安全保障体系建设；指导监督政府部门、重点行业的重要信息系统和基础信息网络的安全保障工作；承担信息安全应急协调工作，协调处理重大事件。</w:t>
      </w:r>
      <w:r>
        <w:rPr>
          <w:rFonts w:ascii="仿宋_GB2312" w:eastAsia="仿宋_GB2312" w:hAnsi="仿宋_GB2312" w:cs="仿宋_GB2312" w:hint="eastAsia"/>
          <w:color w:val="444444"/>
          <w:sz w:val="32"/>
          <w:szCs w:val="32"/>
        </w:rPr>
        <w:br/>
        <w:t xml:space="preserve">    8、贯彻执行国家、省、市科技工作的法律、法规和方针、政策；牵头拟定全区科学和技术发展规划、年度计划；会同有关部门推进全区创新驱动发展战略实施；提出全区科技体制改革的政策和重大措施建议，推进全区科技创新体系建设和科技体制改革工作；组织制定多渠道增加科技投入的政策措施，负责归口统一管理科技经费的预决算；全区各类科技计划的制定与组织实施；全区科技基础能力建设和各类平台建设；负责全区科技奖励工作；拟定全区科学技术普及</w:t>
      </w:r>
      <w:r>
        <w:rPr>
          <w:rFonts w:ascii="仿宋_GB2312" w:eastAsia="仿宋_GB2312" w:hAnsi="仿宋_GB2312" w:cs="仿宋_GB2312" w:hint="eastAsia"/>
          <w:color w:val="444444"/>
          <w:sz w:val="32"/>
          <w:szCs w:val="32"/>
        </w:rPr>
        <w:lastRenderedPageBreak/>
        <w:t>工作规划，指导全区科普工作；拟定全区科技促进农村和社会发展的政策措施，研究解决农村和社会发展中的重大科技问题；组织实施国家搞技术产业中涉及生物医药、新材料等的规划、政策和标准。</w:t>
      </w:r>
      <w:r>
        <w:rPr>
          <w:rFonts w:ascii="仿宋_GB2312" w:eastAsia="仿宋_GB2312" w:hAnsi="仿宋_GB2312" w:cs="仿宋_GB2312" w:hint="eastAsia"/>
          <w:color w:val="444444"/>
          <w:sz w:val="32"/>
          <w:szCs w:val="32"/>
        </w:rPr>
        <w:br/>
        <w:t xml:space="preserve">    9、负责国家防震减灾政策法规及有关技术规范贯彻落实情况的督促检查；制定全区防震减灾视野中、长期发展规划和年度工作计划，并组织实施；负责编制破坏性地震区级应急预案及综合防御措施，会同有关部门做好震次灾害的防御工作；负责本区内工程建设场地地震安全性评价的管理工作，审定工程建设场地的抗震设防标准，指导和监督较大工程及重要设施的抗震设防工作，依法查处违反防震减灾法律法规行为；会同有关部门组织开展防震减灾的宣传教育，普及地震和防震减灾基本知识，增强全社会的防震减灾意识和应急反应能力。</w:t>
      </w:r>
      <w:r>
        <w:rPr>
          <w:rFonts w:ascii="仿宋_GB2312" w:eastAsia="仿宋_GB2312" w:hAnsi="仿宋_GB2312" w:cs="仿宋_GB2312" w:hint="eastAsia"/>
          <w:color w:val="444444"/>
          <w:sz w:val="32"/>
          <w:szCs w:val="32"/>
        </w:rPr>
        <w:br/>
        <w:t xml:space="preserve">    10、承办区政府交办的其他事项。</w:t>
      </w:r>
    </w:p>
    <w:p w:rsidR="00F24808" w:rsidRDefault="002D1FE0">
      <w:pPr>
        <w:numPr>
          <w:ilvl w:val="0"/>
          <w:numId w:val="1"/>
        </w:numPr>
        <w:spacing w:line="560" w:lineRule="exact"/>
        <w:ind w:firstLineChars="196" w:firstLine="627"/>
        <w:rPr>
          <w:rStyle w:val="a5"/>
          <w:rFonts w:ascii="楷体_GB2312" w:eastAsia="楷体_GB2312" w:hAnsi="楷体_GB2312" w:cs="楷体_GB2312"/>
          <w:b w:val="0"/>
          <w:bCs w:val="0"/>
          <w:color w:val="444444"/>
          <w:sz w:val="32"/>
          <w:szCs w:val="32"/>
        </w:rPr>
      </w:pPr>
      <w:r>
        <w:rPr>
          <w:rStyle w:val="a5"/>
          <w:rFonts w:ascii="楷体_GB2312" w:eastAsia="楷体_GB2312" w:hAnsi="楷体_GB2312" w:cs="楷体_GB2312" w:hint="eastAsia"/>
          <w:b w:val="0"/>
          <w:bCs w:val="0"/>
          <w:color w:val="444444"/>
          <w:sz w:val="32"/>
          <w:szCs w:val="32"/>
        </w:rPr>
        <w:t>机构设置</w:t>
      </w:r>
    </w:p>
    <w:p w:rsidR="00F24808" w:rsidRDefault="002D1FE0">
      <w:pPr>
        <w:spacing w:line="560" w:lineRule="exact"/>
        <w:ind w:firstLineChars="200" w:firstLine="640"/>
        <w:rPr>
          <w:rStyle w:val="a5"/>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凤泉区科工信委内设综合办公室、科技办公室两个科室。</w:t>
      </w:r>
    </w:p>
    <w:p w:rsidR="00F24808" w:rsidRDefault="002D1FE0">
      <w:pPr>
        <w:numPr>
          <w:ilvl w:val="0"/>
          <w:numId w:val="1"/>
        </w:numPr>
        <w:spacing w:line="560" w:lineRule="exact"/>
        <w:ind w:firstLineChars="196" w:firstLine="627"/>
        <w:rPr>
          <w:rStyle w:val="a5"/>
          <w:rFonts w:ascii="楷体_GB2312" w:eastAsia="楷体_GB2312" w:hAnsi="楷体_GB2312" w:cs="楷体_GB2312"/>
          <w:b w:val="0"/>
          <w:bCs w:val="0"/>
          <w:color w:val="444444"/>
          <w:sz w:val="32"/>
          <w:szCs w:val="32"/>
        </w:rPr>
      </w:pPr>
      <w:r>
        <w:rPr>
          <w:rStyle w:val="a5"/>
          <w:rFonts w:ascii="楷体_GB2312" w:eastAsia="楷体_GB2312" w:hAnsi="楷体_GB2312" w:cs="楷体_GB2312" w:hint="eastAsia"/>
          <w:b w:val="0"/>
          <w:bCs w:val="0"/>
          <w:color w:val="444444"/>
          <w:sz w:val="32"/>
          <w:szCs w:val="32"/>
        </w:rPr>
        <w:t>人员构成情况</w:t>
      </w:r>
    </w:p>
    <w:p w:rsidR="00F24808" w:rsidRDefault="002D1FE0" w:rsidP="00617162">
      <w:pPr>
        <w:spacing w:line="560" w:lineRule="exact"/>
        <w:ind w:leftChars="196" w:left="412"/>
        <w:rPr>
          <w:rStyle w:val="a5"/>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截至2017年底，凤泉区科工信委共有在职人员17人。</w:t>
      </w:r>
    </w:p>
    <w:p w:rsidR="00F24808" w:rsidRDefault="002D1FE0" w:rsidP="00617162">
      <w:pPr>
        <w:spacing w:line="560" w:lineRule="exact"/>
        <w:ind w:firstLineChars="168" w:firstLine="538"/>
        <w:rPr>
          <w:rStyle w:val="a5"/>
          <w:rFonts w:ascii="楷体_GB2312" w:eastAsia="楷体_GB2312" w:hAnsi="楷体_GB2312" w:cs="楷体_GB2312"/>
          <w:b w:val="0"/>
          <w:bCs w:val="0"/>
          <w:color w:val="444444"/>
          <w:sz w:val="32"/>
          <w:szCs w:val="32"/>
        </w:rPr>
      </w:pPr>
      <w:r>
        <w:rPr>
          <w:rStyle w:val="a5"/>
          <w:rFonts w:ascii="楷体_GB2312" w:eastAsia="楷体_GB2312" w:hAnsi="楷体_GB2312" w:cs="楷体_GB2312" w:hint="eastAsia"/>
          <w:b w:val="0"/>
          <w:bCs w:val="0"/>
          <w:color w:val="444444"/>
          <w:sz w:val="32"/>
          <w:szCs w:val="32"/>
        </w:rPr>
        <w:t>（四）预算年度主要工作任务</w:t>
      </w:r>
    </w:p>
    <w:p w:rsidR="00F24808" w:rsidRDefault="002D1FE0">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1、推动企业升级改造，促进工业经济快速发展。</w:t>
      </w:r>
    </w:p>
    <w:p w:rsidR="00F24808" w:rsidRDefault="002D1FE0" w:rsidP="003752D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（1）推进智能制造建设，提升我区企业技术含量和竞争力。</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依托河南科技学院、山东大学共建智能制造研究院，以</w:t>
      </w:r>
      <w:r>
        <w:rPr>
          <w:rFonts w:ascii="仿宋_GB2312" w:eastAsia="仿宋_GB2312" w:hAnsi="仿宋_GB2312" w:cs="仿宋_GB2312" w:hint="eastAsia"/>
          <w:sz w:val="32"/>
          <w:szCs w:val="32"/>
        </w:rPr>
        <w:lastRenderedPageBreak/>
        <w:t>七星铜业、鑫泉能源正在进行的智能化改造为试点，发挥典型示范作用，带动全区企业智能化改造、信息化新技术应用步伐。</w:t>
      </w:r>
    </w:p>
    <w:p w:rsidR="00F24808" w:rsidRDefault="002D1FE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2018年第一季度完成七星铜业、鑫泉能源智能改造。2018年底完成电池行业50%，装备制造业80%的智能化改造，推动智能改造在我区企业全面展开。</w:t>
      </w:r>
    </w:p>
    <w:p w:rsidR="00F24808" w:rsidRDefault="002D1FE0" w:rsidP="003752D7">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（2）引导我区车辆改装企业进行资源整合，逐步向高端专汽发展。</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我区车辆改装行业虽基础较好，但多为贴牌生产、无序生产，需引导汽车改装企业走规范化、合法化的经营路线。目前，全市汽车改装认证企业共10家，我区占4家，另有3家企业资质正在办理。    </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2018年第一季度完成改装车辆向专用车辆生产对标、制定转型发展方案。争取2018年实施改装企业的升级改造。把我区汽车改装企业从简单改造、仿造发展成为适应市场新需求的制造企业。 </w:t>
      </w:r>
    </w:p>
    <w:p w:rsidR="00F24808" w:rsidRDefault="002D1FE0" w:rsidP="003752D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（3）促进有色金属延链强链，提高产品附加值。</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引导我区铜材加工产业进行资源整合，提高初级产品纯度和精度，提升产品品质和质量，带动下游电线电缆行业向规模化、品牌化、优质化发展，加快现有企业做大做强。</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发挥七星铜业、七星钎焊为美的、海尔等大型企业配套生产的渠道优势，谋划引进空调制造等附加值较高的终端产品企业。</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2018年上半年完成上下游企业调研，帮助企业提高工艺、技术水平。</w:t>
      </w:r>
    </w:p>
    <w:p w:rsidR="00F24808" w:rsidRDefault="002D1FE0" w:rsidP="003752D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（4）强力实施产学研结合，拉动电池产业转向高端。</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区电池企业虽然数量多，但规模以上的企业较少并且产品单一、落后，整体产业竞争力不强，目前处于我区高端产品的18650型电池已处于同质化竞争状态。为摆脱同质化竞争、拼价格的局面，2018年主要引导电池企业向附加值高、比能量大、安全性能好的方向发展，例如：锂硫、超晶格、石墨烯等全固态高端电池。做好产业链规划，引进铝塑壳、盖帽等电池配件项目。</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2018年第一季度推进杭州佑展智能箱体项目开工建设，深入电池企业开展调研，掌握企业升级转型方向和需求，组织企业与电池研究院新技术做好对接，提升我区电池产业市场竞争力。</w:t>
      </w:r>
    </w:p>
    <w:p w:rsidR="00F24808" w:rsidRDefault="002D1FE0">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2、加大重大项目建设，增强工业经济发展后劲。</w:t>
      </w:r>
    </w:p>
    <w:p w:rsidR="00F24808" w:rsidRDefault="002D1FE0" w:rsidP="003752D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（5）谋划实施新型建材项目</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托山水林田湖一体化生态城项目的建筑体量，以市场换产业，谋划实施新型建材集群的发展，引进重大战略投资项目，重点推进亿丰建材装配式建筑项目上半年落地实施；楼尚新型建材有限公司的CL建筑结构体系项目启动实施；确保爱康建材市政管道项目2018年内建成投产，推进爱康新型环保涂料项目第二季度开工建设。</w:t>
      </w:r>
    </w:p>
    <w:p w:rsidR="00F24808" w:rsidRDefault="002D1FE0" w:rsidP="003752D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（6）加快推进高端装备制造项目</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加快天和盾构项目建设进度，2018年项目竣工投产；同时加快推进正在洽谈的中铁装备工程公司总投资5亿元、占地100亩的盾构项目进度；推动诚德能源船用罐式集装箱项</w:t>
      </w:r>
      <w:r>
        <w:rPr>
          <w:rFonts w:ascii="仿宋_GB2312" w:eastAsia="仿宋_GB2312" w:hAnsi="仿宋_GB2312" w:cs="仿宋_GB2312" w:hint="eastAsia"/>
          <w:spacing w:val="-6"/>
          <w:sz w:val="32"/>
          <w:szCs w:val="32"/>
        </w:rPr>
        <w:t>目2018年上半年顺利实施，进一步提升高端装备制造业比重。</w:t>
      </w:r>
    </w:p>
    <w:p w:rsidR="00F24808" w:rsidRDefault="002D1FE0" w:rsidP="003752D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（7）引进实施重大平台建设项目</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河南科技学院、山东大学共建的智能制造研究院，辅仁药业医药研究所，中电科天津18所新乡动力电池（模块）检测中心，广州碧然纳米技术研发中心，知微生物医药评价中心等五个平台项目，2018年第一季度全面开工建设。全年再新引进4-5个科研平台，力争我区平台项目数量达到十个以上，为我区社会经济发展提供强有力的科技支撑。</w:t>
      </w:r>
    </w:p>
    <w:p w:rsidR="00F24808" w:rsidRDefault="002D1FE0">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3、强化企业服务，保障工业经济健康发展。</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b/>
          <w:bCs/>
          <w:sz w:val="32"/>
          <w:szCs w:val="32"/>
        </w:rPr>
        <w:t>宣传、落实各项惠企政策，</w:t>
      </w:r>
      <w:r>
        <w:rPr>
          <w:rFonts w:ascii="仿宋_GB2312" w:eastAsia="仿宋_GB2312" w:hAnsi="仿宋_GB2312" w:cs="仿宋_GB2312" w:hint="eastAsia"/>
          <w:sz w:val="32"/>
          <w:szCs w:val="32"/>
        </w:rPr>
        <w:t>以先进制造业专项资金为抓手，助力企业升级改造。重点关注省、市对企业技术改造、平台建设等各项资金支持政策，帮助企业最大限度争取项目扶持资金。2018年第一季度完成企业服务方案制定，二季度组织至少一次市级专家对重点部门及重点企业的政策培训，积极组织企业参加市委组织部的企业“333”人才汇、市工信委的专题讲座、高校培训、论坛等。</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b/>
          <w:bCs/>
          <w:sz w:val="32"/>
          <w:szCs w:val="32"/>
        </w:rPr>
        <w:t>全面发挥“首席服务官”职能</w:t>
      </w:r>
      <w:r>
        <w:rPr>
          <w:rFonts w:ascii="仿宋_GB2312" w:eastAsia="仿宋_GB2312" w:hAnsi="仿宋_GB2312" w:cs="仿宋_GB2312" w:hint="eastAsia"/>
          <w:sz w:val="32"/>
          <w:szCs w:val="32"/>
        </w:rPr>
        <w:t>，落实县级领导分包责任制，做好“四项对接”，继续执行企业问题台账制度，切实解决企业生产经营中的困难和问题，优化企业发展环境。2018年第一季度完成企业及项目初步调研，结合发改委项目</w:t>
      </w:r>
      <w:r>
        <w:rPr>
          <w:rFonts w:ascii="仿宋_GB2312" w:eastAsia="仿宋_GB2312" w:hAnsi="仿宋_GB2312" w:cs="仿宋_GB2312" w:hint="eastAsia"/>
          <w:sz w:val="32"/>
          <w:szCs w:val="32"/>
        </w:rPr>
        <w:lastRenderedPageBreak/>
        <w:t>分包，制定我区县级领导干部“首席服务官”规模以上工业企业分包及重点项目分包。</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b/>
          <w:bCs/>
          <w:sz w:val="32"/>
          <w:szCs w:val="32"/>
        </w:rPr>
        <w:t>主动谋划降低企业生产要素成本，全力推进与豫新发电综合能源合作。</w:t>
      </w:r>
      <w:r>
        <w:rPr>
          <w:rFonts w:ascii="仿宋_GB2312" w:eastAsia="仿宋_GB2312" w:hAnsi="仿宋_GB2312" w:cs="仿宋_GB2312" w:hint="eastAsia"/>
          <w:sz w:val="32"/>
          <w:szCs w:val="32"/>
        </w:rPr>
        <w:t>筹划三个园区用电打包签约，开展集中购售电业务，力争降低企业用电成本3-5分／度；同时帮助项目单位申报由国家发改委审批的建设增量配电站试点项目，批复后，电厂以直供电方式与企业进行交易，电费降至0.5元左右。同步推进集中供汽、供热等能源综合供应，真正将我区建设成为生产要素低、能源综合供应全、基础配套承载能力强的投资洼地。</w:t>
      </w:r>
    </w:p>
    <w:p w:rsidR="00F24808" w:rsidRDefault="002D1FE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2018年第一季度完成整体规划，第二季度全面实施。</w:t>
      </w:r>
    </w:p>
    <w:p w:rsidR="00F24808" w:rsidRDefault="002D1FE0">
      <w:pPr>
        <w:spacing w:line="560" w:lineRule="exact"/>
        <w:ind w:firstLine="540"/>
        <w:rPr>
          <w:rFonts w:ascii="黑体" w:eastAsia="黑体" w:hAnsi="黑体" w:cs="黑体"/>
        </w:rPr>
      </w:pPr>
      <w:r>
        <w:rPr>
          <w:rFonts w:ascii="仿宋_GB2312" w:eastAsia="仿宋_GB2312" w:hAnsi="仿宋_GB2312" w:cs="仿宋_GB2312" w:hint="eastAsia"/>
          <w:sz w:val="32"/>
          <w:szCs w:val="32"/>
        </w:rPr>
        <w:t>4、</w:t>
      </w:r>
      <w:bookmarkStart w:id="0" w:name="_GoBack"/>
      <w:bookmarkEnd w:id="0"/>
      <w:r>
        <w:rPr>
          <w:rFonts w:ascii="仿宋_GB2312" w:eastAsia="仿宋_GB2312" w:hAnsi="仿宋_GB2312" w:cs="仿宋_GB2312" w:hint="eastAsia"/>
          <w:sz w:val="32"/>
          <w:szCs w:val="32"/>
        </w:rPr>
        <w:t>继续做好区委区政府交办的各项中心工作。</w:t>
      </w:r>
    </w:p>
    <w:p w:rsidR="00617162" w:rsidRDefault="00617162" w:rsidP="00617162">
      <w:pPr>
        <w:rPr>
          <w:rFonts w:ascii="黑体" w:eastAsia="黑体" w:hAnsi="黑体" w:cs="黑体"/>
          <w:sz w:val="32"/>
          <w:szCs w:val="32"/>
        </w:rPr>
      </w:pPr>
      <w:r>
        <w:rPr>
          <w:rFonts w:ascii="黑体" w:eastAsia="黑体" w:hAnsi="黑体" w:cs="黑体" w:hint="eastAsia"/>
          <w:sz w:val="32"/>
          <w:szCs w:val="32"/>
        </w:rPr>
        <w:t>二、包括本级预算和所属单位预算在内的汇总预算</w:t>
      </w:r>
    </w:p>
    <w:p w:rsidR="00617162" w:rsidRDefault="00617162" w:rsidP="00617162">
      <w:pPr>
        <w:ind w:firstLine="640"/>
        <w:rPr>
          <w:rStyle w:val="a5"/>
          <w:rFonts w:ascii="宋体" w:hAnsi="宋体" w:cs="宋体"/>
        </w:rPr>
      </w:pPr>
      <w:r>
        <w:rPr>
          <w:rStyle w:val="a5"/>
          <w:rFonts w:ascii="宋体" w:hAnsi="宋体" w:cs="宋体" w:hint="eastAsia"/>
          <w:sz w:val="32"/>
          <w:szCs w:val="32"/>
        </w:rPr>
        <w:t>无此项目</w:t>
      </w:r>
    </w:p>
    <w:p w:rsidR="00617162" w:rsidRDefault="00617162" w:rsidP="00617162">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t>三、收入预算增减变化情况</w:t>
      </w:r>
    </w:p>
    <w:p w:rsidR="00617162" w:rsidRDefault="00617162" w:rsidP="00617162">
      <w:pPr>
        <w:spacing w:line="560" w:lineRule="exact"/>
        <w:ind w:firstLine="540"/>
        <w:rPr>
          <w:rFonts w:ascii="楷体_GB2312" w:eastAsia="楷体_GB2312" w:hAnsi="楷体_GB2312" w:cs="楷体_GB2312"/>
          <w:color w:val="444444"/>
          <w:sz w:val="32"/>
          <w:szCs w:val="32"/>
        </w:rPr>
      </w:pPr>
      <w:r>
        <w:rPr>
          <w:rFonts w:ascii="楷体_GB2312" w:eastAsia="楷体_GB2312" w:hAnsi="楷体_GB2312" w:cs="楷体_GB2312" w:hint="eastAsia"/>
          <w:color w:val="444444"/>
          <w:sz w:val="32"/>
          <w:szCs w:val="32"/>
        </w:rPr>
        <w:t>（一）一般公共预算说明</w:t>
      </w:r>
    </w:p>
    <w:p w:rsidR="00617162" w:rsidRDefault="00617162" w:rsidP="00617162">
      <w:pPr>
        <w:spacing w:line="560" w:lineRule="exact"/>
        <w:ind w:firstLine="540"/>
        <w:rPr>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2018年一般公共预算支出为438.3万元，按用途分工资福利支出126.9万元，占一般公共预算支出的28.95%，较去年增长55.51%；商品服务支出11.4万元，占2.6%，较去年无变化；项目支出300万元，占68.45%，较去年下降25%，原因是项目减少。</w:t>
      </w:r>
    </w:p>
    <w:p w:rsidR="00617162" w:rsidRDefault="00617162" w:rsidP="00617162">
      <w:pPr>
        <w:spacing w:line="560" w:lineRule="exact"/>
        <w:ind w:firstLine="540"/>
        <w:rPr>
          <w:rFonts w:ascii="仿宋_GB2312" w:eastAsia="仿宋_GB2312" w:hAnsi="仿宋_GB2312" w:cs="仿宋_GB2312"/>
          <w:color w:val="444444"/>
          <w:sz w:val="32"/>
          <w:szCs w:val="32"/>
        </w:rPr>
      </w:pPr>
      <w:r>
        <w:rPr>
          <w:rFonts w:ascii="楷体_GB2312" w:eastAsia="楷体_GB2312" w:hAnsi="楷体_GB2312" w:cs="楷体_GB2312" w:hint="eastAsia"/>
          <w:color w:val="444444"/>
          <w:sz w:val="32"/>
          <w:szCs w:val="32"/>
        </w:rPr>
        <w:t>（二）政府性基金预算说明</w:t>
      </w:r>
      <w:r>
        <w:rPr>
          <w:rFonts w:ascii="仿宋_GB2312" w:eastAsia="仿宋_GB2312" w:hAnsi="仿宋_GB2312" w:cs="仿宋_GB2312" w:hint="eastAsia"/>
          <w:color w:val="444444"/>
          <w:sz w:val="32"/>
          <w:szCs w:val="32"/>
        </w:rPr>
        <w:br/>
        <w:t xml:space="preserve">   2018年我单位无政府性基金预算支出，较去年无变化。</w:t>
      </w:r>
    </w:p>
    <w:p w:rsidR="00617162" w:rsidRDefault="00617162" w:rsidP="00617162">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lastRenderedPageBreak/>
        <w:t>四、支出预算增减变化情况</w:t>
      </w:r>
    </w:p>
    <w:p w:rsidR="00617162" w:rsidRDefault="00617162" w:rsidP="00617162">
      <w:pPr>
        <w:spacing w:line="560" w:lineRule="exact"/>
        <w:ind w:firstLine="540"/>
        <w:rPr>
          <w:rFonts w:ascii="黑体" w:eastAsia="黑体" w:hAnsi="黑体" w:cs="黑体"/>
          <w:color w:val="444444"/>
          <w:sz w:val="32"/>
          <w:szCs w:val="32"/>
        </w:rPr>
      </w:pPr>
      <w:r>
        <w:rPr>
          <w:rFonts w:ascii="黑体" w:eastAsia="黑体" w:hAnsi="黑体" w:cs="黑体" w:hint="eastAsia"/>
          <w:color w:val="444444"/>
          <w:sz w:val="32"/>
          <w:szCs w:val="32"/>
        </w:rPr>
        <w:t>（一）一般公共预算说明</w:t>
      </w:r>
    </w:p>
    <w:p w:rsidR="00617162" w:rsidRPr="00617162" w:rsidRDefault="00617162" w:rsidP="00617162">
      <w:pPr>
        <w:spacing w:line="560" w:lineRule="exact"/>
        <w:ind w:firstLine="540"/>
        <w:rPr>
          <w:rFonts w:ascii="Tahoma" w:hAnsi="Tahoma" w:cs="Tahoma"/>
          <w:b/>
          <w:color w:val="444444"/>
          <w:sz w:val="27"/>
          <w:szCs w:val="27"/>
        </w:rPr>
      </w:pPr>
      <w:r>
        <w:rPr>
          <w:rFonts w:ascii="黑体" w:eastAsia="黑体" w:hAnsi="黑体" w:cs="黑体" w:hint="eastAsia"/>
          <w:color w:val="444444"/>
          <w:sz w:val="32"/>
          <w:szCs w:val="32"/>
        </w:rPr>
        <w:t>（二）政府性基金预算说明</w:t>
      </w:r>
      <w:r>
        <w:rPr>
          <w:rFonts w:ascii="黑体" w:eastAsia="黑体" w:hAnsi="黑体" w:cs="黑体" w:hint="eastAsia"/>
          <w:color w:val="444444"/>
          <w:sz w:val="32"/>
          <w:szCs w:val="32"/>
        </w:rPr>
        <w:br/>
      </w:r>
      <w:r w:rsidRPr="00617162">
        <w:rPr>
          <w:rFonts w:ascii="仿宋_GB2312" w:eastAsia="仿宋_GB2312" w:hAnsi="仿宋_GB2312" w:cs="仿宋_GB2312" w:hint="eastAsia"/>
          <w:b/>
          <w:color w:val="444444"/>
          <w:sz w:val="32"/>
          <w:szCs w:val="32"/>
        </w:rPr>
        <w:t xml:space="preserve">   </w:t>
      </w:r>
      <w:r w:rsidRPr="00617162">
        <w:rPr>
          <w:rFonts w:ascii="Tahoma" w:hAnsi="Tahoma" w:cs="Tahoma"/>
          <w:b/>
          <w:color w:val="444444"/>
          <w:sz w:val="27"/>
          <w:szCs w:val="27"/>
        </w:rPr>
        <w:t>2018</w:t>
      </w:r>
      <w:r w:rsidRPr="00617162">
        <w:rPr>
          <w:rFonts w:ascii="Tahoma" w:hAnsi="Tahoma" w:cs="Tahoma" w:hint="eastAsia"/>
          <w:b/>
          <w:color w:val="444444"/>
          <w:sz w:val="27"/>
          <w:szCs w:val="27"/>
        </w:rPr>
        <w:t>年我单位无政府性基金预算。</w:t>
      </w:r>
    </w:p>
    <w:p w:rsidR="00617162" w:rsidRDefault="00617162" w:rsidP="00617162">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t>五、预算安排机关运行经费情况（含“三公”经费预算）增减变化说明</w:t>
      </w:r>
    </w:p>
    <w:p w:rsidR="00617162" w:rsidRDefault="00617162" w:rsidP="00617162">
      <w:pPr>
        <w:spacing w:line="560" w:lineRule="exact"/>
        <w:ind w:firstLine="540"/>
        <w:rPr>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2018年机关运行经费安排9.65万元，比去年上涨93.77%，主要用于办公及印刷费、邮电费、差旅费等支出。</w:t>
      </w:r>
    </w:p>
    <w:p w:rsidR="00617162" w:rsidRDefault="00617162" w:rsidP="00617162">
      <w:pPr>
        <w:spacing w:line="560" w:lineRule="exact"/>
        <w:ind w:firstLine="540"/>
        <w:rPr>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2018年我单位无因公出国（境）费用。</w:t>
      </w:r>
    </w:p>
    <w:p w:rsidR="00617162" w:rsidRDefault="00617162" w:rsidP="00617162">
      <w:pPr>
        <w:spacing w:line="560" w:lineRule="exact"/>
        <w:ind w:firstLine="540"/>
        <w:rPr>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2018年我单位公务接待费0.21万元，较上年下降88.83%，原因是当年招商接待项目减少。</w:t>
      </w:r>
    </w:p>
    <w:p w:rsidR="00617162" w:rsidRDefault="00617162" w:rsidP="00617162">
      <w:pPr>
        <w:spacing w:line="560" w:lineRule="exact"/>
        <w:ind w:firstLine="540"/>
        <w:rPr>
          <w:rFonts w:ascii="仿宋_GB2312" w:eastAsia="仿宋_GB2312" w:hAnsi="仿宋_GB2312" w:cs="仿宋_GB2312"/>
          <w:color w:val="444444"/>
          <w:sz w:val="32"/>
          <w:szCs w:val="32"/>
        </w:rPr>
      </w:pPr>
      <w:r>
        <w:rPr>
          <w:rFonts w:ascii="仿宋_GB2312" w:eastAsia="仿宋_GB2312" w:hAnsi="仿宋_GB2312" w:cs="仿宋_GB2312" w:hint="eastAsia"/>
          <w:color w:val="444444"/>
          <w:sz w:val="32"/>
          <w:szCs w:val="32"/>
        </w:rPr>
        <w:t>2018年我单位无公务用车运行维护费，较上年下降100%，原因是公车改革后我单位不再保有车辆。</w:t>
      </w:r>
    </w:p>
    <w:p w:rsidR="00617162" w:rsidRDefault="00617162" w:rsidP="00617162">
      <w:pPr>
        <w:spacing w:line="560" w:lineRule="exact"/>
        <w:rPr>
          <w:rFonts w:ascii="黑体" w:eastAsia="黑体" w:hAnsi="黑体" w:cs="黑体"/>
          <w:color w:val="444444"/>
          <w:sz w:val="32"/>
          <w:szCs w:val="32"/>
        </w:rPr>
      </w:pPr>
      <w:r>
        <w:rPr>
          <w:rFonts w:ascii="仿宋_GB2312" w:eastAsia="仿宋_GB2312" w:hAnsi="仿宋_GB2312" w:cs="仿宋_GB2312" w:hint="eastAsia"/>
          <w:color w:val="444444"/>
          <w:sz w:val="32"/>
          <w:szCs w:val="32"/>
        </w:rPr>
        <w:t>2018年我单位无购置车辆。</w:t>
      </w:r>
    </w:p>
    <w:p w:rsidR="00617162" w:rsidRDefault="00617162" w:rsidP="00617162">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t>六、政府采购预算情况</w:t>
      </w:r>
    </w:p>
    <w:p w:rsidR="00617162" w:rsidRDefault="00617162" w:rsidP="00617162">
      <w:pPr>
        <w:spacing w:line="560" w:lineRule="exact"/>
        <w:ind w:firstLineChars="200" w:firstLine="540"/>
        <w:rPr>
          <w:rFonts w:ascii="Tahoma" w:hAnsi="Tahoma" w:cs="Tahoma"/>
          <w:color w:val="444444"/>
          <w:sz w:val="27"/>
          <w:szCs w:val="27"/>
        </w:rPr>
      </w:pPr>
      <w:r>
        <w:rPr>
          <w:rFonts w:ascii="Tahoma" w:hAnsi="Tahoma" w:cs="Tahoma"/>
          <w:color w:val="444444"/>
          <w:sz w:val="27"/>
          <w:szCs w:val="27"/>
        </w:rPr>
        <w:t>2018</w:t>
      </w:r>
      <w:r>
        <w:rPr>
          <w:rFonts w:ascii="Tahoma" w:hAnsi="Tahoma" w:cs="Tahoma" w:hint="eastAsia"/>
          <w:color w:val="444444"/>
          <w:sz w:val="27"/>
          <w:szCs w:val="27"/>
        </w:rPr>
        <w:t>年政府采购预算安排</w:t>
      </w:r>
      <w:r>
        <w:rPr>
          <w:rFonts w:ascii="Tahoma" w:hAnsi="Tahoma" w:cs="Tahoma"/>
          <w:color w:val="444444"/>
          <w:sz w:val="27"/>
          <w:szCs w:val="27"/>
        </w:rPr>
        <w:t>0</w:t>
      </w:r>
      <w:r>
        <w:rPr>
          <w:rFonts w:ascii="Tahoma" w:hAnsi="Tahoma" w:cs="Tahoma" w:hint="eastAsia"/>
          <w:color w:val="444444"/>
          <w:sz w:val="27"/>
          <w:szCs w:val="27"/>
        </w:rPr>
        <w:t>万元。</w:t>
      </w:r>
    </w:p>
    <w:p w:rsidR="00617162" w:rsidRDefault="00617162" w:rsidP="00617162">
      <w:pPr>
        <w:rPr>
          <w:rFonts w:ascii="黑体" w:eastAsia="黑体" w:hAnsi="黑体" w:cs="黑体"/>
          <w:sz w:val="32"/>
          <w:szCs w:val="32"/>
        </w:rPr>
      </w:pPr>
      <w:r>
        <w:rPr>
          <w:rFonts w:ascii="黑体" w:eastAsia="黑体" w:hAnsi="黑体" w:cs="黑体" w:hint="eastAsia"/>
          <w:sz w:val="32"/>
          <w:szCs w:val="32"/>
        </w:rPr>
        <w:t>七、专业性较强的名词解释</w:t>
      </w:r>
    </w:p>
    <w:p w:rsidR="00617162" w:rsidRDefault="00617162" w:rsidP="00617162">
      <w:pPr>
        <w:pStyle w:val="a6"/>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1.财政拨款收入：指区级财政当年拨付的资金。 </w:t>
      </w:r>
    </w:p>
    <w:p w:rsidR="00617162" w:rsidRDefault="00617162" w:rsidP="00617162">
      <w:pPr>
        <w:pStyle w:val="a6"/>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2.基本支出：指为保障机构正常运转、完成日常工作任务而发生的人员支出和公用支出。 </w:t>
      </w:r>
    </w:p>
    <w:p w:rsidR="00617162" w:rsidRDefault="00617162" w:rsidP="00617162">
      <w:pPr>
        <w:pStyle w:val="a6"/>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3.项目支出：指在基本支出之外为完成特定行政任务和事业发展目标所发生的支出。 </w:t>
      </w:r>
    </w:p>
    <w:p w:rsidR="00617162" w:rsidRDefault="00617162" w:rsidP="00617162">
      <w:pPr>
        <w:pStyle w:val="a6"/>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4.机关运行经费：指各部门的公用经费，包括办公及印刷费、邮电费、会议费、福利费、日常维修费、专用材料及一般设备购置费、办公用房水电费和取暖费、物业管理费、公务用车运行维护费以及其他费用</w:t>
      </w:r>
    </w:p>
    <w:p w:rsidR="00617162" w:rsidRDefault="00617162" w:rsidP="00617162">
      <w:pPr>
        <w:rPr>
          <w:rFonts w:ascii="黑体" w:eastAsia="黑体" w:hAnsi="黑体" w:cs="黑体"/>
          <w:sz w:val="32"/>
          <w:szCs w:val="32"/>
        </w:rPr>
      </w:pPr>
      <w:r>
        <w:rPr>
          <w:rFonts w:ascii="黑体" w:eastAsia="黑体" w:hAnsi="黑体" w:cs="黑体" w:hint="eastAsia"/>
          <w:sz w:val="32"/>
          <w:szCs w:val="32"/>
        </w:rPr>
        <w:t>八、重点项目预算绩效目标（逐步公开）</w:t>
      </w:r>
    </w:p>
    <w:p w:rsidR="00612227" w:rsidRPr="00D36367" w:rsidRDefault="003752D7" w:rsidP="00D36367">
      <w:pPr>
        <w:pStyle w:val="a6"/>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根据201</w:t>
      </w:r>
      <w:r w:rsidR="00612227">
        <w:rPr>
          <w:rFonts w:ascii="仿宋_GB2312" w:eastAsia="仿宋_GB2312" w:hAnsi="仿宋_GB2312" w:cs="仿宋_GB2312" w:hint="eastAsia"/>
          <w:sz w:val="32"/>
          <w:szCs w:val="32"/>
        </w:rPr>
        <w:t>7年度支出情况，2018年</w:t>
      </w:r>
      <w:r w:rsidR="00D36367">
        <w:rPr>
          <w:rFonts w:ascii="仿宋_GB2312" w:eastAsia="仿宋_GB2312" w:hAnsi="仿宋_GB2312" w:cs="仿宋_GB2312" w:hint="eastAsia"/>
          <w:sz w:val="32"/>
          <w:szCs w:val="32"/>
        </w:rPr>
        <w:t>绩效目标</w:t>
      </w:r>
      <w:r w:rsidR="00612227">
        <w:rPr>
          <w:rFonts w:ascii="仿宋_GB2312" w:eastAsia="仿宋_GB2312" w:hAnsi="仿宋_GB2312" w:cs="仿宋_GB2312" w:hint="eastAsia"/>
          <w:sz w:val="32"/>
          <w:szCs w:val="32"/>
        </w:rPr>
        <w:t>有</w:t>
      </w:r>
      <w:r w:rsidR="00D36367">
        <w:rPr>
          <w:rFonts w:ascii="仿宋_GB2312" w:eastAsia="仿宋_GB2312" w:hAnsi="仿宋_GB2312" w:cs="仿宋_GB2312" w:hint="eastAsia"/>
          <w:sz w:val="32"/>
          <w:szCs w:val="32"/>
        </w:rPr>
        <w:t>1.</w:t>
      </w:r>
      <w:r w:rsidR="00612227">
        <w:rPr>
          <w:rFonts w:ascii="仿宋_GB2312" w:eastAsia="仿宋_GB2312" w:hAnsi="宋体" w:cs="Courier New" w:hint="eastAsia"/>
          <w:color w:val="000000"/>
          <w:sz w:val="32"/>
          <w:szCs w:val="32"/>
        </w:rPr>
        <w:t>“电池研究院合作项目”，总金额为100</w:t>
      </w:r>
      <w:r w:rsidR="00D36367">
        <w:rPr>
          <w:rFonts w:ascii="仿宋_GB2312" w:eastAsia="仿宋_GB2312" w:hAnsi="宋体" w:cs="Courier New" w:hint="eastAsia"/>
          <w:color w:val="000000"/>
          <w:sz w:val="32"/>
          <w:szCs w:val="32"/>
        </w:rPr>
        <w:t>万元,提高了我区的税收，有利的促进了电池研究院开展的研究项目。2.</w:t>
      </w:r>
      <w:r w:rsidR="00612227">
        <w:rPr>
          <w:rFonts w:ascii="仿宋_GB2312" w:eastAsia="仿宋_GB2312" w:hAnsi="宋体" w:cs="Courier New" w:hint="eastAsia"/>
          <w:color w:val="000000"/>
          <w:sz w:val="32"/>
          <w:szCs w:val="32"/>
        </w:rPr>
        <w:t>“百企万户产业扶贫项目”，总金额为7</w:t>
      </w:r>
      <w:r w:rsidR="00D36367">
        <w:rPr>
          <w:rFonts w:ascii="仿宋_GB2312" w:eastAsia="仿宋_GB2312" w:hAnsi="宋体" w:cs="Courier New" w:hint="eastAsia"/>
          <w:color w:val="000000"/>
          <w:sz w:val="32"/>
          <w:szCs w:val="32"/>
        </w:rPr>
        <w:t>万元，为我区的贫困人员提供了基本生活保障。3.</w:t>
      </w:r>
      <w:r w:rsidR="00612227">
        <w:rPr>
          <w:rFonts w:ascii="仿宋_GB2312" w:eastAsia="仿宋_GB2312" w:hAnsi="宋体" w:cs="Courier New" w:hint="eastAsia"/>
          <w:color w:val="000000"/>
          <w:sz w:val="32"/>
          <w:szCs w:val="32"/>
        </w:rPr>
        <w:t>“河南省地理研究院合作项目”，金额为96万元</w:t>
      </w:r>
      <w:r w:rsidR="00D36367">
        <w:rPr>
          <w:rFonts w:ascii="仿宋_GB2312" w:eastAsia="仿宋_GB2312" w:hAnsi="宋体" w:cs="Courier New" w:hint="eastAsia"/>
          <w:color w:val="000000"/>
          <w:sz w:val="32"/>
          <w:szCs w:val="32"/>
        </w:rPr>
        <w:t>，提高了我区的税收，提供了资金让地理研究院更好的开展项目，为我省科学技术的发展做出了贡献。</w:t>
      </w:r>
    </w:p>
    <w:p w:rsidR="003752D7" w:rsidRDefault="003752D7" w:rsidP="00612227">
      <w:pPr>
        <w:pStyle w:val="a6"/>
        <w:widowControl/>
        <w:rPr>
          <w:rFonts w:ascii="黑体" w:eastAsia="黑体" w:hAnsi="黑体" w:cs="黑体"/>
          <w:sz w:val="32"/>
          <w:szCs w:val="32"/>
        </w:rPr>
      </w:pPr>
      <w:r>
        <w:rPr>
          <w:rFonts w:ascii="黑体" w:eastAsia="黑体" w:hAnsi="黑体" w:cs="黑体" w:hint="eastAsia"/>
          <w:sz w:val="32"/>
          <w:szCs w:val="32"/>
        </w:rPr>
        <w:t>九、国有资产占用情况说明</w:t>
      </w:r>
    </w:p>
    <w:p w:rsidR="003752D7" w:rsidRDefault="003752D7" w:rsidP="003752D7">
      <w:pPr>
        <w:widowControl/>
        <w:spacing w:line="590" w:lineRule="exact"/>
        <w:ind w:firstLineChars="200" w:firstLine="640"/>
        <w:rPr>
          <w:rFonts w:ascii="仿宋" w:eastAsia="仿宋" w:hAnsi="仿宋"/>
          <w:sz w:val="32"/>
        </w:rPr>
      </w:pPr>
      <w:r>
        <w:rPr>
          <w:rFonts w:ascii="仿宋" w:eastAsia="仿宋" w:hAnsi="仿宋" w:hint="eastAsia"/>
          <w:sz w:val="32"/>
        </w:rPr>
        <w:t>2018</w:t>
      </w:r>
      <w:r w:rsidR="00612227">
        <w:rPr>
          <w:rFonts w:ascii="仿宋" w:eastAsia="仿宋" w:hAnsi="仿宋" w:hint="eastAsia"/>
          <w:sz w:val="32"/>
        </w:rPr>
        <w:t>年河南省新乡市凤泉区科技和工业信息化委员会</w:t>
      </w:r>
      <w:r w:rsidR="00D36367">
        <w:rPr>
          <w:rFonts w:ascii="仿宋" w:eastAsia="仿宋" w:hAnsi="仿宋" w:hint="eastAsia"/>
          <w:sz w:val="32"/>
        </w:rPr>
        <w:t>基本资产有空调6台，价值3万元，打印机3台，价值7500元，档案柜5台，价值1万元。</w:t>
      </w:r>
      <w:r>
        <w:rPr>
          <w:rFonts w:ascii="仿宋" w:eastAsia="仿宋" w:hAnsi="仿宋" w:hint="eastAsia"/>
          <w:sz w:val="32"/>
        </w:rPr>
        <w:t>共有车辆0辆，其中：一般公务用车0辆、一般执法执勤用车0辆、特种专业技术用车0辆，其他用车0辆，单位价值50万元以上通用设备0台（套），单位价值100万元以上专用设备0台（套）。</w:t>
      </w:r>
    </w:p>
    <w:p w:rsidR="003752D7" w:rsidRDefault="003752D7" w:rsidP="00617162">
      <w:pPr>
        <w:pStyle w:val="a6"/>
        <w:widowControl/>
        <w:ind w:firstLineChars="200" w:firstLine="640"/>
        <w:rPr>
          <w:rFonts w:ascii="仿宋_GB2312" w:eastAsia="仿宋_GB2312" w:hAnsi="仿宋_GB2312" w:cs="仿宋_GB2312"/>
          <w:sz w:val="32"/>
          <w:szCs w:val="32"/>
        </w:rPr>
      </w:pPr>
    </w:p>
    <w:p w:rsidR="00617162" w:rsidRDefault="00617162" w:rsidP="00617162">
      <w:pPr>
        <w:spacing w:line="560" w:lineRule="exact"/>
        <w:ind w:firstLineChars="200" w:firstLine="640"/>
        <w:rPr>
          <w:sz w:val="32"/>
          <w:szCs w:val="32"/>
        </w:rPr>
      </w:pPr>
    </w:p>
    <w:p w:rsidR="00617162" w:rsidRDefault="00617162" w:rsidP="00617162">
      <w:pPr>
        <w:spacing w:line="560" w:lineRule="exact"/>
      </w:pPr>
    </w:p>
    <w:sectPr w:rsidR="00617162" w:rsidSect="00F24808">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F82" w:rsidRDefault="005C6F82" w:rsidP="00F24808">
      <w:r>
        <w:separator/>
      </w:r>
    </w:p>
  </w:endnote>
  <w:endnote w:type="continuationSeparator" w:id="0">
    <w:p w:rsidR="005C6F82" w:rsidRDefault="005C6F82" w:rsidP="00F24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08" w:rsidRDefault="00105BAE">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F24808" w:rsidRDefault="00105BAE">
                <w:pPr>
                  <w:pStyle w:val="a3"/>
                </w:pPr>
                <w:r>
                  <w:rPr>
                    <w:rFonts w:hint="eastAsia"/>
                  </w:rPr>
                  <w:fldChar w:fldCharType="begin"/>
                </w:r>
                <w:r w:rsidR="002D1FE0">
                  <w:rPr>
                    <w:rFonts w:hint="eastAsia"/>
                  </w:rPr>
                  <w:instrText xml:space="preserve"> PAGE  \* MERGEFORMAT </w:instrText>
                </w:r>
                <w:r>
                  <w:rPr>
                    <w:rFonts w:hint="eastAsia"/>
                  </w:rPr>
                  <w:fldChar w:fldCharType="separate"/>
                </w:r>
                <w:r w:rsidR="00D36367">
                  <w:rPr>
                    <w:noProof/>
                  </w:rPr>
                  <w:t>9</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F82" w:rsidRDefault="005C6F82" w:rsidP="00F24808">
      <w:r>
        <w:separator/>
      </w:r>
    </w:p>
  </w:footnote>
  <w:footnote w:type="continuationSeparator" w:id="0">
    <w:p w:rsidR="005C6F82" w:rsidRDefault="005C6F82" w:rsidP="00F24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08" w:rsidRDefault="00F2480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48DC3"/>
    <w:multiLevelType w:val="singleLevel"/>
    <w:tmpl w:val="58348DC3"/>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6FE7"/>
    <w:rsid w:val="000102DA"/>
    <w:rsid w:val="00053677"/>
    <w:rsid w:val="00080E14"/>
    <w:rsid w:val="00086CE5"/>
    <w:rsid w:val="0009636A"/>
    <w:rsid w:val="000E01AD"/>
    <w:rsid w:val="000E3CEC"/>
    <w:rsid w:val="000F2028"/>
    <w:rsid w:val="000F52BF"/>
    <w:rsid w:val="00105BAE"/>
    <w:rsid w:val="00162207"/>
    <w:rsid w:val="00167B37"/>
    <w:rsid w:val="001B11FD"/>
    <w:rsid w:val="002464FF"/>
    <w:rsid w:val="00265ADB"/>
    <w:rsid w:val="002A3EFE"/>
    <w:rsid w:val="002B55E9"/>
    <w:rsid w:val="002D1FE0"/>
    <w:rsid w:val="002E02E7"/>
    <w:rsid w:val="003023BF"/>
    <w:rsid w:val="003566B0"/>
    <w:rsid w:val="00360276"/>
    <w:rsid w:val="003751FB"/>
    <w:rsid w:val="003752D7"/>
    <w:rsid w:val="003E0DB5"/>
    <w:rsid w:val="003F77D4"/>
    <w:rsid w:val="00434914"/>
    <w:rsid w:val="004A21A2"/>
    <w:rsid w:val="005030AD"/>
    <w:rsid w:val="005338BB"/>
    <w:rsid w:val="005C6F82"/>
    <w:rsid w:val="005C77F5"/>
    <w:rsid w:val="005F194C"/>
    <w:rsid w:val="00600733"/>
    <w:rsid w:val="00606B8E"/>
    <w:rsid w:val="00612227"/>
    <w:rsid w:val="00617162"/>
    <w:rsid w:val="00621306"/>
    <w:rsid w:val="00663785"/>
    <w:rsid w:val="00690AE3"/>
    <w:rsid w:val="006D4EF8"/>
    <w:rsid w:val="006F78C7"/>
    <w:rsid w:val="007319A4"/>
    <w:rsid w:val="00756FE7"/>
    <w:rsid w:val="0078124A"/>
    <w:rsid w:val="00792904"/>
    <w:rsid w:val="007A2123"/>
    <w:rsid w:val="007D1AF4"/>
    <w:rsid w:val="007F30FD"/>
    <w:rsid w:val="007F6FF3"/>
    <w:rsid w:val="008723F5"/>
    <w:rsid w:val="00880E7A"/>
    <w:rsid w:val="00943A90"/>
    <w:rsid w:val="009C6531"/>
    <w:rsid w:val="009E6BA4"/>
    <w:rsid w:val="00A012EA"/>
    <w:rsid w:val="00A229CB"/>
    <w:rsid w:val="00A67F2C"/>
    <w:rsid w:val="00AA1C59"/>
    <w:rsid w:val="00AA22CD"/>
    <w:rsid w:val="00AD2BD9"/>
    <w:rsid w:val="00B2333C"/>
    <w:rsid w:val="00B4180F"/>
    <w:rsid w:val="00B77D48"/>
    <w:rsid w:val="00BB38FE"/>
    <w:rsid w:val="00BE6573"/>
    <w:rsid w:val="00C335D3"/>
    <w:rsid w:val="00C339C8"/>
    <w:rsid w:val="00C457F0"/>
    <w:rsid w:val="00D03C87"/>
    <w:rsid w:val="00D36367"/>
    <w:rsid w:val="00D41B49"/>
    <w:rsid w:val="00DB4B4E"/>
    <w:rsid w:val="00DB5A5D"/>
    <w:rsid w:val="00DD4580"/>
    <w:rsid w:val="00E8371E"/>
    <w:rsid w:val="00EA670B"/>
    <w:rsid w:val="00EB775F"/>
    <w:rsid w:val="00EE0E27"/>
    <w:rsid w:val="00EF70B6"/>
    <w:rsid w:val="00F118FA"/>
    <w:rsid w:val="00F209A2"/>
    <w:rsid w:val="00F24808"/>
    <w:rsid w:val="00FC7307"/>
    <w:rsid w:val="00FE073E"/>
    <w:rsid w:val="0AA643CA"/>
    <w:rsid w:val="0F286CE4"/>
    <w:rsid w:val="25F7512E"/>
    <w:rsid w:val="284F2575"/>
    <w:rsid w:val="2FDE30CD"/>
    <w:rsid w:val="56835213"/>
    <w:rsid w:val="74A57989"/>
    <w:rsid w:val="7DE56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8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24808"/>
    <w:pPr>
      <w:tabs>
        <w:tab w:val="center" w:pos="4153"/>
        <w:tab w:val="right" w:pos="8306"/>
      </w:tabs>
      <w:snapToGrid w:val="0"/>
      <w:jc w:val="left"/>
    </w:pPr>
    <w:rPr>
      <w:sz w:val="18"/>
      <w:szCs w:val="18"/>
    </w:rPr>
  </w:style>
  <w:style w:type="paragraph" w:styleId="a4">
    <w:name w:val="header"/>
    <w:basedOn w:val="a"/>
    <w:qFormat/>
    <w:rsid w:val="00F24808"/>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F24808"/>
    <w:rPr>
      <w:b/>
      <w:bCs/>
    </w:rPr>
  </w:style>
  <w:style w:type="paragraph" w:styleId="a6">
    <w:name w:val="Normal (Web)"/>
    <w:basedOn w:val="a"/>
    <w:unhideWhenUsed/>
    <w:rsid w:val="00617162"/>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055354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698</Words>
  <Characters>3983</Characters>
  <Application>Microsoft Office Word</Application>
  <DocSecurity>0</DocSecurity>
  <Lines>33</Lines>
  <Paragraphs>9</Paragraphs>
  <ScaleCrop>false</ScaleCrop>
  <Company>微软中国</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2017年辉县市体委预算说明</dc:title>
  <dc:creator>微软用户</dc:creator>
  <cp:lastModifiedBy>Administrator</cp:lastModifiedBy>
  <cp:revision>8</cp:revision>
  <cp:lastPrinted>2017-06-08T01:27:00Z</cp:lastPrinted>
  <dcterms:created xsi:type="dcterms:W3CDTF">2018-02-27T07:36:00Z</dcterms:created>
  <dcterms:modified xsi:type="dcterms:W3CDTF">2019-02-15T03:26:00Z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