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color w:val="444444"/>
          <w:sz w:val="44"/>
          <w:szCs w:val="44"/>
        </w:rPr>
      </w:pPr>
      <w:r>
        <w:rPr>
          <w:rFonts w:hint="eastAsia" w:ascii="宋体" w:hAnsi="宋体" w:cs="宋体"/>
          <w:b/>
          <w:bCs/>
          <w:color w:val="444444"/>
          <w:sz w:val="44"/>
          <w:szCs w:val="44"/>
        </w:rPr>
        <w:t>2018年凤泉区人民法院</w:t>
      </w:r>
    </w:p>
    <w:p>
      <w:pPr>
        <w:spacing w:line="660" w:lineRule="exact"/>
        <w:ind w:firstLine="3092" w:firstLineChars="700"/>
        <w:rPr>
          <w:rFonts w:ascii="宋体" w:hAnsi="宋体" w:cs="宋体"/>
          <w:b/>
          <w:bCs/>
          <w:color w:val="444444"/>
          <w:sz w:val="44"/>
          <w:szCs w:val="44"/>
        </w:rPr>
      </w:pPr>
      <w:r>
        <w:rPr>
          <w:rFonts w:hint="eastAsia" w:ascii="宋体" w:hAnsi="宋体" w:cs="宋体"/>
          <w:b/>
          <w:bCs/>
          <w:color w:val="444444"/>
          <w:sz w:val="44"/>
          <w:szCs w:val="44"/>
        </w:rPr>
        <w:t>预算说明</w:t>
      </w:r>
    </w:p>
    <w:p>
      <w:pPr>
        <w:spacing w:line="660" w:lineRule="exact"/>
        <w:rPr>
          <w:rFonts w:ascii="宋体" w:hAnsi="宋体" w:cs="宋体"/>
          <w:b/>
          <w:bCs/>
          <w:color w:val="444444"/>
          <w:sz w:val="44"/>
          <w:szCs w:val="44"/>
        </w:rPr>
      </w:pPr>
    </w:p>
    <w:p>
      <w:pPr>
        <w:spacing w:line="660" w:lineRule="exact"/>
        <w:rPr>
          <w:rFonts w:ascii="黑体" w:hAnsi="黑体" w:eastAsia="黑体" w:cs="黑体"/>
          <w:color w:val="444444"/>
          <w:sz w:val="32"/>
          <w:szCs w:val="32"/>
        </w:rPr>
      </w:pPr>
      <w:r>
        <w:rPr>
          <w:rFonts w:hint="eastAsia" w:ascii="黑体" w:hAnsi="黑体" w:eastAsia="黑体" w:cs="黑体"/>
          <w:color w:val="444444"/>
          <w:sz w:val="32"/>
          <w:szCs w:val="32"/>
        </w:rPr>
        <w:t>一、部门主要职责及部门预算单位构成</w:t>
      </w:r>
    </w:p>
    <w:p>
      <w:pPr>
        <w:spacing w:line="480" w:lineRule="auto"/>
        <w:ind w:firstLine="645"/>
        <w:rPr>
          <w:rStyle w:val="3"/>
          <w:rFonts w:ascii="楷体_GB2312" w:hAnsi="楷体_GB2312" w:eastAsia="楷体_GB2312" w:cs="楷体_GB2312"/>
          <w:color w:val="444444"/>
          <w:sz w:val="32"/>
          <w:szCs w:val="32"/>
        </w:rPr>
      </w:pPr>
      <w:r>
        <w:rPr>
          <w:rStyle w:val="3"/>
          <w:rFonts w:hint="eastAsia" w:ascii="楷体_GB2312" w:hAnsi="楷体_GB2312" w:eastAsia="楷体_GB2312" w:cs="楷体_GB2312"/>
          <w:color w:val="444444"/>
          <w:sz w:val="32"/>
          <w:szCs w:val="32"/>
        </w:rPr>
        <w:t>（一）部门职责</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新乡市凤泉区人民为预算拨款行政单位。主要职能是负责管辖范围内的民事、刑事、行政案件的审理与执行。</w:t>
      </w:r>
    </w:p>
    <w:p>
      <w:pPr>
        <w:numPr>
          <w:ilvl w:val="0"/>
          <w:numId w:val="0"/>
        </w:numPr>
        <w:spacing w:line="480" w:lineRule="auto"/>
        <w:ind w:firstLine="643" w:firstLineChars="200"/>
        <w:rPr>
          <w:rFonts w:ascii="仿宋_GB2312" w:hAnsi="仿宋_GB2312" w:eastAsia="仿宋_GB2312" w:cs="仿宋_GB2312"/>
          <w:bCs/>
          <w:sz w:val="32"/>
          <w:szCs w:val="32"/>
        </w:rPr>
      </w:pPr>
      <w:r>
        <w:rPr>
          <w:rStyle w:val="3"/>
          <w:rFonts w:hint="eastAsia" w:ascii="楷体_GB2312" w:hAnsi="楷体_GB2312" w:eastAsia="楷体_GB2312" w:cs="楷体_GB2312"/>
          <w:color w:val="444444"/>
          <w:sz w:val="32"/>
          <w:szCs w:val="32"/>
          <w:lang w:eastAsia="zh-CN"/>
        </w:rPr>
        <w:t>（二）</w:t>
      </w:r>
      <w:r>
        <w:rPr>
          <w:rStyle w:val="3"/>
          <w:rFonts w:hint="eastAsia" w:ascii="楷体_GB2312" w:hAnsi="楷体_GB2312" w:eastAsia="楷体_GB2312" w:cs="楷体_GB2312"/>
          <w:color w:val="444444"/>
          <w:sz w:val="32"/>
          <w:szCs w:val="32"/>
        </w:rPr>
        <w:t>机构设置</w:t>
      </w:r>
      <w:r>
        <w:rPr>
          <w:rFonts w:hint="eastAsia" w:ascii="仿宋_GB2312" w:hAnsi="仿宋_GB2312" w:eastAsia="仿宋_GB2312" w:cs="仿宋_GB2312"/>
          <w:sz w:val="32"/>
          <w:szCs w:val="32"/>
        </w:rPr>
        <w:t xml:space="preserve"> </w:t>
      </w:r>
    </w:p>
    <w:p>
      <w:pPr>
        <w:spacing w:line="48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内设机构有办公室、政治处、立案庭、审管办、刑庭、民一庭、民二庭、行政庭、执行局、审监庭、大块法庭、法警队、行政装备科、纪检监察科、技术室等科室。</w:t>
      </w:r>
    </w:p>
    <w:p>
      <w:pPr>
        <w:numPr>
          <w:ilvl w:val="0"/>
          <w:numId w:val="0"/>
        </w:numPr>
        <w:spacing w:line="480" w:lineRule="auto"/>
        <w:ind w:firstLine="643" w:firstLineChars="200"/>
        <w:rPr>
          <w:rStyle w:val="3"/>
          <w:rFonts w:ascii="楷体_GB2312" w:hAnsi="楷体_GB2312" w:eastAsia="楷体_GB2312" w:cs="楷体_GB2312"/>
          <w:color w:val="444444"/>
          <w:sz w:val="32"/>
          <w:szCs w:val="32"/>
        </w:rPr>
      </w:pPr>
      <w:r>
        <w:rPr>
          <w:rStyle w:val="3"/>
          <w:rFonts w:hint="eastAsia" w:ascii="楷体_GB2312" w:hAnsi="楷体_GB2312" w:eastAsia="楷体_GB2312" w:cs="楷体_GB2312"/>
          <w:color w:val="444444"/>
          <w:sz w:val="32"/>
          <w:szCs w:val="32"/>
          <w:lang w:eastAsia="zh-CN"/>
        </w:rPr>
        <w:t>（三）</w:t>
      </w:r>
      <w:r>
        <w:rPr>
          <w:rStyle w:val="3"/>
          <w:rFonts w:hint="eastAsia" w:ascii="楷体_GB2312" w:hAnsi="楷体_GB2312" w:eastAsia="楷体_GB2312" w:cs="楷体_GB2312"/>
          <w:color w:val="444444"/>
          <w:sz w:val="32"/>
          <w:szCs w:val="32"/>
        </w:rPr>
        <w:t>人员构成情况</w:t>
      </w:r>
    </w:p>
    <w:p>
      <w:pPr>
        <w:spacing w:line="480" w:lineRule="auto"/>
        <w:rPr>
          <w:rStyle w:val="3"/>
          <w:rFonts w:ascii="楷体_GB2312" w:hAnsi="楷体_GB2312" w:eastAsia="楷体_GB2312" w:cs="楷体_GB2312"/>
          <w:color w:val="444444"/>
          <w:sz w:val="32"/>
          <w:szCs w:val="32"/>
        </w:rPr>
      </w:pPr>
      <w:r>
        <w:rPr>
          <w:rFonts w:hint="eastAsia" w:ascii="仿宋_GB2312" w:hAnsi="仿宋_GB2312" w:eastAsia="仿宋_GB2312" w:cs="仿宋_GB2312"/>
          <w:sz w:val="32"/>
          <w:szCs w:val="32"/>
        </w:rPr>
        <w:t xml:space="preserve">    我院共有编制人数61人，实有人员51人，其中行政编制41个，事业编制10个。在职人数51人，退休人数9人。 </w:t>
      </w:r>
    </w:p>
    <w:p>
      <w:pPr>
        <w:numPr>
          <w:ilvl w:val="0"/>
          <w:numId w:val="0"/>
        </w:numPr>
        <w:spacing w:line="480" w:lineRule="auto"/>
        <w:ind w:firstLine="643" w:firstLineChars="200"/>
        <w:rPr>
          <w:rStyle w:val="3"/>
          <w:rFonts w:ascii="楷体_GB2312" w:hAnsi="楷体_GB2312" w:eastAsia="楷体_GB2312" w:cs="楷体_GB2312"/>
          <w:color w:val="444444"/>
          <w:sz w:val="32"/>
          <w:szCs w:val="32"/>
        </w:rPr>
      </w:pPr>
      <w:r>
        <w:rPr>
          <w:rStyle w:val="3"/>
          <w:rFonts w:hint="eastAsia" w:ascii="楷体_GB2312" w:hAnsi="楷体_GB2312" w:eastAsia="楷体_GB2312" w:cs="楷体_GB2312"/>
          <w:color w:val="444444"/>
          <w:sz w:val="32"/>
          <w:szCs w:val="32"/>
          <w:lang w:eastAsia="zh-CN"/>
        </w:rPr>
        <w:t>（四）</w:t>
      </w:r>
      <w:r>
        <w:rPr>
          <w:rStyle w:val="3"/>
          <w:rFonts w:hint="eastAsia" w:ascii="楷体_GB2312" w:hAnsi="楷体_GB2312" w:eastAsia="楷体_GB2312" w:cs="楷体_GB2312"/>
          <w:color w:val="444444"/>
          <w:sz w:val="32"/>
          <w:szCs w:val="32"/>
        </w:rPr>
        <w:t>预算年度主要工作任务</w:t>
      </w:r>
    </w:p>
    <w:p>
      <w:pPr>
        <w:spacing w:line="480" w:lineRule="auto"/>
        <w:rPr>
          <w:rFonts w:ascii="仿宋_GB2312" w:hAnsi="仿宋_GB2312" w:eastAsia="仿宋_GB2312" w:cs="仿宋_GB2312"/>
          <w:sz w:val="32"/>
          <w:szCs w:val="32"/>
        </w:rPr>
      </w:pPr>
      <w:r>
        <w:rPr>
          <w:rStyle w:val="3"/>
          <w:rFonts w:hint="eastAsia" w:ascii="仿宋_GB2312" w:hAnsi="仿宋_GB2312" w:eastAsia="仿宋_GB2312" w:cs="仿宋_GB2312"/>
          <w:b w:val="0"/>
          <w:bCs w:val="0"/>
          <w:color w:val="444444"/>
          <w:sz w:val="32"/>
          <w:szCs w:val="32"/>
        </w:rPr>
        <w:t xml:space="preserve"> </w:t>
      </w:r>
      <w:r>
        <w:rPr>
          <w:rFonts w:hint="eastAsia" w:ascii="仿宋_GB2312" w:hAnsi="仿宋_GB2312" w:eastAsia="仿宋_GB2312" w:cs="仿宋_GB2312"/>
          <w:sz w:val="32"/>
          <w:szCs w:val="32"/>
        </w:rPr>
        <w:t xml:space="preserve">  1、审判刑事案件和民事案件。</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2、通过审判活动，惩办一切犯罪分子，解决民事纠纷。</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3、保卫无产阶级专政制度，维护社会主义法制和社会秩序。</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4、保护社会主义的全民所有的财产、劳动群众集体所有的财产，保护公民私人所有的合法财产。</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5、保护公民的人身权利、民主权利和其他权利。</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6、保障国家的社会 主义革命和社会主义建设事业的顺利进行。</w:t>
      </w: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rPr>
        <w:t>二、包括本级预算和所属单位预算在内的汇总预算。</w:t>
      </w:r>
    </w:p>
    <w:p>
      <w:pPr>
        <w:spacing w:line="480" w:lineRule="auto"/>
        <w:ind w:firstLine="540"/>
        <w:rPr>
          <w:rStyle w:val="3"/>
          <w:rFonts w:ascii="楷体_GB2312" w:hAnsi="楷体_GB2312" w:eastAsia="楷体_GB2312" w:cs="楷体_GB2312"/>
          <w:color w:val="FF0000"/>
          <w:sz w:val="32"/>
          <w:szCs w:val="32"/>
        </w:rPr>
      </w:pPr>
      <w:r>
        <w:rPr>
          <w:rStyle w:val="3"/>
          <w:rFonts w:hint="eastAsia" w:ascii="仿宋_GB2312" w:hAnsi="楷体_GB2312" w:eastAsia="仿宋_GB2312" w:cs="楷体_GB2312"/>
          <w:b w:val="0"/>
          <w:sz w:val="32"/>
          <w:szCs w:val="32"/>
        </w:rPr>
        <w:t>无此项目。</w:t>
      </w: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rPr>
        <w:t>三、预算收支增减变化情况</w:t>
      </w:r>
    </w:p>
    <w:p>
      <w:pPr>
        <w:spacing w:line="480" w:lineRule="auto"/>
        <w:ind w:firstLine="540"/>
        <w:rPr>
          <w:rFonts w:ascii="黑体" w:hAnsi="黑体" w:eastAsia="黑体" w:cs="黑体"/>
          <w:color w:val="444444"/>
          <w:sz w:val="32"/>
          <w:szCs w:val="32"/>
        </w:rPr>
      </w:pPr>
      <w:r>
        <w:rPr>
          <w:rFonts w:hint="eastAsia" w:ascii="黑体" w:hAnsi="黑体" w:eastAsia="黑体" w:cs="黑体"/>
          <w:color w:val="444444"/>
          <w:sz w:val="32"/>
          <w:szCs w:val="32"/>
        </w:rPr>
        <w:t>（一）一般公共预算说明</w:t>
      </w:r>
    </w:p>
    <w:p>
      <w:pPr>
        <w:widowControl/>
        <w:spacing w:line="480" w:lineRule="auto"/>
        <w:ind w:firstLine="627"/>
        <w:jc w:val="left"/>
        <w:rPr>
          <w:rFonts w:ascii="黑体" w:hAnsi="黑体" w:eastAsia="仿宋_GB2312" w:cs="黑体"/>
          <w:color w:val="444444"/>
          <w:sz w:val="32"/>
          <w:szCs w:val="32"/>
        </w:rPr>
      </w:pPr>
      <w:r>
        <w:rPr>
          <w:rFonts w:hint="eastAsia" w:ascii="仿宋_GB2312" w:hAnsi="仿宋_GB2312" w:eastAsia="仿宋_GB2312" w:cs="仿宋_GB2312"/>
          <w:color w:val="000000"/>
          <w:kern w:val="0"/>
          <w:sz w:val="32"/>
          <w:szCs w:val="32"/>
        </w:rPr>
        <w:t>2018年一般公共预算收入988.29万元，占</w:t>
      </w:r>
      <w:r>
        <w:rPr>
          <w:rFonts w:hint="eastAsia" w:ascii="仿宋_GB2312" w:hAnsi="仿宋_GB2312" w:eastAsia="仿宋_GB2312" w:cs="仿宋_GB2312"/>
          <w:color w:val="000000"/>
          <w:kern w:val="0"/>
          <w:sz w:val="32"/>
          <w:szCs w:val="32"/>
          <w:u w:val="single"/>
        </w:rPr>
        <w:t xml:space="preserve"> 100 </w:t>
      </w:r>
      <w:r>
        <w:rPr>
          <w:rFonts w:hint="eastAsia" w:ascii="仿宋_GB2312" w:hAnsi="仿宋_GB2312" w:eastAsia="仿宋_GB2312" w:cs="仿宋_GB2312"/>
          <w:color w:val="000000"/>
          <w:kern w:val="0"/>
          <w:sz w:val="32"/>
          <w:szCs w:val="32"/>
        </w:rPr>
        <w:t>%，；其中：财政拨款收入988.29万元，占</w:t>
      </w:r>
      <w:r>
        <w:rPr>
          <w:rFonts w:hint="eastAsia" w:ascii="仿宋_GB2312" w:hAnsi="仿宋_GB2312" w:eastAsia="仿宋_GB2312" w:cs="仿宋_GB2312"/>
          <w:color w:val="000000"/>
          <w:kern w:val="0"/>
          <w:sz w:val="32"/>
          <w:szCs w:val="32"/>
          <w:u w:val="single"/>
        </w:rPr>
        <w:t xml:space="preserve"> 100 </w:t>
      </w:r>
      <w:r>
        <w:rPr>
          <w:rFonts w:hint="eastAsia" w:ascii="仿宋_GB2312" w:hAnsi="仿宋_GB2312" w:eastAsia="仿宋_GB2312" w:cs="仿宋_GB2312"/>
          <w:color w:val="000000"/>
          <w:kern w:val="0"/>
          <w:sz w:val="32"/>
          <w:szCs w:val="32"/>
        </w:rPr>
        <w:t>%，比2017年财政拨款预算增加</w:t>
      </w:r>
      <w:r>
        <w:rPr>
          <w:rFonts w:hint="eastAsia" w:ascii="仿宋_GB2312" w:hAnsi="仿宋_GB2312" w:eastAsia="仿宋_GB2312" w:cs="仿宋_GB2312"/>
          <w:color w:val="000000"/>
          <w:kern w:val="0"/>
          <w:sz w:val="32"/>
          <w:szCs w:val="32"/>
          <w:u w:val="single"/>
        </w:rPr>
        <w:t>291.93</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rPr>
        <w:t xml:space="preserve"> 29.54 </w:t>
      </w:r>
      <w:r>
        <w:rPr>
          <w:rFonts w:hint="eastAsia" w:ascii="仿宋_GB2312" w:hAnsi="仿宋_GB2312" w:eastAsia="仿宋_GB2312" w:cs="仿宋_GB2312"/>
          <w:color w:val="000000"/>
          <w:kern w:val="0"/>
          <w:sz w:val="32"/>
          <w:szCs w:val="32"/>
        </w:rPr>
        <w:t> %。增长原因主要是工资改革，人员经费比2017年增加151.73万元，增长25.42。政府性基金收入0万元。</w:t>
      </w:r>
    </w:p>
    <w:p>
      <w:pPr>
        <w:numPr>
          <w:ilvl w:val="0"/>
          <w:numId w:val="1"/>
        </w:numPr>
        <w:spacing w:line="480" w:lineRule="auto"/>
        <w:ind w:left="525" w:leftChars="250"/>
        <w:rPr>
          <w:rFonts w:ascii="黑体" w:hAnsi="黑体" w:eastAsia="黑体" w:cs="黑体"/>
          <w:color w:val="444444"/>
          <w:sz w:val="32"/>
          <w:szCs w:val="32"/>
        </w:rPr>
      </w:pPr>
      <w:r>
        <w:rPr>
          <w:rFonts w:hint="eastAsia" w:ascii="黑体" w:hAnsi="黑体" w:eastAsia="黑体" w:cs="黑体"/>
          <w:color w:val="444444"/>
          <w:sz w:val="32"/>
          <w:szCs w:val="32"/>
        </w:rPr>
        <w:t>政府性基金预算说明</w:t>
      </w:r>
    </w:p>
    <w:p>
      <w:pPr>
        <w:spacing w:line="480" w:lineRule="auto"/>
        <w:ind w:left="638" w:leftChars="304"/>
        <w:rPr>
          <w:rStyle w:val="3"/>
          <w:rFonts w:ascii="仿宋_GB2312" w:hAnsi="楷体_GB2312" w:eastAsia="仿宋_GB2312" w:cs="楷体_GB2312"/>
          <w:b w:val="0"/>
          <w:sz w:val="32"/>
          <w:szCs w:val="32"/>
        </w:rPr>
      </w:pPr>
      <w:r>
        <w:rPr>
          <w:rStyle w:val="3"/>
          <w:rFonts w:hint="eastAsia" w:ascii="仿宋_GB2312" w:hAnsi="楷体_GB2312" w:eastAsia="仿宋_GB2312" w:cs="楷体_GB2312"/>
          <w:b w:val="0"/>
          <w:sz w:val="32"/>
          <w:szCs w:val="32"/>
        </w:rPr>
        <w:t>无此项目。</w:t>
      </w: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rPr>
        <w:t>四、预算安排机关运行经费安排情况</w:t>
      </w:r>
    </w:p>
    <w:p>
      <w:pPr>
        <w:widowControl/>
        <w:spacing w:line="480" w:lineRule="auto"/>
        <w:ind w:firstLine="64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2018年支出预算988.29万元，其中：基本支出795.29万元，其中：工资福利支出596.90、商品服务支出181.60、对个人家庭补助16.79：项目支出</w:t>
      </w:r>
      <w:r>
        <w:rPr>
          <w:rFonts w:hint="eastAsia" w:ascii="仿宋_GB2312" w:hAnsi="仿宋_GB2312" w:eastAsia="仿宋_GB2312" w:cs="仿宋_GB2312"/>
          <w:color w:val="000000"/>
          <w:kern w:val="0"/>
          <w:sz w:val="32"/>
          <w:szCs w:val="32"/>
          <w:u w:val="none"/>
        </w:rPr>
        <w:t>193.00</w:t>
      </w:r>
      <w:r>
        <w:rPr>
          <w:rFonts w:hint="eastAsia" w:ascii="仿宋_GB2312" w:hAnsi="仿宋_GB2312" w:eastAsia="仿宋_GB2312" w:cs="仿宋_GB2312"/>
          <w:color w:val="000000"/>
          <w:kern w:val="0"/>
          <w:sz w:val="32"/>
          <w:szCs w:val="32"/>
        </w:rPr>
        <w:t>万元，主要用于办案业务费及专用设备购置。</w:t>
      </w:r>
    </w:p>
    <w:p>
      <w:pPr>
        <w:widowControl/>
        <w:spacing w:line="480" w:lineRule="auto"/>
        <w:jc w:val="left"/>
        <w:rPr>
          <w:rFonts w:ascii="黑体" w:hAnsi="黑体" w:eastAsia="黑体" w:cs="黑体"/>
          <w:color w:val="444444"/>
          <w:sz w:val="32"/>
          <w:szCs w:val="32"/>
        </w:rPr>
      </w:pPr>
      <w:r>
        <w:rPr>
          <w:rFonts w:hint="eastAsia" w:ascii="黑体" w:hAnsi="黑体" w:eastAsia="黑体" w:cs="黑体"/>
          <w:color w:val="444444"/>
          <w:sz w:val="32"/>
          <w:szCs w:val="32"/>
        </w:rPr>
        <w:t>五、政府采购预算情况</w:t>
      </w:r>
    </w:p>
    <w:p>
      <w:pPr>
        <w:widowControl/>
        <w:spacing w:line="480" w:lineRule="auto"/>
        <w:ind w:firstLine="640"/>
        <w:jc w:val="left"/>
        <w:rPr>
          <w:rFonts w:ascii="黑体" w:hAnsi="黑体" w:eastAsia="黑体" w:cs="黑体"/>
          <w:color w:val="444444"/>
          <w:sz w:val="32"/>
          <w:szCs w:val="32"/>
        </w:rPr>
      </w:pPr>
      <w:r>
        <w:rPr>
          <w:rFonts w:hint="eastAsia" w:ascii="仿宋_GB2312" w:hAnsi="仿宋_GB2312" w:eastAsia="仿宋_GB2312" w:cs="仿宋_GB2312"/>
          <w:color w:val="000000"/>
          <w:kern w:val="0"/>
          <w:sz w:val="32"/>
          <w:szCs w:val="32"/>
        </w:rPr>
        <w:t>2018年计划新增资产58万元。其中：项目支出业务装备费58万元。</w:t>
      </w:r>
    </w:p>
    <w:p>
      <w:pPr>
        <w:spacing w:line="480" w:lineRule="auto"/>
        <w:ind w:firstLine="640" w:firstLineChars="200"/>
        <w:rPr>
          <w:rFonts w:ascii="黑体" w:hAnsi="黑体" w:eastAsia="黑体" w:cs="黑体"/>
          <w:color w:val="444444"/>
          <w:sz w:val="32"/>
          <w:szCs w:val="32"/>
        </w:rPr>
      </w:pP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rPr>
        <w:t>六、专业性较强的名词解释</w:t>
      </w:r>
    </w:p>
    <w:p>
      <w:pPr>
        <w:widowControl/>
        <w:spacing w:line="48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（一）财政拨款收入：</w:t>
      </w:r>
      <w:r>
        <w:rPr>
          <w:rFonts w:hint="eastAsia" w:ascii="仿宋_GB2312" w:hAnsi="仿宋_GB2312" w:eastAsia="仿宋_GB2312" w:cs="仿宋_GB2312"/>
          <w:color w:val="000000"/>
          <w:kern w:val="0"/>
          <w:sz w:val="32"/>
          <w:szCs w:val="32"/>
        </w:rPr>
        <w:t>指区财政当年拨付的资金。</w:t>
      </w:r>
    </w:p>
    <w:p>
      <w:pPr>
        <w:widowControl/>
        <w:spacing w:line="480" w:lineRule="auto"/>
        <w:ind w:firstLine="627"/>
        <w:jc w:val="left"/>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（二）基本支出：</w:t>
      </w:r>
      <w:r>
        <w:rPr>
          <w:rFonts w:hint="eastAsia" w:ascii="仿宋_GB2312" w:hAnsi="仿宋_GB2312" w:eastAsia="仿宋_GB2312" w:cs="仿宋_GB2312"/>
          <w:color w:val="000000"/>
          <w:kern w:val="0"/>
          <w:sz w:val="32"/>
          <w:szCs w:val="32"/>
        </w:rPr>
        <w:t>指为保障机构正常运转、完成日常工作任务而发生的人员支出和公用支出。</w:t>
      </w:r>
    </w:p>
    <w:p>
      <w:pPr>
        <w:widowControl/>
        <w:adjustRightInd w:val="0"/>
        <w:snapToGrid w:val="0"/>
        <w:spacing w:line="360" w:lineRule="auto"/>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（三）项目支出：</w:t>
      </w:r>
      <w:r>
        <w:rPr>
          <w:rFonts w:hint="eastAsia" w:ascii="仿宋_GB2312" w:hAnsi="仿宋_GB2312" w:eastAsia="仿宋_GB2312" w:cs="仿宋_GB2312"/>
          <w:color w:val="000000"/>
          <w:kern w:val="0"/>
          <w:sz w:val="32"/>
          <w:szCs w:val="32"/>
        </w:rPr>
        <w:t>指在基本支出之外为完成特定行政任务和事业发展目标所发生的支出。 </w:t>
      </w:r>
    </w:p>
    <w:p>
      <w:pPr>
        <w:widowControl/>
        <w:spacing w:line="480" w:lineRule="auto"/>
        <w:ind w:firstLine="480"/>
        <w:jc w:val="left"/>
        <w:rPr>
          <w:b/>
          <w:color w:val="FF0000"/>
          <w:sz w:val="32"/>
          <w:szCs w:val="32"/>
        </w:rPr>
      </w:pPr>
      <w:r>
        <w:rPr>
          <w:rFonts w:hint="eastAsia" w:ascii="仿宋_GB2312" w:hAnsi="仿宋_GB2312" w:eastAsia="仿宋_GB2312" w:cs="仿宋_GB2312"/>
          <w:b/>
          <w:color w:val="000000"/>
          <w:kern w:val="0"/>
          <w:sz w:val="32"/>
          <w:szCs w:val="32"/>
        </w:rPr>
        <w:t>  （四）机关运行经费：</w:t>
      </w:r>
      <w:r>
        <w:rPr>
          <w:rFonts w:hint="eastAsia" w:ascii="仿宋_GB2312" w:hAnsi="仿宋_GB2312" w:eastAsia="仿宋_GB2312" w:cs="仿宋_GB2312"/>
          <w:color w:val="000000"/>
          <w:kern w:val="0"/>
          <w:sz w:val="32"/>
          <w:szCs w:val="32"/>
        </w:rPr>
        <w:t>指各部门的公用经费，包括办公及印刷费、邮电费、差旅费、会议费、福利费、日常维修费、专用材料及一般设备购置费、办公用房水电费、办公用房取暖费、办公用房物业管理</w:t>
      </w:r>
      <w:bookmarkStart w:id="0" w:name="_GoBack"/>
      <w:bookmarkEnd w:id="0"/>
      <w:r>
        <w:rPr>
          <w:rFonts w:hint="eastAsia" w:ascii="仿宋_GB2312" w:hAnsi="仿宋_GB2312" w:eastAsia="仿宋_GB2312" w:cs="仿宋_GB2312"/>
          <w:color w:val="000000"/>
          <w:kern w:val="0"/>
          <w:sz w:val="32"/>
          <w:szCs w:val="32"/>
        </w:rPr>
        <w:t>费、公务用车运行维护费以及其他费用。</w:t>
      </w: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rPr>
        <w:t>七、重点项目预算绩效目标</w:t>
      </w:r>
    </w:p>
    <w:p>
      <w:pPr>
        <w:widowControl/>
        <w:spacing w:line="480" w:lineRule="auto"/>
        <w:ind w:firstLine="48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2018年实行绩效目标管理的项目1个，涉及</w:t>
      </w:r>
      <w:r>
        <w:rPr>
          <w:rFonts w:hint="eastAsia" w:ascii="仿宋_GB2312" w:hAnsi="仿宋_GB2312" w:eastAsia="仿宋_GB2312" w:cs="仿宋_GB2312"/>
          <w:color w:val="000000"/>
          <w:kern w:val="0"/>
          <w:sz w:val="32"/>
          <w:szCs w:val="32"/>
        </w:rPr>
        <w:t>中央转移支付资金—办案业务费1</w:t>
      </w:r>
      <w:r>
        <w:rPr>
          <w:rFonts w:hint="eastAsia" w:ascii="仿宋_GB2312" w:hAnsi="仿宋_GB2312" w:eastAsia="仿宋_GB2312" w:cs="仿宋_GB2312"/>
          <w:color w:val="000000"/>
          <w:kern w:val="0"/>
          <w:sz w:val="32"/>
          <w:szCs w:val="32"/>
          <w:lang w:val="en-US" w:eastAsia="zh-CN"/>
        </w:rPr>
        <w:t>35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val="en-US" w:eastAsia="zh-CN"/>
        </w:rPr>
        <w:t>。保证全年办案业务经费需求，按进度使用办案业务经费，按照预算管理使用全年法院办案业务经费，为法院各项办案业务提供资金保障。同时，加强法院办案经费的管理，提高办案经费使用效率，保证行政政法单位履行职能的需要，做好政法单位经费保障工作，加强党的执政能力建设。</w:t>
      </w:r>
    </w:p>
    <w:p>
      <w:pPr>
        <w:keepNext w:val="0"/>
        <w:keepLines w:val="0"/>
        <w:pageBreakBefore w:val="0"/>
        <w:kinsoku/>
        <w:wordWrap/>
        <w:overflowPunct/>
        <w:topLinePunct w:val="0"/>
        <w:autoSpaceDE/>
        <w:autoSpaceDN/>
        <w:bidi w:val="0"/>
        <w:spacing w:line="500" w:lineRule="exact"/>
        <w:textAlignment w:val="auto"/>
        <w:rPr>
          <w:rFonts w:hint="eastAsia" w:ascii="黑体" w:hAnsi="黑体" w:eastAsia="黑体" w:cs="黑体"/>
          <w:b w:val="0"/>
          <w:bCs w:val="0"/>
          <w:color w:val="444444"/>
          <w:sz w:val="32"/>
          <w:szCs w:val="32"/>
          <w:lang w:eastAsia="zh-CN"/>
        </w:rPr>
      </w:pPr>
      <w:r>
        <w:rPr>
          <w:rFonts w:hint="eastAsia" w:ascii="黑体" w:hAnsi="黑体" w:eastAsia="黑体" w:cs="黑体"/>
          <w:b w:val="0"/>
          <w:bCs w:val="0"/>
          <w:color w:val="444444"/>
          <w:sz w:val="32"/>
          <w:szCs w:val="32"/>
          <w:lang w:eastAsia="zh-CN"/>
        </w:rPr>
        <w:t>八、国有资产占用情况说明</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截止2017年12月31日，法院共有车辆19辆，其中，一般执法执勤车辆19辆。2018年无购置车辆预算。</w:t>
      </w:r>
    </w:p>
    <w:p>
      <w:pPr>
        <w:spacing w:line="480" w:lineRule="auto"/>
        <w:rPr>
          <w:rFonts w:ascii="黑体" w:hAnsi="黑体" w:eastAsia="黑体" w:cs="黑体"/>
          <w:color w:val="444444"/>
          <w:sz w:val="32"/>
          <w:szCs w:val="32"/>
        </w:rPr>
      </w:pPr>
      <w:r>
        <w:rPr>
          <w:rFonts w:hint="eastAsia" w:ascii="黑体" w:hAnsi="黑体" w:eastAsia="黑体" w:cs="黑体"/>
          <w:color w:val="444444"/>
          <w:sz w:val="32"/>
          <w:szCs w:val="32"/>
          <w:lang w:eastAsia="zh-CN"/>
        </w:rPr>
        <w:t>九</w:t>
      </w:r>
      <w:r>
        <w:rPr>
          <w:rFonts w:hint="eastAsia" w:ascii="黑体" w:hAnsi="黑体" w:eastAsia="黑体" w:cs="黑体"/>
          <w:color w:val="444444"/>
          <w:sz w:val="32"/>
          <w:szCs w:val="32"/>
        </w:rPr>
        <w:t>、“三公”经费增减变化原因等说明</w:t>
      </w:r>
    </w:p>
    <w:p>
      <w:pPr>
        <w:spacing w:line="480" w:lineRule="auto"/>
        <w:ind w:firstLine="640" w:firstLineChars="200"/>
        <w:rPr>
          <w:rFonts w:ascii="黑体" w:hAnsi="黑体" w:eastAsia="黑体" w:cs="黑体"/>
          <w:color w:val="444444"/>
          <w:sz w:val="32"/>
          <w:szCs w:val="32"/>
        </w:rPr>
      </w:pPr>
      <w:r>
        <w:rPr>
          <w:rFonts w:hint="eastAsia" w:ascii="黑体" w:hAnsi="黑体" w:eastAsia="黑体" w:cs="黑体"/>
          <w:color w:val="444444"/>
          <w:sz w:val="32"/>
          <w:szCs w:val="32"/>
        </w:rPr>
        <w:t>（一）因公出国（境）费</w:t>
      </w:r>
    </w:p>
    <w:p>
      <w:pPr>
        <w:spacing w:line="480" w:lineRule="auto"/>
        <w:ind w:firstLine="540"/>
        <w:rPr>
          <w:b/>
          <w:color w:val="FF0000"/>
          <w:sz w:val="32"/>
          <w:szCs w:val="32"/>
        </w:rPr>
      </w:pPr>
      <w:r>
        <w:rPr>
          <w:rStyle w:val="3"/>
          <w:rFonts w:hint="eastAsia" w:ascii="仿宋_GB2312" w:hAnsi="楷体_GB2312" w:eastAsia="仿宋_GB2312" w:cs="楷体_GB2312"/>
          <w:b w:val="0"/>
          <w:sz w:val="32"/>
          <w:szCs w:val="32"/>
        </w:rPr>
        <w:t>无此项目。</w:t>
      </w:r>
    </w:p>
    <w:p>
      <w:pPr>
        <w:spacing w:line="480" w:lineRule="auto"/>
        <w:ind w:firstLine="640" w:firstLineChars="200"/>
        <w:rPr>
          <w:rFonts w:ascii="黑体" w:hAnsi="黑体" w:eastAsia="黑体" w:cs="黑体"/>
          <w:color w:val="444444"/>
          <w:sz w:val="32"/>
          <w:szCs w:val="32"/>
        </w:rPr>
      </w:pPr>
      <w:r>
        <w:rPr>
          <w:rFonts w:hint="eastAsia" w:ascii="黑体" w:hAnsi="黑体" w:eastAsia="黑体" w:cs="黑体"/>
          <w:color w:val="444444"/>
          <w:sz w:val="32"/>
          <w:szCs w:val="32"/>
        </w:rPr>
        <w:t>（二）公务用车购置、车辆运行费</w:t>
      </w:r>
    </w:p>
    <w:p>
      <w:pPr>
        <w:widowControl/>
        <w:spacing w:line="480" w:lineRule="auto"/>
        <w:ind w:firstLine="64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2018年“三公经费”支出预算</w:t>
      </w:r>
      <w:r>
        <w:rPr>
          <w:rFonts w:hint="eastAsia" w:ascii="仿宋_GB2312" w:hAnsi="仿宋_GB2312" w:eastAsia="仿宋_GB2312" w:cs="仿宋_GB2312"/>
          <w:color w:val="000000"/>
          <w:kern w:val="0"/>
          <w:sz w:val="32"/>
          <w:szCs w:val="32"/>
          <w:u w:val="single"/>
        </w:rPr>
        <w:t>35.17</w:t>
      </w:r>
      <w:r>
        <w:rPr>
          <w:rFonts w:hint="eastAsia" w:ascii="仿宋_GB2312" w:hAnsi="仿宋_GB2312" w:eastAsia="仿宋_GB2312" w:cs="仿宋_GB2312"/>
          <w:color w:val="000000"/>
          <w:kern w:val="0"/>
          <w:sz w:val="32"/>
          <w:szCs w:val="32"/>
        </w:rPr>
        <w:t>万元，其中：公务用车维护35.17万元，较2017年增加了11.52万元。主要是由于2017年公务用车预算只填列了一般公务用车预算，执法执勤车辆预算填列在专项支出预算中。现根据要求在三公经费中填列，故数额增加。</w:t>
      </w:r>
    </w:p>
    <w:p>
      <w:pPr>
        <w:spacing w:line="480" w:lineRule="auto"/>
        <w:ind w:firstLine="640" w:firstLineChars="200"/>
        <w:rPr>
          <w:rFonts w:ascii="黑体" w:hAnsi="黑体" w:eastAsia="黑体" w:cs="黑体"/>
          <w:color w:val="444444"/>
          <w:sz w:val="32"/>
          <w:szCs w:val="32"/>
        </w:rPr>
      </w:pPr>
      <w:r>
        <w:rPr>
          <w:rFonts w:hint="eastAsia" w:ascii="黑体" w:hAnsi="黑体" w:eastAsia="黑体" w:cs="黑体"/>
          <w:color w:val="444444"/>
          <w:sz w:val="32"/>
          <w:szCs w:val="32"/>
        </w:rPr>
        <w:t>（三）公务接待费0元</w:t>
      </w:r>
    </w:p>
    <w:p/>
    <w:p/>
    <w:p/>
    <w:p/>
    <w:p/>
    <w:p/>
    <w:p/>
    <w:p>
      <w:pPr>
        <w:widowControl/>
        <w:spacing w:beforeAutospacing="1" w:afterAutospacing="1" w:line="560" w:lineRule="atLeast"/>
        <w:ind w:firstLine="640"/>
        <w:jc w:val="left"/>
        <w:rPr>
          <w:rFonts w:ascii="仿宋_GB2312" w:hAnsi="仿宋_GB2312" w:eastAsia="仿宋_GB2312" w:cs="仿宋_GB2312"/>
          <w:color w:val="000000"/>
          <w:kern w:val="0"/>
          <w:sz w:val="32"/>
          <w:szCs w:val="32"/>
        </w:rPr>
      </w:pPr>
      <w:r>
        <w:rPr>
          <w:rFonts w:hint="eastAsia"/>
        </w:rPr>
        <w:t xml:space="preserve">                                        </w:t>
      </w:r>
      <w:r>
        <w:rPr>
          <w:rFonts w:hint="eastAsia" w:ascii="仿宋_GB2312" w:hAnsi="仿宋_GB2312" w:eastAsia="仿宋_GB2312" w:cs="仿宋_GB2312"/>
          <w:color w:val="000000"/>
          <w:kern w:val="0"/>
          <w:sz w:val="32"/>
          <w:szCs w:val="32"/>
        </w:rPr>
        <w:t xml:space="preserve"> 新乡市凤泉区人民法院</w:t>
      </w:r>
    </w:p>
    <w:p>
      <w:pPr>
        <w:widowControl/>
        <w:spacing w:beforeAutospacing="1" w:afterAutospacing="1" w:line="560" w:lineRule="atLeast"/>
        <w:ind w:left="6067" w:leftChars="608" w:hanging="4790" w:hangingChars="1497"/>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F8C4"/>
    <w:multiLevelType w:val="singleLevel"/>
    <w:tmpl w:val="1DDFF8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3000816"/>
    <w:rsid w:val="00720CA9"/>
    <w:rsid w:val="00BB68EA"/>
    <w:rsid w:val="03D81575"/>
    <w:rsid w:val="0DD16D11"/>
    <w:rsid w:val="0DFA5B87"/>
    <w:rsid w:val="13000816"/>
    <w:rsid w:val="1792556E"/>
    <w:rsid w:val="218C3B44"/>
    <w:rsid w:val="229B6EA2"/>
    <w:rsid w:val="2EBB1DBF"/>
    <w:rsid w:val="35EE5D24"/>
    <w:rsid w:val="394D4E83"/>
    <w:rsid w:val="39C2103B"/>
    <w:rsid w:val="40887AA3"/>
    <w:rsid w:val="451B2F1B"/>
    <w:rsid w:val="49384638"/>
    <w:rsid w:val="4AEA130C"/>
    <w:rsid w:val="4E007355"/>
    <w:rsid w:val="6230747B"/>
    <w:rsid w:val="62F54491"/>
    <w:rsid w:val="67E37DF9"/>
    <w:rsid w:val="6AF1706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207</Words>
  <Characters>1182</Characters>
  <Lines>9</Lines>
  <Paragraphs>2</Paragraphs>
  <TotalTime>3</TotalTime>
  <ScaleCrop>false</ScaleCrop>
  <LinksUpToDate>false</LinksUpToDate>
  <CharactersWithSpaces>1387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2018-05-15T07:39:00Z</dcterms:created>
  <dc:creator>Administrator</dc:creator>
  <cp:lastModifiedBy> </cp:lastModifiedBy>
  <cp:lastPrinted>2018-05-15T08:38:00Z</cp:lastPrinted>
  <dcterms:modified xsi:type="dcterms:W3CDTF">2019-02-16T13:12:47Z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