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b/>
          <w:sz w:val="28"/>
        </w:rPr>
      </w:pPr>
      <w:r>
        <w:rPr>
          <w:b/>
          <w:sz w:val="28"/>
        </w:rPr>
        <w:t>建设项目基本情况</w:t>
      </w:r>
    </w:p>
    <w:tbl>
      <w:tblPr>
        <w:tblStyle w:val="30"/>
        <w:tblW w:w="933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843"/>
        <w:gridCol w:w="1843"/>
        <w:gridCol w:w="1417"/>
        <w:gridCol w:w="1560"/>
        <w:gridCol w:w="14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65" w:type="dxa"/>
            <w:tcBorders>
              <w:top w:val="single" w:color="auto" w:sz="8" w:space="0"/>
            </w:tcBorders>
            <w:vAlign w:val="center"/>
          </w:tcPr>
          <w:p>
            <w:pPr>
              <w:spacing w:line="440" w:lineRule="exact"/>
              <w:jc w:val="center"/>
              <w:rPr>
                <w:sz w:val="24"/>
              </w:rPr>
            </w:pPr>
            <w:r>
              <w:rPr>
                <w:sz w:val="24"/>
              </w:rPr>
              <w:t>项目名称</w:t>
            </w:r>
          </w:p>
        </w:tc>
        <w:tc>
          <w:tcPr>
            <w:tcW w:w="8068" w:type="dxa"/>
            <w:gridSpan w:val="5"/>
            <w:tcBorders>
              <w:top w:val="single" w:color="auto" w:sz="8" w:space="0"/>
            </w:tcBorders>
            <w:vAlign w:val="center"/>
          </w:tcPr>
          <w:p>
            <w:pPr>
              <w:spacing w:line="440" w:lineRule="exact"/>
              <w:jc w:val="center"/>
              <w:rPr>
                <w:sz w:val="24"/>
              </w:rPr>
            </w:pPr>
            <w:r>
              <w:rPr>
                <w:sz w:val="24"/>
              </w:rPr>
              <w:t>年产60套环保设备与机械配件项目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65" w:type="dxa"/>
            <w:vAlign w:val="center"/>
          </w:tcPr>
          <w:p>
            <w:pPr>
              <w:spacing w:line="440" w:lineRule="exact"/>
              <w:jc w:val="center"/>
              <w:rPr>
                <w:sz w:val="24"/>
              </w:rPr>
            </w:pPr>
            <w:r>
              <w:rPr>
                <w:sz w:val="24"/>
              </w:rPr>
              <w:t>建设单位</w:t>
            </w:r>
          </w:p>
        </w:tc>
        <w:tc>
          <w:tcPr>
            <w:tcW w:w="8068" w:type="dxa"/>
            <w:gridSpan w:val="5"/>
            <w:vAlign w:val="center"/>
          </w:tcPr>
          <w:p>
            <w:pPr>
              <w:spacing w:line="440" w:lineRule="exact"/>
              <w:jc w:val="center"/>
              <w:rPr>
                <w:sz w:val="24"/>
              </w:rPr>
            </w:pPr>
            <w:r>
              <w:rPr>
                <w:sz w:val="24"/>
              </w:rPr>
              <w:t>新乡市博昌环保设备有限公司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65" w:type="dxa"/>
            <w:vAlign w:val="center"/>
          </w:tcPr>
          <w:p>
            <w:pPr>
              <w:spacing w:line="440" w:lineRule="exact"/>
              <w:jc w:val="center"/>
              <w:rPr>
                <w:sz w:val="24"/>
              </w:rPr>
            </w:pPr>
            <w:r>
              <w:rPr>
                <w:sz w:val="24"/>
              </w:rPr>
              <w:t>法人代表</w:t>
            </w:r>
          </w:p>
        </w:tc>
        <w:tc>
          <w:tcPr>
            <w:tcW w:w="3686" w:type="dxa"/>
            <w:gridSpan w:val="2"/>
            <w:vAlign w:val="center"/>
          </w:tcPr>
          <w:p>
            <w:pPr>
              <w:spacing w:line="440" w:lineRule="exact"/>
              <w:jc w:val="left"/>
              <w:rPr>
                <w:color w:val="FF0000"/>
                <w:sz w:val="24"/>
              </w:rPr>
            </w:pPr>
            <w:r>
              <w:rPr>
                <w:sz w:val="24"/>
              </w:rPr>
              <w:t>周申祖</w:t>
            </w:r>
            <w:r>
              <w:rPr>
                <w:rFonts w:hint="eastAsia"/>
                <w:sz w:val="24"/>
              </w:rPr>
              <w:t xml:space="preserve">  410704198308150010</w:t>
            </w:r>
          </w:p>
        </w:tc>
        <w:tc>
          <w:tcPr>
            <w:tcW w:w="1417" w:type="dxa"/>
            <w:vAlign w:val="center"/>
          </w:tcPr>
          <w:p>
            <w:pPr>
              <w:spacing w:line="440" w:lineRule="exact"/>
              <w:jc w:val="center"/>
              <w:rPr>
                <w:sz w:val="24"/>
              </w:rPr>
            </w:pPr>
            <w:r>
              <w:rPr>
                <w:sz w:val="24"/>
              </w:rPr>
              <w:t>联系人</w:t>
            </w:r>
          </w:p>
        </w:tc>
        <w:tc>
          <w:tcPr>
            <w:tcW w:w="2965" w:type="dxa"/>
            <w:gridSpan w:val="2"/>
            <w:vAlign w:val="center"/>
          </w:tcPr>
          <w:p>
            <w:pPr>
              <w:spacing w:line="440" w:lineRule="exact"/>
              <w:jc w:val="center"/>
              <w:rPr>
                <w:sz w:val="24"/>
              </w:rPr>
            </w:pPr>
            <w:r>
              <w:rPr>
                <w:sz w:val="24"/>
              </w:rPr>
              <w:t>周申祖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通讯地址</w:t>
            </w:r>
          </w:p>
        </w:tc>
        <w:tc>
          <w:tcPr>
            <w:tcW w:w="8068" w:type="dxa"/>
            <w:gridSpan w:val="5"/>
            <w:vAlign w:val="center"/>
          </w:tcPr>
          <w:p>
            <w:pPr>
              <w:spacing w:line="440" w:lineRule="exact"/>
              <w:jc w:val="center"/>
              <w:rPr>
                <w:sz w:val="24"/>
              </w:rPr>
            </w:pPr>
            <w:r>
              <w:rPr>
                <w:sz w:val="24"/>
              </w:rPr>
              <w:t>新乡市凤泉区耿黄镇东鲁堡村北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65" w:type="dxa"/>
            <w:vAlign w:val="center"/>
          </w:tcPr>
          <w:p>
            <w:pPr>
              <w:spacing w:line="440" w:lineRule="exact"/>
              <w:jc w:val="center"/>
              <w:rPr>
                <w:sz w:val="24"/>
              </w:rPr>
            </w:pPr>
            <w:r>
              <w:rPr>
                <w:sz w:val="24"/>
              </w:rPr>
              <w:t>联系电话</w:t>
            </w:r>
          </w:p>
        </w:tc>
        <w:tc>
          <w:tcPr>
            <w:tcW w:w="1843" w:type="dxa"/>
            <w:vAlign w:val="center"/>
          </w:tcPr>
          <w:p>
            <w:pPr>
              <w:spacing w:line="440" w:lineRule="exact"/>
              <w:jc w:val="center"/>
              <w:rPr>
                <w:sz w:val="24"/>
              </w:rPr>
            </w:pPr>
            <w:r>
              <w:rPr>
                <w:rFonts w:hint="eastAsia"/>
                <w:sz w:val="24"/>
              </w:rPr>
              <w:t>13623901534</w:t>
            </w:r>
          </w:p>
        </w:tc>
        <w:tc>
          <w:tcPr>
            <w:tcW w:w="1843" w:type="dxa"/>
            <w:vAlign w:val="center"/>
          </w:tcPr>
          <w:p>
            <w:pPr>
              <w:spacing w:line="440" w:lineRule="exact"/>
              <w:jc w:val="center"/>
              <w:rPr>
                <w:sz w:val="24"/>
              </w:rPr>
            </w:pPr>
            <w:r>
              <w:rPr>
                <w:sz w:val="24"/>
              </w:rPr>
              <w:t>传真</w:t>
            </w:r>
          </w:p>
        </w:tc>
        <w:tc>
          <w:tcPr>
            <w:tcW w:w="1417" w:type="dxa"/>
            <w:vAlign w:val="center"/>
          </w:tcPr>
          <w:p>
            <w:pPr>
              <w:spacing w:line="440" w:lineRule="exact"/>
              <w:jc w:val="center"/>
              <w:rPr>
                <w:sz w:val="24"/>
              </w:rPr>
            </w:pPr>
            <w:r>
              <w:rPr>
                <w:sz w:val="24"/>
              </w:rPr>
              <w:t>/</w:t>
            </w:r>
          </w:p>
        </w:tc>
        <w:tc>
          <w:tcPr>
            <w:tcW w:w="1560" w:type="dxa"/>
            <w:vAlign w:val="center"/>
          </w:tcPr>
          <w:p>
            <w:pPr>
              <w:spacing w:line="440" w:lineRule="exact"/>
              <w:jc w:val="center"/>
              <w:rPr>
                <w:sz w:val="24"/>
              </w:rPr>
            </w:pPr>
            <w:r>
              <w:rPr>
                <w:sz w:val="24"/>
              </w:rPr>
              <w:t>邮政编码</w:t>
            </w:r>
          </w:p>
        </w:tc>
        <w:tc>
          <w:tcPr>
            <w:tcW w:w="1405" w:type="dxa"/>
            <w:vAlign w:val="center"/>
          </w:tcPr>
          <w:p>
            <w:pPr>
              <w:spacing w:line="440" w:lineRule="exact"/>
              <w:jc w:val="center"/>
              <w:rPr>
                <w:sz w:val="24"/>
              </w:rPr>
            </w:pPr>
            <w:r>
              <w:rPr>
                <w:sz w:val="24"/>
              </w:rPr>
              <w:t>453</w:t>
            </w:r>
            <w:r>
              <w:rPr>
                <w:rFonts w:hint="eastAsia"/>
                <w:sz w:val="24"/>
              </w:rPr>
              <w:t>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建设地点</w:t>
            </w:r>
          </w:p>
        </w:tc>
        <w:tc>
          <w:tcPr>
            <w:tcW w:w="8068" w:type="dxa"/>
            <w:gridSpan w:val="5"/>
            <w:vAlign w:val="center"/>
          </w:tcPr>
          <w:p>
            <w:pPr>
              <w:spacing w:line="440" w:lineRule="exact"/>
              <w:jc w:val="center"/>
              <w:rPr>
                <w:sz w:val="24"/>
              </w:rPr>
            </w:pPr>
            <w:r>
              <w:rPr>
                <w:sz w:val="24"/>
              </w:rPr>
              <w:t>新乡市凤泉区耿黄镇东鲁堡村北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备案部门</w:t>
            </w:r>
          </w:p>
        </w:tc>
        <w:tc>
          <w:tcPr>
            <w:tcW w:w="3686" w:type="dxa"/>
            <w:gridSpan w:val="2"/>
            <w:vAlign w:val="center"/>
          </w:tcPr>
          <w:p>
            <w:pPr>
              <w:spacing w:line="440" w:lineRule="exact"/>
              <w:jc w:val="center"/>
              <w:rPr>
                <w:sz w:val="24"/>
              </w:rPr>
            </w:pPr>
            <w:r>
              <w:rPr>
                <w:sz w:val="24"/>
              </w:rPr>
              <w:t>新乡市凤泉区发展和改革委员会</w:t>
            </w:r>
          </w:p>
        </w:tc>
        <w:tc>
          <w:tcPr>
            <w:tcW w:w="1417" w:type="dxa"/>
            <w:vAlign w:val="center"/>
          </w:tcPr>
          <w:p>
            <w:pPr>
              <w:spacing w:line="440" w:lineRule="exact"/>
              <w:jc w:val="center"/>
              <w:rPr>
                <w:sz w:val="24"/>
              </w:rPr>
            </w:pPr>
            <w:r>
              <w:rPr>
                <w:sz w:val="24"/>
              </w:rPr>
              <w:t>项目代码</w:t>
            </w:r>
          </w:p>
        </w:tc>
        <w:tc>
          <w:tcPr>
            <w:tcW w:w="2965" w:type="dxa"/>
            <w:gridSpan w:val="2"/>
            <w:tcMar>
              <w:left w:w="0" w:type="dxa"/>
              <w:right w:w="0" w:type="dxa"/>
            </w:tcMar>
            <w:vAlign w:val="center"/>
          </w:tcPr>
          <w:p>
            <w:pPr>
              <w:spacing w:line="440" w:lineRule="exact"/>
              <w:jc w:val="center"/>
              <w:rPr>
                <w:spacing w:val="-10"/>
                <w:sz w:val="24"/>
              </w:rPr>
            </w:pPr>
            <w:r>
              <w:rPr>
                <w:sz w:val="24"/>
              </w:rPr>
              <w:t>2019-410704-33-03-014343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建设性质</w:t>
            </w:r>
          </w:p>
        </w:tc>
        <w:tc>
          <w:tcPr>
            <w:tcW w:w="3686" w:type="dxa"/>
            <w:gridSpan w:val="2"/>
            <w:vAlign w:val="center"/>
          </w:tcPr>
          <w:p>
            <w:pPr>
              <w:jc w:val="center"/>
              <w:rPr>
                <w:sz w:val="24"/>
              </w:rPr>
            </w:pPr>
            <w:r>
              <w:rPr>
                <w:sz w:val="24"/>
              </w:rPr>
              <w:t>新建√  改扩建  技改</w:t>
            </w:r>
          </w:p>
        </w:tc>
        <w:tc>
          <w:tcPr>
            <w:tcW w:w="1417" w:type="dxa"/>
            <w:vAlign w:val="center"/>
          </w:tcPr>
          <w:p>
            <w:pPr>
              <w:jc w:val="center"/>
              <w:rPr>
                <w:sz w:val="24"/>
              </w:rPr>
            </w:pPr>
            <w:r>
              <w:rPr>
                <w:sz w:val="24"/>
              </w:rPr>
              <w:t>行业类别及代码</w:t>
            </w:r>
          </w:p>
        </w:tc>
        <w:tc>
          <w:tcPr>
            <w:tcW w:w="2965" w:type="dxa"/>
            <w:gridSpan w:val="2"/>
            <w:vAlign w:val="center"/>
          </w:tcPr>
          <w:p>
            <w:pPr>
              <w:jc w:val="center"/>
              <w:rPr>
                <w:sz w:val="24"/>
              </w:rPr>
            </w:pPr>
            <w:r>
              <w:rPr>
                <w:sz w:val="24"/>
              </w:rPr>
              <w:t>C</w:t>
            </w:r>
            <w:r>
              <w:rPr>
                <w:rFonts w:hint="eastAsia"/>
                <w:sz w:val="24"/>
              </w:rPr>
              <w:t>3484机械零部件加工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占地面积</w:t>
            </w:r>
          </w:p>
          <w:p>
            <w:pPr>
              <w:spacing w:line="440" w:lineRule="exact"/>
              <w:jc w:val="center"/>
              <w:rPr>
                <w:sz w:val="24"/>
              </w:rPr>
            </w:pPr>
            <w:r>
              <w:rPr>
                <w:sz w:val="24"/>
              </w:rPr>
              <w:t>(平方米)</w:t>
            </w:r>
          </w:p>
        </w:tc>
        <w:tc>
          <w:tcPr>
            <w:tcW w:w="3686" w:type="dxa"/>
            <w:gridSpan w:val="2"/>
            <w:vAlign w:val="center"/>
          </w:tcPr>
          <w:p>
            <w:pPr>
              <w:spacing w:line="440" w:lineRule="exact"/>
              <w:jc w:val="center"/>
              <w:rPr>
                <w:sz w:val="24"/>
              </w:rPr>
            </w:pPr>
            <w:r>
              <w:rPr>
                <w:rFonts w:hint="eastAsia"/>
                <w:sz w:val="24"/>
              </w:rPr>
              <w:t>700</w:t>
            </w:r>
          </w:p>
        </w:tc>
        <w:tc>
          <w:tcPr>
            <w:tcW w:w="1417" w:type="dxa"/>
            <w:vAlign w:val="center"/>
          </w:tcPr>
          <w:p>
            <w:pPr>
              <w:spacing w:line="440" w:lineRule="exact"/>
              <w:jc w:val="center"/>
              <w:rPr>
                <w:sz w:val="24"/>
              </w:rPr>
            </w:pPr>
            <w:r>
              <w:rPr>
                <w:sz w:val="24"/>
              </w:rPr>
              <w:t>绿化面积</w:t>
            </w:r>
          </w:p>
          <w:p>
            <w:pPr>
              <w:spacing w:line="440" w:lineRule="exact"/>
              <w:jc w:val="center"/>
              <w:rPr>
                <w:sz w:val="24"/>
              </w:rPr>
            </w:pPr>
            <w:r>
              <w:rPr>
                <w:sz w:val="24"/>
              </w:rPr>
              <w:t>(平方米)</w:t>
            </w:r>
          </w:p>
        </w:tc>
        <w:tc>
          <w:tcPr>
            <w:tcW w:w="2965" w:type="dxa"/>
            <w:gridSpan w:val="2"/>
            <w:vAlign w:val="center"/>
          </w:tcPr>
          <w:p>
            <w:pPr>
              <w:spacing w:line="440" w:lineRule="exact"/>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65" w:type="dxa"/>
            <w:vAlign w:val="center"/>
          </w:tcPr>
          <w:p>
            <w:pPr>
              <w:spacing w:line="440" w:lineRule="exact"/>
              <w:jc w:val="center"/>
              <w:rPr>
                <w:sz w:val="24"/>
              </w:rPr>
            </w:pPr>
            <w:r>
              <w:rPr>
                <w:sz w:val="24"/>
              </w:rPr>
              <w:t>总投资</w:t>
            </w:r>
          </w:p>
          <w:p>
            <w:pPr>
              <w:spacing w:line="440" w:lineRule="exact"/>
              <w:jc w:val="center"/>
              <w:rPr>
                <w:sz w:val="24"/>
              </w:rPr>
            </w:pPr>
            <w:r>
              <w:rPr>
                <w:sz w:val="24"/>
              </w:rPr>
              <w:t>（万元）</w:t>
            </w:r>
          </w:p>
        </w:tc>
        <w:tc>
          <w:tcPr>
            <w:tcW w:w="1843" w:type="dxa"/>
            <w:vAlign w:val="center"/>
          </w:tcPr>
          <w:p>
            <w:pPr>
              <w:spacing w:line="440" w:lineRule="exact"/>
              <w:jc w:val="center"/>
              <w:rPr>
                <w:sz w:val="24"/>
              </w:rPr>
            </w:pPr>
            <w:r>
              <w:rPr>
                <w:rFonts w:hint="eastAsia"/>
                <w:sz w:val="24"/>
              </w:rPr>
              <w:t>5</w:t>
            </w:r>
            <w:r>
              <w:rPr>
                <w:sz w:val="24"/>
              </w:rPr>
              <w:t>0</w:t>
            </w:r>
          </w:p>
        </w:tc>
        <w:tc>
          <w:tcPr>
            <w:tcW w:w="1843" w:type="dxa"/>
            <w:vAlign w:val="center"/>
          </w:tcPr>
          <w:p>
            <w:pPr>
              <w:spacing w:line="440" w:lineRule="exact"/>
              <w:jc w:val="center"/>
              <w:rPr>
                <w:sz w:val="24"/>
              </w:rPr>
            </w:pPr>
            <w:r>
              <w:rPr>
                <w:sz w:val="24"/>
              </w:rPr>
              <w:t>其中：环保投资（万元）</w:t>
            </w:r>
          </w:p>
        </w:tc>
        <w:tc>
          <w:tcPr>
            <w:tcW w:w="1417" w:type="dxa"/>
            <w:vAlign w:val="center"/>
          </w:tcPr>
          <w:p>
            <w:pPr>
              <w:spacing w:line="440" w:lineRule="exact"/>
              <w:jc w:val="center"/>
              <w:rPr>
                <w:sz w:val="24"/>
              </w:rPr>
            </w:pPr>
            <w:r>
              <w:rPr>
                <w:rFonts w:hint="eastAsia"/>
                <w:sz w:val="24"/>
              </w:rPr>
              <w:t>7</w:t>
            </w:r>
          </w:p>
        </w:tc>
        <w:tc>
          <w:tcPr>
            <w:tcW w:w="1560" w:type="dxa"/>
            <w:vAlign w:val="center"/>
          </w:tcPr>
          <w:p>
            <w:pPr>
              <w:spacing w:line="440" w:lineRule="exact"/>
              <w:jc w:val="center"/>
              <w:rPr>
                <w:sz w:val="24"/>
              </w:rPr>
            </w:pPr>
            <w:r>
              <w:rPr>
                <w:sz w:val="24"/>
              </w:rPr>
              <w:t>环保投资占总投资比例</w:t>
            </w:r>
          </w:p>
        </w:tc>
        <w:tc>
          <w:tcPr>
            <w:tcW w:w="1405" w:type="dxa"/>
            <w:vAlign w:val="center"/>
          </w:tcPr>
          <w:p>
            <w:pPr>
              <w:spacing w:line="440" w:lineRule="exact"/>
              <w:jc w:val="center"/>
              <w:rPr>
                <w:sz w:val="24"/>
              </w:rPr>
            </w:pPr>
            <w:r>
              <w:rPr>
                <w:rFonts w:hint="eastAsia"/>
                <w:sz w:val="24"/>
              </w:rPr>
              <w:t>14</w:t>
            </w: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65" w:type="dxa"/>
            <w:vAlign w:val="center"/>
          </w:tcPr>
          <w:p>
            <w:pPr>
              <w:spacing w:line="440" w:lineRule="exact"/>
              <w:jc w:val="center"/>
              <w:rPr>
                <w:sz w:val="24"/>
              </w:rPr>
            </w:pPr>
            <w:r>
              <w:rPr>
                <w:sz w:val="24"/>
              </w:rPr>
              <w:t>评价经费</w:t>
            </w:r>
          </w:p>
          <w:p>
            <w:pPr>
              <w:spacing w:line="440" w:lineRule="exact"/>
              <w:jc w:val="center"/>
              <w:rPr>
                <w:sz w:val="24"/>
              </w:rPr>
            </w:pPr>
            <w:r>
              <w:rPr>
                <w:sz w:val="24"/>
              </w:rPr>
              <w:t>（万元）</w:t>
            </w:r>
          </w:p>
        </w:tc>
        <w:tc>
          <w:tcPr>
            <w:tcW w:w="1843" w:type="dxa"/>
            <w:vAlign w:val="center"/>
          </w:tcPr>
          <w:p>
            <w:pPr>
              <w:spacing w:line="440" w:lineRule="exact"/>
              <w:jc w:val="center"/>
              <w:rPr>
                <w:sz w:val="24"/>
              </w:rPr>
            </w:pPr>
            <w:r>
              <w:rPr>
                <w:sz w:val="24"/>
              </w:rPr>
              <w:t>/</w:t>
            </w:r>
          </w:p>
        </w:tc>
        <w:tc>
          <w:tcPr>
            <w:tcW w:w="1843" w:type="dxa"/>
            <w:vAlign w:val="center"/>
          </w:tcPr>
          <w:p>
            <w:pPr>
              <w:spacing w:line="440" w:lineRule="exact"/>
              <w:jc w:val="center"/>
              <w:rPr>
                <w:sz w:val="24"/>
              </w:rPr>
            </w:pPr>
            <w:r>
              <w:rPr>
                <w:sz w:val="24"/>
              </w:rPr>
              <w:t>预期投产日期</w:t>
            </w:r>
          </w:p>
        </w:tc>
        <w:tc>
          <w:tcPr>
            <w:tcW w:w="4382" w:type="dxa"/>
            <w:gridSpan w:val="3"/>
            <w:vAlign w:val="center"/>
          </w:tcPr>
          <w:p>
            <w:pPr>
              <w:spacing w:line="440" w:lineRule="exact"/>
              <w:jc w:val="center"/>
              <w:rPr>
                <w:sz w:val="24"/>
              </w:rPr>
            </w:pPr>
            <w:r>
              <w:rPr>
                <w:sz w:val="24"/>
              </w:rPr>
              <w:t>2019.</w:t>
            </w:r>
            <w:r>
              <w:rPr>
                <w:rFonts w:hint="eastAsia"/>
                <w:sz w:val="24"/>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jc w:val="center"/>
        </w:trPr>
        <w:tc>
          <w:tcPr>
            <w:tcW w:w="9333" w:type="dxa"/>
            <w:gridSpan w:val="6"/>
          </w:tcPr>
          <w:p>
            <w:pPr>
              <w:numPr>
                <w:ilvl w:val="0"/>
                <w:numId w:val="1"/>
              </w:numPr>
              <w:adjustRightInd w:val="0"/>
              <w:snapToGrid w:val="0"/>
              <w:spacing w:line="440" w:lineRule="exact"/>
              <w:ind w:left="28" w:firstLine="0"/>
              <w:rPr>
                <w:b/>
                <w:sz w:val="24"/>
              </w:rPr>
            </w:pPr>
            <w:r>
              <w:rPr>
                <w:b/>
                <w:sz w:val="24"/>
              </w:rPr>
              <w:t>项目由来</w:t>
            </w:r>
          </w:p>
          <w:p>
            <w:pPr>
              <w:spacing w:line="460" w:lineRule="exact"/>
              <w:ind w:firstLine="480" w:firstLineChars="200"/>
              <w:rPr>
                <w:sz w:val="24"/>
              </w:rPr>
            </w:pPr>
            <w:r>
              <w:rPr>
                <w:sz w:val="24"/>
              </w:rPr>
              <w:t>新乡市博昌环保设备有限公司拟投资</w:t>
            </w:r>
            <w:r>
              <w:rPr>
                <w:rFonts w:hint="eastAsia"/>
                <w:sz w:val="24"/>
              </w:rPr>
              <w:t>5</w:t>
            </w:r>
            <w:r>
              <w:rPr>
                <w:sz w:val="24"/>
              </w:rPr>
              <w:t>0万元，在新乡市凤泉区耿黄镇东鲁堡村北，建设年产60套环保设备与机械配件项目。项目租赁耿黄镇东鲁堡村北的</w:t>
            </w:r>
            <w:r>
              <w:rPr>
                <w:color w:val="000000"/>
                <w:sz w:val="24"/>
              </w:rPr>
              <w:t>闲</w:t>
            </w:r>
            <w:r>
              <w:rPr>
                <w:sz w:val="24"/>
              </w:rPr>
              <w:t>置厂房进行生产（租赁合同见附件），总占地面积</w:t>
            </w:r>
            <w:r>
              <w:rPr>
                <w:rFonts w:hint="eastAsia"/>
                <w:sz w:val="24"/>
              </w:rPr>
              <w:t>700</w:t>
            </w:r>
            <w:r>
              <w:rPr>
                <w:sz w:val="24"/>
              </w:rPr>
              <w:t>m</w:t>
            </w:r>
            <w:r>
              <w:rPr>
                <w:sz w:val="24"/>
                <w:vertAlign w:val="superscript"/>
              </w:rPr>
              <w:t>2</w:t>
            </w:r>
            <w:r>
              <w:rPr>
                <w:sz w:val="24"/>
              </w:rPr>
              <w:t>。</w:t>
            </w:r>
            <w:r>
              <w:rPr>
                <w:rFonts w:hint="eastAsia"/>
                <w:sz w:val="24"/>
              </w:rPr>
              <w:t>经现场勘察，项目拟建场地为空厂房，不涉及未批先建。</w:t>
            </w:r>
          </w:p>
          <w:p>
            <w:pPr>
              <w:tabs>
                <w:tab w:val="left" w:pos="859"/>
              </w:tabs>
              <w:spacing w:line="460" w:lineRule="exact"/>
              <w:ind w:firstLine="480" w:firstLineChars="200"/>
              <w:jc w:val="left"/>
              <w:rPr>
                <w:sz w:val="24"/>
              </w:rPr>
            </w:pPr>
            <w:r>
              <w:rPr>
                <w:sz w:val="24"/>
              </w:rPr>
              <w:t>依据《建设项目环境影响评价分类管理名录》（生态环境部令第1号），本项目产品为环保设备机械配件，属于“二十三</w:t>
            </w:r>
            <w:r>
              <w:rPr>
                <w:bCs/>
                <w:sz w:val="24"/>
              </w:rPr>
              <w:t>、通用设备制造业</w:t>
            </w:r>
            <w:r>
              <w:rPr>
                <w:sz w:val="24"/>
              </w:rPr>
              <w:t>：</w:t>
            </w:r>
            <w:r>
              <w:rPr>
                <w:rFonts w:hint="eastAsia"/>
                <w:sz w:val="24"/>
              </w:rPr>
              <w:t>69通用设备制造及维修</w:t>
            </w:r>
            <w:r>
              <w:rPr>
                <w:sz w:val="24"/>
              </w:rPr>
              <w:t>”，目录中规定：有电镀或喷漆工艺且年用油性漆量（含稀释剂）10吨及以上的应编制环境影响报告书，其他（仅组装除外）应编制环境影响报告表。本项目外购原材料进行加工、装配组装成成品，属于其他类，应编制环境影响评价报告表。</w:t>
            </w:r>
          </w:p>
          <w:p>
            <w:pPr>
              <w:adjustRightInd w:val="0"/>
              <w:snapToGrid w:val="0"/>
              <w:spacing w:line="460" w:lineRule="exact"/>
              <w:ind w:firstLine="480" w:firstLineChars="200"/>
              <w:rPr>
                <w:sz w:val="24"/>
              </w:rPr>
            </w:pPr>
            <w:r>
              <w:rPr>
                <w:bCs/>
                <w:sz w:val="24"/>
              </w:rPr>
              <w:t>受建设单位委托，本项目环评由新乡市蓝天环境技术有限公司承担。我公司接受委托后对建设</w:t>
            </w:r>
            <w:r>
              <w:rPr>
                <w:sz w:val="24"/>
              </w:rPr>
              <w:t>地进行了现场踏勘，依据环评导则要求及工程实际建设情况，同时结合工程规模和生产工艺，在收集和查阅相关资料基础上，本着“科学、公正、客观”的态度，编制完成了本项目环境影响报告表，为建设单位及管理部门提供依据。</w:t>
            </w:r>
          </w:p>
          <w:p>
            <w:pPr>
              <w:adjustRightInd w:val="0"/>
              <w:snapToGrid w:val="0"/>
              <w:spacing w:line="460" w:lineRule="exact"/>
              <w:rPr>
                <w:b/>
                <w:sz w:val="24"/>
              </w:rPr>
            </w:pPr>
            <w:r>
              <w:rPr>
                <w:b/>
                <w:sz w:val="24"/>
              </w:rPr>
              <w:t>二、产业政策和相关法规文件的相符性分析</w:t>
            </w:r>
          </w:p>
          <w:p>
            <w:pPr>
              <w:spacing w:line="460" w:lineRule="exact"/>
              <w:ind w:firstLine="482" w:firstLineChars="200"/>
              <w:rPr>
                <w:b/>
                <w:sz w:val="24"/>
              </w:rPr>
            </w:pPr>
            <w:r>
              <w:rPr>
                <w:b/>
                <w:sz w:val="24"/>
              </w:rPr>
              <w:t>1、与《产业结构调整指导目录》相符性分析</w:t>
            </w:r>
          </w:p>
          <w:p>
            <w:pPr>
              <w:adjustRightInd w:val="0"/>
              <w:snapToGrid w:val="0"/>
              <w:spacing w:line="460" w:lineRule="exact"/>
              <w:ind w:firstLine="480" w:firstLineChars="200"/>
              <w:jc w:val="left"/>
              <w:rPr>
                <w:sz w:val="24"/>
                <w:szCs w:val="20"/>
              </w:rPr>
            </w:pPr>
            <w:r>
              <w:rPr>
                <w:sz w:val="24"/>
                <w:szCs w:val="20"/>
              </w:rPr>
              <w:t>经查阅《产业结构调整指导目录（2011年本）》</w:t>
            </w:r>
            <w:r>
              <w:rPr>
                <w:sz w:val="24"/>
              </w:rPr>
              <w:t>（2013修正版），该项目生产设备、原料、成品均不在“限制类”和“淘汰类”之列，属于“允许类”，</w:t>
            </w:r>
            <w:r>
              <w:rPr>
                <w:sz w:val="24"/>
                <w:szCs w:val="20"/>
              </w:rPr>
              <w:t>项目符合国家产业政策。</w:t>
            </w:r>
            <w:r>
              <w:rPr>
                <w:sz w:val="24"/>
              </w:rPr>
              <w:t>项目已由新乡市凤泉区发展和改革委员会备案，</w:t>
            </w:r>
            <w:r>
              <w:rPr>
                <w:sz w:val="24"/>
                <w:szCs w:val="20"/>
              </w:rPr>
              <w:t>项目</w:t>
            </w:r>
            <w:r>
              <w:rPr>
                <w:sz w:val="24"/>
              </w:rPr>
              <w:t>代码：2019-410704-33-03-014343（详见附件）</w:t>
            </w:r>
            <w:r>
              <w:rPr>
                <w:sz w:val="24"/>
                <w:szCs w:val="20"/>
              </w:rPr>
              <w:t>，项目建设符合国家相关产业政策。</w:t>
            </w:r>
          </w:p>
          <w:p>
            <w:pPr>
              <w:spacing w:line="460" w:lineRule="exact"/>
              <w:ind w:firstLine="480" w:firstLineChars="200"/>
              <w:jc w:val="left"/>
              <w:rPr>
                <w:kern w:val="0"/>
                <w:sz w:val="24"/>
              </w:rPr>
            </w:pPr>
            <w:r>
              <w:rPr>
                <w:kern w:val="0"/>
                <w:sz w:val="24"/>
              </w:rPr>
              <w:t>本项目情况与产业政策一致性分析见表1。</w:t>
            </w:r>
          </w:p>
          <w:p>
            <w:pPr>
              <w:spacing w:line="460" w:lineRule="exact"/>
              <w:ind w:firstLine="480" w:firstLineChars="200"/>
              <w:jc w:val="left"/>
              <w:rPr>
                <w:rFonts w:ascii="黑体" w:hAnsi="黑体" w:eastAsia="黑体"/>
                <w:bCs/>
                <w:sz w:val="24"/>
                <w:lang w:val="pt-BR"/>
              </w:rPr>
            </w:pPr>
            <w:r>
              <w:rPr>
                <w:rFonts w:ascii="黑体" w:hAnsi="黑体" w:eastAsia="黑体"/>
                <w:bCs/>
                <w:sz w:val="24"/>
                <w:lang w:val="pt-BR"/>
              </w:rPr>
              <w:t>表</w:t>
            </w:r>
            <w:r>
              <w:rPr>
                <w:rFonts w:ascii="黑体" w:hAnsi="黑体" w:eastAsia="黑体"/>
                <w:bCs/>
                <w:sz w:val="24"/>
              </w:rPr>
              <w:t>1</w:t>
            </w:r>
            <w:r>
              <w:rPr>
                <w:rFonts w:hint="eastAsia" w:ascii="黑体" w:hAnsi="黑体" w:eastAsia="黑体"/>
                <w:bCs/>
                <w:sz w:val="24"/>
              </w:rPr>
              <w:t xml:space="preserve">                 </w:t>
            </w:r>
            <w:r>
              <w:rPr>
                <w:rFonts w:ascii="黑体" w:hAnsi="黑体" w:eastAsia="黑体"/>
                <w:bCs/>
                <w:sz w:val="24"/>
                <w:lang w:val="pt-BR"/>
              </w:rPr>
              <w:t>项目与产业政策一致性分析</w:t>
            </w:r>
          </w:p>
          <w:tbl>
            <w:tblPr>
              <w:tblStyle w:val="30"/>
              <w:tblW w:w="911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134"/>
              <w:gridCol w:w="850"/>
              <w:gridCol w:w="2721"/>
              <w:gridCol w:w="2524"/>
              <w:gridCol w:w="101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4" w:type="dxa"/>
                  <w:tcBorders>
                    <w:top w:val="single" w:color="auto" w:sz="8" w:space="0"/>
                    <w:bottom w:val="single" w:color="auto" w:sz="4" w:space="0"/>
                    <w:right w:val="single" w:color="auto" w:sz="4" w:space="0"/>
                  </w:tcBorders>
                  <w:vAlign w:val="center"/>
                </w:tcPr>
                <w:p>
                  <w:pPr>
                    <w:jc w:val="center"/>
                    <w:rPr>
                      <w:b/>
                      <w:szCs w:val="21"/>
                    </w:rPr>
                  </w:pPr>
                  <w:r>
                    <w:rPr>
                      <w:b/>
                      <w:szCs w:val="21"/>
                    </w:rPr>
                    <w:t>类 别</w:t>
                  </w:r>
                </w:p>
              </w:tc>
              <w:tc>
                <w:tcPr>
                  <w:tcW w:w="1984" w:type="dxa"/>
                  <w:gridSpan w:val="2"/>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条 款</w:t>
                  </w:r>
                </w:p>
              </w:tc>
              <w:tc>
                <w:tcPr>
                  <w:tcW w:w="2721" w:type="dxa"/>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内 容</w:t>
                  </w:r>
                </w:p>
              </w:tc>
              <w:tc>
                <w:tcPr>
                  <w:tcW w:w="2524" w:type="dxa"/>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本项目情况</w:t>
                  </w:r>
                </w:p>
              </w:tc>
              <w:tc>
                <w:tcPr>
                  <w:tcW w:w="1014" w:type="dxa"/>
                  <w:tcBorders>
                    <w:top w:val="single" w:color="auto" w:sz="8" w:space="0"/>
                    <w:left w:val="single" w:color="auto" w:sz="4" w:space="0"/>
                    <w:bottom w:val="single" w:color="auto" w:sz="4" w:space="0"/>
                  </w:tcBorders>
                  <w:vAlign w:val="center"/>
                </w:tcPr>
                <w:p>
                  <w:pPr>
                    <w:jc w:val="center"/>
                    <w:rPr>
                      <w:b/>
                      <w:szCs w:val="21"/>
                    </w:rPr>
                  </w:pPr>
                  <w:r>
                    <w:rPr>
                      <w:b/>
                      <w:szCs w:val="21"/>
                    </w:rPr>
                    <w:t>相符性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4" w:type="dxa"/>
                  <w:tcBorders>
                    <w:top w:val="single" w:color="auto" w:sz="4" w:space="0"/>
                    <w:bottom w:val="single" w:color="auto" w:sz="4" w:space="0"/>
                    <w:right w:val="single" w:color="auto" w:sz="4" w:space="0"/>
                  </w:tcBorders>
                  <w:vAlign w:val="center"/>
                </w:tcPr>
                <w:p>
                  <w:pPr>
                    <w:jc w:val="center"/>
                    <w:rPr>
                      <w:szCs w:val="21"/>
                    </w:rPr>
                  </w:pPr>
                  <w:r>
                    <w:rPr>
                      <w:szCs w:val="21"/>
                    </w:rPr>
                    <w:t>鼓励类</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2721"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jc w:val="center"/>
                  </w:pPr>
                  <w:r>
                    <w:rPr>
                      <w:rFonts w:hint="eastAsia"/>
                      <w:sz w:val="21"/>
                      <w:szCs w:val="21"/>
                    </w:rPr>
                    <w:t>查无相关内容</w:t>
                  </w:r>
                </w:p>
              </w:tc>
              <w:tc>
                <w:tcPr>
                  <w:tcW w:w="252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14" w:type="dxa"/>
                  <w:tcBorders>
                    <w:top w:val="single" w:color="auto" w:sz="4" w:space="0"/>
                    <w:left w:val="single" w:color="auto" w:sz="4" w:space="0"/>
                    <w:bottom w:val="single" w:color="auto" w:sz="4" w:space="0"/>
                  </w:tcBorders>
                  <w:vAlign w:val="center"/>
                </w:tcPr>
                <w:p>
                  <w:pPr>
                    <w:jc w:val="center"/>
                    <w:rPr>
                      <w:szCs w:val="21"/>
                    </w:rPr>
                  </w:pPr>
                  <w:r>
                    <w:rPr>
                      <w:szCs w:val="21"/>
                    </w:rPr>
                    <w:t>不属于鼓励类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74" w:type="dxa"/>
                  <w:tcBorders>
                    <w:top w:val="single" w:color="auto" w:sz="4" w:space="0"/>
                    <w:right w:val="single" w:color="auto" w:sz="4" w:space="0"/>
                  </w:tcBorders>
                  <w:vAlign w:val="center"/>
                </w:tcPr>
                <w:p>
                  <w:pPr>
                    <w:jc w:val="center"/>
                    <w:rPr>
                      <w:szCs w:val="21"/>
                    </w:rPr>
                  </w:pPr>
                  <w:r>
                    <w:rPr>
                      <w:szCs w:val="21"/>
                    </w:rPr>
                    <w:t>限制类</w:t>
                  </w:r>
                </w:p>
              </w:tc>
              <w:tc>
                <w:tcPr>
                  <w:tcW w:w="1984" w:type="dxa"/>
                  <w:gridSpan w:val="2"/>
                  <w:tcBorders>
                    <w:top w:val="single" w:color="auto" w:sz="4" w:space="0"/>
                    <w:left w:val="single" w:color="auto" w:sz="4" w:space="0"/>
                    <w:right w:val="single" w:color="auto" w:sz="4" w:space="0"/>
                  </w:tcBorders>
                  <w:vAlign w:val="center"/>
                </w:tcPr>
                <w:p>
                  <w:pPr>
                    <w:jc w:val="center"/>
                    <w:rPr>
                      <w:szCs w:val="21"/>
                    </w:rPr>
                  </w:pPr>
                  <w:r>
                    <w:rPr>
                      <w:rFonts w:hint="eastAsia"/>
                      <w:szCs w:val="21"/>
                    </w:rPr>
                    <w:t>/</w:t>
                  </w:r>
                </w:p>
              </w:tc>
              <w:tc>
                <w:tcPr>
                  <w:tcW w:w="2721" w:type="dxa"/>
                  <w:tcBorders>
                    <w:top w:val="single" w:color="auto" w:sz="4" w:space="0"/>
                    <w:left w:val="single" w:color="auto" w:sz="4" w:space="0"/>
                    <w:right w:val="single" w:color="auto" w:sz="4" w:space="0"/>
                  </w:tcBorders>
                  <w:vAlign w:val="center"/>
                </w:tcPr>
                <w:p>
                  <w:pPr>
                    <w:jc w:val="center"/>
                    <w:rPr>
                      <w:szCs w:val="21"/>
                    </w:rPr>
                  </w:pPr>
                  <w:r>
                    <w:rPr>
                      <w:szCs w:val="21"/>
                    </w:rPr>
                    <w:t>查无相关内容</w:t>
                  </w:r>
                </w:p>
              </w:tc>
              <w:tc>
                <w:tcPr>
                  <w:tcW w:w="2524" w:type="dxa"/>
                  <w:tcBorders>
                    <w:top w:val="single" w:color="auto" w:sz="4" w:space="0"/>
                    <w:left w:val="single" w:color="auto" w:sz="4" w:space="0"/>
                    <w:right w:val="single" w:color="auto" w:sz="4" w:space="0"/>
                  </w:tcBorders>
                  <w:vAlign w:val="center"/>
                </w:tcPr>
                <w:p>
                  <w:pPr>
                    <w:jc w:val="center"/>
                    <w:rPr>
                      <w:szCs w:val="21"/>
                    </w:rPr>
                  </w:pPr>
                  <w:r>
                    <w:rPr>
                      <w:szCs w:val="21"/>
                    </w:rPr>
                    <w:t>/</w:t>
                  </w:r>
                </w:p>
              </w:tc>
              <w:tc>
                <w:tcPr>
                  <w:tcW w:w="1014" w:type="dxa"/>
                  <w:tcBorders>
                    <w:top w:val="single" w:color="auto" w:sz="4" w:space="0"/>
                    <w:left w:val="single" w:color="auto" w:sz="4" w:space="0"/>
                  </w:tcBorders>
                  <w:vAlign w:val="center"/>
                </w:tcPr>
                <w:p>
                  <w:pPr>
                    <w:jc w:val="center"/>
                    <w:rPr>
                      <w:szCs w:val="21"/>
                    </w:rPr>
                  </w:pPr>
                  <w:r>
                    <w:rPr>
                      <w:szCs w:val="21"/>
                    </w:rPr>
                    <w:t>不属于限制类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74" w:type="dxa"/>
                  <w:vMerge w:val="restart"/>
                  <w:tcBorders>
                    <w:right w:val="single" w:color="auto" w:sz="4" w:space="0"/>
                  </w:tcBorders>
                  <w:vAlign w:val="center"/>
                </w:tcPr>
                <w:p>
                  <w:pPr>
                    <w:jc w:val="center"/>
                    <w:rPr>
                      <w:szCs w:val="21"/>
                    </w:rPr>
                  </w:pPr>
                  <w:r>
                    <w:rPr>
                      <w:szCs w:val="21"/>
                    </w:rPr>
                    <w:t>淘汰类</w:t>
                  </w:r>
                </w:p>
              </w:tc>
              <w:tc>
                <w:tcPr>
                  <w:tcW w:w="1134" w:type="dxa"/>
                  <w:vMerge w:val="restart"/>
                  <w:tcBorders>
                    <w:left w:val="single" w:color="auto" w:sz="4" w:space="0"/>
                    <w:right w:val="single" w:color="auto" w:sz="4" w:space="0"/>
                  </w:tcBorders>
                  <w:vAlign w:val="center"/>
                </w:tcPr>
                <w:p>
                  <w:pPr>
                    <w:jc w:val="center"/>
                    <w:rPr>
                      <w:szCs w:val="21"/>
                    </w:rPr>
                  </w:pPr>
                  <w:r>
                    <w:rPr>
                      <w:szCs w:val="21"/>
                    </w:rPr>
                    <w:t>落后生产工艺装备</w:t>
                  </w:r>
                </w:p>
              </w:tc>
              <w:tc>
                <w:tcPr>
                  <w:tcW w:w="850"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（十）机械</w:t>
                  </w:r>
                </w:p>
              </w:tc>
              <w:tc>
                <w:tcPr>
                  <w:tcW w:w="2721" w:type="dxa"/>
                  <w:tcBorders>
                    <w:top w:val="single" w:color="auto" w:sz="4" w:space="0"/>
                    <w:left w:val="single" w:color="auto" w:sz="4" w:space="0"/>
                    <w:right w:val="single" w:color="auto" w:sz="4" w:space="0"/>
                  </w:tcBorders>
                  <w:vAlign w:val="center"/>
                </w:tcPr>
                <w:p>
                  <w:pPr>
                    <w:jc w:val="left"/>
                    <w:rPr>
                      <w:szCs w:val="21"/>
                    </w:rPr>
                  </w:pPr>
                  <w:r>
                    <w:rPr>
                      <w:szCs w:val="21"/>
                    </w:rPr>
                    <w:t>21、动圈式和抽头式硅整流弧焊机；</w:t>
                  </w:r>
                </w:p>
              </w:tc>
              <w:tc>
                <w:tcPr>
                  <w:tcW w:w="2524" w:type="dxa"/>
                  <w:vMerge w:val="restart"/>
                  <w:tcBorders>
                    <w:top w:val="single" w:color="auto" w:sz="4" w:space="0"/>
                    <w:left w:val="single" w:color="auto" w:sz="4" w:space="0"/>
                    <w:right w:val="single" w:color="auto" w:sz="4" w:space="0"/>
                  </w:tcBorders>
                  <w:vAlign w:val="center"/>
                </w:tcPr>
                <w:p>
                  <w:pPr>
                    <w:jc w:val="center"/>
                    <w:rPr>
                      <w:szCs w:val="21"/>
                    </w:rPr>
                  </w:pPr>
                  <w:r>
                    <w:rPr>
                      <w:szCs w:val="21"/>
                    </w:rPr>
                    <w:t>本项目使用设备为二保焊</w:t>
                  </w:r>
                </w:p>
              </w:tc>
              <w:tc>
                <w:tcPr>
                  <w:tcW w:w="1014" w:type="dxa"/>
                  <w:vMerge w:val="restart"/>
                  <w:tcBorders>
                    <w:top w:val="single" w:color="auto" w:sz="4" w:space="0"/>
                    <w:left w:val="single" w:color="auto" w:sz="4" w:space="0"/>
                  </w:tcBorders>
                  <w:vAlign w:val="center"/>
                </w:tcPr>
                <w:p>
                  <w:pPr>
                    <w:jc w:val="center"/>
                    <w:rPr>
                      <w:szCs w:val="21"/>
                    </w:rPr>
                  </w:pPr>
                  <w:r>
                    <w:rPr>
                      <w:szCs w:val="21"/>
                    </w:rPr>
                    <w:t>不属于淘汰类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74" w:type="dxa"/>
                  <w:vMerge w:val="continue"/>
                  <w:tcBorders>
                    <w:right w:val="single" w:color="auto" w:sz="4" w:space="0"/>
                  </w:tcBorders>
                  <w:vAlign w:val="center"/>
                </w:tcPr>
                <w:p>
                  <w:pPr>
                    <w:jc w:val="center"/>
                    <w:rPr>
                      <w:szCs w:val="21"/>
                    </w:rPr>
                  </w:pPr>
                </w:p>
              </w:tc>
              <w:tc>
                <w:tcPr>
                  <w:tcW w:w="1134" w:type="dxa"/>
                  <w:vMerge w:val="continue"/>
                  <w:tcBorders>
                    <w:left w:val="single" w:color="auto" w:sz="4" w:space="0"/>
                    <w:right w:val="single" w:color="auto" w:sz="4" w:space="0"/>
                  </w:tcBorders>
                  <w:vAlign w:val="center"/>
                </w:tcPr>
                <w:p>
                  <w:pPr>
                    <w:jc w:val="center"/>
                    <w:rPr>
                      <w:szCs w:val="21"/>
                    </w:rPr>
                  </w:pPr>
                </w:p>
              </w:tc>
              <w:tc>
                <w:tcPr>
                  <w:tcW w:w="850" w:type="dxa"/>
                  <w:vMerge w:val="continue"/>
                  <w:tcBorders>
                    <w:left w:val="single" w:color="auto" w:sz="4" w:space="0"/>
                    <w:right w:val="single" w:color="auto" w:sz="4" w:space="0"/>
                  </w:tcBorders>
                  <w:vAlign w:val="center"/>
                </w:tcPr>
                <w:p>
                  <w:pPr>
                    <w:jc w:val="center"/>
                    <w:rPr>
                      <w:szCs w:val="21"/>
                    </w:rPr>
                  </w:pPr>
                </w:p>
              </w:tc>
              <w:tc>
                <w:tcPr>
                  <w:tcW w:w="2721" w:type="dxa"/>
                  <w:tcBorders>
                    <w:top w:val="single" w:color="auto" w:sz="4" w:space="0"/>
                    <w:left w:val="single" w:color="auto" w:sz="4" w:space="0"/>
                    <w:right w:val="single" w:color="auto" w:sz="4" w:space="0"/>
                  </w:tcBorders>
                  <w:vAlign w:val="center"/>
                </w:tcPr>
                <w:p>
                  <w:pPr>
                    <w:jc w:val="left"/>
                    <w:rPr>
                      <w:szCs w:val="21"/>
                    </w:rPr>
                  </w:pPr>
                  <w:r>
                    <w:rPr>
                      <w:szCs w:val="21"/>
                    </w:rPr>
                    <w:t>22、磁放大器式弧焊机</w:t>
                  </w:r>
                </w:p>
              </w:tc>
              <w:tc>
                <w:tcPr>
                  <w:tcW w:w="2524" w:type="dxa"/>
                  <w:vMerge w:val="continue"/>
                  <w:tcBorders>
                    <w:left w:val="single" w:color="auto" w:sz="4" w:space="0"/>
                    <w:right w:val="single" w:color="auto" w:sz="4" w:space="0"/>
                  </w:tcBorders>
                  <w:vAlign w:val="center"/>
                </w:tcPr>
                <w:p>
                  <w:pPr>
                    <w:jc w:val="center"/>
                    <w:rPr>
                      <w:szCs w:val="21"/>
                    </w:rPr>
                  </w:pPr>
                </w:p>
              </w:tc>
              <w:tc>
                <w:tcPr>
                  <w:tcW w:w="1014" w:type="dxa"/>
                  <w:vMerge w:val="continue"/>
                  <w:tcBorders>
                    <w:left w:val="single" w:color="auto" w:sz="4" w:space="0"/>
                  </w:tcBorders>
                  <w:vAlign w:val="center"/>
                </w:tcPr>
                <w:p>
                  <w:pPr>
                    <w:jc w:val="center"/>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874" w:type="dxa"/>
                  <w:vMerge w:val="continue"/>
                  <w:tcBorders>
                    <w:bottom w:val="single" w:color="auto" w:sz="8" w:space="0"/>
                    <w:right w:val="single" w:color="auto" w:sz="4" w:space="0"/>
                  </w:tcBorders>
                  <w:vAlign w:val="center"/>
                </w:tcPr>
                <w:p>
                  <w:pPr>
                    <w:jc w:val="center"/>
                    <w:rPr>
                      <w:szCs w:val="21"/>
                    </w:rPr>
                  </w:pPr>
                </w:p>
              </w:tc>
              <w:tc>
                <w:tcPr>
                  <w:tcW w:w="1134"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落后产品</w:t>
                  </w:r>
                </w:p>
              </w:tc>
              <w:tc>
                <w:tcPr>
                  <w:tcW w:w="850"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（七）机械</w:t>
                  </w:r>
                </w:p>
              </w:tc>
              <w:tc>
                <w:tcPr>
                  <w:tcW w:w="2721"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rFonts w:hint="eastAsia"/>
                      <w:szCs w:val="21"/>
                    </w:rPr>
                    <w:t>40、Q11-1.6×1600 剪板机</w:t>
                  </w:r>
                </w:p>
              </w:tc>
              <w:tc>
                <w:tcPr>
                  <w:tcW w:w="2524"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本项目使用的剪板机为</w:t>
                  </w:r>
                  <w:r>
                    <w:rPr>
                      <w:rFonts w:hint="eastAsia"/>
                      <w:szCs w:val="21"/>
                    </w:rPr>
                    <w:t>125t型号剪板机</w:t>
                  </w:r>
                </w:p>
              </w:tc>
              <w:tc>
                <w:tcPr>
                  <w:tcW w:w="1014" w:type="dxa"/>
                  <w:vMerge w:val="continue"/>
                  <w:tcBorders>
                    <w:left w:val="single" w:color="auto" w:sz="4" w:space="0"/>
                    <w:bottom w:val="single" w:color="auto" w:sz="8" w:space="0"/>
                  </w:tcBorders>
                  <w:vAlign w:val="center"/>
                </w:tcPr>
                <w:p>
                  <w:pPr>
                    <w:jc w:val="center"/>
                    <w:rPr>
                      <w:szCs w:val="21"/>
                    </w:rPr>
                  </w:pPr>
                </w:p>
              </w:tc>
            </w:tr>
          </w:tbl>
          <w:p>
            <w:pPr>
              <w:adjustRightInd w:val="0"/>
              <w:snapToGrid w:val="0"/>
              <w:spacing w:line="420" w:lineRule="exact"/>
              <w:ind w:left="23" w:leftChars="11" w:firstLine="482" w:firstLineChars="200"/>
              <w:jc w:val="left"/>
              <w:rPr>
                <w:b/>
                <w:sz w:val="24"/>
                <w:szCs w:val="20"/>
              </w:rPr>
            </w:pPr>
            <w:r>
              <w:rPr>
                <w:b/>
                <w:sz w:val="24"/>
                <w:szCs w:val="20"/>
              </w:rPr>
              <w:t>2、与发改委备案一致分析见表2。</w:t>
            </w:r>
          </w:p>
          <w:p>
            <w:pPr>
              <w:adjustRightInd w:val="0"/>
              <w:snapToGrid w:val="0"/>
              <w:spacing w:line="460" w:lineRule="exact"/>
              <w:ind w:firstLine="480" w:firstLineChars="200"/>
              <w:rPr>
                <w:rFonts w:ascii="黑体" w:hAnsi="黑体" w:eastAsia="黑体"/>
                <w:sz w:val="24"/>
                <w:szCs w:val="20"/>
              </w:rPr>
            </w:pPr>
            <w:r>
              <w:rPr>
                <w:rFonts w:ascii="黑体" w:hAnsi="黑体" w:eastAsia="黑体"/>
                <w:bCs/>
                <w:sz w:val="24"/>
                <w:szCs w:val="20"/>
              </w:rPr>
              <w:t>表2                       项目备案一致性分析</w:t>
            </w:r>
          </w:p>
          <w:tbl>
            <w:tblPr>
              <w:tblStyle w:val="30"/>
              <w:tblW w:w="911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05"/>
              <w:gridCol w:w="3402"/>
              <w:gridCol w:w="3544"/>
              <w:gridCol w:w="101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7" w:type="dxa"/>
                  <w:gridSpan w:val="2"/>
                  <w:vAlign w:val="center"/>
                </w:tcPr>
                <w:p>
                  <w:pPr>
                    <w:jc w:val="center"/>
                    <w:rPr>
                      <w:b/>
                      <w:szCs w:val="21"/>
                    </w:rPr>
                  </w:pPr>
                  <w:r>
                    <w:rPr>
                      <w:b/>
                      <w:szCs w:val="21"/>
                    </w:rPr>
                    <w:t>名称</w:t>
                  </w:r>
                </w:p>
              </w:tc>
              <w:tc>
                <w:tcPr>
                  <w:tcW w:w="3402" w:type="dxa"/>
                  <w:vAlign w:val="center"/>
                </w:tcPr>
                <w:p>
                  <w:pPr>
                    <w:jc w:val="center"/>
                    <w:rPr>
                      <w:b/>
                      <w:szCs w:val="21"/>
                    </w:rPr>
                  </w:pPr>
                  <w:r>
                    <w:rPr>
                      <w:b/>
                      <w:szCs w:val="21"/>
                    </w:rPr>
                    <w:t>备案情况</w:t>
                  </w:r>
                </w:p>
              </w:tc>
              <w:tc>
                <w:tcPr>
                  <w:tcW w:w="3544" w:type="dxa"/>
                  <w:vAlign w:val="center"/>
                </w:tcPr>
                <w:p>
                  <w:pPr>
                    <w:jc w:val="center"/>
                    <w:rPr>
                      <w:b/>
                      <w:szCs w:val="21"/>
                    </w:rPr>
                  </w:pPr>
                  <w:r>
                    <w:rPr>
                      <w:b/>
                      <w:szCs w:val="21"/>
                    </w:rPr>
                    <w:t>项目情况</w:t>
                  </w:r>
                </w:p>
              </w:tc>
              <w:tc>
                <w:tcPr>
                  <w:tcW w:w="1014" w:type="dxa"/>
                  <w:vAlign w:val="center"/>
                </w:tcPr>
                <w:p>
                  <w:pPr>
                    <w:jc w:val="center"/>
                    <w:rPr>
                      <w:b/>
                      <w:szCs w:val="21"/>
                    </w:rPr>
                  </w:pPr>
                  <w:r>
                    <w:rPr>
                      <w:b/>
                      <w:szCs w:val="21"/>
                    </w:rPr>
                    <w:t>一致性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7" w:type="dxa"/>
                  <w:gridSpan w:val="2"/>
                  <w:vAlign w:val="center"/>
                </w:tcPr>
                <w:p>
                  <w:pPr>
                    <w:jc w:val="center"/>
                    <w:rPr>
                      <w:szCs w:val="21"/>
                    </w:rPr>
                  </w:pPr>
                  <w:r>
                    <w:rPr>
                      <w:szCs w:val="21"/>
                    </w:rPr>
                    <w:t>建设地点</w:t>
                  </w:r>
                </w:p>
              </w:tc>
              <w:tc>
                <w:tcPr>
                  <w:tcW w:w="3402" w:type="dxa"/>
                  <w:vAlign w:val="center"/>
                </w:tcPr>
                <w:p>
                  <w:pPr>
                    <w:jc w:val="center"/>
                    <w:rPr>
                      <w:bCs/>
                      <w:szCs w:val="21"/>
                    </w:rPr>
                  </w:pPr>
                  <w:r>
                    <w:rPr>
                      <w:bCs/>
                      <w:szCs w:val="21"/>
                    </w:rPr>
                    <w:t>新乡市凤泉区耿黄乡东鲁堡村北</w:t>
                  </w:r>
                </w:p>
              </w:tc>
              <w:tc>
                <w:tcPr>
                  <w:tcW w:w="3544" w:type="dxa"/>
                  <w:vAlign w:val="center"/>
                </w:tcPr>
                <w:p>
                  <w:pPr>
                    <w:jc w:val="center"/>
                    <w:rPr>
                      <w:bCs/>
                      <w:szCs w:val="21"/>
                    </w:rPr>
                  </w:pPr>
                  <w:r>
                    <w:rPr>
                      <w:bCs/>
                      <w:szCs w:val="21"/>
                    </w:rPr>
                    <w:t>新乡市凤泉区耿黄镇东鲁堡村北</w:t>
                  </w:r>
                </w:p>
              </w:tc>
              <w:tc>
                <w:tcPr>
                  <w:tcW w:w="1014" w:type="dxa"/>
                  <w:vAlign w:val="center"/>
                </w:tcPr>
                <w:p>
                  <w:pPr>
                    <w:jc w:val="center"/>
                    <w:rPr>
                      <w:szCs w:val="21"/>
                    </w:rPr>
                  </w:pPr>
                  <w:r>
                    <w:rPr>
                      <w:szCs w:val="21"/>
                    </w:rPr>
                    <w:t>基本</w:t>
                  </w:r>
                </w:p>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7" w:type="dxa"/>
                  <w:gridSpan w:val="2"/>
                  <w:vAlign w:val="center"/>
                </w:tcPr>
                <w:p>
                  <w:pPr>
                    <w:jc w:val="center"/>
                    <w:rPr>
                      <w:szCs w:val="21"/>
                    </w:rPr>
                  </w:pPr>
                  <w:r>
                    <w:rPr>
                      <w:szCs w:val="21"/>
                    </w:rPr>
                    <w:t>投资</w:t>
                  </w:r>
                </w:p>
              </w:tc>
              <w:tc>
                <w:tcPr>
                  <w:tcW w:w="3402" w:type="dxa"/>
                  <w:vAlign w:val="center"/>
                </w:tcPr>
                <w:p>
                  <w:pPr>
                    <w:jc w:val="center"/>
                    <w:rPr>
                      <w:szCs w:val="21"/>
                    </w:rPr>
                  </w:pPr>
                  <w:r>
                    <w:rPr>
                      <w:szCs w:val="21"/>
                    </w:rPr>
                    <w:t>投资</w:t>
                  </w:r>
                  <w:r>
                    <w:rPr>
                      <w:rFonts w:hint="eastAsia"/>
                      <w:szCs w:val="21"/>
                    </w:rPr>
                    <w:t>5</w:t>
                  </w:r>
                  <w:r>
                    <w:rPr>
                      <w:szCs w:val="21"/>
                    </w:rPr>
                    <w:t>0万</w:t>
                  </w:r>
                </w:p>
              </w:tc>
              <w:tc>
                <w:tcPr>
                  <w:tcW w:w="3544" w:type="dxa"/>
                  <w:vAlign w:val="center"/>
                </w:tcPr>
                <w:p>
                  <w:pPr>
                    <w:jc w:val="center"/>
                    <w:rPr>
                      <w:szCs w:val="21"/>
                    </w:rPr>
                  </w:pPr>
                  <w:r>
                    <w:rPr>
                      <w:szCs w:val="21"/>
                    </w:rPr>
                    <w:t>投资</w:t>
                  </w:r>
                  <w:r>
                    <w:rPr>
                      <w:rFonts w:hint="eastAsia"/>
                      <w:szCs w:val="21"/>
                    </w:rPr>
                    <w:t>5</w:t>
                  </w:r>
                  <w:r>
                    <w:rPr>
                      <w:szCs w:val="21"/>
                    </w:rPr>
                    <w:t>0万</w:t>
                  </w:r>
                </w:p>
              </w:tc>
              <w:tc>
                <w:tcPr>
                  <w:tcW w:w="1014" w:type="dxa"/>
                  <w:vAlign w:val="center"/>
                </w:tcPr>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57" w:type="dxa"/>
                  <w:gridSpan w:val="2"/>
                  <w:vAlign w:val="center"/>
                </w:tcPr>
                <w:p>
                  <w:pPr>
                    <w:jc w:val="center"/>
                    <w:rPr>
                      <w:szCs w:val="21"/>
                    </w:rPr>
                  </w:pPr>
                  <w:r>
                    <w:rPr>
                      <w:szCs w:val="21"/>
                    </w:rPr>
                    <w:t>项目名称</w:t>
                  </w:r>
                </w:p>
              </w:tc>
              <w:tc>
                <w:tcPr>
                  <w:tcW w:w="3402" w:type="dxa"/>
                  <w:vAlign w:val="center"/>
                </w:tcPr>
                <w:p>
                  <w:pPr>
                    <w:jc w:val="center"/>
                    <w:rPr>
                      <w:szCs w:val="21"/>
                    </w:rPr>
                  </w:pPr>
                  <w:r>
                    <w:rPr>
                      <w:szCs w:val="21"/>
                    </w:rPr>
                    <w:t>年产60套环保设备与机械配件项目</w:t>
                  </w:r>
                </w:p>
              </w:tc>
              <w:tc>
                <w:tcPr>
                  <w:tcW w:w="3544" w:type="dxa"/>
                  <w:vAlign w:val="center"/>
                </w:tcPr>
                <w:p>
                  <w:pPr>
                    <w:jc w:val="center"/>
                    <w:rPr>
                      <w:szCs w:val="21"/>
                    </w:rPr>
                  </w:pPr>
                  <w:r>
                    <w:rPr>
                      <w:szCs w:val="21"/>
                    </w:rPr>
                    <w:t>年产60套环保设备与机械配件项目</w:t>
                  </w:r>
                </w:p>
              </w:tc>
              <w:tc>
                <w:tcPr>
                  <w:tcW w:w="1014" w:type="dxa"/>
                  <w:vAlign w:val="center"/>
                </w:tcPr>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2" w:type="dxa"/>
                  <w:vMerge w:val="restart"/>
                  <w:vAlign w:val="center"/>
                </w:tcPr>
                <w:p>
                  <w:pPr>
                    <w:jc w:val="center"/>
                    <w:rPr>
                      <w:szCs w:val="21"/>
                    </w:rPr>
                  </w:pPr>
                  <w:r>
                    <w:rPr>
                      <w:szCs w:val="21"/>
                    </w:rPr>
                    <w:t>主要</w:t>
                  </w:r>
                </w:p>
                <w:p>
                  <w:pPr>
                    <w:jc w:val="center"/>
                    <w:rPr>
                      <w:szCs w:val="21"/>
                    </w:rPr>
                  </w:pPr>
                  <w:r>
                    <w:rPr>
                      <w:szCs w:val="21"/>
                    </w:rPr>
                    <w:t>建设</w:t>
                  </w:r>
                </w:p>
                <w:p>
                  <w:pPr>
                    <w:jc w:val="center"/>
                    <w:rPr>
                      <w:szCs w:val="21"/>
                    </w:rPr>
                  </w:pPr>
                  <w:r>
                    <w:rPr>
                      <w:szCs w:val="21"/>
                    </w:rPr>
                    <w:t>内容</w:t>
                  </w:r>
                </w:p>
              </w:tc>
              <w:tc>
                <w:tcPr>
                  <w:tcW w:w="705" w:type="dxa"/>
                  <w:vAlign w:val="center"/>
                </w:tcPr>
                <w:p>
                  <w:pPr>
                    <w:jc w:val="center"/>
                    <w:rPr>
                      <w:szCs w:val="21"/>
                    </w:rPr>
                  </w:pPr>
                  <w:r>
                    <w:rPr>
                      <w:szCs w:val="21"/>
                    </w:rPr>
                    <w:t>产品</w:t>
                  </w:r>
                </w:p>
              </w:tc>
              <w:tc>
                <w:tcPr>
                  <w:tcW w:w="3402" w:type="dxa"/>
                  <w:vAlign w:val="center"/>
                </w:tcPr>
                <w:p>
                  <w:pPr>
                    <w:jc w:val="center"/>
                    <w:rPr>
                      <w:szCs w:val="21"/>
                    </w:rPr>
                  </w:pPr>
                  <w:r>
                    <w:rPr>
                      <w:szCs w:val="21"/>
                    </w:rPr>
                    <w:t>环保设备与机械配件</w:t>
                  </w:r>
                </w:p>
              </w:tc>
              <w:tc>
                <w:tcPr>
                  <w:tcW w:w="3544" w:type="dxa"/>
                  <w:vAlign w:val="center"/>
                </w:tcPr>
                <w:p>
                  <w:pPr>
                    <w:jc w:val="center"/>
                    <w:rPr>
                      <w:szCs w:val="21"/>
                    </w:rPr>
                  </w:pPr>
                  <w:r>
                    <w:rPr>
                      <w:szCs w:val="21"/>
                    </w:rPr>
                    <w:t>环保设备机械配件</w:t>
                  </w:r>
                </w:p>
              </w:tc>
              <w:tc>
                <w:tcPr>
                  <w:tcW w:w="1014" w:type="dxa"/>
                  <w:vAlign w:val="center"/>
                </w:tcPr>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2" w:type="dxa"/>
                  <w:vMerge w:val="continue"/>
                  <w:vAlign w:val="center"/>
                </w:tcPr>
                <w:p>
                  <w:pPr>
                    <w:jc w:val="center"/>
                    <w:rPr>
                      <w:szCs w:val="21"/>
                    </w:rPr>
                  </w:pPr>
                </w:p>
              </w:tc>
              <w:tc>
                <w:tcPr>
                  <w:tcW w:w="705" w:type="dxa"/>
                  <w:vAlign w:val="center"/>
                </w:tcPr>
                <w:p>
                  <w:pPr>
                    <w:jc w:val="center"/>
                    <w:rPr>
                      <w:szCs w:val="21"/>
                    </w:rPr>
                  </w:pPr>
                  <w:r>
                    <w:rPr>
                      <w:szCs w:val="21"/>
                    </w:rPr>
                    <w:t>生产</w:t>
                  </w:r>
                </w:p>
                <w:p>
                  <w:pPr>
                    <w:jc w:val="center"/>
                    <w:rPr>
                      <w:szCs w:val="21"/>
                    </w:rPr>
                  </w:pPr>
                  <w:r>
                    <w:rPr>
                      <w:szCs w:val="21"/>
                    </w:rPr>
                    <w:t>规模</w:t>
                  </w:r>
                </w:p>
              </w:tc>
              <w:tc>
                <w:tcPr>
                  <w:tcW w:w="3402" w:type="dxa"/>
                  <w:vAlign w:val="center"/>
                </w:tcPr>
                <w:p>
                  <w:pPr>
                    <w:jc w:val="center"/>
                    <w:rPr>
                      <w:szCs w:val="21"/>
                    </w:rPr>
                  </w:pPr>
                  <w:r>
                    <w:rPr>
                      <w:szCs w:val="21"/>
                    </w:rPr>
                    <w:t>年产</w:t>
                  </w:r>
                  <w:r>
                    <w:rPr>
                      <w:rFonts w:hint="eastAsia"/>
                      <w:szCs w:val="21"/>
                    </w:rPr>
                    <w:t>6</w:t>
                  </w:r>
                  <w:r>
                    <w:rPr>
                      <w:szCs w:val="21"/>
                    </w:rPr>
                    <w:t>0套环保设备与机械配件</w:t>
                  </w:r>
                </w:p>
              </w:tc>
              <w:tc>
                <w:tcPr>
                  <w:tcW w:w="3544" w:type="dxa"/>
                  <w:vAlign w:val="center"/>
                </w:tcPr>
                <w:p>
                  <w:pPr>
                    <w:jc w:val="center"/>
                    <w:rPr>
                      <w:szCs w:val="21"/>
                    </w:rPr>
                  </w:pPr>
                  <w:r>
                    <w:rPr>
                      <w:szCs w:val="21"/>
                    </w:rPr>
                    <w:t>年产</w:t>
                  </w:r>
                  <w:r>
                    <w:rPr>
                      <w:rFonts w:hint="eastAsia"/>
                      <w:szCs w:val="21"/>
                    </w:rPr>
                    <w:t>6</w:t>
                  </w:r>
                  <w:r>
                    <w:rPr>
                      <w:szCs w:val="21"/>
                    </w:rPr>
                    <w:t>0套环保设备机械配件</w:t>
                  </w:r>
                </w:p>
              </w:tc>
              <w:tc>
                <w:tcPr>
                  <w:tcW w:w="1014" w:type="dxa"/>
                  <w:vAlign w:val="center"/>
                </w:tcPr>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2" w:type="dxa"/>
                  <w:vMerge w:val="continue"/>
                  <w:vAlign w:val="center"/>
                </w:tcPr>
                <w:p>
                  <w:pPr>
                    <w:jc w:val="center"/>
                    <w:rPr>
                      <w:szCs w:val="21"/>
                    </w:rPr>
                  </w:pPr>
                </w:p>
              </w:tc>
              <w:tc>
                <w:tcPr>
                  <w:tcW w:w="705" w:type="dxa"/>
                  <w:vAlign w:val="center"/>
                </w:tcPr>
                <w:p>
                  <w:pPr>
                    <w:jc w:val="center"/>
                    <w:rPr>
                      <w:szCs w:val="21"/>
                    </w:rPr>
                  </w:pPr>
                  <w:r>
                    <w:rPr>
                      <w:szCs w:val="21"/>
                    </w:rPr>
                    <w:t>生产</w:t>
                  </w:r>
                </w:p>
                <w:p>
                  <w:pPr>
                    <w:jc w:val="center"/>
                    <w:rPr>
                      <w:szCs w:val="21"/>
                    </w:rPr>
                  </w:pPr>
                  <w:r>
                    <w:rPr>
                      <w:szCs w:val="21"/>
                    </w:rPr>
                    <w:t>设备</w:t>
                  </w:r>
                </w:p>
              </w:tc>
              <w:tc>
                <w:tcPr>
                  <w:tcW w:w="3402" w:type="dxa"/>
                  <w:vAlign w:val="center"/>
                </w:tcPr>
                <w:p>
                  <w:pPr>
                    <w:jc w:val="center"/>
                    <w:rPr>
                      <w:szCs w:val="21"/>
                    </w:rPr>
                  </w:pPr>
                  <w:r>
                    <w:rPr>
                      <w:rFonts w:hint="eastAsia"/>
                      <w:szCs w:val="21"/>
                    </w:rPr>
                    <w:t>磨光机、焊机、台钻、切割机、剪板机、冲床、折弯机、卷圆机</w:t>
                  </w:r>
                </w:p>
              </w:tc>
              <w:tc>
                <w:tcPr>
                  <w:tcW w:w="3544" w:type="dxa"/>
                  <w:vAlign w:val="center"/>
                </w:tcPr>
                <w:p>
                  <w:pPr>
                    <w:jc w:val="center"/>
                    <w:rPr>
                      <w:szCs w:val="21"/>
                    </w:rPr>
                  </w:pPr>
                  <w:r>
                    <w:rPr>
                      <w:rFonts w:hint="eastAsia"/>
                      <w:szCs w:val="21"/>
                    </w:rPr>
                    <w:t>焊机、台钻、切割机、剪板机、冲床、折弯机、卷圆机、空压机、台钻等</w:t>
                  </w:r>
                </w:p>
              </w:tc>
              <w:tc>
                <w:tcPr>
                  <w:tcW w:w="1014" w:type="dxa"/>
                  <w:vAlign w:val="center"/>
                </w:tcPr>
                <w:p>
                  <w:pPr>
                    <w:jc w:val="center"/>
                    <w:rPr>
                      <w:szCs w:val="21"/>
                    </w:rPr>
                  </w:pPr>
                  <w:r>
                    <w:rPr>
                      <w:szCs w:val="21"/>
                    </w:rPr>
                    <w:t>基本</w:t>
                  </w:r>
                </w:p>
                <w:p>
                  <w:pPr>
                    <w:jc w:val="center"/>
                    <w:rPr>
                      <w:szCs w:val="21"/>
                    </w:rPr>
                  </w:pPr>
                  <w:r>
                    <w:rPr>
                      <w:szCs w:val="21"/>
                    </w:rPr>
                    <w:t>一致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52" w:type="dxa"/>
                  <w:vMerge w:val="continue"/>
                  <w:vAlign w:val="center"/>
                </w:tcPr>
                <w:p>
                  <w:pPr>
                    <w:jc w:val="center"/>
                    <w:rPr>
                      <w:szCs w:val="21"/>
                    </w:rPr>
                  </w:pPr>
                </w:p>
              </w:tc>
              <w:tc>
                <w:tcPr>
                  <w:tcW w:w="705" w:type="dxa"/>
                  <w:vAlign w:val="center"/>
                </w:tcPr>
                <w:p>
                  <w:pPr>
                    <w:jc w:val="center"/>
                    <w:rPr>
                      <w:szCs w:val="21"/>
                    </w:rPr>
                  </w:pPr>
                  <w:r>
                    <w:rPr>
                      <w:szCs w:val="21"/>
                    </w:rPr>
                    <w:t>生产</w:t>
                  </w:r>
                </w:p>
                <w:p>
                  <w:pPr>
                    <w:jc w:val="center"/>
                    <w:rPr>
                      <w:szCs w:val="21"/>
                    </w:rPr>
                  </w:pPr>
                  <w:r>
                    <w:rPr>
                      <w:szCs w:val="21"/>
                    </w:rPr>
                    <w:t>工艺</w:t>
                  </w:r>
                </w:p>
              </w:tc>
              <w:tc>
                <w:tcPr>
                  <w:tcW w:w="3402" w:type="dxa"/>
                  <w:vAlign w:val="center"/>
                </w:tcPr>
                <w:p>
                  <w:pPr>
                    <w:jc w:val="center"/>
                    <w:rPr>
                      <w:szCs w:val="21"/>
                    </w:rPr>
                  </w:pPr>
                  <w:r>
                    <w:rPr>
                      <w:rFonts w:hint="eastAsia"/>
                      <w:szCs w:val="21"/>
                    </w:rPr>
                    <w:t>原材料-切割-打孔-焊接-打磨-成品</w:t>
                  </w:r>
                </w:p>
              </w:tc>
              <w:tc>
                <w:tcPr>
                  <w:tcW w:w="3544" w:type="dxa"/>
                  <w:vAlign w:val="center"/>
                </w:tcPr>
                <w:p>
                  <w:pPr>
                    <w:jc w:val="center"/>
                    <w:rPr>
                      <w:szCs w:val="21"/>
                    </w:rPr>
                  </w:pPr>
                  <w:r>
                    <w:rPr>
                      <w:rFonts w:hint="eastAsia"/>
                      <w:szCs w:val="21"/>
                    </w:rPr>
                    <w:t>下料-折弯-卷圆-冲压-焊接-成品</w:t>
                  </w:r>
                </w:p>
              </w:tc>
              <w:tc>
                <w:tcPr>
                  <w:tcW w:w="1014" w:type="dxa"/>
                  <w:vAlign w:val="center"/>
                </w:tcPr>
                <w:p>
                  <w:pPr>
                    <w:jc w:val="center"/>
                    <w:rPr>
                      <w:szCs w:val="21"/>
                    </w:rPr>
                  </w:pPr>
                  <w:r>
                    <w:rPr>
                      <w:szCs w:val="21"/>
                    </w:rPr>
                    <w:t>基本</w:t>
                  </w:r>
                </w:p>
                <w:p>
                  <w:pPr>
                    <w:jc w:val="center"/>
                    <w:rPr>
                      <w:szCs w:val="21"/>
                    </w:rPr>
                  </w:pPr>
                  <w:r>
                    <w:rPr>
                      <w:szCs w:val="21"/>
                    </w:rPr>
                    <w:t>一致</w:t>
                  </w:r>
                </w:p>
              </w:tc>
            </w:tr>
          </w:tbl>
          <w:p>
            <w:pPr>
              <w:spacing w:line="460" w:lineRule="exact"/>
              <w:rPr>
                <w:b/>
                <w:sz w:val="24"/>
              </w:rPr>
            </w:pPr>
            <w:r>
              <w:rPr>
                <w:b/>
                <w:sz w:val="24"/>
              </w:rPr>
              <w:t>三、项目选址及周围环境</w:t>
            </w:r>
          </w:p>
          <w:p>
            <w:pPr>
              <w:spacing w:line="460" w:lineRule="exact"/>
              <w:ind w:firstLine="480" w:firstLineChars="200"/>
              <w:rPr>
                <w:bCs/>
                <w:sz w:val="24"/>
              </w:rPr>
            </w:pPr>
            <w:r>
              <w:rPr>
                <w:bCs/>
                <w:sz w:val="24"/>
              </w:rPr>
              <w:t>本项目位于新乡市凤泉区耿黄镇东鲁堡村北，占地</w:t>
            </w:r>
            <w:r>
              <w:rPr>
                <w:rFonts w:hint="eastAsia"/>
                <w:bCs/>
                <w:sz w:val="24"/>
              </w:rPr>
              <w:t>70</w:t>
            </w:r>
            <w:r>
              <w:rPr>
                <w:bCs/>
                <w:sz w:val="24"/>
              </w:rPr>
              <w:t>0m</w:t>
            </w:r>
            <w:r>
              <w:rPr>
                <w:bCs/>
                <w:sz w:val="24"/>
                <w:vertAlign w:val="superscript"/>
              </w:rPr>
              <w:t>2</w:t>
            </w:r>
            <w:r>
              <w:rPr>
                <w:sz w:val="24"/>
              </w:rPr>
              <w:t>，不属于行洪区。项目租赁</w:t>
            </w:r>
            <w:r>
              <w:rPr>
                <w:bCs/>
                <w:sz w:val="24"/>
              </w:rPr>
              <w:t>耿黄镇东鲁堡村北的现有闲置厂房</w:t>
            </w:r>
            <w:r>
              <w:rPr>
                <w:rFonts w:hint="eastAsia"/>
                <w:bCs/>
                <w:sz w:val="24"/>
              </w:rPr>
              <w:t>。根据《凤泉区土地利用总体规划图（2010-2020）》，本项目选址属于现状建设用地</w:t>
            </w:r>
            <w:r>
              <w:rPr>
                <w:rFonts w:hint="eastAsia"/>
                <w:bCs/>
                <w:kern w:val="36"/>
                <w:sz w:val="24"/>
              </w:rPr>
              <w:t>（详见附图一）</w:t>
            </w:r>
            <w:r>
              <w:rPr>
                <w:rFonts w:hint="eastAsia"/>
                <w:bCs/>
                <w:sz w:val="24"/>
              </w:rPr>
              <w:t>；同时</w:t>
            </w:r>
            <w:r>
              <w:rPr>
                <w:bCs/>
                <w:sz w:val="24"/>
              </w:rPr>
              <w:t>根据《新乡市山水林田湖草一体化生态城控制性详细规划</w:t>
            </w:r>
            <w:r>
              <w:rPr>
                <w:rFonts w:hint="eastAsia"/>
                <w:bCs/>
                <w:sz w:val="24"/>
              </w:rPr>
              <w:t xml:space="preserve">- </w:t>
            </w:r>
            <w:r>
              <w:rPr>
                <w:bCs/>
                <w:sz w:val="24"/>
              </w:rPr>
              <w:t>-用地规划图》，该项目选址属于公园绿地</w:t>
            </w:r>
            <w:r>
              <w:rPr>
                <w:rFonts w:hint="eastAsia"/>
                <w:bCs/>
                <w:kern w:val="36"/>
                <w:sz w:val="24"/>
              </w:rPr>
              <w:t>（详见附图二）</w:t>
            </w:r>
            <w:r>
              <w:rPr>
                <w:bCs/>
                <w:sz w:val="24"/>
              </w:rPr>
              <w:t>，新乡市博昌环保设备有限公司</w:t>
            </w:r>
            <w:r>
              <w:rPr>
                <w:rFonts w:hint="eastAsia"/>
                <w:bCs/>
                <w:sz w:val="24"/>
              </w:rPr>
              <w:t>已签署搬迁承诺书（见附件），待新乡市山水林田湖草一体化生态城发展规划至此时，需要我厂搬迁，本项目建设单位同意无条件搬迁。</w:t>
            </w:r>
          </w:p>
          <w:p>
            <w:pPr>
              <w:spacing w:line="460" w:lineRule="exact"/>
              <w:ind w:firstLine="480" w:firstLineChars="200"/>
              <w:rPr>
                <w:sz w:val="24"/>
              </w:rPr>
            </w:pPr>
            <w:r>
              <w:rPr>
                <w:sz w:val="24"/>
              </w:rPr>
              <w:t>企业四周环境为：东侧为新乡市</w:t>
            </w:r>
            <w:r>
              <w:rPr>
                <w:rFonts w:hint="eastAsia"/>
                <w:sz w:val="24"/>
              </w:rPr>
              <w:t>丰汇线业</w:t>
            </w:r>
            <w:r>
              <w:rPr>
                <w:sz w:val="24"/>
              </w:rPr>
              <w:t>有限公司；西侧为闲置厂房；南侧为乡道；北侧</w:t>
            </w:r>
            <w:r>
              <w:rPr>
                <w:rFonts w:hint="eastAsia"/>
                <w:sz w:val="24"/>
              </w:rPr>
              <w:t>为G5512晋新高速（38m），</w:t>
            </w:r>
            <w:r>
              <w:rPr>
                <w:sz w:val="24"/>
              </w:rPr>
              <w:t>距项目最近的敏感点为南侧</w:t>
            </w:r>
            <w:r>
              <w:rPr>
                <w:rFonts w:hint="eastAsia"/>
                <w:sz w:val="24"/>
              </w:rPr>
              <w:t>395</w:t>
            </w:r>
            <w:r>
              <w:rPr>
                <w:sz w:val="24"/>
              </w:rPr>
              <w:t>m处的东鲁堡村。根据《公路安全保护条例》第十一条：属于高速公路的，公路建筑控制区的范围从公路用地外缘起向外的距离标准不少于</w:t>
            </w:r>
            <w:r>
              <w:rPr>
                <w:rFonts w:hint="eastAsia"/>
                <w:sz w:val="24"/>
              </w:rPr>
              <w:t>30m，本项目距离晋新高速外缘38m，符合该条例。</w:t>
            </w:r>
            <w:r>
              <w:rPr>
                <w:sz w:val="24"/>
              </w:rPr>
              <w:t>项目周边环境示意图见图1、</w:t>
            </w:r>
            <w:r>
              <w:rPr>
                <w:rFonts w:hint="eastAsia"/>
                <w:sz w:val="24"/>
              </w:rPr>
              <w:t>图2</w:t>
            </w:r>
            <w:r>
              <w:rPr>
                <w:sz w:val="24"/>
              </w:rPr>
              <w:t>。</w:t>
            </w:r>
          </w:p>
          <w:p>
            <w:pPr>
              <w:spacing w:line="460" w:lineRule="exact"/>
              <w:ind w:firstLine="2310" w:firstLineChars="1100"/>
            </w:pPr>
            <w:r>
              <w:rPr>
                <w:rFonts w:hint="eastAsia"/>
              </w:rPr>
              <w:drawing>
                <wp:anchor distT="0" distB="0" distL="114300" distR="114300" simplePos="0" relativeHeight="251743232" behindDoc="0" locked="0" layoutInCell="1" allowOverlap="1">
                  <wp:simplePos x="0" y="0"/>
                  <wp:positionH relativeFrom="column">
                    <wp:posOffset>161925</wp:posOffset>
                  </wp:positionH>
                  <wp:positionV relativeFrom="paragraph">
                    <wp:posOffset>91440</wp:posOffset>
                  </wp:positionV>
                  <wp:extent cx="516890" cy="8382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0719" cy="843924"/>
                          </a:xfrm>
                          <a:prstGeom prst="rect">
                            <a:avLst/>
                          </a:prstGeom>
                          <a:solidFill>
                            <a:schemeClr val="bg1"/>
                          </a:solidFill>
                        </pic:spPr>
                      </pic:pic>
                    </a:graphicData>
                  </a:graphic>
                </wp:anchor>
              </w:drawing>
            </w:r>
            <w:r>
              <w:rPr>
                <w:b/>
                <w:sz w:val="24"/>
              </w:rPr>
              <w:pict>
                <v:rect id="_x0000_s1204" o:spid="_x0000_s1204" o:spt="1" style="position:absolute;left:0pt;margin-left:313.5pt;margin-top:19.95pt;height:51.75pt;width:72pt;z-index:251711488;mso-width-relative:page;mso-height-relative:page;" stroked="f" coordsize="21600,21600">
                  <v:path/>
                  <v:fill opacity="0f" focussize="0,0"/>
                  <v:stroke on="f"/>
                  <v:imagedata o:title=""/>
                  <o:lock v:ext="edit"/>
                  <v:textbox>
                    <w:txbxContent>
                      <w:p>
                        <w:pPr>
                          <w:rPr>
                            <w:b/>
                          </w:rPr>
                        </w:pPr>
                        <w:r>
                          <w:rPr>
                            <w:rFonts w:hint="eastAsia"/>
                            <w:b/>
                          </w:rPr>
                          <w:t>G5512</w:t>
                        </w:r>
                      </w:p>
                      <w:p>
                        <w:pPr>
                          <w:rPr>
                            <w:b/>
                          </w:rPr>
                        </w:pPr>
                        <w:r>
                          <w:rPr>
                            <w:rFonts w:hint="eastAsia"/>
                            <w:b/>
                          </w:rPr>
                          <w:t>晋新高速（38m）</w:t>
                        </w:r>
                      </w:p>
                    </w:txbxContent>
                  </v:textbox>
                </v:rect>
              </w:pict>
            </w:r>
            <w:r>
              <w:rPr>
                <w:rFonts w:hint="eastAsia"/>
              </w:rPr>
              <w:drawing>
                <wp:anchor distT="0" distB="0" distL="114300" distR="114300" simplePos="0" relativeHeight="251701248" behindDoc="0" locked="0" layoutInCell="1" allowOverlap="1">
                  <wp:simplePos x="0" y="0"/>
                  <wp:positionH relativeFrom="column">
                    <wp:posOffset>161290</wp:posOffset>
                  </wp:positionH>
                  <wp:positionV relativeFrom="paragraph">
                    <wp:posOffset>91440</wp:posOffset>
                  </wp:positionV>
                  <wp:extent cx="5362575" cy="4399915"/>
                  <wp:effectExtent l="19050" t="19050" r="9525" b="63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62575" cy="4399915"/>
                          </a:xfrm>
                          <a:prstGeom prst="rect">
                            <a:avLst/>
                          </a:prstGeom>
                          <a:ln>
                            <a:solidFill>
                              <a:schemeClr val="tx1"/>
                            </a:solidFill>
                          </a:ln>
                        </pic:spPr>
                      </pic:pic>
                    </a:graphicData>
                  </a:graphic>
                </wp:anchor>
              </w:drawing>
            </w:r>
            <w:r>
              <w:pict>
                <v:shape id="_x0000_s1199" o:spid="_x0000_s1199" style="position:absolute;left:0pt;margin-left:204pt;margin-top:7.95pt;height:110.25pt;width:231pt;z-index:251706368;mso-width-relative:page;mso-height-relative:page;" coordsize="4620,2205" path="m2175,0l0,0,4620,2205,4575,1125,2175,0xe">
                  <v:path arrowok="t"/>
                  <v:fill opacity="39977f" focussize="0,0"/>
                  <v:stroke/>
                  <v:imagedata o:title=""/>
                  <o:lock v:ext="edit"/>
                </v:shape>
              </w:pict>
            </w:r>
          </w:p>
          <w:p>
            <w:pPr>
              <w:pStyle w:val="2"/>
              <w:ind w:firstLine="560"/>
            </w:pPr>
          </w:p>
          <w:p/>
          <w:p>
            <w:pPr>
              <w:pStyle w:val="2"/>
              <w:ind w:firstLine="560"/>
            </w:pPr>
          </w:p>
          <w:p>
            <w:r>
              <w:pict>
                <v:shape id="_x0000_s1195" o:spid="_x0000_s1195" style="position:absolute;left:0pt;margin-left:195pt;margin-top:7.45pt;height:104.25pt;width:82.5pt;z-index:251704320;mso-width-relative:page;mso-height-relative:page;" coordsize="1650,2085" path="m345,0l0,1845,1380,2085,1650,540,780,405,885,15,345,0xe">
                  <v:path arrowok="t"/>
                  <v:fill opacity="32768f" focussize="0,0"/>
                  <v:stroke/>
                  <v:imagedata o:title=""/>
                  <o:lock v:ext="edit"/>
                </v:shape>
              </w:pict>
            </w:r>
          </w:p>
          <w:p>
            <w:pPr>
              <w:pStyle w:val="2"/>
              <w:ind w:firstLine="560"/>
            </w:pPr>
            <w:r>
              <w:pict>
                <v:shape id="_x0000_s1197" o:spid="_x0000_s1197" style="position:absolute;left:0pt;margin-left:288.9pt;margin-top:30.1pt;height:133.5pt;width:80.25pt;z-index:251705344;mso-width-relative:page;mso-height-relative:page;" coordsize="1605,2670" path="m480,0l0,2430,1170,2670,1605,255,480,0xe">
                  <v:path arrowok="t"/>
                  <v:fill opacity="33423f" focussize="0,0"/>
                  <v:stroke/>
                  <v:imagedata o:title=""/>
                  <o:lock v:ext="edit"/>
                </v:shape>
              </w:pict>
            </w:r>
            <w:r>
              <w:pict>
                <v:shape id="_x0000_s1194" o:spid="_x0000_s1194" style="position:absolute;left:0pt;margin-left:256.5pt;margin-top:23.35pt;height:128.25pt;width:56.25pt;z-index:251703296;mso-width-relative:page;mso-height-relative:page;" fillcolor="#FF0000" filled="t" coordsize="1125,2565" path="m495,0l0,2460,630,2565,1125,120,495,0xe">
                  <v:path arrowok="t"/>
                  <v:fill on="t" opacity="32768f" focussize="0,0"/>
                  <v:stroke/>
                  <v:imagedata o:title=""/>
                  <o:lock v:ext="edit"/>
                </v:shape>
              </w:pict>
            </w:r>
          </w:p>
          <w:p>
            <w:r>
              <w:rPr>
                <w:b/>
                <w:sz w:val="24"/>
              </w:rPr>
              <w:pict>
                <v:rect id="_x0000_s1214" o:spid="_x0000_s1214" o:spt="1" style="position:absolute;left:0pt;margin-left:206.25pt;margin-top:8.65pt;height:23.25pt;width:59.25pt;z-index:251721728;mso-width-relative:page;mso-height-relative:page;" stroked="f" coordsize="21600,21600">
                  <v:path/>
                  <v:fill opacity="0f" focussize="0,0"/>
                  <v:stroke on="f"/>
                  <v:imagedata o:title=""/>
                  <o:lock v:ext="edit"/>
                  <v:textbox>
                    <w:txbxContent>
                      <w:p>
                        <w:r>
                          <w:t>闲置厂房</w:t>
                        </w:r>
                      </w:p>
                    </w:txbxContent>
                  </v:textbox>
                </v:rect>
              </w:pict>
            </w:r>
          </w:p>
          <w:p>
            <w:pPr>
              <w:pStyle w:val="2"/>
              <w:ind w:firstLine="560"/>
            </w:pPr>
            <w:r>
              <w:pict>
                <v:rect id="_x0000_s1201" o:spid="_x0000_s1201" o:spt="1" style="position:absolute;left:0pt;margin-left:300pt;margin-top:21.55pt;height:55.5pt;width:67.65pt;z-index:251708416;mso-width-relative:page;mso-height-relative:page;" stroked="f" coordsize="21600,21600">
                  <v:path/>
                  <v:fill opacity="0f" focussize="0,0"/>
                  <v:stroke on="f"/>
                  <v:imagedata o:title=""/>
                  <o:lock v:ext="edit"/>
                  <v:textbox>
                    <w:txbxContent>
                      <w:p>
                        <w:r>
                          <w:t>新乡市丰汇</w:t>
                        </w:r>
                      </w:p>
                      <w:p>
                        <w:r>
                          <w:t>线业有限</w:t>
                        </w:r>
                      </w:p>
                      <w:p>
                        <w:r>
                          <w:t>公司</w:t>
                        </w:r>
                      </w:p>
                      <w:p/>
                    </w:txbxContent>
                  </v:textbox>
                </v:rect>
              </w:pict>
            </w:r>
            <w:r>
              <w:rPr>
                <w:b/>
                <w:sz w:val="24"/>
              </w:rPr>
              <w:pict>
                <v:rect id="_x0000_s1205" o:spid="_x0000_s1205" o:spt="1" style="position:absolute;left:0pt;margin-left:273pt;margin-top:7.3pt;height:61.5pt;width:28.5pt;z-index:251712512;mso-width-relative:page;mso-height-relative:page;" stroked="f" coordsize="21600,21600">
                  <v:path/>
                  <v:fill opacity="0f" focussize="0,0"/>
                  <v:stroke on="f"/>
                  <v:imagedata o:title=""/>
                  <o:lock v:ext="edit"/>
                  <v:textbox>
                    <w:txbxContent>
                      <w:p>
                        <w:pPr>
                          <w:rPr>
                            <w:b/>
                          </w:rPr>
                        </w:pPr>
                        <w:r>
                          <w:rPr>
                            <w:b/>
                          </w:rPr>
                          <w:t>本</w:t>
                        </w:r>
                      </w:p>
                      <w:p>
                        <w:pPr>
                          <w:rPr>
                            <w:b/>
                          </w:rPr>
                        </w:pPr>
                        <w:r>
                          <w:rPr>
                            <w:b/>
                          </w:rPr>
                          <w:t>项</w:t>
                        </w:r>
                      </w:p>
                      <w:p>
                        <w:pPr>
                          <w:rPr>
                            <w:b/>
                          </w:rPr>
                        </w:pPr>
                        <w:r>
                          <w:rPr>
                            <w:b/>
                          </w:rPr>
                          <w:t>目</w:t>
                        </w:r>
                      </w:p>
                    </w:txbxContent>
                  </v:textbox>
                </v:rect>
              </w:pict>
            </w:r>
          </w:p>
          <w:p/>
          <w:p>
            <w:pPr>
              <w:pStyle w:val="2"/>
              <w:ind w:firstLine="560"/>
            </w:pPr>
          </w:p>
          <w:p>
            <w:pPr>
              <w:spacing w:line="460" w:lineRule="exact"/>
              <w:ind w:firstLine="2640" w:firstLineChars="1100"/>
              <w:rPr>
                <w:rFonts w:ascii="黑体" w:hAnsi="黑体" w:eastAsia="黑体"/>
                <w:sz w:val="24"/>
                <w:lang w:val="pt-BR"/>
              </w:rPr>
            </w:pPr>
            <w:r>
              <w:rPr>
                <w:rFonts w:ascii="黑体" w:hAnsi="黑体" w:eastAsia="黑体"/>
                <w:sz w:val="24"/>
              </w:rPr>
              <w:pict>
                <v:shape id="_x0000_s1200" o:spid="_x0000_s1200" style="position:absolute;left:0pt;margin-left:61.5pt;margin-top:11.05pt;height:86.25pt;width:373.5pt;z-index:251707392;mso-width-relative:page;mso-height-relative:page;" filled="f" stroked="t" coordsize="7470,1725" path="m0,0l7470,1470,7470,1725,0,225e">
                  <v:path arrowok="t"/>
                  <v:fill on="f" focussize="0,0"/>
                  <v:stroke weight="1pt" color="#000000"/>
                  <v:imagedata o:title=""/>
                  <o:lock v:ext="edit"/>
                </v:shape>
              </w:pict>
            </w:r>
          </w:p>
          <w:p>
            <w:pPr>
              <w:spacing w:line="460" w:lineRule="exact"/>
              <w:ind w:firstLine="2650" w:firstLineChars="1100"/>
              <w:rPr>
                <w:rFonts w:ascii="黑体" w:hAnsi="黑体" w:eastAsia="黑体"/>
                <w:sz w:val="24"/>
                <w:lang w:val="pt-BR"/>
              </w:rPr>
            </w:pPr>
            <w:r>
              <w:rPr>
                <w:b/>
                <w:sz w:val="24"/>
              </w:rPr>
              <w:pict>
                <v:rect id="_x0000_s1202" o:spid="_x0000_s1202" o:spt="1" style="position:absolute;left:0pt;margin-left:168pt;margin-top:6.8pt;height:19.5pt;width:27pt;z-index:251709440;mso-width-relative:page;mso-height-relative:page;" stroked="f" coordsize="21600,21600">
                  <v:path/>
                  <v:fill opacity="0f" focussize="0,0"/>
                  <v:stroke on="f"/>
                  <v:imagedata o:title=""/>
                  <o:lock v:ext="edit"/>
                  <v:textbox>
                    <w:txbxContent>
                      <w:p>
                        <w:r>
                          <w:t>乡</w:t>
                        </w:r>
                      </w:p>
                    </w:txbxContent>
                  </v:textbox>
                </v:rect>
              </w:pict>
            </w:r>
          </w:p>
          <w:p>
            <w:pPr>
              <w:spacing w:line="460" w:lineRule="exact"/>
              <w:ind w:firstLine="2650" w:firstLineChars="1100"/>
              <w:rPr>
                <w:rFonts w:ascii="黑体" w:hAnsi="黑体" w:eastAsia="黑体"/>
                <w:sz w:val="24"/>
                <w:lang w:val="pt-BR"/>
              </w:rPr>
            </w:pPr>
            <w:r>
              <w:rPr>
                <w:b/>
                <w:sz w:val="24"/>
              </w:rPr>
              <w:pict>
                <v:rect id="_x0000_s1203" o:spid="_x0000_s1203" o:spt="1" style="position:absolute;left:0pt;margin-left:256.5pt;margin-top:0.3pt;height:25.5pt;width:27pt;z-index:251710464;mso-width-relative:page;mso-height-relative:page;" stroked="f" coordsize="21600,21600">
                  <v:path/>
                  <v:fill opacity="0f" focussize="0,0"/>
                  <v:stroke on="f"/>
                  <v:imagedata o:title=""/>
                  <o:lock v:ext="edit"/>
                  <v:textbox>
                    <w:txbxContent>
                      <w:p>
                        <w:r>
                          <w:t>道</w:t>
                        </w:r>
                      </w:p>
                    </w:txbxContent>
                  </v:textbox>
                </v:rect>
              </w:pict>
            </w:r>
          </w:p>
          <w:p>
            <w:pPr>
              <w:spacing w:line="460" w:lineRule="exact"/>
              <w:rPr>
                <w:rFonts w:ascii="黑体" w:hAnsi="黑体" w:eastAsia="黑体"/>
                <w:sz w:val="24"/>
                <w:lang w:val="pt-BR"/>
              </w:rPr>
            </w:pPr>
          </w:p>
          <w:p>
            <w:pPr>
              <w:spacing w:line="460" w:lineRule="exact"/>
              <w:ind w:firstLine="2640" w:firstLineChars="1100"/>
              <w:rPr>
                <w:rFonts w:ascii="黑体" w:hAnsi="黑体" w:eastAsia="黑体"/>
                <w:sz w:val="24"/>
                <w:lang w:val="pt-BR"/>
              </w:rPr>
            </w:pPr>
          </w:p>
          <w:p>
            <w:pPr>
              <w:spacing w:line="460" w:lineRule="exact"/>
              <w:ind w:firstLine="2640" w:firstLineChars="1100"/>
              <w:rPr>
                <w:rFonts w:ascii="黑体" w:hAnsi="黑体" w:eastAsia="黑体"/>
                <w:sz w:val="24"/>
                <w:lang w:val="pt-BR"/>
              </w:rPr>
            </w:pPr>
            <w:r>
              <w:rPr>
                <w:rFonts w:ascii="黑体" w:hAnsi="黑体" w:eastAsia="黑体"/>
                <w:sz w:val="24"/>
                <w:lang w:val="pt-BR"/>
              </w:rPr>
              <w:t>图1   项目周边环境示意图</w:t>
            </w:r>
          </w:p>
          <w:p>
            <w:pPr>
              <w:pStyle w:val="2"/>
              <w:ind w:firstLine="560"/>
              <w:rPr>
                <w:lang w:val="pt-BR"/>
              </w:rPr>
            </w:pPr>
          </w:p>
          <w:p>
            <w:pPr>
              <w:adjustRightInd w:val="0"/>
              <w:snapToGrid w:val="0"/>
              <w:spacing w:line="460" w:lineRule="exact"/>
              <w:rPr>
                <w:b/>
                <w:sz w:val="24"/>
              </w:rPr>
            </w:pPr>
            <w:r>
              <w:pict>
                <v:shape id="_x0000_s1220" o:spid="_x0000_s1220" style="position:absolute;left:0pt;margin-left:195.75pt;margin-top:1.7pt;height:111.75pt;width:213pt;z-index:251726848;mso-width-relative:page;mso-height-relative:page;" fillcolor="#FFFFFF" filled="t" coordsize="4260,2235" path="m135,45l4260,2235,4260,1890,585,0,0,60e">
                  <v:path arrowok="t"/>
                  <v:fill on="t" focussize="0,0"/>
                  <v:stroke/>
                  <v:imagedata o:title=""/>
                  <o:lock v:ext="edit"/>
                </v:shape>
              </w:pict>
            </w:r>
            <w:r>
              <w:drawing>
                <wp:anchor distT="0" distB="0" distL="114300" distR="114300" simplePos="0" relativeHeight="251702272" behindDoc="0" locked="0" layoutInCell="1" allowOverlap="1">
                  <wp:simplePos x="0" y="0"/>
                  <wp:positionH relativeFrom="column">
                    <wp:posOffset>514350</wp:posOffset>
                  </wp:positionH>
                  <wp:positionV relativeFrom="paragraph">
                    <wp:posOffset>50165</wp:posOffset>
                  </wp:positionV>
                  <wp:extent cx="4655185" cy="4067175"/>
                  <wp:effectExtent l="19050" t="1905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55185" cy="4067175"/>
                          </a:xfrm>
                          <a:prstGeom prst="rect">
                            <a:avLst/>
                          </a:prstGeom>
                          <a:solidFill>
                            <a:schemeClr val="bg1">
                              <a:alpha val="50000"/>
                            </a:schemeClr>
                          </a:solidFill>
                          <a:ln>
                            <a:solidFill>
                              <a:schemeClr val="tx1"/>
                            </a:solidFill>
                          </a:ln>
                        </pic:spPr>
                      </pic:pic>
                    </a:graphicData>
                  </a:graphic>
                </wp:anchor>
              </w:drawing>
            </w:r>
            <w:r>
              <w:drawing>
                <wp:anchor distT="0" distB="0" distL="114300" distR="114300" simplePos="0" relativeHeight="251742208" behindDoc="0" locked="0" layoutInCell="1" allowOverlap="1">
                  <wp:simplePos x="0" y="0"/>
                  <wp:positionH relativeFrom="column">
                    <wp:posOffset>561975</wp:posOffset>
                  </wp:positionH>
                  <wp:positionV relativeFrom="paragraph">
                    <wp:posOffset>52705</wp:posOffset>
                  </wp:positionV>
                  <wp:extent cx="533400" cy="86423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3400" cy="864235"/>
                          </a:xfrm>
                          <a:prstGeom prst="rect">
                            <a:avLst/>
                          </a:prstGeom>
                          <a:solidFill>
                            <a:schemeClr val="bg1"/>
                          </a:solidFill>
                        </pic:spPr>
                      </pic:pic>
                    </a:graphicData>
                  </a:graphic>
                </wp:anchor>
              </w:drawing>
            </w:r>
            <w:r>
              <w:rPr>
                <w:b/>
                <w:sz w:val="24"/>
              </w:rPr>
              <w:pict>
                <v:rect id="_x0000_s1223" o:spid="_x0000_s1223" o:spt="1" style="position:absolute;left:0pt;margin-left:246pt;margin-top:17.45pt;height:18.75pt;width:21pt;z-index:251729920;mso-width-relative:page;mso-height-relative:page;" stroked="f" coordsize="21600,21600">
                  <v:path/>
                  <v:fill opacity="0f" focussize="0,0"/>
                  <v:stroke on="f"/>
                  <v:imagedata o:title=""/>
                  <o:lock v:ext="edit"/>
                  <v:textbox>
                    <w:txbxContent>
                      <w:p>
                        <w:pPr>
                          <w:rPr>
                            <w:color w:val="000000" w:themeColor="text1"/>
                          </w:rPr>
                        </w:pPr>
                        <w:r>
                          <w:rPr>
                            <w:rFonts w:hint="eastAsia"/>
                            <w:color w:val="000000" w:themeColor="text1"/>
                          </w:rPr>
                          <w:t>G</w:t>
                        </w:r>
                      </w:p>
                    </w:txbxContent>
                  </v:textbox>
                </v:rect>
              </w:pict>
            </w:r>
          </w:p>
          <w:p>
            <w:pPr>
              <w:adjustRightInd w:val="0"/>
              <w:snapToGrid w:val="0"/>
              <w:spacing w:line="460" w:lineRule="exact"/>
              <w:rPr>
                <w:b/>
                <w:sz w:val="24"/>
              </w:rPr>
            </w:pPr>
            <w:r>
              <w:rPr>
                <w:b/>
                <w:sz w:val="24"/>
              </w:rPr>
              <w:pict>
                <v:rect id="_x0000_s1229" o:spid="_x0000_s1229" o:spt="1" style="position:absolute;left:0pt;margin-left:301.5pt;margin-top:19.95pt;height:21.75pt;width:18.75pt;z-index:251736064;mso-width-relative:page;mso-height-relative:page;" stroked="f" coordsize="21600,21600">
                  <v:path/>
                  <v:fill opacity="0f" focussize="0,0"/>
                  <v:stroke on="f"/>
                  <v:imagedata o:title=""/>
                  <o:lock v:ext="edit"/>
                  <v:textbox>
                    <w:txbxContent>
                      <w:p>
                        <w:r>
                          <w:rPr>
                            <w:rFonts w:hint="eastAsia"/>
                          </w:rPr>
                          <w:t>晋</w:t>
                        </w:r>
                      </w:p>
                    </w:txbxContent>
                  </v:textbox>
                </v:rect>
              </w:pict>
            </w:r>
            <w:r>
              <w:rPr>
                <w:b/>
                <w:sz w:val="24"/>
              </w:rPr>
              <w:pict>
                <v:rect id="_x0000_s1228" o:spid="_x0000_s1228" o:spt="1" style="position:absolute;left:0pt;margin-left:291.75pt;margin-top:14.7pt;height:21.75pt;width:18.75pt;z-index:251735040;mso-width-relative:page;mso-height-relative:page;" stroked="f" coordsize="21600,21600">
                  <v:path/>
                  <v:fill opacity="0f" focussize="0,0"/>
                  <v:stroke on="f"/>
                  <v:imagedata o:title=""/>
                  <o:lock v:ext="edit"/>
                  <v:textbox>
                    <w:txbxContent>
                      <w:p>
                        <w:r>
                          <w:rPr>
                            <w:rFonts w:hint="eastAsia"/>
                          </w:rPr>
                          <w:t>2</w:t>
                        </w:r>
                      </w:p>
                    </w:txbxContent>
                  </v:textbox>
                </v:rect>
              </w:pict>
            </w:r>
            <w:r>
              <w:rPr>
                <w:b/>
                <w:sz w:val="24"/>
              </w:rPr>
              <w:pict>
                <v:rect id="_x0000_s1227" o:spid="_x0000_s1227" o:spt="1" style="position:absolute;left:0pt;margin-left:281.25pt;margin-top:9.45pt;height:21.75pt;width:18.75pt;z-index:251734016;mso-width-relative:page;mso-height-relative:page;" stroked="f" coordsize="21600,21600">
                  <v:path/>
                  <v:fill opacity="0f" focussize="0,0"/>
                  <v:stroke on="f"/>
                  <v:imagedata o:title=""/>
                  <o:lock v:ext="edit"/>
                  <v:textbox>
                    <w:txbxContent>
                      <w:p>
                        <w:r>
                          <w:rPr>
                            <w:rFonts w:hint="eastAsia"/>
                          </w:rPr>
                          <w:t>1</w:t>
                        </w:r>
                      </w:p>
                    </w:txbxContent>
                  </v:textbox>
                </v:rect>
              </w:pict>
            </w:r>
            <w:r>
              <w:rPr>
                <w:b/>
                <w:sz w:val="24"/>
              </w:rPr>
              <w:pict>
                <v:rect id="_x0000_s1226" o:spid="_x0000_s1226" o:spt="1" style="position:absolute;left:0pt;margin-left:270.75pt;margin-top:4.95pt;height:21.75pt;width:18.75pt;z-index:251732992;mso-width-relative:page;mso-height-relative:page;" stroked="f" coordsize="21600,21600">
                  <v:path/>
                  <v:fill opacity="0f" focussize="0,0"/>
                  <v:stroke on="f"/>
                  <v:imagedata o:title=""/>
                  <o:lock v:ext="edit"/>
                  <v:textbox>
                    <w:txbxContent>
                      <w:p>
                        <w:r>
                          <w:rPr>
                            <w:rFonts w:hint="eastAsia"/>
                          </w:rPr>
                          <w:t>5</w:t>
                        </w:r>
                      </w:p>
                    </w:txbxContent>
                  </v:textbox>
                </v:rect>
              </w:pict>
            </w:r>
            <w:r>
              <w:rPr>
                <w:b/>
                <w:sz w:val="24"/>
              </w:rPr>
              <w:pict>
                <v:rect id="_x0000_s1222" o:spid="_x0000_s1222" o:spt="1" style="position:absolute;left:0pt;margin-left:260.25pt;margin-top:0.45pt;height:18.75pt;width:21pt;z-index:251728896;mso-width-relative:page;mso-height-relative:page;" stroked="f" coordsize="21600,21600">
                  <v:path/>
                  <v:fill opacity="0f" focussize="0,0"/>
                  <v:stroke on="f"/>
                  <v:imagedata o:title=""/>
                  <o:lock v:ext="edit"/>
                  <v:textbox>
                    <w:txbxContent>
                      <w:p>
                        <w:pPr>
                          <w:rPr>
                            <w:color w:val="000000" w:themeColor="text1"/>
                          </w:rPr>
                        </w:pPr>
                        <w:r>
                          <w:rPr>
                            <w:rFonts w:hint="eastAsia"/>
                            <w:color w:val="000000" w:themeColor="text1"/>
                          </w:rPr>
                          <w:t>5</w:t>
                        </w:r>
                      </w:p>
                    </w:txbxContent>
                  </v:textbox>
                </v:rect>
              </w:pict>
            </w:r>
          </w:p>
          <w:p>
            <w:pPr>
              <w:adjustRightInd w:val="0"/>
              <w:snapToGrid w:val="0"/>
              <w:spacing w:line="460" w:lineRule="exact"/>
              <w:rPr>
                <w:b/>
                <w:sz w:val="24"/>
              </w:rPr>
            </w:pPr>
            <w:r>
              <w:rPr>
                <w:b/>
                <w:sz w:val="24"/>
              </w:rPr>
              <w:pict>
                <v:shape id="_x0000_s1216" o:spid="_x0000_s1216" style="position:absolute;left:0pt;margin-left:240pt;margin-top:8.2pt;height:31.5pt;width:15.75pt;z-index:251722752;mso-width-relative:page;mso-height-relative:page;" fillcolor="#FF0000" filled="t" coordsize="315,630" path="m120,0l0,585,180,630,315,30,120,0xe">
                  <v:path arrowok="t"/>
                  <v:fill on="t" opacity="32768f" focussize="0,0"/>
                  <v:stroke/>
                  <v:imagedata o:title=""/>
                  <o:lock v:ext="edit"/>
                </v:shape>
              </w:pict>
            </w:r>
            <w:r>
              <w:rPr>
                <w:b/>
                <w:sz w:val="24"/>
              </w:rPr>
              <w:pict>
                <v:rect id="_x0000_s1234" o:spid="_x0000_s1234" o:spt="1" style="position:absolute;left:0pt;margin-left:338.25pt;margin-top:18.7pt;height:21.75pt;width:18.75pt;z-index:251741184;mso-width-relative:page;mso-height-relative:page;" stroked="f" coordsize="21600,21600">
                  <v:path/>
                  <v:fill opacity="0f" focussize="0,0"/>
                  <v:stroke on="f"/>
                  <v:imagedata o:title=""/>
                  <o:lock v:ext="edit"/>
                  <v:textbox>
                    <w:txbxContent>
                      <w:p>
                        <w:r>
                          <w:rPr>
                            <w:rFonts w:hint="eastAsia"/>
                          </w:rPr>
                          <w:t>速</w:t>
                        </w:r>
                      </w:p>
                    </w:txbxContent>
                  </v:textbox>
                </v:rect>
              </w:pict>
            </w:r>
            <w:r>
              <w:rPr>
                <w:b/>
                <w:sz w:val="24"/>
              </w:rPr>
              <w:pict>
                <v:rect id="_x0000_s1231" o:spid="_x0000_s1231" o:spt="1" style="position:absolute;left:0pt;margin-left:326.25pt;margin-top:10.45pt;height:21.75pt;width:18.75pt;z-index:251738112;mso-width-relative:page;mso-height-relative:page;" stroked="f" coordsize="21600,21600">
                  <v:path/>
                  <v:fill opacity="0f" focussize="0,0"/>
                  <v:stroke on="f"/>
                  <v:imagedata o:title=""/>
                  <o:lock v:ext="edit"/>
                  <v:textbox>
                    <w:txbxContent>
                      <w:p>
                        <w:r>
                          <w:rPr>
                            <w:rFonts w:hint="eastAsia"/>
                          </w:rPr>
                          <w:t>高</w:t>
                        </w:r>
                      </w:p>
                    </w:txbxContent>
                  </v:textbox>
                </v:rect>
              </w:pict>
            </w:r>
            <w:r>
              <w:rPr>
                <w:b/>
                <w:sz w:val="24"/>
              </w:rPr>
              <w:pict>
                <v:rect id="_x0000_s1230" o:spid="_x0000_s1230" o:spt="1" style="position:absolute;left:0pt;margin-left:314.25pt;margin-top:4.45pt;height:21.75pt;width:18.75pt;z-index:251737088;mso-width-relative:page;mso-height-relative:page;" stroked="f" coordsize="21600,21600">
                  <v:path/>
                  <v:fill opacity="0f" focussize="0,0"/>
                  <v:stroke on="f"/>
                  <v:imagedata o:title=""/>
                  <o:lock v:ext="edit"/>
                  <v:textbox>
                    <w:txbxContent>
                      <w:p>
                        <w:r>
                          <w:rPr>
                            <w:rFonts w:hint="eastAsia"/>
                          </w:rPr>
                          <w:t>新</w:t>
                        </w:r>
                      </w:p>
                    </w:txbxContent>
                  </v:textbox>
                </v:rect>
              </w:pict>
            </w:r>
          </w:p>
          <w:p>
            <w:pPr>
              <w:adjustRightInd w:val="0"/>
              <w:snapToGrid w:val="0"/>
              <w:spacing w:line="460" w:lineRule="exact"/>
              <w:rPr>
                <w:b/>
                <w:sz w:val="24"/>
              </w:rPr>
            </w:pPr>
            <w:r>
              <w:rPr>
                <w:b/>
                <w:sz w:val="24"/>
              </w:rPr>
              <w:pict>
                <v:rect id="_x0000_s1233" o:spid="_x0000_s1233" o:spt="1" style="position:absolute;left:0pt;margin-left:342.75pt;margin-top:3.95pt;height:21.75pt;width:54pt;z-index:251740160;mso-width-relative:page;mso-height-relative:page;" stroked="f" coordsize="21600,21600">
                  <v:path/>
                  <v:fill opacity="0f" focussize="0,0"/>
                  <v:stroke on="f"/>
                  <v:imagedata o:title=""/>
                  <o:lock v:ext="edit"/>
                  <v:textbox>
                    <w:txbxContent>
                      <w:p>
                        <w:r>
                          <w:rPr>
                            <w:rFonts w:hint="eastAsia"/>
                          </w:rPr>
                          <w:t>（38m）</w:t>
                        </w:r>
                      </w:p>
                    </w:txbxContent>
                  </v:textbox>
                </v:rect>
              </w:pict>
            </w:r>
          </w:p>
          <w:p>
            <w:pPr>
              <w:adjustRightInd w:val="0"/>
              <w:snapToGrid w:val="0"/>
              <w:spacing w:line="460" w:lineRule="exact"/>
              <w:rPr>
                <w:b/>
                <w:sz w:val="24"/>
              </w:rPr>
            </w:pPr>
            <w:r>
              <w:rPr>
                <w:b/>
                <w:sz w:val="24"/>
              </w:rPr>
              <w:pict>
                <v:shape id="_x0000_s1217" o:spid="_x0000_s1217" o:spt="62" type="#_x0000_t62" style="position:absolute;left:0pt;margin-left:288.75pt;margin-top:6.45pt;height:21.75pt;width:54.75pt;z-index:251723776;mso-width-relative:page;mso-height-relative:page;" coordsize="21600,21600" adj="-16846,-26069">
                  <v:path/>
                  <v:fill focussize="0,0"/>
                  <v:stroke joinstyle="miter"/>
                  <v:imagedata o:title=""/>
                  <o:lock v:ext="edit"/>
                  <v:textbox>
                    <w:txbxContent>
                      <w:p>
                        <w:pPr>
                          <w:rPr>
                            <w:color w:val="FF0000"/>
                          </w:rPr>
                        </w:pPr>
                        <w:r>
                          <w:rPr>
                            <w:color w:val="FF0000"/>
                          </w:rPr>
                          <w:t>本项目</w:t>
                        </w:r>
                      </w:p>
                    </w:txbxContent>
                  </v:textbox>
                </v:shape>
              </w:pict>
            </w:r>
          </w:p>
          <w:p>
            <w:pPr>
              <w:adjustRightInd w:val="0"/>
              <w:snapToGrid w:val="0"/>
              <w:spacing w:line="460" w:lineRule="exact"/>
              <w:rPr>
                <w:b/>
                <w:sz w:val="24"/>
              </w:rPr>
            </w:pPr>
          </w:p>
          <w:p>
            <w:pPr>
              <w:adjustRightInd w:val="0"/>
              <w:snapToGrid w:val="0"/>
              <w:spacing w:line="460" w:lineRule="exact"/>
              <w:rPr>
                <w:b/>
                <w:sz w:val="24"/>
              </w:rPr>
            </w:pPr>
          </w:p>
          <w:p>
            <w:pPr>
              <w:adjustRightInd w:val="0"/>
              <w:snapToGrid w:val="0"/>
              <w:spacing w:line="460" w:lineRule="exact"/>
              <w:rPr>
                <w:b/>
                <w:sz w:val="24"/>
              </w:rPr>
            </w:pPr>
          </w:p>
          <w:p>
            <w:pPr>
              <w:adjustRightInd w:val="0"/>
              <w:snapToGrid w:val="0"/>
              <w:spacing w:line="460" w:lineRule="exact"/>
              <w:rPr>
                <w:b/>
                <w:sz w:val="24"/>
              </w:rPr>
            </w:pPr>
          </w:p>
          <w:p>
            <w:pPr>
              <w:adjustRightInd w:val="0"/>
              <w:snapToGrid w:val="0"/>
              <w:spacing w:line="460" w:lineRule="exact"/>
              <w:rPr>
                <w:b/>
                <w:sz w:val="24"/>
              </w:rPr>
            </w:pPr>
          </w:p>
          <w:p>
            <w:pPr>
              <w:adjustRightInd w:val="0"/>
              <w:snapToGrid w:val="0"/>
              <w:spacing w:line="460" w:lineRule="exact"/>
              <w:rPr>
                <w:b/>
                <w:sz w:val="24"/>
              </w:rPr>
            </w:pPr>
            <w:r>
              <w:rPr>
                <w:b/>
                <w:sz w:val="24"/>
              </w:rPr>
              <w:pict>
                <v:shape id="_x0000_s1218" o:spid="_x0000_s1218" style="position:absolute;left:0pt;margin-left:167.25pt;margin-top:20.7pt;height:76.5pt;width:219.75pt;z-index:251724800;mso-width-relative:page;mso-height-relative:page;" fillcolor="#FFFFFF" filled="t" coordsize="4395,1695" path="m0,1695l90,570,1335,735,1410,0,2160,135,2160,570,3180,660,3180,915,3630,930,3615,1110,4395,1200,4335,1665e">
                  <v:path arrowok="t"/>
                  <v:fill on="t" opacity="32768f" focussize="0,0"/>
                  <v:stroke/>
                  <v:imagedata o:title=""/>
                  <o:lock v:ext="edit"/>
                </v:shape>
              </w:pict>
            </w:r>
          </w:p>
          <w:p>
            <w:pPr>
              <w:adjustRightInd w:val="0"/>
              <w:snapToGrid w:val="0"/>
              <w:spacing w:line="460" w:lineRule="exact"/>
              <w:rPr>
                <w:b/>
                <w:sz w:val="24"/>
              </w:rPr>
            </w:pPr>
          </w:p>
          <w:p>
            <w:pPr>
              <w:adjustRightInd w:val="0"/>
              <w:snapToGrid w:val="0"/>
              <w:spacing w:line="460" w:lineRule="exact"/>
              <w:rPr>
                <w:b/>
                <w:sz w:val="24"/>
              </w:rPr>
            </w:pPr>
            <w:r>
              <w:rPr>
                <w:b/>
                <w:sz w:val="24"/>
              </w:rPr>
              <w:pict>
                <v:rect id="_x0000_s1219" o:spid="_x0000_s1219" o:spt="1" style="position:absolute;left:0pt;margin-left:225.75pt;margin-top:4.7pt;height:39.75pt;width:66pt;z-index:251725824;mso-width-relative:page;mso-height-relative:page;" stroked="f" coordsize="21600,21600">
                  <v:path/>
                  <v:fill opacity="0f" focussize="0,0"/>
                  <v:stroke on="f"/>
                  <v:imagedata o:title=""/>
                  <o:lock v:ext="edit"/>
                  <v:textbox>
                    <w:txbxContent>
                      <w:p>
                        <w:pPr>
                          <w:rPr>
                            <w:color w:val="000000" w:themeColor="text1"/>
                          </w:rPr>
                        </w:pPr>
                        <w:r>
                          <w:rPr>
                            <w:color w:val="000000" w:themeColor="text1"/>
                          </w:rPr>
                          <w:t>东鲁堡村（</w:t>
                        </w:r>
                        <w:r>
                          <w:rPr>
                            <w:rFonts w:hint="eastAsia"/>
                            <w:color w:val="000000" w:themeColor="text1"/>
                          </w:rPr>
                          <w:t>395m</w:t>
                        </w:r>
                        <w:r>
                          <w:rPr>
                            <w:color w:val="000000" w:themeColor="text1"/>
                          </w:rPr>
                          <w:t>）</w:t>
                        </w:r>
                      </w:p>
                    </w:txbxContent>
                  </v:textbox>
                </v:rect>
              </w:pict>
            </w:r>
          </w:p>
          <w:p>
            <w:pPr>
              <w:adjustRightInd w:val="0"/>
              <w:snapToGrid w:val="0"/>
              <w:spacing w:line="460" w:lineRule="exact"/>
              <w:rPr>
                <w:b/>
                <w:sz w:val="24"/>
              </w:rPr>
            </w:pPr>
          </w:p>
          <w:p>
            <w:pPr>
              <w:adjustRightInd w:val="0"/>
              <w:snapToGrid w:val="0"/>
              <w:spacing w:line="460" w:lineRule="exact"/>
              <w:jc w:val="center"/>
              <w:rPr>
                <w:rFonts w:ascii="黑体" w:hAnsi="黑体" w:eastAsia="黑体"/>
                <w:sz w:val="24"/>
              </w:rPr>
            </w:pPr>
            <w:r>
              <w:rPr>
                <w:rFonts w:ascii="黑体" w:hAnsi="黑体" w:eastAsia="黑体"/>
                <w:sz w:val="24"/>
              </w:rPr>
              <w:t>图</w:t>
            </w:r>
            <w:r>
              <w:rPr>
                <w:rFonts w:hint="eastAsia" w:ascii="黑体" w:hAnsi="黑体" w:eastAsia="黑体"/>
                <w:sz w:val="24"/>
              </w:rPr>
              <w:t>2</w:t>
            </w:r>
            <w:r>
              <w:rPr>
                <w:rFonts w:ascii="黑体" w:hAnsi="黑体" w:eastAsia="黑体"/>
                <w:sz w:val="24"/>
              </w:rPr>
              <w:t xml:space="preserve"> 项目</w:t>
            </w:r>
            <w:r>
              <w:rPr>
                <w:rFonts w:hint="eastAsia" w:ascii="黑体" w:hAnsi="黑体" w:eastAsia="黑体"/>
                <w:sz w:val="24"/>
              </w:rPr>
              <w:t>周围敏感点</w:t>
            </w:r>
            <w:r>
              <w:rPr>
                <w:rFonts w:ascii="黑体" w:hAnsi="黑体" w:eastAsia="黑体"/>
                <w:sz w:val="24"/>
              </w:rPr>
              <w:t>示意图</w:t>
            </w:r>
          </w:p>
          <w:p>
            <w:pPr>
              <w:adjustRightInd w:val="0"/>
              <w:snapToGrid w:val="0"/>
              <w:spacing w:line="460" w:lineRule="exact"/>
              <w:rPr>
                <w:b/>
                <w:sz w:val="24"/>
              </w:rPr>
            </w:pPr>
            <w:r>
              <w:rPr>
                <w:b/>
                <w:sz w:val="24"/>
              </w:rPr>
              <w:t>四、工程内容</w:t>
            </w:r>
          </w:p>
          <w:p>
            <w:pPr>
              <w:spacing w:line="400" w:lineRule="atLeast"/>
              <w:ind w:firstLine="482" w:firstLineChars="200"/>
              <w:rPr>
                <w:b/>
                <w:sz w:val="24"/>
              </w:rPr>
            </w:pPr>
            <w:r>
              <w:rPr>
                <w:rFonts w:hint="eastAsia"/>
                <w:b/>
                <w:sz w:val="24"/>
              </w:rPr>
              <w:t>1、项目建设情况</w:t>
            </w:r>
          </w:p>
          <w:p>
            <w:pPr>
              <w:spacing w:line="400" w:lineRule="atLeast"/>
              <w:ind w:firstLine="480" w:firstLineChars="200"/>
              <w:rPr>
                <w:sz w:val="24"/>
              </w:rPr>
            </w:pPr>
            <w:r>
              <w:rPr>
                <w:rFonts w:hint="eastAsia"/>
                <w:sz w:val="24"/>
              </w:rPr>
              <w:t>根据现场勘查，项目拟建场地为空厂房，现状详见下图：</w:t>
            </w:r>
          </w:p>
          <w:p>
            <w:pPr>
              <w:pStyle w:val="2"/>
              <w:ind w:firstLine="560"/>
            </w:pPr>
            <w:r>
              <w:drawing>
                <wp:anchor distT="0" distB="0" distL="114300" distR="114300" simplePos="0" relativeHeight="251765760" behindDoc="0" locked="0" layoutInCell="1" allowOverlap="1">
                  <wp:simplePos x="0" y="0"/>
                  <wp:positionH relativeFrom="column">
                    <wp:posOffset>447675</wp:posOffset>
                  </wp:positionH>
                  <wp:positionV relativeFrom="paragraph">
                    <wp:posOffset>21590</wp:posOffset>
                  </wp:positionV>
                  <wp:extent cx="4810125" cy="2971800"/>
                  <wp:effectExtent l="19050" t="1905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10125" cy="2971800"/>
                          </a:xfrm>
                          <a:prstGeom prst="rect">
                            <a:avLst/>
                          </a:prstGeom>
                          <a:ln>
                            <a:solidFill>
                              <a:schemeClr val="tx1"/>
                            </a:solidFill>
                          </a:ln>
                        </pic:spPr>
                      </pic:pic>
                    </a:graphicData>
                  </a:graphic>
                </wp:anchor>
              </w:drawing>
            </w:r>
          </w:p>
          <w:p>
            <w:pPr>
              <w:pStyle w:val="2"/>
              <w:ind w:firstLine="560"/>
            </w:pPr>
          </w:p>
          <w:p>
            <w:pPr>
              <w:pStyle w:val="2"/>
              <w:ind w:firstLine="560"/>
            </w:pPr>
          </w:p>
          <w:p>
            <w:pPr>
              <w:pStyle w:val="2"/>
              <w:ind w:firstLine="560"/>
            </w:pPr>
          </w:p>
          <w:p>
            <w:pPr>
              <w:pStyle w:val="2"/>
              <w:ind w:firstLine="560"/>
            </w:pPr>
          </w:p>
          <w:p>
            <w:pPr>
              <w:pStyle w:val="2"/>
              <w:ind w:firstLine="560"/>
            </w:pPr>
          </w:p>
          <w:p>
            <w:pPr>
              <w:pStyle w:val="2"/>
              <w:ind w:firstLine="560"/>
            </w:pPr>
          </w:p>
          <w:p/>
          <w:p>
            <w:pPr>
              <w:pStyle w:val="2"/>
              <w:ind w:firstLine="560"/>
            </w:pPr>
            <w:r>
              <w:pict>
                <v:rect id="_x0000_s1259" o:spid="_x0000_s1259" o:spt="1" style="position:absolute;left:0pt;margin-left:92.25pt;margin-top:0.05pt;height:30.75pt;width:264.75pt;z-index:251766784;mso-width-relative:page;mso-height-relative:page;" stroked="f" coordsize="21600,21600">
                  <v:path/>
                  <v:fill opacity="0f" focussize="0,0"/>
                  <v:stroke on="f"/>
                  <v:imagedata o:title=""/>
                  <o:lock v:ext="edit"/>
                  <v:textbox>
                    <w:txbxContent>
                      <w:p>
                        <w:pPr>
                          <w:adjustRightInd w:val="0"/>
                          <w:snapToGrid w:val="0"/>
                          <w:spacing w:line="460" w:lineRule="exact"/>
                          <w:jc w:val="center"/>
                          <w:rPr>
                            <w:rFonts w:ascii="黑体" w:hAnsi="黑体" w:eastAsia="黑体"/>
                            <w:sz w:val="24"/>
                          </w:rPr>
                        </w:pPr>
                        <w:r>
                          <w:rPr>
                            <w:rFonts w:ascii="黑体" w:hAnsi="黑体" w:eastAsia="黑体"/>
                            <w:sz w:val="24"/>
                          </w:rPr>
                          <w:t>图</w:t>
                        </w:r>
                        <w:r>
                          <w:rPr>
                            <w:rFonts w:hint="eastAsia" w:ascii="黑体" w:hAnsi="黑体" w:eastAsia="黑体"/>
                            <w:sz w:val="24"/>
                          </w:rPr>
                          <w:t>3</w:t>
                        </w:r>
                        <w:r>
                          <w:rPr>
                            <w:rFonts w:ascii="黑体" w:hAnsi="黑体" w:eastAsia="黑体"/>
                            <w:sz w:val="24"/>
                          </w:rPr>
                          <w:t>项目建设情况现状图</w:t>
                        </w:r>
                      </w:p>
                      <w:p/>
                    </w:txbxContent>
                  </v:textbox>
                </v:rect>
              </w:pict>
            </w:r>
          </w:p>
          <w:p>
            <w:pPr>
              <w:spacing w:line="460" w:lineRule="exact"/>
              <w:ind w:firstLine="482" w:firstLineChars="200"/>
              <w:rPr>
                <w:b/>
                <w:sz w:val="24"/>
                <w:lang w:val="pt-BR"/>
              </w:rPr>
            </w:pPr>
            <w:r>
              <w:rPr>
                <w:b/>
                <w:sz w:val="24"/>
                <w:lang w:val="pt-BR"/>
              </w:rPr>
              <w:t>1、项目概况</w:t>
            </w:r>
          </w:p>
          <w:p>
            <w:pPr>
              <w:spacing w:line="460" w:lineRule="exact"/>
              <w:ind w:firstLine="480" w:firstLineChars="200"/>
              <w:rPr>
                <w:sz w:val="24"/>
              </w:rPr>
            </w:pPr>
            <w:r>
              <w:rPr>
                <w:sz w:val="24"/>
              </w:rPr>
              <w:t>本项目基本概况见表3。</w:t>
            </w:r>
          </w:p>
          <w:p>
            <w:pPr>
              <w:spacing w:line="440" w:lineRule="exact"/>
              <w:ind w:firstLine="480" w:firstLineChars="200"/>
              <w:rPr>
                <w:rFonts w:ascii="黑体" w:hAnsi="黑体" w:eastAsia="黑体"/>
                <w:bCs/>
                <w:sz w:val="24"/>
                <w:lang w:val="pt-BR"/>
              </w:rPr>
            </w:pPr>
            <w:r>
              <w:rPr>
                <w:rFonts w:ascii="黑体" w:hAnsi="黑体" w:eastAsia="黑体"/>
                <w:bCs/>
                <w:sz w:val="24"/>
                <w:lang w:val="pt-BR"/>
              </w:rPr>
              <w:t>表3                      项目概况一览表</w:t>
            </w:r>
          </w:p>
          <w:tbl>
            <w:tblPr>
              <w:tblStyle w:val="30"/>
              <w:tblW w:w="911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74"/>
              <w:gridCol w:w="659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8" w:space="0"/>
                    <w:bottom w:val="single" w:color="auto" w:sz="4" w:space="0"/>
                    <w:right w:val="single" w:color="auto" w:sz="4" w:space="0"/>
                  </w:tcBorders>
                  <w:vAlign w:val="center"/>
                </w:tcPr>
                <w:p>
                  <w:pPr>
                    <w:jc w:val="center"/>
                    <w:rPr>
                      <w:b/>
                      <w:szCs w:val="21"/>
                      <w:lang w:val="pt-BR"/>
                    </w:rPr>
                  </w:pPr>
                  <w:r>
                    <w:rPr>
                      <w:b/>
                      <w:szCs w:val="21"/>
                      <w:lang w:val="pt-BR"/>
                    </w:rPr>
                    <w:t>序号</w:t>
                  </w:r>
                </w:p>
              </w:tc>
              <w:tc>
                <w:tcPr>
                  <w:tcW w:w="1774" w:type="dxa"/>
                  <w:tcBorders>
                    <w:top w:val="single" w:color="auto" w:sz="8" w:space="0"/>
                    <w:left w:val="single" w:color="auto" w:sz="4" w:space="0"/>
                    <w:bottom w:val="single" w:color="auto" w:sz="4" w:space="0"/>
                    <w:right w:val="single" w:color="auto" w:sz="4" w:space="0"/>
                  </w:tcBorders>
                  <w:vAlign w:val="center"/>
                </w:tcPr>
                <w:p>
                  <w:pPr>
                    <w:jc w:val="center"/>
                    <w:rPr>
                      <w:b/>
                      <w:szCs w:val="21"/>
                      <w:lang w:val="pt-BR"/>
                    </w:rPr>
                  </w:pPr>
                  <w:r>
                    <w:rPr>
                      <w:b/>
                      <w:szCs w:val="21"/>
                      <w:lang w:val="pt-BR"/>
                    </w:rPr>
                    <w:t>项目</w:t>
                  </w:r>
                </w:p>
              </w:tc>
              <w:tc>
                <w:tcPr>
                  <w:tcW w:w="6593" w:type="dxa"/>
                  <w:tcBorders>
                    <w:top w:val="single" w:color="auto" w:sz="8" w:space="0"/>
                    <w:left w:val="single" w:color="auto" w:sz="4" w:space="0"/>
                    <w:bottom w:val="single" w:color="auto" w:sz="4" w:space="0"/>
                  </w:tcBorders>
                  <w:vAlign w:val="center"/>
                </w:tcPr>
                <w:p>
                  <w:pPr>
                    <w:jc w:val="center"/>
                    <w:rPr>
                      <w:b/>
                      <w:szCs w:val="21"/>
                      <w:lang w:val="pt-BR"/>
                    </w:rPr>
                  </w:pPr>
                  <w:r>
                    <w:rPr>
                      <w:b/>
                      <w:szCs w:val="21"/>
                      <w:lang w:val="pt-BR"/>
                    </w:rPr>
                    <w:t>内容</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1</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项目名称</w:t>
                  </w:r>
                </w:p>
              </w:tc>
              <w:tc>
                <w:tcPr>
                  <w:tcW w:w="6593" w:type="dxa"/>
                  <w:tcBorders>
                    <w:top w:val="single" w:color="auto" w:sz="4" w:space="0"/>
                    <w:left w:val="single" w:color="auto" w:sz="4" w:space="0"/>
                    <w:bottom w:val="single" w:color="auto" w:sz="4" w:space="0"/>
                  </w:tcBorders>
                  <w:vAlign w:val="center"/>
                </w:tcPr>
                <w:p>
                  <w:pPr>
                    <w:ind w:right="-231" w:rightChars="-110"/>
                    <w:jc w:val="center"/>
                    <w:rPr>
                      <w:b/>
                      <w:szCs w:val="21"/>
                    </w:rPr>
                  </w:pPr>
                  <w:r>
                    <w:rPr>
                      <w:szCs w:val="21"/>
                    </w:rPr>
                    <w:t>年产60套环保设备与机械配件项目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2</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lang w:val="pt-BR"/>
                    </w:rPr>
                  </w:pPr>
                  <w:r>
                    <w:rPr>
                      <w:szCs w:val="21"/>
                      <w:lang w:val="pt-BR"/>
                    </w:rPr>
                    <w:t>产品方案</w:t>
                  </w:r>
                </w:p>
              </w:tc>
              <w:tc>
                <w:tcPr>
                  <w:tcW w:w="6593" w:type="dxa"/>
                  <w:tcBorders>
                    <w:top w:val="single" w:color="auto" w:sz="4" w:space="0"/>
                    <w:left w:val="single" w:color="auto" w:sz="4" w:space="0"/>
                    <w:bottom w:val="single" w:color="auto" w:sz="4" w:space="0"/>
                  </w:tcBorders>
                  <w:vAlign w:val="center"/>
                </w:tcPr>
                <w:p>
                  <w:pPr>
                    <w:ind w:right="-231" w:rightChars="-110"/>
                    <w:jc w:val="center"/>
                    <w:rPr>
                      <w:szCs w:val="21"/>
                    </w:rPr>
                  </w:pPr>
                  <w:r>
                    <w:rPr>
                      <w:szCs w:val="21"/>
                    </w:rPr>
                    <w:t>年产</w:t>
                  </w:r>
                  <w:r>
                    <w:rPr>
                      <w:rFonts w:hint="eastAsia"/>
                      <w:szCs w:val="21"/>
                    </w:rPr>
                    <w:t>6</w:t>
                  </w:r>
                  <w:r>
                    <w:rPr>
                      <w:szCs w:val="21"/>
                    </w:rPr>
                    <w:t>0套环保设备机械配件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3</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lang w:val="pt-BR"/>
                    </w:rPr>
                  </w:pPr>
                  <w:r>
                    <w:rPr>
                      <w:szCs w:val="21"/>
                      <w:lang w:val="pt-BR"/>
                    </w:rPr>
                    <w:t>建设性质</w:t>
                  </w:r>
                </w:p>
              </w:tc>
              <w:tc>
                <w:tcPr>
                  <w:tcW w:w="6593" w:type="dxa"/>
                  <w:tcBorders>
                    <w:top w:val="single" w:color="auto" w:sz="4" w:space="0"/>
                    <w:left w:val="single" w:color="auto" w:sz="4" w:space="0"/>
                    <w:bottom w:val="single" w:color="auto" w:sz="4" w:space="0"/>
                  </w:tcBorders>
                  <w:vAlign w:val="center"/>
                </w:tcPr>
                <w:p>
                  <w:pPr>
                    <w:ind w:right="-231" w:rightChars="-110"/>
                    <w:jc w:val="center"/>
                    <w:rPr>
                      <w:szCs w:val="21"/>
                    </w:rPr>
                  </w:pPr>
                  <w:r>
                    <w:rPr>
                      <w:szCs w:val="21"/>
                    </w:rPr>
                    <w:t>新建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4</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lang w:val="pt-BR"/>
                    </w:rPr>
                  </w:pPr>
                  <w:r>
                    <w:rPr>
                      <w:szCs w:val="21"/>
                      <w:lang w:val="pt-BR"/>
                    </w:rPr>
                    <w:t>建设单位</w:t>
                  </w:r>
                </w:p>
              </w:tc>
              <w:tc>
                <w:tcPr>
                  <w:tcW w:w="6593" w:type="dxa"/>
                  <w:tcBorders>
                    <w:top w:val="single" w:color="auto" w:sz="4" w:space="0"/>
                    <w:left w:val="single" w:color="auto" w:sz="4" w:space="0"/>
                    <w:bottom w:val="single" w:color="auto" w:sz="4" w:space="0"/>
                  </w:tcBorders>
                  <w:vAlign w:val="center"/>
                </w:tcPr>
                <w:p>
                  <w:pPr>
                    <w:ind w:right="-231" w:rightChars="-110"/>
                    <w:jc w:val="center"/>
                    <w:rPr>
                      <w:szCs w:val="21"/>
                    </w:rPr>
                  </w:pPr>
                  <w:r>
                    <w:rPr>
                      <w:szCs w:val="21"/>
                    </w:rPr>
                    <w:t>新乡市博昌环保设备有限公司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5</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lang w:val="pt-BR"/>
                    </w:rPr>
                  </w:pPr>
                  <w:r>
                    <w:rPr>
                      <w:szCs w:val="21"/>
                      <w:lang w:val="pt-BR"/>
                    </w:rPr>
                    <w:t>项目地址</w:t>
                  </w:r>
                </w:p>
              </w:tc>
              <w:tc>
                <w:tcPr>
                  <w:tcW w:w="6593" w:type="dxa"/>
                  <w:tcBorders>
                    <w:top w:val="single" w:color="auto" w:sz="4" w:space="0"/>
                    <w:left w:val="single" w:color="auto" w:sz="4" w:space="0"/>
                    <w:bottom w:val="single" w:color="auto" w:sz="4" w:space="0"/>
                  </w:tcBorders>
                  <w:vAlign w:val="center"/>
                </w:tcPr>
                <w:p>
                  <w:pPr>
                    <w:ind w:right="-231" w:rightChars="-110"/>
                    <w:jc w:val="center"/>
                    <w:rPr>
                      <w:szCs w:val="21"/>
                    </w:rPr>
                  </w:pPr>
                  <w:r>
                    <w:rPr>
                      <w:bCs/>
                      <w:szCs w:val="21"/>
                    </w:rPr>
                    <w:t>新乡市凤泉区耿黄镇东鲁堡村北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4" w:space="0"/>
                    <w:right w:val="single" w:color="auto" w:sz="4" w:space="0"/>
                  </w:tcBorders>
                  <w:vAlign w:val="center"/>
                </w:tcPr>
                <w:p>
                  <w:pPr>
                    <w:jc w:val="center"/>
                    <w:rPr>
                      <w:szCs w:val="21"/>
                      <w:lang w:val="pt-BR"/>
                    </w:rPr>
                  </w:pPr>
                  <w:r>
                    <w:rPr>
                      <w:szCs w:val="21"/>
                      <w:lang w:val="pt-BR"/>
                    </w:rPr>
                    <w:t>6</w:t>
                  </w:r>
                </w:p>
              </w:tc>
              <w:tc>
                <w:tcPr>
                  <w:tcW w:w="1774" w:type="dxa"/>
                  <w:tcBorders>
                    <w:top w:val="single" w:color="auto" w:sz="4" w:space="0"/>
                    <w:left w:val="single" w:color="auto" w:sz="4" w:space="0"/>
                    <w:bottom w:val="single" w:color="auto" w:sz="4" w:space="0"/>
                    <w:right w:val="single" w:color="auto" w:sz="4" w:space="0"/>
                  </w:tcBorders>
                  <w:vAlign w:val="center"/>
                </w:tcPr>
                <w:p>
                  <w:pPr>
                    <w:jc w:val="center"/>
                    <w:rPr>
                      <w:szCs w:val="21"/>
                      <w:lang w:val="pt-BR"/>
                    </w:rPr>
                  </w:pPr>
                  <w:r>
                    <w:rPr>
                      <w:szCs w:val="21"/>
                      <w:lang w:val="pt-BR"/>
                    </w:rPr>
                    <w:t>总投资（万元）</w:t>
                  </w:r>
                </w:p>
              </w:tc>
              <w:tc>
                <w:tcPr>
                  <w:tcW w:w="6593" w:type="dxa"/>
                  <w:tcBorders>
                    <w:top w:val="single" w:color="auto" w:sz="4" w:space="0"/>
                    <w:left w:val="single" w:color="auto" w:sz="4" w:space="0"/>
                    <w:bottom w:val="single" w:color="auto" w:sz="4" w:space="0"/>
                  </w:tcBorders>
                  <w:vAlign w:val="center"/>
                </w:tcPr>
                <w:p>
                  <w:pPr>
                    <w:ind w:right="-231" w:rightChars="-110"/>
                    <w:jc w:val="center"/>
                    <w:rPr>
                      <w:szCs w:val="21"/>
                    </w:rPr>
                  </w:pPr>
                  <w:r>
                    <w:rPr>
                      <w:rFonts w:hint="eastAsia"/>
                      <w:szCs w:val="21"/>
                    </w:rPr>
                    <w:t>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0" w:type="dxa"/>
                  <w:tcBorders>
                    <w:top w:val="single" w:color="auto" w:sz="4" w:space="0"/>
                    <w:bottom w:val="single" w:color="auto" w:sz="8" w:space="0"/>
                    <w:right w:val="single" w:color="auto" w:sz="4" w:space="0"/>
                  </w:tcBorders>
                  <w:vAlign w:val="center"/>
                </w:tcPr>
                <w:p>
                  <w:pPr>
                    <w:jc w:val="center"/>
                    <w:rPr>
                      <w:szCs w:val="21"/>
                      <w:lang w:val="pt-BR"/>
                    </w:rPr>
                  </w:pPr>
                  <w:r>
                    <w:rPr>
                      <w:szCs w:val="21"/>
                      <w:lang w:val="pt-BR"/>
                    </w:rPr>
                    <w:t>7</w:t>
                  </w:r>
                </w:p>
              </w:tc>
              <w:tc>
                <w:tcPr>
                  <w:tcW w:w="1774" w:type="dxa"/>
                  <w:tcBorders>
                    <w:top w:val="single" w:color="auto" w:sz="4" w:space="0"/>
                    <w:left w:val="single" w:color="auto" w:sz="4" w:space="0"/>
                    <w:bottom w:val="single" w:color="auto" w:sz="8" w:space="0"/>
                    <w:right w:val="single" w:color="auto" w:sz="4" w:space="0"/>
                  </w:tcBorders>
                  <w:vAlign w:val="center"/>
                </w:tcPr>
                <w:p>
                  <w:pPr>
                    <w:jc w:val="center"/>
                    <w:rPr>
                      <w:szCs w:val="21"/>
                      <w:lang w:val="pt-BR"/>
                    </w:rPr>
                  </w:pPr>
                  <w:r>
                    <w:rPr>
                      <w:szCs w:val="21"/>
                      <w:lang w:val="pt-BR"/>
                    </w:rPr>
                    <w:t>定员与工作制度</w:t>
                  </w:r>
                </w:p>
              </w:tc>
              <w:tc>
                <w:tcPr>
                  <w:tcW w:w="6593" w:type="dxa"/>
                  <w:tcBorders>
                    <w:top w:val="single" w:color="auto" w:sz="4" w:space="0"/>
                    <w:left w:val="single" w:color="auto" w:sz="4" w:space="0"/>
                    <w:bottom w:val="single" w:color="auto" w:sz="8" w:space="0"/>
                  </w:tcBorders>
                  <w:vAlign w:val="center"/>
                </w:tcPr>
                <w:p>
                  <w:pPr>
                    <w:ind w:right="-231" w:rightChars="-110"/>
                    <w:jc w:val="center"/>
                    <w:rPr>
                      <w:szCs w:val="21"/>
                    </w:rPr>
                  </w:pPr>
                  <w:r>
                    <w:rPr>
                      <w:szCs w:val="21"/>
                    </w:rPr>
                    <w:t>定员</w:t>
                  </w:r>
                  <w:r>
                    <w:rPr>
                      <w:rFonts w:hint="eastAsia"/>
                      <w:szCs w:val="21"/>
                    </w:rPr>
                    <w:t>3</w:t>
                  </w:r>
                  <w:r>
                    <w:rPr>
                      <w:szCs w:val="21"/>
                    </w:rPr>
                    <w:t>人，单班8小时制，年工作2</w:t>
                  </w:r>
                  <w:r>
                    <w:rPr>
                      <w:rFonts w:hint="eastAsia"/>
                      <w:szCs w:val="21"/>
                    </w:rPr>
                    <w:t>7</w:t>
                  </w:r>
                  <w:r>
                    <w:rPr>
                      <w:szCs w:val="21"/>
                    </w:rPr>
                    <w:t>0天</w:t>
                  </w:r>
                </w:p>
              </w:tc>
            </w:tr>
          </w:tbl>
          <w:p>
            <w:pPr>
              <w:spacing w:line="440" w:lineRule="exact"/>
              <w:ind w:firstLine="482" w:firstLineChars="200"/>
              <w:rPr>
                <w:b/>
                <w:sz w:val="24"/>
                <w:lang w:val="pt-BR"/>
              </w:rPr>
            </w:pPr>
            <w:r>
              <w:rPr>
                <w:b/>
                <w:sz w:val="24"/>
                <w:lang w:val="pt-BR"/>
              </w:rPr>
              <w:t>2、项目建设情况及项目组成</w:t>
            </w:r>
          </w:p>
          <w:p>
            <w:pPr>
              <w:spacing w:line="440" w:lineRule="exact"/>
              <w:ind w:firstLine="480" w:firstLineChars="200"/>
              <w:jc w:val="left"/>
              <w:rPr>
                <w:rFonts w:ascii="黑体" w:hAnsi="黑体" w:eastAsia="黑体"/>
                <w:bCs/>
                <w:sz w:val="24"/>
                <w:szCs w:val="20"/>
              </w:rPr>
            </w:pPr>
            <w:r>
              <w:rPr>
                <w:rFonts w:ascii="黑体" w:hAnsi="黑体" w:eastAsia="黑体"/>
                <w:bCs/>
                <w:sz w:val="24"/>
                <w:szCs w:val="20"/>
              </w:rPr>
              <w:t>表4                     项目工程情况一览表</w:t>
            </w:r>
          </w:p>
          <w:tbl>
            <w:tblPr>
              <w:tblStyle w:val="30"/>
              <w:tblW w:w="923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03"/>
              <w:gridCol w:w="1680"/>
              <w:gridCol w:w="575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tcBorders>
                    <w:top w:val="single" w:color="auto" w:sz="8" w:space="0"/>
                    <w:bottom w:val="single" w:color="auto" w:sz="4" w:space="0"/>
                    <w:right w:val="single" w:color="auto" w:sz="4" w:space="0"/>
                  </w:tcBorders>
                  <w:vAlign w:val="center"/>
                </w:tcPr>
                <w:p>
                  <w:pPr>
                    <w:jc w:val="center"/>
                    <w:rPr>
                      <w:b/>
                      <w:kern w:val="36"/>
                      <w:szCs w:val="21"/>
                    </w:rPr>
                  </w:pPr>
                  <w:r>
                    <w:rPr>
                      <w:b/>
                      <w:kern w:val="36"/>
                      <w:szCs w:val="21"/>
                    </w:rPr>
                    <w:t>序号</w:t>
                  </w:r>
                </w:p>
              </w:tc>
              <w:tc>
                <w:tcPr>
                  <w:tcW w:w="1103" w:type="dxa"/>
                  <w:tcBorders>
                    <w:top w:val="single" w:color="auto" w:sz="8" w:space="0"/>
                    <w:left w:val="single" w:color="auto" w:sz="4" w:space="0"/>
                    <w:bottom w:val="single" w:color="auto" w:sz="4" w:space="0"/>
                    <w:right w:val="single" w:color="auto" w:sz="4" w:space="0"/>
                  </w:tcBorders>
                  <w:vAlign w:val="center"/>
                </w:tcPr>
                <w:p>
                  <w:pPr>
                    <w:jc w:val="center"/>
                    <w:rPr>
                      <w:b/>
                      <w:kern w:val="36"/>
                      <w:szCs w:val="21"/>
                    </w:rPr>
                  </w:pPr>
                  <w:r>
                    <w:rPr>
                      <w:b/>
                      <w:kern w:val="36"/>
                      <w:szCs w:val="21"/>
                    </w:rPr>
                    <w:t>项目</w:t>
                  </w:r>
                </w:p>
              </w:tc>
              <w:tc>
                <w:tcPr>
                  <w:tcW w:w="1680" w:type="dxa"/>
                  <w:tcBorders>
                    <w:top w:val="single" w:color="auto" w:sz="8" w:space="0"/>
                    <w:left w:val="single" w:color="auto" w:sz="4" w:space="0"/>
                    <w:bottom w:val="single" w:color="auto" w:sz="4" w:space="0"/>
                    <w:right w:val="single" w:color="auto" w:sz="4" w:space="0"/>
                  </w:tcBorders>
                  <w:vAlign w:val="center"/>
                </w:tcPr>
                <w:p>
                  <w:pPr>
                    <w:jc w:val="center"/>
                    <w:rPr>
                      <w:b/>
                      <w:kern w:val="36"/>
                      <w:szCs w:val="21"/>
                    </w:rPr>
                  </w:pPr>
                  <w:r>
                    <w:rPr>
                      <w:b/>
                      <w:kern w:val="36"/>
                      <w:szCs w:val="21"/>
                    </w:rPr>
                    <w:t>建设内容</w:t>
                  </w:r>
                </w:p>
              </w:tc>
              <w:tc>
                <w:tcPr>
                  <w:tcW w:w="5752" w:type="dxa"/>
                  <w:tcBorders>
                    <w:top w:val="single" w:color="auto" w:sz="8" w:space="0"/>
                    <w:left w:val="single" w:color="auto" w:sz="4" w:space="0"/>
                    <w:bottom w:val="single" w:color="auto" w:sz="4" w:space="0"/>
                  </w:tcBorders>
                  <w:vAlign w:val="center"/>
                </w:tcPr>
                <w:p>
                  <w:pPr>
                    <w:jc w:val="center"/>
                    <w:rPr>
                      <w:b/>
                      <w:kern w:val="36"/>
                      <w:szCs w:val="21"/>
                    </w:rPr>
                  </w:pPr>
                  <w:r>
                    <w:rPr>
                      <w:b/>
                      <w:kern w:val="36"/>
                      <w:szCs w:val="21"/>
                    </w:rPr>
                    <w:t>备注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702" w:type="dxa"/>
                  <w:tcBorders>
                    <w:top w:val="single" w:color="auto" w:sz="4" w:space="0"/>
                    <w:right w:val="single" w:color="auto" w:sz="4" w:space="0"/>
                  </w:tcBorders>
                  <w:vAlign w:val="center"/>
                </w:tcPr>
                <w:p>
                  <w:pPr>
                    <w:jc w:val="center"/>
                    <w:rPr>
                      <w:kern w:val="36"/>
                      <w:szCs w:val="21"/>
                    </w:rPr>
                  </w:pPr>
                  <w:r>
                    <w:rPr>
                      <w:kern w:val="36"/>
                      <w:szCs w:val="21"/>
                    </w:rPr>
                    <w:t>1</w:t>
                  </w:r>
                </w:p>
              </w:tc>
              <w:tc>
                <w:tcPr>
                  <w:tcW w:w="1103" w:type="dxa"/>
                  <w:tcBorders>
                    <w:top w:val="single" w:color="auto" w:sz="4" w:space="0"/>
                    <w:left w:val="single" w:color="auto" w:sz="4" w:space="0"/>
                    <w:right w:val="single" w:color="auto" w:sz="4" w:space="0"/>
                  </w:tcBorders>
                  <w:vAlign w:val="center"/>
                </w:tcPr>
                <w:p>
                  <w:pPr>
                    <w:jc w:val="center"/>
                    <w:rPr>
                      <w:kern w:val="36"/>
                      <w:szCs w:val="21"/>
                    </w:rPr>
                  </w:pPr>
                  <w:r>
                    <w:rPr>
                      <w:kern w:val="36"/>
                      <w:szCs w:val="21"/>
                    </w:rPr>
                    <w:t>主体工程</w:t>
                  </w:r>
                </w:p>
              </w:tc>
              <w:tc>
                <w:tcPr>
                  <w:tcW w:w="1680" w:type="dxa"/>
                  <w:tcBorders>
                    <w:top w:val="single" w:color="auto" w:sz="4" w:space="0"/>
                    <w:left w:val="single" w:color="auto" w:sz="4" w:space="0"/>
                    <w:right w:val="single" w:color="auto" w:sz="4" w:space="0"/>
                  </w:tcBorders>
                  <w:vAlign w:val="center"/>
                </w:tcPr>
                <w:p>
                  <w:pPr>
                    <w:jc w:val="center"/>
                    <w:rPr>
                      <w:kern w:val="36"/>
                      <w:szCs w:val="21"/>
                    </w:rPr>
                  </w:pPr>
                  <w:r>
                    <w:rPr>
                      <w:kern w:val="36"/>
                      <w:szCs w:val="21"/>
                    </w:rPr>
                    <w:t>生产车间</w:t>
                  </w:r>
                </w:p>
              </w:tc>
              <w:tc>
                <w:tcPr>
                  <w:tcW w:w="5752" w:type="dxa"/>
                  <w:tcBorders>
                    <w:top w:val="single" w:color="auto" w:sz="4" w:space="0"/>
                    <w:left w:val="single" w:color="auto" w:sz="4" w:space="0"/>
                  </w:tcBorders>
                  <w:vAlign w:val="center"/>
                </w:tcPr>
                <w:p>
                  <w:pPr>
                    <w:jc w:val="center"/>
                    <w:rPr>
                      <w:kern w:val="36"/>
                      <w:szCs w:val="21"/>
                    </w:rPr>
                  </w:pPr>
                  <w:r>
                    <w:rPr>
                      <w:rFonts w:hint="eastAsia"/>
                      <w:kern w:val="36"/>
                      <w:szCs w:val="21"/>
                    </w:rPr>
                    <w:t>400</w:t>
                  </w:r>
                  <w:r>
                    <w:rPr>
                      <w:kern w:val="36"/>
                      <w:szCs w:val="21"/>
                    </w:rPr>
                    <w:t xml:space="preserve"> m</w:t>
                  </w:r>
                  <w:r>
                    <w:rPr>
                      <w:kern w:val="36"/>
                      <w:szCs w:val="21"/>
                      <w:vertAlign w:val="superscript"/>
                    </w:rPr>
                    <w:t>2</w:t>
                  </w:r>
                  <w:r>
                    <w:rPr>
                      <w:kern w:val="36"/>
                      <w:szCs w:val="21"/>
                    </w:rPr>
                    <w:t>；租赁现有厂房</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702" w:type="dxa"/>
                  <w:tcBorders>
                    <w:top w:val="single" w:color="auto" w:sz="4" w:space="0"/>
                    <w:right w:val="single" w:color="auto" w:sz="4" w:space="0"/>
                  </w:tcBorders>
                  <w:vAlign w:val="center"/>
                </w:tcPr>
                <w:p>
                  <w:pPr>
                    <w:jc w:val="center"/>
                    <w:rPr>
                      <w:kern w:val="36"/>
                      <w:szCs w:val="21"/>
                    </w:rPr>
                  </w:pPr>
                  <w:r>
                    <w:rPr>
                      <w:kern w:val="36"/>
                      <w:szCs w:val="21"/>
                    </w:rPr>
                    <w:t>2</w:t>
                  </w:r>
                </w:p>
              </w:tc>
              <w:tc>
                <w:tcPr>
                  <w:tcW w:w="1103" w:type="dxa"/>
                  <w:tcBorders>
                    <w:top w:val="single" w:color="auto" w:sz="4" w:space="0"/>
                    <w:left w:val="single" w:color="auto" w:sz="4" w:space="0"/>
                    <w:right w:val="single" w:color="auto" w:sz="4" w:space="0"/>
                  </w:tcBorders>
                  <w:vAlign w:val="center"/>
                </w:tcPr>
                <w:p>
                  <w:pPr>
                    <w:jc w:val="center"/>
                    <w:rPr>
                      <w:kern w:val="36"/>
                      <w:szCs w:val="21"/>
                    </w:rPr>
                  </w:pPr>
                  <w:r>
                    <w:rPr>
                      <w:kern w:val="36"/>
                      <w:szCs w:val="21"/>
                    </w:rPr>
                    <w:t>辅助工程</w:t>
                  </w:r>
                </w:p>
              </w:tc>
              <w:tc>
                <w:tcPr>
                  <w:tcW w:w="1680" w:type="dxa"/>
                  <w:tcBorders>
                    <w:top w:val="single" w:color="auto" w:sz="4" w:space="0"/>
                    <w:left w:val="single" w:color="auto" w:sz="4" w:space="0"/>
                    <w:right w:val="single" w:color="auto" w:sz="4" w:space="0"/>
                  </w:tcBorders>
                  <w:vAlign w:val="center"/>
                </w:tcPr>
                <w:p>
                  <w:pPr>
                    <w:jc w:val="center"/>
                    <w:rPr>
                      <w:kern w:val="36"/>
                      <w:szCs w:val="21"/>
                    </w:rPr>
                  </w:pPr>
                  <w:r>
                    <w:rPr>
                      <w:kern w:val="36"/>
                      <w:szCs w:val="21"/>
                    </w:rPr>
                    <w:t>综合办公区</w:t>
                  </w:r>
                </w:p>
              </w:tc>
              <w:tc>
                <w:tcPr>
                  <w:tcW w:w="5752" w:type="dxa"/>
                  <w:tcBorders>
                    <w:top w:val="single" w:color="auto" w:sz="4" w:space="0"/>
                    <w:left w:val="single" w:color="auto" w:sz="4" w:space="0"/>
                  </w:tcBorders>
                  <w:vAlign w:val="center"/>
                </w:tcPr>
                <w:p>
                  <w:pPr>
                    <w:jc w:val="center"/>
                    <w:rPr>
                      <w:kern w:val="36"/>
                      <w:szCs w:val="21"/>
                    </w:rPr>
                  </w:pPr>
                  <w:r>
                    <w:rPr>
                      <w:rFonts w:hint="eastAsia"/>
                      <w:kern w:val="36"/>
                      <w:szCs w:val="21"/>
                    </w:rPr>
                    <w:t>70</w:t>
                  </w:r>
                  <w:r>
                    <w:rPr>
                      <w:kern w:val="36"/>
                      <w:szCs w:val="21"/>
                    </w:rPr>
                    <w:t xml:space="preserve"> m</w:t>
                  </w:r>
                  <w:r>
                    <w:rPr>
                      <w:kern w:val="36"/>
                      <w:szCs w:val="21"/>
                      <w:vertAlign w:val="superscript"/>
                    </w:rPr>
                    <w:t>2</w:t>
                  </w:r>
                  <w:r>
                    <w:rPr>
                      <w:kern w:val="36"/>
                      <w:szCs w:val="21"/>
                    </w:rPr>
                    <w:t>；租赁现有办公室</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restart"/>
                  <w:tcBorders>
                    <w:top w:val="single" w:color="auto" w:sz="4" w:space="0"/>
                    <w:right w:val="single" w:color="auto" w:sz="4" w:space="0"/>
                  </w:tcBorders>
                  <w:vAlign w:val="center"/>
                </w:tcPr>
                <w:p>
                  <w:pPr>
                    <w:jc w:val="center"/>
                    <w:rPr>
                      <w:kern w:val="36"/>
                      <w:szCs w:val="21"/>
                    </w:rPr>
                  </w:pPr>
                  <w:r>
                    <w:rPr>
                      <w:rFonts w:hint="eastAsia"/>
                      <w:kern w:val="36"/>
                      <w:szCs w:val="21"/>
                    </w:rPr>
                    <w:t>3</w:t>
                  </w:r>
                </w:p>
              </w:tc>
              <w:tc>
                <w:tcPr>
                  <w:tcW w:w="1103" w:type="dxa"/>
                  <w:vMerge w:val="restart"/>
                  <w:tcBorders>
                    <w:top w:val="single" w:color="auto" w:sz="4" w:space="0"/>
                    <w:left w:val="single" w:color="auto" w:sz="4" w:space="0"/>
                    <w:right w:val="single" w:color="auto" w:sz="4" w:space="0"/>
                  </w:tcBorders>
                  <w:vAlign w:val="center"/>
                </w:tcPr>
                <w:p>
                  <w:pPr>
                    <w:jc w:val="center"/>
                    <w:rPr>
                      <w:kern w:val="36"/>
                      <w:szCs w:val="21"/>
                    </w:rPr>
                  </w:pPr>
                  <w:r>
                    <w:rPr>
                      <w:kern w:val="36"/>
                      <w:szCs w:val="21"/>
                    </w:rPr>
                    <w:t>环保工程</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废水治理设施</w:t>
                  </w:r>
                </w:p>
              </w:tc>
              <w:tc>
                <w:tcPr>
                  <w:tcW w:w="5752" w:type="dxa"/>
                  <w:tcBorders>
                    <w:top w:val="single" w:color="auto" w:sz="4" w:space="0"/>
                    <w:left w:val="single" w:color="auto" w:sz="4" w:space="0"/>
                    <w:bottom w:val="single" w:color="auto" w:sz="4" w:space="0"/>
                  </w:tcBorders>
                  <w:vAlign w:val="center"/>
                </w:tcPr>
                <w:p>
                  <w:pPr>
                    <w:jc w:val="center"/>
                    <w:rPr>
                      <w:kern w:val="36"/>
                      <w:szCs w:val="21"/>
                    </w:rPr>
                  </w:pPr>
                  <w:r>
                    <w:rPr>
                      <w:kern w:val="36"/>
                      <w:szCs w:val="21"/>
                    </w:rPr>
                    <w:t>生活污水经化粪池处理后定期清运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continue"/>
                  <w:tcBorders>
                    <w:right w:val="single" w:color="auto" w:sz="4" w:space="0"/>
                  </w:tcBorders>
                  <w:vAlign w:val="center"/>
                </w:tcPr>
                <w:p>
                  <w:pPr>
                    <w:jc w:val="center"/>
                    <w:rPr>
                      <w:kern w:val="36"/>
                      <w:szCs w:val="21"/>
                    </w:rPr>
                  </w:pPr>
                </w:p>
              </w:tc>
              <w:tc>
                <w:tcPr>
                  <w:tcW w:w="1103" w:type="dxa"/>
                  <w:vMerge w:val="continue"/>
                  <w:tcBorders>
                    <w:left w:val="single" w:color="auto" w:sz="4" w:space="0"/>
                    <w:right w:val="single" w:color="auto" w:sz="4" w:space="0"/>
                  </w:tcBorders>
                  <w:vAlign w:val="center"/>
                </w:tcPr>
                <w:p>
                  <w:pPr>
                    <w:jc w:val="center"/>
                    <w:rPr>
                      <w:kern w:val="36"/>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噪声治理设施</w:t>
                  </w:r>
                </w:p>
              </w:tc>
              <w:tc>
                <w:tcPr>
                  <w:tcW w:w="5752" w:type="dxa"/>
                  <w:tcBorders>
                    <w:top w:val="single" w:color="auto" w:sz="4" w:space="0"/>
                    <w:left w:val="single" w:color="auto" w:sz="4" w:space="0"/>
                    <w:bottom w:val="single" w:color="auto" w:sz="4" w:space="0"/>
                  </w:tcBorders>
                  <w:vAlign w:val="center"/>
                </w:tcPr>
                <w:p>
                  <w:pPr>
                    <w:jc w:val="center"/>
                    <w:rPr>
                      <w:kern w:val="36"/>
                      <w:szCs w:val="21"/>
                    </w:rPr>
                  </w:pPr>
                  <w:r>
                    <w:rPr>
                      <w:kern w:val="36"/>
                      <w:szCs w:val="21"/>
                    </w:rPr>
                    <w:t>厂房密闭隔声，设备减振、隔音、距离衰减等措施</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continue"/>
                  <w:tcBorders>
                    <w:right w:val="single" w:color="auto" w:sz="4" w:space="0"/>
                  </w:tcBorders>
                  <w:vAlign w:val="center"/>
                </w:tcPr>
                <w:p>
                  <w:pPr>
                    <w:jc w:val="center"/>
                    <w:rPr>
                      <w:kern w:val="36"/>
                      <w:szCs w:val="21"/>
                    </w:rPr>
                  </w:pPr>
                </w:p>
              </w:tc>
              <w:tc>
                <w:tcPr>
                  <w:tcW w:w="1103" w:type="dxa"/>
                  <w:vMerge w:val="continue"/>
                  <w:tcBorders>
                    <w:left w:val="single" w:color="auto" w:sz="4" w:space="0"/>
                    <w:right w:val="single" w:color="auto" w:sz="4" w:space="0"/>
                  </w:tcBorders>
                  <w:vAlign w:val="center"/>
                </w:tcPr>
                <w:p>
                  <w:pPr>
                    <w:jc w:val="center"/>
                    <w:rPr>
                      <w:kern w:val="36"/>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固废治理措施</w:t>
                  </w:r>
                </w:p>
              </w:tc>
              <w:tc>
                <w:tcPr>
                  <w:tcW w:w="5752" w:type="dxa"/>
                  <w:tcBorders>
                    <w:top w:val="single" w:color="auto" w:sz="4" w:space="0"/>
                    <w:left w:val="single" w:color="auto" w:sz="4" w:space="0"/>
                    <w:bottom w:val="single" w:color="auto" w:sz="4" w:space="0"/>
                  </w:tcBorders>
                  <w:vAlign w:val="center"/>
                </w:tcPr>
                <w:p>
                  <w:pPr>
                    <w:jc w:val="center"/>
                    <w:rPr>
                      <w:kern w:val="36"/>
                      <w:szCs w:val="21"/>
                    </w:rPr>
                  </w:pPr>
                  <w:r>
                    <w:rPr>
                      <w:kern w:val="36"/>
                      <w:szCs w:val="21"/>
                    </w:rPr>
                    <w:t>一般固废临时堆场1处（不小于5m</w:t>
                  </w:r>
                  <w:r>
                    <w:rPr>
                      <w:kern w:val="36"/>
                      <w:szCs w:val="21"/>
                      <w:vertAlign w:val="superscript"/>
                    </w:rPr>
                    <w:t>2</w:t>
                  </w:r>
                  <w:r>
                    <w:rPr>
                      <w:kern w:val="36"/>
                      <w:szCs w:val="21"/>
                    </w:rPr>
                    <w:t>）、危废暂存间1间不小于（</w:t>
                  </w:r>
                  <w:r>
                    <w:rPr>
                      <w:rFonts w:hint="eastAsia"/>
                      <w:kern w:val="36"/>
                      <w:szCs w:val="21"/>
                    </w:rPr>
                    <w:t>5</w:t>
                  </w:r>
                  <w:r>
                    <w:rPr>
                      <w:kern w:val="36"/>
                      <w:szCs w:val="21"/>
                    </w:rPr>
                    <w:t>m</w:t>
                  </w:r>
                  <w:r>
                    <w:rPr>
                      <w:kern w:val="36"/>
                      <w:szCs w:val="21"/>
                      <w:vertAlign w:val="superscript"/>
                    </w:rPr>
                    <w:t>2</w:t>
                  </w:r>
                  <w:r>
                    <w:rPr>
                      <w:kern w:val="36"/>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continue"/>
                  <w:tcBorders>
                    <w:bottom w:val="single" w:color="auto" w:sz="4" w:space="0"/>
                    <w:right w:val="single" w:color="auto" w:sz="4" w:space="0"/>
                  </w:tcBorders>
                  <w:vAlign w:val="center"/>
                </w:tcPr>
                <w:p>
                  <w:pPr>
                    <w:jc w:val="center"/>
                    <w:rPr>
                      <w:kern w:val="36"/>
                      <w:szCs w:val="21"/>
                    </w:rPr>
                  </w:pPr>
                </w:p>
              </w:tc>
              <w:tc>
                <w:tcPr>
                  <w:tcW w:w="1103" w:type="dxa"/>
                  <w:vMerge w:val="continue"/>
                  <w:tcBorders>
                    <w:left w:val="single" w:color="auto" w:sz="4" w:space="0"/>
                    <w:bottom w:val="single" w:color="auto" w:sz="4" w:space="0"/>
                    <w:right w:val="single" w:color="auto" w:sz="4" w:space="0"/>
                  </w:tcBorders>
                  <w:vAlign w:val="center"/>
                </w:tcPr>
                <w:p>
                  <w:pPr>
                    <w:jc w:val="center"/>
                    <w:rPr>
                      <w:kern w:val="36"/>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废气治理措施</w:t>
                  </w:r>
                </w:p>
              </w:tc>
              <w:tc>
                <w:tcPr>
                  <w:tcW w:w="5752" w:type="dxa"/>
                  <w:tcBorders>
                    <w:top w:val="single" w:color="auto" w:sz="4" w:space="0"/>
                    <w:left w:val="single" w:color="auto" w:sz="4" w:space="0"/>
                    <w:bottom w:val="single" w:color="auto" w:sz="4" w:space="0"/>
                  </w:tcBorders>
                  <w:vAlign w:val="center"/>
                </w:tcPr>
                <w:p>
                  <w:pPr>
                    <w:jc w:val="center"/>
                    <w:rPr>
                      <w:kern w:val="36"/>
                      <w:szCs w:val="21"/>
                    </w:rPr>
                  </w:pPr>
                  <w:r>
                    <w:rPr>
                      <w:kern w:val="36"/>
                      <w:szCs w:val="21"/>
                    </w:rPr>
                    <w:t>负压式密闭室+袋式除尘器+</w:t>
                  </w:r>
                  <w:r>
                    <w:rPr>
                      <w:rFonts w:hint="eastAsia"/>
                      <w:kern w:val="36"/>
                      <w:szCs w:val="21"/>
                    </w:rPr>
                    <w:t>15m高排气筒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restart"/>
                  <w:tcBorders>
                    <w:top w:val="single" w:color="auto" w:sz="4" w:space="0"/>
                    <w:bottom w:val="single" w:color="auto" w:sz="4" w:space="0"/>
                    <w:right w:val="single" w:color="auto" w:sz="4" w:space="0"/>
                  </w:tcBorders>
                  <w:vAlign w:val="center"/>
                </w:tcPr>
                <w:p>
                  <w:pPr>
                    <w:jc w:val="center"/>
                    <w:rPr>
                      <w:kern w:val="36"/>
                      <w:szCs w:val="21"/>
                    </w:rPr>
                  </w:pPr>
                  <w:r>
                    <w:rPr>
                      <w:kern w:val="36"/>
                      <w:szCs w:val="21"/>
                    </w:rPr>
                    <w:t>4</w:t>
                  </w:r>
                </w:p>
              </w:tc>
              <w:tc>
                <w:tcPr>
                  <w:tcW w:w="1103"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公用工程</w:t>
                  </w:r>
                </w:p>
              </w:tc>
              <w:tc>
                <w:tcPr>
                  <w:tcW w:w="1680" w:type="dxa"/>
                  <w:tcBorders>
                    <w:top w:val="single" w:color="auto" w:sz="4" w:space="0"/>
                    <w:left w:val="single" w:color="auto" w:sz="4" w:space="0"/>
                    <w:bottom w:val="single" w:color="auto" w:sz="4" w:space="0"/>
                    <w:right w:val="single" w:color="auto" w:sz="4" w:space="0"/>
                  </w:tcBorders>
                  <w:vAlign w:val="center"/>
                </w:tcPr>
                <w:p>
                  <w:pPr>
                    <w:jc w:val="center"/>
                    <w:rPr>
                      <w:kern w:val="36"/>
                      <w:szCs w:val="21"/>
                    </w:rPr>
                  </w:pPr>
                  <w:r>
                    <w:rPr>
                      <w:kern w:val="36"/>
                      <w:szCs w:val="21"/>
                    </w:rPr>
                    <w:t>给水</w:t>
                  </w:r>
                </w:p>
              </w:tc>
              <w:tc>
                <w:tcPr>
                  <w:tcW w:w="5752" w:type="dxa"/>
                  <w:tcBorders>
                    <w:top w:val="single" w:color="auto" w:sz="4" w:space="0"/>
                    <w:left w:val="single" w:color="auto" w:sz="4" w:space="0"/>
                    <w:bottom w:val="single" w:color="auto" w:sz="4" w:space="0"/>
                  </w:tcBorders>
                  <w:vAlign w:val="center"/>
                </w:tcPr>
                <w:p>
                  <w:pPr>
                    <w:jc w:val="center"/>
                    <w:rPr>
                      <w:kern w:val="36"/>
                      <w:szCs w:val="21"/>
                    </w:rPr>
                  </w:pPr>
                  <w:r>
                    <w:rPr>
                      <w:kern w:val="36"/>
                      <w:szCs w:val="21"/>
                    </w:rPr>
                    <w:t>当地集中供水</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02" w:type="dxa"/>
                  <w:vMerge w:val="continue"/>
                  <w:tcBorders>
                    <w:top w:val="single" w:color="auto" w:sz="4" w:space="0"/>
                    <w:bottom w:val="single" w:color="auto" w:sz="8" w:space="0"/>
                    <w:right w:val="single" w:color="auto" w:sz="4" w:space="0"/>
                  </w:tcBorders>
                  <w:vAlign w:val="center"/>
                </w:tcPr>
                <w:p>
                  <w:pPr>
                    <w:jc w:val="center"/>
                    <w:rPr>
                      <w:kern w:val="36"/>
                      <w:szCs w:val="21"/>
                    </w:rPr>
                  </w:pPr>
                </w:p>
              </w:tc>
              <w:tc>
                <w:tcPr>
                  <w:tcW w:w="1103" w:type="dxa"/>
                  <w:vMerge w:val="continue"/>
                  <w:tcBorders>
                    <w:top w:val="single" w:color="auto" w:sz="4" w:space="0"/>
                    <w:left w:val="single" w:color="auto" w:sz="4" w:space="0"/>
                    <w:bottom w:val="single" w:color="auto" w:sz="8" w:space="0"/>
                    <w:right w:val="single" w:color="auto" w:sz="4" w:space="0"/>
                  </w:tcBorders>
                  <w:vAlign w:val="center"/>
                </w:tcPr>
                <w:p>
                  <w:pPr>
                    <w:jc w:val="center"/>
                    <w:rPr>
                      <w:kern w:val="36"/>
                      <w:szCs w:val="21"/>
                    </w:rPr>
                  </w:pPr>
                </w:p>
              </w:tc>
              <w:tc>
                <w:tcPr>
                  <w:tcW w:w="1680" w:type="dxa"/>
                  <w:tcBorders>
                    <w:top w:val="single" w:color="auto" w:sz="4" w:space="0"/>
                    <w:left w:val="single" w:color="auto" w:sz="4" w:space="0"/>
                    <w:bottom w:val="single" w:color="auto" w:sz="8" w:space="0"/>
                    <w:right w:val="single" w:color="auto" w:sz="4" w:space="0"/>
                  </w:tcBorders>
                  <w:vAlign w:val="center"/>
                </w:tcPr>
                <w:p>
                  <w:pPr>
                    <w:jc w:val="center"/>
                    <w:rPr>
                      <w:kern w:val="36"/>
                      <w:szCs w:val="21"/>
                    </w:rPr>
                  </w:pPr>
                  <w:r>
                    <w:rPr>
                      <w:kern w:val="36"/>
                      <w:szCs w:val="21"/>
                    </w:rPr>
                    <w:t>供电</w:t>
                  </w:r>
                </w:p>
              </w:tc>
              <w:tc>
                <w:tcPr>
                  <w:tcW w:w="5752" w:type="dxa"/>
                  <w:tcBorders>
                    <w:top w:val="single" w:color="auto" w:sz="4" w:space="0"/>
                    <w:left w:val="single" w:color="auto" w:sz="4" w:space="0"/>
                    <w:bottom w:val="single" w:color="auto" w:sz="8" w:space="0"/>
                  </w:tcBorders>
                  <w:vAlign w:val="center"/>
                </w:tcPr>
                <w:p>
                  <w:pPr>
                    <w:jc w:val="center"/>
                    <w:rPr>
                      <w:kern w:val="36"/>
                      <w:szCs w:val="21"/>
                    </w:rPr>
                  </w:pPr>
                  <w:r>
                    <w:rPr>
                      <w:kern w:val="36"/>
                      <w:szCs w:val="21"/>
                    </w:rPr>
                    <w:t>当地集中供电</w:t>
                  </w:r>
                </w:p>
              </w:tc>
            </w:tr>
          </w:tbl>
          <w:p>
            <w:pPr>
              <w:spacing w:line="440" w:lineRule="exact"/>
              <w:ind w:firstLine="482" w:firstLineChars="200"/>
              <w:rPr>
                <w:b/>
                <w:sz w:val="24"/>
              </w:rPr>
            </w:pPr>
            <w:r>
              <w:rPr>
                <w:b/>
                <w:sz w:val="24"/>
                <w:lang w:val="pt-BR"/>
              </w:rPr>
              <w:t>3、</w:t>
            </w:r>
            <w:r>
              <w:rPr>
                <w:b/>
                <w:sz w:val="24"/>
              </w:rPr>
              <w:t>主要生产设备</w:t>
            </w:r>
          </w:p>
          <w:p>
            <w:pPr>
              <w:pStyle w:val="2"/>
              <w:ind w:firstLine="560"/>
            </w:pPr>
          </w:p>
          <w:p/>
          <w:p>
            <w:pPr>
              <w:pStyle w:val="2"/>
              <w:ind w:firstLine="560"/>
            </w:pPr>
          </w:p>
          <w:p/>
          <w:p>
            <w:pPr>
              <w:pStyle w:val="2"/>
              <w:ind w:firstLine="560"/>
            </w:pPr>
          </w:p>
          <w:p/>
          <w:p>
            <w:pPr>
              <w:pStyle w:val="2"/>
              <w:ind w:firstLine="560"/>
            </w:pPr>
          </w:p>
          <w:p>
            <w:pPr>
              <w:spacing w:line="440" w:lineRule="exact"/>
              <w:ind w:firstLine="480" w:firstLineChars="200"/>
              <w:rPr>
                <w:rFonts w:ascii="黑体" w:hAnsi="黑体" w:eastAsia="黑体"/>
                <w:bCs/>
                <w:sz w:val="24"/>
              </w:rPr>
            </w:pPr>
            <w:r>
              <w:rPr>
                <w:rFonts w:ascii="黑体" w:hAnsi="黑体" w:eastAsia="黑体"/>
                <w:bCs/>
                <w:sz w:val="24"/>
              </w:rPr>
              <w:t>表5                       主要生产设备表</w:t>
            </w:r>
          </w:p>
          <w:tbl>
            <w:tblPr>
              <w:tblStyle w:val="30"/>
              <w:tblW w:w="9117" w:type="dxa"/>
              <w:jc w:val="center"/>
              <w:tblInd w:w="0" w:type="dxa"/>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517"/>
              <w:gridCol w:w="2439"/>
              <w:gridCol w:w="2172"/>
            </w:tblGrid>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b/>
                      <w:szCs w:val="21"/>
                    </w:rPr>
                  </w:pPr>
                  <w:r>
                    <w:rPr>
                      <w:b/>
                      <w:szCs w:val="21"/>
                    </w:rPr>
                    <w:t>序号</w:t>
                  </w:r>
                </w:p>
              </w:tc>
              <w:tc>
                <w:tcPr>
                  <w:tcW w:w="3517" w:type="dxa"/>
                  <w:vAlign w:val="center"/>
                </w:tcPr>
                <w:p>
                  <w:pPr>
                    <w:jc w:val="center"/>
                    <w:rPr>
                      <w:b/>
                      <w:szCs w:val="21"/>
                    </w:rPr>
                  </w:pPr>
                  <w:r>
                    <w:rPr>
                      <w:b/>
                      <w:szCs w:val="21"/>
                    </w:rPr>
                    <w:t>设备名称</w:t>
                  </w:r>
                </w:p>
              </w:tc>
              <w:tc>
                <w:tcPr>
                  <w:tcW w:w="2439" w:type="dxa"/>
                  <w:vAlign w:val="center"/>
                </w:tcPr>
                <w:p>
                  <w:pPr>
                    <w:jc w:val="center"/>
                    <w:rPr>
                      <w:b/>
                      <w:szCs w:val="21"/>
                    </w:rPr>
                  </w:pPr>
                  <w:r>
                    <w:rPr>
                      <w:b/>
                      <w:szCs w:val="21"/>
                    </w:rPr>
                    <w:t>型号</w:t>
                  </w:r>
                </w:p>
              </w:tc>
              <w:tc>
                <w:tcPr>
                  <w:tcW w:w="2172" w:type="dxa"/>
                  <w:vAlign w:val="center"/>
                </w:tcPr>
                <w:p>
                  <w:pPr>
                    <w:jc w:val="center"/>
                    <w:rPr>
                      <w:b/>
                      <w:szCs w:val="21"/>
                    </w:rPr>
                  </w:pPr>
                  <w:r>
                    <w:rPr>
                      <w:b/>
                      <w:szCs w:val="21"/>
                    </w:rPr>
                    <w:t>数量/（台、套）</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szCs w:val="21"/>
                    </w:rPr>
                    <w:t>1</w:t>
                  </w:r>
                </w:p>
              </w:tc>
              <w:tc>
                <w:tcPr>
                  <w:tcW w:w="3517" w:type="dxa"/>
                  <w:vAlign w:val="center"/>
                </w:tcPr>
                <w:p>
                  <w:pPr>
                    <w:jc w:val="center"/>
                  </w:pPr>
                  <w:r>
                    <w:rPr>
                      <w:rFonts w:hint="eastAsia"/>
                    </w:rPr>
                    <w:t>折弯机</w:t>
                  </w:r>
                </w:p>
              </w:tc>
              <w:tc>
                <w:tcPr>
                  <w:tcW w:w="2439" w:type="dxa"/>
                </w:tcPr>
                <w:p>
                  <w:pPr>
                    <w:jc w:val="center"/>
                  </w:pPr>
                  <w:r>
                    <w:rPr>
                      <w:rFonts w:hint="eastAsia"/>
                    </w:rPr>
                    <w:t>125t</w:t>
                  </w:r>
                </w:p>
              </w:tc>
              <w:tc>
                <w:tcPr>
                  <w:tcW w:w="2172" w:type="dxa"/>
                </w:tcPr>
                <w:p>
                  <w:pPr>
                    <w:jc w:val="center"/>
                  </w:pPr>
                  <w:r>
                    <w:rPr>
                      <w:rFonts w:hint="eastAsia"/>
                    </w:rPr>
                    <w:t>1</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szCs w:val="21"/>
                    </w:rPr>
                    <w:t>2</w:t>
                  </w:r>
                </w:p>
              </w:tc>
              <w:tc>
                <w:tcPr>
                  <w:tcW w:w="3517" w:type="dxa"/>
                  <w:vAlign w:val="center"/>
                </w:tcPr>
                <w:p>
                  <w:pPr>
                    <w:jc w:val="center"/>
                  </w:pPr>
                  <w:r>
                    <w:rPr>
                      <w:rFonts w:hint="eastAsia"/>
                    </w:rPr>
                    <w:t>剪板机</w:t>
                  </w:r>
                </w:p>
              </w:tc>
              <w:tc>
                <w:tcPr>
                  <w:tcW w:w="2439" w:type="dxa"/>
                </w:tcPr>
                <w:p>
                  <w:pPr>
                    <w:jc w:val="center"/>
                  </w:pPr>
                  <w:r>
                    <w:rPr>
                      <w:rFonts w:hint="eastAsia"/>
                    </w:rPr>
                    <w:t>125t</w:t>
                  </w:r>
                </w:p>
              </w:tc>
              <w:tc>
                <w:tcPr>
                  <w:tcW w:w="2172" w:type="dxa"/>
                </w:tcPr>
                <w:p>
                  <w:pPr>
                    <w:jc w:val="center"/>
                  </w:pPr>
                  <w:r>
                    <w:rPr>
                      <w:rFonts w:hint="eastAsia"/>
                    </w:rPr>
                    <w:t>1</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szCs w:val="21"/>
                    </w:rPr>
                    <w:t>3</w:t>
                  </w:r>
                </w:p>
              </w:tc>
              <w:tc>
                <w:tcPr>
                  <w:tcW w:w="3517" w:type="dxa"/>
                  <w:vAlign w:val="center"/>
                </w:tcPr>
                <w:p>
                  <w:pPr>
                    <w:jc w:val="center"/>
                  </w:pPr>
                  <w:r>
                    <w:rPr>
                      <w:rFonts w:hint="eastAsia"/>
                    </w:rPr>
                    <w:t>卷圆机</w:t>
                  </w:r>
                </w:p>
              </w:tc>
              <w:tc>
                <w:tcPr>
                  <w:tcW w:w="2439" w:type="dxa"/>
                </w:tcPr>
                <w:p>
                  <w:pPr>
                    <w:jc w:val="center"/>
                  </w:pPr>
                  <w:r>
                    <w:t>/</w:t>
                  </w:r>
                </w:p>
              </w:tc>
              <w:tc>
                <w:tcPr>
                  <w:tcW w:w="2172" w:type="dxa"/>
                </w:tcPr>
                <w:p>
                  <w:pPr>
                    <w:jc w:val="center"/>
                  </w:pPr>
                  <w:r>
                    <w:rPr>
                      <w:rFonts w:hint="eastAsia"/>
                    </w:rPr>
                    <w:t>1</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szCs w:val="21"/>
                    </w:rPr>
                    <w:t>4</w:t>
                  </w:r>
                </w:p>
              </w:tc>
              <w:tc>
                <w:tcPr>
                  <w:tcW w:w="3517" w:type="dxa"/>
                </w:tcPr>
                <w:p>
                  <w:pPr>
                    <w:jc w:val="center"/>
                  </w:pPr>
                  <w:r>
                    <w:rPr>
                      <w:rFonts w:hint="eastAsia"/>
                    </w:rPr>
                    <w:t>冲床</w:t>
                  </w:r>
                </w:p>
              </w:tc>
              <w:tc>
                <w:tcPr>
                  <w:tcW w:w="2439" w:type="dxa"/>
                </w:tcPr>
                <w:p>
                  <w:pPr>
                    <w:jc w:val="center"/>
                  </w:pPr>
                  <w:r>
                    <w:rPr>
                      <w:rFonts w:hint="eastAsia"/>
                    </w:rPr>
                    <w:t>25t</w:t>
                  </w:r>
                </w:p>
              </w:tc>
              <w:tc>
                <w:tcPr>
                  <w:tcW w:w="2172" w:type="dxa"/>
                </w:tcPr>
                <w:p>
                  <w:pPr>
                    <w:jc w:val="center"/>
                  </w:pPr>
                  <w:r>
                    <w:rPr>
                      <w:rFonts w:hint="eastAsia"/>
                    </w:rPr>
                    <w:t>1</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rFonts w:hint="eastAsia"/>
                      <w:szCs w:val="21"/>
                    </w:rPr>
                    <w:t>5</w:t>
                  </w:r>
                </w:p>
              </w:tc>
              <w:tc>
                <w:tcPr>
                  <w:tcW w:w="3517" w:type="dxa"/>
                </w:tcPr>
                <w:p>
                  <w:pPr>
                    <w:jc w:val="center"/>
                  </w:pPr>
                  <w:r>
                    <w:rPr>
                      <w:rFonts w:hint="eastAsia"/>
                    </w:rPr>
                    <w:t>二保焊机</w:t>
                  </w:r>
                </w:p>
              </w:tc>
              <w:tc>
                <w:tcPr>
                  <w:tcW w:w="2439" w:type="dxa"/>
                </w:tcPr>
                <w:p>
                  <w:pPr>
                    <w:jc w:val="center"/>
                  </w:pPr>
                  <w:r>
                    <w:rPr>
                      <w:rFonts w:hint="eastAsia"/>
                    </w:rPr>
                    <w:t>315</w:t>
                  </w:r>
                </w:p>
              </w:tc>
              <w:tc>
                <w:tcPr>
                  <w:tcW w:w="2172" w:type="dxa"/>
                </w:tcPr>
                <w:p>
                  <w:pPr>
                    <w:jc w:val="center"/>
                  </w:pPr>
                  <w:r>
                    <w:rPr>
                      <w:rFonts w:hint="eastAsia"/>
                    </w:rPr>
                    <w:t>4</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 w:hRule="atLeast"/>
                <w:jc w:val="center"/>
              </w:trPr>
              <w:tc>
                <w:tcPr>
                  <w:tcW w:w="989" w:type="dxa"/>
                  <w:vMerge w:val="restart"/>
                  <w:vAlign w:val="center"/>
                </w:tcPr>
                <w:p>
                  <w:pPr>
                    <w:jc w:val="center"/>
                    <w:rPr>
                      <w:szCs w:val="21"/>
                    </w:rPr>
                  </w:pPr>
                  <w:r>
                    <w:rPr>
                      <w:rFonts w:hint="eastAsia"/>
                      <w:szCs w:val="21"/>
                    </w:rPr>
                    <w:t>6</w:t>
                  </w:r>
                </w:p>
              </w:tc>
              <w:tc>
                <w:tcPr>
                  <w:tcW w:w="3517" w:type="dxa"/>
                  <w:vMerge w:val="restart"/>
                  <w:vAlign w:val="center"/>
                </w:tcPr>
                <w:p>
                  <w:pPr>
                    <w:jc w:val="center"/>
                  </w:pPr>
                  <w:r>
                    <w:rPr>
                      <w:rFonts w:hint="eastAsia"/>
                    </w:rPr>
                    <w:t>切割机</w:t>
                  </w:r>
                </w:p>
              </w:tc>
              <w:tc>
                <w:tcPr>
                  <w:tcW w:w="2439" w:type="dxa"/>
                </w:tcPr>
                <w:p>
                  <w:pPr>
                    <w:jc w:val="center"/>
                  </w:pPr>
                  <w:r>
                    <w:rPr>
                      <w:rFonts w:hint="eastAsia"/>
                    </w:rPr>
                    <w:t>400</w:t>
                  </w:r>
                </w:p>
              </w:tc>
              <w:tc>
                <w:tcPr>
                  <w:tcW w:w="2172" w:type="dxa"/>
                  <w:vMerge w:val="restart"/>
                  <w:vAlign w:val="center"/>
                </w:tcPr>
                <w:p>
                  <w:pPr>
                    <w:jc w:val="center"/>
                  </w:pPr>
                  <w:r>
                    <w:rPr>
                      <w:rFonts w:hint="eastAsia"/>
                    </w:rPr>
                    <w:t>2</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 w:hRule="atLeast"/>
                <w:jc w:val="center"/>
              </w:trPr>
              <w:tc>
                <w:tcPr>
                  <w:tcW w:w="989" w:type="dxa"/>
                  <w:vMerge w:val="continue"/>
                  <w:vAlign w:val="center"/>
                </w:tcPr>
                <w:p>
                  <w:pPr>
                    <w:jc w:val="center"/>
                    <w:rPr>
                      <w:szCs w:val="21"/>
                    </w:rPr>
                  </w:pPr>
                </w:p>
              </w:tc>
              <w:tc>
                <w:tcPr>
                  <w:tcW w:w="3517" w:type="dxa"/>
                  <w:vMerge w:val="continue"/>
                </w:tcPr>
                <w:p>
                  <w:pPr>
                    <w:jc w:val="center"/>
                  </w:pPr>
                </w:p>
              </w:tc>
              <w:tc>
                <w:tcPr>
                  <w:tcW w:w="2439" w:type="dxa"/>
                </w:tcPr>
                <w:p>
                  <w:pPr>
                    <w:jc w:val="center"/>
                  </w:pPr>
                  <w:r>
                    <w:rPr>
                      <w:rFonts w:hint="eastAsia"/>
                    </w:rPr>
                    <w:t>LGK-63</w:t>
                  </w:r>
                </w:p>
              </w:tc>
              <w:tc>
                <w:tcPr>
                  <w:tcW w:w="2172" w:type="dxa"/>
                  <w:vMerge w:val="continue"/>
                </w:tcPr>
                <w:p>
                  <w:pPr>
                    <w:jc w:val="center"/>
                  </w:pP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rFonts w:hint="eastAsia"/>
                      <w:szCs w:val="21"/>
                    </w:rPr>
                    <w:t>7</w:t>
                  </w:r>
                </w:p>
              </w:tc>
              <w:tc>
                <w:tcPr>
                  <w:tcW w:w="3517" w:type="dxa"/>
                </w:tcPr>
                <w:p>
                  <w:pPr>
                    <w:jc w:val="center"/>
                  </w:pPr>
                  <w:r>
                    <w:rPr>
                      <w:rFonts w:hint="eastAsia"/>
                    </w:rPr>
                    <w:t>台钻</w:t>
                  </w:r>
                </w:p>
              </w:tc>
              <w:tc>
                <w:tcPr>
                  <w:tcW w:w="2439" w:type="dxa"/>
                </w:tcPr>
                <w:p>
                  <w:pPr>
                    <w:jc w:val="center"/>
                  </w:pPr>
                  <w:r>
                    <w:rPr>
                      <w:rFonts w:hint="eastAsia"/>
                    </w:rPr>
                    <w:t>Z4016</w:t>
                  </w:r>
                </w:p>
              </w:tc>
              <w:tc>
                <w:tcPr>
                  <w:tcW w:w="2172" w:type="dxa"/>
                </w:tcPr>
                <w:p>
                  <w:pPr>
                    <w:jc w:val="center"/>
                  </w:pPr>
                  <w:r>
                    <w:rPr>
                      <w:rFonts w:hint="eastAsia"/>
                    </w:rPr>
                    <w:t>1</w:t>
                  </w:r>
                </w:p>
              </w:tc>
            </w:tr>
            <w:tr>
              <w:tblPrEx>
                <w:tblBorders>
                  <w:top w:val="single" w:color="auto" w:sz="8"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89" w:type="dxa"/>
                  <w:vAlign w:val="center"/>
                </w:tcPr>
                <w:p>
                  <w:pPr>
                    <w:jc w:val="center"/>
                    <w:rPr>
                      <w:szCs w:val="21"/>
                    </w:rPr>
                  </w:pPr>
                  <w:r>
                    <w:rPr>
                      <w:rFonts w:hint="eastAsia"/>
                      <w:szCs w:val="21"/>
                    </w:rPr>
                    <w:t>8</w:t>
                  </w:r>
                </w:p>
              </w:tc>
              <w:tc>
                <w:tcPr>
                  <w:tcW w:w="3517" w:type="dxa"/>
                </w:tcPr>
                <w:p>
                  <w:pPr>
                    <w:jc w:val="center"/>
                  </w:pPr>
                  <w:r>
                    <w:rPr>
                      <w:rFonts w:hint="eastAsia"/>
                    </w:rPr>
                    <w:t>打磨机</w:t>
                  </w:r>
                </w:p>
              </w:tc>
              <w:tc>
                <w:tcPr>
                  <w:tcW w:w="2439" w:type="dxa"/>
                </w:tcPr>
                <w:p>
                  <w:pPr>
                    <w:jc w:val="center"/>
                  </w:pPr>
                  <w:r>
                    <w:rPr>
                      <w:rFonts w:hint="eastAsia"/>
                    </w:rPr>
                    <w:t>/</w:t>
                  </w:r>
                </w:p>
              </w:tc>
              <w:tc>
                <w:tcPr>
                  <w:tcW w:w="2172" w:type="dxa"/>
                </w:tcPr>
                <w:p>
                  <w:pPr>
                    <w:jc w:val="center"/>
                  </w:pPr>
                  <w:r>
                    <w:rPr>
                      <w:rFonts w:hint="eastAsia"/>
                    </w:rPr>
                    <w:t>1</w:t>
                  </w:r>
                </w:p>
              </w:tc>
            </w:tr>
          </w:tbl>
          <w:p>
            <w:pPr>
              <w:spacing w:line="440" w:lineRule="exact"/>
              <w:ind w:firstLine="480" w:firstLineChars="200"/>
              <w:rPr>
                <w:sz w:val="24"/>
              </w:rPr>
            </w:pPr>
            <w:r>
              <w:rPr>
                <w:sz w:val="24"/>
              </w:rPr>
              <w:t>根据建设单位提供，项目主要原辅材料及能源消耗见表6。</w:t>
            </w:r>
          </w:p>
          <w:p>
            <w:pPr>
              <w:spacing w:line="440" w:lineRule="exact"/>
              <w:ind w:firstLine="480" w:firstLineChars="200"/>
              <w:rPr>
                <w:rFonts w:ascii="黑体" w:hAnsi="黑体" w:eastAsia="黑体"/>
                <w:bCs/>
                <w:sz w:val="24"/>
              </w:rPr>
            </w:pPr>
            <w:r>
              <w:rPr>
                <w:rFonts w:ascii="黑体" w:hAnsi="黑体" w:eastAsia="黑体"/>
                <w:bCs/>
                <w:sz w:val="24"/>
              </w:rPr>
              <w:t>表6              主要原辅材料及能源消耗一览表</w:t>
            </w:r>
          </w:p>
          <w:tbl>
            <w:tblPr>
              <w:tblStyle w:val="30"/>
              <w:tblW w:w="917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435"/>
              <w:gridCol w:w="2294"/>
              <w:gridCol w:w="22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154" w:type="dxa"/>
                  <w:vAlign w:val="center"/>
                </w:tcPr>
                <w:p>
                  <w:pPr>
                    <w:jc w:val="center"/>
                    <w:rPr>
                      <w:b/>
                      <w:szCs w:val="21"/>
                    </w:rPr>
                  </w:pPr>
                  <w:r>
                    <w:rPr>
                      <w:rFonts w:hint="eastAsia"/>
                      <w:b/>
                      <w:szCs w:val="21"/>
                    </w:rPr>
                    <w:t>序号</w:t>
                  </w:r>
                </w:p>
              </w:tc>
              <w:tc>
                <w:tcPr>
                  <w:tcW w:w="3435" w:type="dxa"/>
                  <w:vAlign w:val="center"/>
                </w:tcPr>
                <w:p>
                  <w:pPr>
                    <w:jc w:val="center"/>
                    <w:rPr>
                      <w:b/>
                      <w:szCs w:val="21"/>
                    </w:rPr>
                  </w:pPr>
                  <w:r>
                    <w:rPr>
                      <w:rFonts w:hint="eastAsia"/>
                      <w:b/>
                      <w:szCs w:val="21"/>
                    </w:rPr>
                    <w:t>名称</w:t>
                  </w:r>
                </w:p>
              </w:tc>
              <w:tc>
                <w:tcPr>
                  <w:tcW w:w="2294" w:type="dxa"/>
                  <w:vAlign w:val="center"/>
                </w:tcPr>
                <w:p>
                  <w:pPr>
                    <w:jc w:val="center"/>
                    <w:rPr>
                      <w:b/>
                      <w:szCs w:val="21"/>
                    </w:rPr>
                  </w:pPr>
                  <w:r>
                    <w:rPr>
                      <w:rFonts w:hint="eastAsia"/>
                      <w:b/>
                      <w:szCs w:val="21"/>
                    </w:rPr>
                    <w:t>年使用量</w:t>
                  </w:r>
                </w:p>
              </w:tc>
              <w:tc>
                <w:tcPr>
                  <w:tcW w:w="2294" w:type="dxa"/>
                  <w:vAlign w:val="center"/>
                </w:tcPr>
                <w:p>
                  <w:pPr>
                    <w:jc w:val="center"/>
                    <w:rPr>
                      <w:b/>
                      <w:szCs w:val="21"/>
                    </w:rPr>
                  </w:pPr>
                  <w:r>
                    <w:rPr>
                      <w:rFonts w:hint="eastAsia"/>
                      <w:b/>
                      <w:szCs w:val="21"/>
                    </w:rPr>
                    <w:t>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154" w:type="dxa"/>
                  <w:vAlign w:val="center"/>
                </w:tcPr>
                <w:p>
                  <w:pPr>
                    <w:jc w:val="center"/>
                    <w:rPr>
                      <w:rFonts w:ascii="宋体" w:hAnsi="宋体" w:cs="宋体"/>
                      <w:szCs w:val="21"/>
                    </w:rPr>
                  </w:pPr>
                  <w:r>
                    <w:rPr>
                      <w:rFonts w:hint="eastAsia" w:ascii="宋体" w:hAnsi="宋体" w:cs="宋体"/>
                      <w:szCs w:val="21"/>
                    </w:rPr>
                    <w:t>1</w:t>
                  </w:r>
                </w:p>
              </w:tc>
              <w:tc>
                <w:tcPr>
                  <w:tcW w:w="3435" w:type="dxa"/>
                  <w:vAlign w:val="center"/>
                </w:tcPr>
                <w:p>
                  <w:pPr>
                    <w:jc w:val="center"/>
                    <w:rPr>
                      <w:rFonts w:ascii="宋体" w:hAnsi="宋体" w:cs="宋体"/>
                      <w:szCs w:val="21"/>
                    </w:rPr>
                  </w:pPr>
                  <w:r>
                    <w:rPr>
                      <w:rFonts w:hint="eastAsia" w:ascii="宋体" w:hAnsi="宋体" w:cs="宋体"/>
                      <w:szCs w:val="21"/>
                    </w:rPr>
                    <w:t>钢材</w:t>
                  </w:r>
                </w:p>
              </w:tc>
              <w:tc>
                <w:tcPr>
                  <w:tcW w:w="2294" w:type="dxa"/>
                  <w:vAlign w:val="center"/>
                </w:tcPr>
                <w:p>
                  <w:pPr>
                    <w:jc w:val="center"/>
                    <w:rPr>
                      <w:szCs w:val="21"/>
                    </w:rPr>
                  </w:pPr>
                  <w:r>
                    <w:rPr>
                      <w:szCs w:val="21"/>
                    </w:rPr>
                    <w:t>60</w:t>
                  </w:r>
                </w:p>
              </w:tc>
              <w:tc>
                <w:tcPr>
                  <w:tcW w:w="2294" w:type="dxa"/>
                  <w:vAlign w:val="center"/>
                </w:tcPr>
                <w:p>
                  <w:pPr>
                    <w:jc w:val="center"/>
                    <w:rPr>
                      <w:szCs w:val="21"/>
                    </w:rPr>
                  </w:pPr>
                  <w:r>
                    <w:rPr>
                      <w:rFonts w:hint="eastAsia"/>
                      <w:szCs w:val="21"/>
                    </w:rPr>
                    <w:t>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154" w:type="dxa"/>
                  <w:vAlign w:val="center"/>
                </w:tcPr>
                <w:p>
                  <w:pPr>
                    <w:jc w:val="center"/>
                    <w:rPr>
                      <w:rFonts w:ascii="宋体" w:hAnsi="宋体" w:cs="宋体"/>
                      <w:szCs w:val="21"/>
                    </w:rPr>
                  </w:pPr>
                  <w:r>
                    <w:rPr>
                      <w:rFonts w:hint="eastAsia" w:ascii="宋体" w:hAnsi="宋体" w:cs="宋体"/>
                      <w:szCs w:val="21"/>
                    </w:rPr>
                    <w:t>2</w:t>
                  </w:r>
                </w:p>
              </w:tc>
              <w:tc>
                <w:tcPr>
                  <w:tcW w:w="3435" w:type="dxa"/>
                  <w:vAlign w:val="center"/>
                </w:tcPr>
                <w:p>
                  <w:pPr>
                    <w:jc w:val="center"/>
                    <w:rPr>
                      <w:rFonts w:ascii="宋体" w:hAnsi="宋体" w:cs="宋体"/>
                      <w:szCs w:val="21"/>
                    </w:rPr>
                  </w:pPr>
                  <w:r>
                    <w:rPr>
                      <w:rFonts w:hint="eastAsia" w:ascii="宋体" w:hAnsi="宋体" w:cs="宋体"/>
                      <w:szCs w:val="21"/>
                    </w:rPr>
                    <w:t>型材</w:t>
                  </w:r>
                </w:p>
              </w:tc>
              <w:tc>
                <w:tcPr>
                  <w:tcW w:w="2294" w:type="dxa"/>
                  <w:vAlign w:val="center"/>
                </w:tcPr>
                <w:p>
                  <w:pPr>
                    <w:jc w:val="center"/>
                    <w:rPr>
                      <w:szCs w:val="21"/>
                    </w:rPr>
                  </w:pPr>
                  <w:r>
                    <w:rPr>
                      <w:szCs w:val="21"/>
                    </w:rPr>
                    <w:t>30</w:t>
                  </w:r>
                </w:p>
              </w:tc>
              <w:tc>
                <w:tcPr>
                  <w:tcW w:w="2294" w:type="dxa"/>
                  <w:vAlign w:val="center"/>
                </w:tcPr>
                <w:p>
                  <w:pPr>
                    <w:jc w:val="center"/>
                    <w:rPr>
                      <w:szCs w:val="21"/>
                    </w:rPr>
                  </w:pPr>
                  <w:r>
                    <w:rPr>
                      <w:rFonts w:hint="eastAsia"/>
                      <w:szCs w:val="21"/>
                    </w:rPr>
                    <w:t>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154" w:type="dxa"/>
                  <w:vAlign w:val="center"/>
                </w:tcPr>
                <w:p>
                  <w:pPr>
                    <w:jc w:val="center"/>
                    <w:rPr>
                      <w:rFonts w:ascii="宋体" w:hAnsi="宋体" w:cs="宋体"/>
                      <w:szCs w:val="21"/>
                    </w:rPr>
                  </w:pPr>
                  <w:r>
                    <w:rPr>
                      <w:rFonts w:hint="eastAsia" w:ascii="宋体" w:hAnsi="宋体" w:cs="宋体"/>
                      <w:szCs w:val="21"/>
                    </w:rPr>
                    <w:t>3</w:t>
                  </w:r>
                </w:p>
              </w:tc>
              <w:tc>
                <w:tcPr>
                  <w:tcW w:w="3435" w:type="dxa"/>
                  <w:vAlign w:val="center"/>
                </w:tcPr>
                <w:p>
                  <w:pPr>
                    <w:jc w:val="center"/>
                    <w:rPr>
                      <w:rFonts w:ascii="宋体" w:hAnsi="宋体" w:cs="宋体"/>
                      <w:szCs w:val="21"/>
                    </w:rPr>
                  </w:pPr>
                  <w:r>
                    <w:rPr>
                      <w:rFonts w:hint="eastAsia" w:ascii="宋体" w:hAnsi="宋体" w:cs="宋体"/>
                      <w:szCs w:val="21"/>
                    </w:rPr>
                    <w:t>焊条</w:t>
                  </w:r>
                </w:p>
              </w:tc>
              <w:tc>
                <w:tcPr>
                  <w:tcW w:w="2294" w:type="dxa"/>
                </w:tcPr>
                <w:p>
                  <w:pPr>
                    <w:jc w:val="center"/>
                    <w:rPr>
                      <w:szCs w:val="21"/>
                    </w:rPr>
                  </w:pPr>
                  <w:r>
                    <w:rPr>
                      <w:rFonts w:hint="eastAsia"/>
                      <w:szCs w:val="21"/>
                    </w:rPr>
                    <w:t>2</w:t>
                  </w:r>
                </w:p>
              </w:tc>
              <w:tc>
                <w:tcPr>
                  <w:tcW w:w="2294" w:type="dxa"/>
                  <w:vAlign w:val="center"/>
                </w:tcPr>
                <w:p>
                  <w:pPr>
                    <w:jc w:val="center"/>
                    <w:rPr>
                      <w:szCs w:val="21"/>
                    </w:rPr>
                  </w:pPr>
                  <w:r>
                    <w:rPr>
                      <w:rFonts w:hint="eastAsia"/>
                      <w:szCs w:val="21"/>
                    </w:rPr>
                    <w:t>吨</w:t>
                  </w:r>
                </w:p>
              </w:tc>
            </w:tr>
          </w:tbl>
          <w:p>
            <w:pPr>
              <w:snapToGrid w:val="0"/>
              <w:spacing w:line="440" w:lineRule="exact"/>
              <w:ind w:firstLine="482" w:firstLineChars="200"/>
              <w:rPr>
                <w:b/>
                <w:sz w:val="24"/>
              </w:rPr>
            </w:pPr>
            <w:r>
              <w:rPr>
                <w:rFonts w:hint="eastAsia"/>
                <w:b/>
                <w:sz w:val="24"/>
              </w:rPr>
              <w:t>4</w:t>
            </w:r>
            <w:r>
              <w:rPr>
                <w:b/>
                <w:sz w:val="24"/>
              </w:rPr>
              <w:t>、与新环[2015]342号文对比分析</w:t>
            </w:r>
          </w:p>
          <w:p>
            <w:pPr>
              <w:spacing w:line="440" w:lineRule="exact"/>
              <w:ind w:firstLine="480" w:firstLineChars="200"/>
              <w:rPr>
                <w:sz w:val="24"/>
              </w:rPr>
            </w:pPr>
            <w:r>
              <w:rPr>
                <w:sz w:val="24"/>
              </w:rPr>
              <w:t>与《新乡市环境保护局关于印发深化建设项目环境影响评价审批制度改革实施细则的通知》新环[2015]342号（以下简称《通知》）对照分析见表</w:t>
            </w:r>
            <w:r>
              <w:rPr>
                <w:rFonts w:hint="eastAsia"/>
                <w:sz w:val="24"/>
              </w:rPr>
              <w:t>7</w:t>
            </w:r>
            <w:r>
              <w:rPr>
                <w:sz w:val="24"/>
              </w:rPr>
              <w:t>。</w:t>
            </w:r>
          </w:p>
          <w:p>
            <w:pPr>
              <w:pStyle w:val="2"/>
              <w:ind w:firstLine="560"/>
            </w:pPr>
          </w:p>
          <w:p/>
          <w:p>
            <w:pPr>
              <w:pStyle w:val="2"/>
              <w:ind w:firstLine="560"/>
            </w:pPr>
          </w:p>
          <w:p/>
          <w:p>
            <w:pPr>
              <w:pStyle w:val="2"/>
              <w:ind w:firstLine="560"/>
            </w:pPr>
          </w:p>
          <w:p/>
          <w:p>
            <w:pPr>
              <w:pStyle w:val="2"/>
              <w:ind w:firstLine="560"/>
            </w:pPr>
          </w:p>
          <w:p/>
          <w:p>
            <w:pPr>
              <w:pStyle w:val="2"/>
              <w:ind w:firstLine="560"/>
            </w:pPr>
          </w:p>
          <w:p/>
          <w:p>
            <w:pPr>
              <w:spacing w:line="440" w:lineRule="exact"/>
              <w:ind w:firstLine="480" w:firstLineChars="200"/>
              <w:textAlignment w:val="baseline"/>
              <w:rPr>
                <w:rFonts w:ascii="黑体" w:hAnsi="黑体" w:eastAsia="黑体"/>
                <w:sz w:val="24"/>
              </w:rPr>
            </w:pPr>
            <w:r>
              <w:rPr>
                <w:rFonts w:ascii="黑体" w:hAnsi="黑体" w:eastAsia="黑体"/>
                <w:bCs/>
                <w:sz w:val="24"/>
              </w:rPr>
              <w:t xml:space="preserve">表7              </w:t>
            </w:r>
            <w:r>
              <w:rPr>
                <w:rFonts w:ascii="黑体" w:hAnsi="黑体" w:eastAsia="黑体"/>
                <w:bCs/>
                <w:color w:val="FF0000"/>
                <w:sz w:val="24"/>
              </w:rPr>
              <w:t xml:space="preserve"> </w:t>
            </w:r>
            <w:r>
              <w:rPr>
                <w:rFonts w:ascii="黑体" w:hAnsi="黑体" w:eastAsia="黑体"/>
                <w:bCs/>
                <w:sz w:val="24"/>
              </w:rPr>
              <w:t xml:space="preserve">  与《通知》对比分析一览表</w:t>
            </w:r>
          </w:p>
          <w:tbl>
            <w:tblPr>
              <w:tblStyle w:val="30"/>
              <w:tblW w:w="911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01"/>
              <w:gridCol w:w="3969"/>
              <w:gridCol w:w="1701"/>
              <w:gridCol w:w="11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tcBorders>
                    <w:top w:val="single" w:color="auto" w:sz="8" w:space="0"/>
                    <w:left w:val="nil"/>
                    <w:bottom w:val="single" w:color="auto" w:sz="4" w:space="0"/>
                    <w:right w:val="single" w:color="auto" w:sz="4" w:space="0"/>
                  </w:tcBorders>
                  <w:vAlign w:val="center"/>
                </w:tcPr>
                <w:p>
                  <w:pPr>
                    <w:adjustRightInd w:val="0"/>
                    <w:snapToGrid w:val="0"/>
                    <w:jc w:val="center"/>
                    <w:rPr>
                      <w:b/>
                      <w:bCs/>
                      <w:szCs w:val="21"/>
                    </w:rPr>
                  </w:pPr>
                  <w:r>
                    <w:rPr>
                      <w:b/>
                      <w:bCs/>
                      <w:szCs w:val="21"/>
                    </w:rPr>
                    <w:t>项目</w:t>
                  </w:r>
                </w:p>
              </w:tc>
              <w:tc>
                <w:tcPr>
                  <w:tcW w:w="5370"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b/>
                      <w:bCs/>
                      <w:szCs w:val="21"/>
                    </w:rPr>
                  </w:pPr>
                  <w:r>
                    <w:rPr>
                      <w:b/>
                      <w:bCs/>
                      <w:szCs w:val="21"/>
                    </w:rPr>
                    <w:t>与本项目相关条文</w:t>
                  </w:r>
                </w:p>
              </w:tc>
              <w:tc>
                <w:tcPr>
                  <w:tcW w:w="170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b/>
                      <w:bCs/>
                      <w:szCs w:val="21"/>
                    </w:rPr>
                  </w:pPr>
                  <w:r>
                    <w:rPr>
                      <w:b/>
                      <w:bCs/>
                      <w:szCs w:val="21"/>
                    </w:rPr>
                    <w:t>本项目情况</w:t>
                  </w:r>
                </w:p>
              </w:tc>
              <w:tc>
                <w:tcPr>
                  <w:tcW w:w="1156" w:type="dxa"/>
                  <w:tcBorders>
                    <w:top w:val="single" w:color="auto" w:sz="8" w:space="0"/>
                    <w:left w:val="single" w:color="auto" w:sz="4" w:space="0"/>
                    <w:bottom w:val="single" w:color="auto" w:sz="4" w:space="0"/>
                    <w:right w:val="nil"/>
                  </w:tcBorders>
                  <w:vAlign w:val="center"/>
                </w:tcPr>
                <w:p>
                  <w:pPr>
                    <w:adjustRightInd w:val="0"/>
                    <w:snapToGrid w:val="0"/>
                    <w:jc w:val="center"/>
                    <w:rPr>
                      <w:b/>
                      <w:bCs/>
                      <w:szCs w:val="21"/>
                    </w:rPr>
                  </w:pPr>
                  <w:r>
                    <w:rPr>
                      <w:b/>
                      <w:bCs/>
                      <w:szCs w:val="21"/>
                    </w:rPr>
                    <w:t>对比结果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szCs w:val="21"/>
                    </w:rPr>
                    <w:t>新乡市</w:t>
                  </w:r>
                </w:p>
                <w:p>
                  <w:pPr>
                    <w:adjustRightInd w:val="0"/>
                    <w:snapToGrid w:val="0"/>
                    <w:jc w:val="center"/>
                    <w:rPr>
                      <w:szCs w:val="21"/>
                    </w:rPr>
                  </w:pPr>
                  <w:r>
                    <w:rPr>
                      <w:szCs w:val="21"/>
                    </w:rPr>
                    <w:t>主体功</w:t>
                  </w:r>
                </w:p>
                <w:p>
                  <w:pPr>
                    <w:adjustRightInd w:val="0"/>
                    <w:snapToGrid w:val="0"/>
                    <w:jc w:val="center"/>
                    <w:rPr>
                      <w:szCs w:val="21"/>
                    </w:rPr>
                  </w:pPr>
                  <w:r>
                    <w:rPr>
                      <w:szCs w:val="21"/>
                    </w:rPr>
                    <w:t>能区分</w:t>
                  </w:r>
                </w:p>
              </w:tc>
              <w:tc>
                <w:tcPr>
                  <w:tcW w:w="537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工业准入优先区：我市范围内的省级产业集聚区、市级人民政府规范设立的专业园区。</w:t>
                  </w:r>
                </w:p>
              </w:tc>
              <w:tc>
                <w:tcPr>
                  <w:tcW w:w="1701" w:type="dxa"/>
                  <w:vMerge w:val="restart"/>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本项目位于新乡市凤泉区耿黄镇东鲁堡村北</w:t>
                  </w: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szCs w:val="21"/>
                    </w:rPr>
                  </w:pPr>
                </w:p>
              </w:tc>
              <w:tc>
                <w:tcPr>
                  <w:tcW w:w="537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城市人居功能区：新乡市市区（含平原城乡一体示范区）、县城建成区，以及规划区中以居住、商贸、文教科研为主的区域。</w:t>
                  </w:r>
                </w:p>
              </w:tc>
              <w:tc>
                <w:tcPr>
                  <w:tcW w:w="1701" w:type="dxa"/>
                  <w:vMerge w:val="continue"/>
                  <w:tcBorders>
                    <w:left w:val="single" w:color="auto" w:sz="4" w:space="0"/>
                    <w:right w:val="single" w:color="auto" w:sz="4" w:space="0"/>
                  </w:tcBorders>
                  <w:vAlign w:val="center"/>
                </w:tcPr>
                <w:p>
                  <w:pPr>
                    <w:adjustRightInd w:val="0"/>
                    <w:snapToGrid w:val="0"/>
                    <w:jc w:val="center"/>
                    <w:rPr>
                      <w:szCs w:val="21"/>
                    </w:rPr>
                  </w:pP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szCs w:val="21"/>
                    </w:rPr>
                  </w:pPr>
                </w:p>
              </w:tc>
              <w:tc>
                <w:tcPr>
                  <w:tcW w:w="5370"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农产品主产区：辉县市、获嘉县、原阳县、延津县、辉县市。（不含产业集聚区、专业园区和县城建成区以及规划区中以居住、商贸、文教科研为主的区域）</w:t>
                  </w:r>
                </w:p>
              </w:tc>
              <w:tc>
                <w:tcPr>
                  <w:tcW w:w="1701" w:type="dxa"/>
                  <w:vMerge w:val="continue"/>
                  <w:tcBorders>
                    <w:left w:val="single" w:color="auto" w:sz="4" w:space="0"/>
                    <w:right w:val="single" w:color="auto" w:sz="4" w:space="0"/>
                  </w:tcBorders>
                  <w:vAlign w:val="center"/>
                </w:tcPr>
                <w:p>
                  <w:pPr>
                    <w:adjustRightInd w:val="0"/>
                    <w:snapToGrid w:val="0"/>
                    <w:jc w:val="center"/>
                    <w:rPr>
                      <w:szCs w:val="21"/>
                    </w:rPr>
                  </w:pP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rFonts w:hint="eastAsia"/>
                      <w:szCs w:val="21"/>
                    </w:rPr>
                    <w:t>不</w:t>
                  </w:r>
                  <w:r>
                    <w:rPr>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szCs w:val="21"/>
                    </w:rPr>
                  </w:pP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禁止开发区</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太行山猕猴自然保护区</w:t>
                  </w:r>
                </w:p>
                <w:p>
                  <w:pPr>
                    <w:jc w:val="center"/>
                    <w:rPr>
                      <w:szCs w:val="21"/>
                    </w:rPr>
                  </w:pPr>
                  <w:r>
                    <w:rPr>
                      <w:szCs w:val="21"/>
                    </w:rPr>
                    <w:t>辉县市百泉风景名胜区</w:t>
                  </w:r>
                </w:p>
                <w:p>
                  <w:pPr>
                    <w:jc w:val="center"/>
                    <w:rPr>
                      <w:szCs w:val="21"/>
                    </w:rPr>
                  </w:pPr>
                  <w:r>
                    <w:rPr>
                      <w:szCs w:val="21"/>
                    </w:rPr>
                    <w:t>辉县市白云寺森林公园</w:t>
                  </w:r>
                </w:p>
                <w:p>
                  <w:pPr>
                    <w:jc w:val="center"/>
                    <w:rPr>
                      <w:szCs w:val="21"/>
                    </w:rPr>
                  </w:pPr>
                  <w:r>
                    <w:rPr>
                      <w:szCs w:val="21"/>
                    </w:rPr>
                    <w:t>辉县市关山国家地质公园</w:t>
                  </w:r>
                </w:p>
              </w:tc>
              <w:tc>
                <w:tcPr>
                  <w:tcW w:w="1701" w:type="dxa"/>
                  <w:vMerge w:val="continue"/>
                  <w:tcBorders>
                    <w:left w:val="single" w:color="auto" w:sz="4" w:space="0"/>
                    <w:bottom w:val="single" w:color="auto" w:sz="4" w:space="0"/>
                    <w:right w:val="single" w:color="auto" w:sz="4" w:space="0"/>
                  </w:tcBorders>
                  <w:vAlign w:val="center"/>
                </w:tcPr>
                <w:p>
                  <w:pPr>
                    <w:adjustRightInd w:val="0"/>
                    <w:snapToGrid w:val="0"/>
                    <w:rPr>
                      <w:szCs w:val="21"/>
                    </w:rPr>
                  </w:pP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90" w:type="dxa"/>
                  <w:vMerge w:val="continue"/>
                  <w:tcBorders>
                    <w:left w:val="nil"/>
                    <w:bottom w:val="single" w:color="auto" w:sz="4" w:space="0"/>
                    <w:right w:val="single" w:color="auto" w:sz="4" w:space="0"/>
                  </w:tcBorders>
                  <w:vAlign w:val="center"/>
                </w:tcPr>
                <w:p>
                  <w:pPr>
                    <w:adjustRightInd w:val="0"/>
                    <w:snapToGrid w:val="0"/>
                    <w:jc w:val="center"/>
                    <w:rPr>
                      <w:szCs w:val="21"/>
                    </w:rPr>
                  </w:pPr>
                </w:p>
              </w:tc>
              <w:tc>
                <w:tcPr>
                  <w:tcW w:w="1401"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凤泉水厂地下水饮用水源保护区(共8眼井)</w:t>
                  </w:r>
                </w:p>
              </w:tc>
              <w:tc>
                <w:tcPr>
                  <w:tcW w:w="3969" w:type="dxa"/>
                  <w:tcBorders>
                    <w:top w:val="single" w:color="auto" w:sz="4" w:space="0"/>
                    <w:left w:val="single" w:color="auto" w:sz="4" w:space="0"/>
                    <w:bottom w:val="single" w:color="auto" w:sz="4" w:space="0"/>
                    <w:right w:val="single" w:color="auto" w:sz="4" w:space="0"/>
                  </w:tcBorders>
                  <w:vAlign w:val="center"/>
                </w:tcPr>
                <w:p>
                  <w:pPr>
                    <w:rPr>
                      <w:bCs/>
                      <w:szCs w:val="21"/>
                    </w:rPr>
                  </w:pPr>
                  <w:r>
                    <w:rPr>
                      <w:bCs/>
                      <w:szCs w:val="21"/>
                    </w:rPr>
                    <w:t>一级保护区:以水厂东、西两院的院墙为界向外10米以及输水管线两侧10米的区域。</w:t>
                  </w:r>
                </w:p>
                <w:p>
                  <w:pPr>
                    <w:rPr>
                      <w:bCs/>
                      <w:szCs w:val="21"/>
                    </w:rPr>
                  </w:pPr>
                  <w:r>
                    <w:rPr>
                      <w:bCs/>
                      <w:szCs w:val="21"/>
                    </w:rPr>
                    <w:t>二级保护区:东以团结路为界,其他三面以水厂院墙为界,向外100米的区域。</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项目距离二级保护区边界</w:t>
                  </w:r>
                  <w:r>
                    <w:rPr>
                      <w:rFonts w:hint="eastAsia"/>
                      <w:szCs w:val="21"/>
                    </w:rPr>
                    <w:t>4200</w:t>
                  </w:r>
                  <w:r>
                    <w:rPr>
                      <w:szCs w:val="21"/>
                    </w:rPr>
                    <w:t>m</w:t>
                  </w:r>
                </w:p>
              </w:tc>
              <w:tc>
                <w:tcPr>
                  <w:tcW w:w="1156" w:type="dxa"/>
                  <w:tcBorders>
                    <w:left w:val="single" w:color="auto" w:sz="4" w:space="0"/>
                    <w:bottom w:val="single" w:color="auto" w:sz="4" w:space="0"/>
                    <w:right w:val="nil"/>
                  </w:tcBorders>
                  <w:vAlign w:val="center"/>
                </w:tcPr>
                <w:p>
                  <w:pPr>
                    <w:adjustRightInd w:val="0"/>
                    <w:snapToGrid w:val="0"/>
                    <w:jc w:val="center"/>
                    <w:rPr>
                      <w:szCs w:val="21"/>
                    </w:rPr>
                  </w:pPr>
                  <w:r>
                    <w:rPr>
                      <w:szCs w:val="21"/>
                    </w:rPr>
                    <w:t>不在保护区范围内</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szCs w:val="21"/>
                    </w:rPr>
                    <w:t>污染防治（控）重点单元</w:t>
                  </w: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水污染</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卫河流域：新乡市区、新乡县、卫辉市、辉县市、获嘉县</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本项目位于新乡市凤泉区耿黄镇东鲁堡村北</w:t>
                  </w: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szCs w:val="21"/>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大气污染</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997" w:firstLineChars="475"/>
                    <w:rPr>
                      <w:szCs w:val="21"/>
                    </w:rPr>
                  </w:pPr>
                  <w:r>
                    <w:rPr>
                      <w:szCs w:val="21"/>
                    </w:rPr>
                    <w:t>新乡市域全部</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vMerge w:val="continue"/>
                  <w:tcBorders>
                    <w:top w:val="single" w:color="auto" w:sz="4" w:space="0"/>
                    <w:left w:val="nil"/>
                    <w:bottom w:val="single" w:color="auto" w:sz="4" w:space="0"/>
                    <w:right w:val="single" w:color="auto" w:sz="4" w:space="0"/>
                  </w:tcBorders>
                  <w:vAlign w:val="center"/>
                </w:tcPr>
                <w:p>
                  <w:pPr>
                    <w:adjustRightInd w:val="0"/>
                    <w:snapToGrid w:val="0"/>
                    <w:jc w:val="center"/>
                    <w:rPr>
                      <w:szCs w:val="21"/>
                    </w:rPr>
                  </w:pPr>
                </w:p>
              </w:tc>
              <w:tc>
                <w:tcPr>
                  <w:tcW w:w="14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重金属污染</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840" w:firstLineChars="400"/>
                    <w:rPr>
                      <w:szCs w:val="21"/>
                    </w:rPr>
                  </w:pPr>
                  <w:r>
                    <w:rPr>
                      <w:szCs w:val="21"/>
                    </w:rPr>
                    <w:t>新乡县、凤泉区</w:t>
                  </w:r>
                </w:p>
                <w:p>
                  <w:pPr>
                    <w:adjustRightInd w:val="0"/>
                    <w:snapToGrid w:val="0"/>
                    <w:ind w:firstLine="630" w:firstLineChars="300"/>
                    <w:rPr>
                      <w:szCs w:val="21"/>
                    </w:rPr>
                  </w:pPr>
                  <w:r>
                    <w:rPr>
                      <w:szCs w:val="21"/>
                    </w:rPr>
                    <w:t>（铅镉污染控制区）</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p>
              </w:tc>
              <w:tc>
                <w:tcPr>
                  <w:tcW w:w="1156" w:type="dxa"/>
                  <w:tcBorders>
                    <w:top w:val="single" w:color="auto" w:sz="4" w:space="0"/>
                    <w:left w:val="single" w:color="auto" w:sz="4" w:space="0"/>
                    <w:bottom w:val="single" w:color="auto" w:sz="4" w:space="0"/>
                    <w:right w:val="nil"/>
                  </w:tcBorders>
                  <w:vAlign w:val="center"/>
                </w:tcPr>
                <w:p>
                  <w:pPr>
                    <w:adjustRightInd w:val="0"/>
                    <w:snapToGrid w:val="0"/>
                    <w:jc w:val="center"/>
                    <w:rPr>
                      <w:szCs w:val="21"/>
                    </w:rPr>
                  </w:pPr>
                  <w:r>
                    <w:rPr>
                      <w:szCs w:val="21"/>
                    </w:rPr>
                    <w:t>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90" w:type="dxa"/>
                  <w:tcBorders>
                    <w:top w:val="single" w:color="auto" w:sz="4" w:space="0"/>
                    <w:left w:val="nil"/>
                    <w:bottom w:val="single" w:color="auto" w:sz="8" w:space="0"/>
                    <w:right w:val="single" w:color="auto" w:sz="4" w:space="0"/>
                  </w:tcBorders>
                  <w:vAlign w:val="center"/>
                </w:tcPr>
                <w:p>
                  <w:pPr>
                    <w:adjustRightInd w:val="0"/>
                    <w:snapToGrid w:val="0"/>
                    <w:jc w:val="center"/>
                    <w:rPr>
                      <w:szCs w:val="21"/>
                    </w:rPr>
                  </w:pPr>
                  <w:r>
                    <w:rPr>
                      <w:szCs w:val="21"/>
                    </w:rPr>
                    <w:t>工业项目分类</w:t>
                  </w:r>
                </w:p>
              </w:tc>
              <w:tc>
                <w:tcPr>
                  <w:tcW w:w="5370" w:type="dxa"/>
                  <w:gridSpan w:val="2"/>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szCs w:val="21"/>
                    </w:rPr>
                  </w:pPr>
                  <w:r>
                    <w:rPr>
                      <w:szCs w:val="21"/>
                    </w:rPr>
                    <w:t>一类工业项目：金属制品（不含有电镀或钝化工艺的热镀锌的表面处理及热处理加工）</w:t>
                  </w:r>
                </w:p>
              </w:tc>
              <w:tc>
                <w:tcPr>
                  <w:tcW w:w="1701"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rPr>
                      <w:szCs w:val="21"/>
                    </w:rPr>
                  </w:pPr>
                  <w:r>
                    <w:rPr>
                      <w:szCs w:val="21"/>
                    </w:rPr>
                    <w:t>本项目不含电镀、钝化工艺</w:t>
                  </w:r>
                </w:p>
              </w:tc>
              <w:tc>
                <w:tcPr>
                  <w:tcW w:w="1156" w:type="dxa"/>
                  <w:tcBorders>
                    <w:top w:val="single" w:color="auto" w:sz="4" w:space="0"/>
                    <w:left w:val="single" w:color="auto" w:sz="4" w:space="0"/>
                    <w:bottom w:val="single" w:color="auto" w:sz="8" w:space="0"/>
                    <w:right w:val="nil"/>
                  </w:tcBorders>
                  <w:vAlign w:val="center"/>
                </w:tcPr>
                <w:p>
                  <w:pPr>
                    <w:adjustRightInd w:val="0"/>
                    <w:snapToGrid w:val="0"/>
                    <w:jc w:val="center"/>
                    <w:rPr>
                      <w:szCs w:val="21"/>
                    </w:rPr>
                  </w:pPr>
                  <w:r>
                    <w:rPr>
                      <w:szCs w:val="21"/>
                    </w:rPr>
                    <w:t>属于</w:t>
                  </w:r>
                  <w:r>
                    <w:rPr>
                      <w:rFonts w:hint="eastAsia"/>
                      <w:szCs w:val="21"/>
                    </w:rPr>
                    <w:t>一</w:t>
                  </w:r>
                  <w:r>
                    <w:rPr>
                      <w:szCs w:val="21"/>
                    </w:rPr>
                    <w:t>类工业项目</w:t>
                  </w:r>
                </w:p>
              </w:tc>
            </w:tr>
          </w:tbl>
          <w:p>
            <w:pPr>
              <w:spacing w:line="440" w:lineRule="exact"/>
              <w:ind w:firstLine="480" w:firstLineChars="200"/>
              <w:rPr>
                <w:sz w:val="24"/>
              </w:rPr>
            </w:pPr>
            <w:r>
              <w:rPr>
                <w:sz w:val="24"/>
              </w:rPr>
              <w:t>由表7可知，本项目不属于《通知》中所列的4种环境功能分区的任何一种类型，根据细则的相关说明，本项目参照农产品主产区的环境准入政策执行。</w:t>
            </w:r>
          </w:p>
          <w:p>
            <w:pPr>
              <w:spacing w:line="440" w:lineRule="exact"/>
              <w:ind w:firstLine="480" w:firstLineChars="200"/>
              <w:rPr>
                <w:sz w:val="24"/>
              </w:rPr>
            </w:pPr>
            <w:r>
              <w:rPr>
                <w:sz w:val="24"/>
              </w:rPr>
              <w:t>本项目与农产品主产区环境准入政策要求相符性分析见表8。</w:t>
            </w:r>
          </w:p>
          <w:p>
            <w:pPr>
              <w:spacing w:line="440" w:lineRule="exact"/>
              <w:ind w:firstLine="480" w:firstLineChars="200"/>
              <w:textAlignment w:val="baseline"/>
              <w:rPr>
                <w:rFonts w:ascii="黑体" w:hAnsi="黑体" w:eastAsia="黑体"/>
                <w:bCs/>
                <w:sz w:val="24"/>
              </w:rPr>
            </w:pPr>
            <w:r>
              <w:rPr>
                <w:rFonts w:ascii="黑体" w:hAnsi="黑体" w:eastAsia="黑体"/>
                <w:bCs/>
                <w:sz w:val="24"/>
              </w:rPr>
              <w:t>表8         与农产品主产区环境准入政策要求相符性分析</w:t>
            </w:r>
          </w:p>
          <w:tbl>
            <w:tblPr>
              <w:tblStyle w:val="30"/>
              <w:tblW w:w="911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896"/>
              <w:gridCol w:w="2607"/>
              <w:gridCol w:w="95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56" w:type="dxa"/>
                  <w:tcBorders>
                    <w:top w:val="single" w:color="auto" w:sz="8" w:space="0"/>
                    <w:bottom w:val="single" w:color="auto" w:sz="4" w:space="0"/>
                    <w:right w:val="single" w:color="auto" w:sz="4" w:space="0"/>
                  </w:tcBorders>
                  <w:vAlign w:val="center"/>
                </w:tcPr>
                <w:p>
                  <w:pPr>
                    <w:adjustRightInd w:val="0"/>
                    <w:snapToGrid w:val="0"/>
                    <w:jc w:val="center"/>
                    <w:textAlignment w:val="baseline"/>
                    <w:rPr>
                      <w:b/>
                      <w:bCs/>
                    </w:rPr>
                  </w:pPr>
                  <w:r>
                    <w:rPr>
                      <w:b/>
                      <w:bCs/>
                    </w:rPr>
                    <w:t>类别</w:t>
                  </w:r>
                </w:p>
              </w:tc>
              <w:tc>
                <w:tcPr>
                  <w:tcW w:w="489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textAlignment w:val="baseline"/>
                    <w:rPr>
                      <w:b/>
                      <w:bCs/>
                    </w:rPr>
                  </w:pPr>
                  <w:r>
                    <w:rPr>
                      <w:b/>
                      <w:bCs/>
                    </w:rPr>
                    <w:t>内容</w:t>
                  </w:r>
                </w:p>
              </w:tc>
              <w:tc>
                <w:tcPr>
                  <w:tcW w:w="2607"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textAlignment w:val="baseline"/>
                    <w:rPr>
                      <w:b/>
                      <w:bCs/>
                    </w:rPr>
                  </w:pPr>
                  <w:r>
                    <w:rPr>
                      <w:b/>
                      <w:bCs/>
                    </w:rPr>
                    <w:t>本项目</w:t>
                  </w:r>
                </w:p>
              </w:tc>
              <w:tc>
                <w:tcPr>
                  <w:tcW w:w="958" w:type="dxa"/>
                  <w:tcBorders>
                    <w:top w:val="single" w:color="auto" w:sz="8" w:space="0"/>
                    <w:left w:val="single" w:color="auto" w:sz="4" w:space="0"/>
                    <w:bottom w:val="single" w:color="auto" w:sz="4" w:space="0"/>
                  </w:tcBorders>
                  <w:vAlign w:val="center"/>
                </w:tcPr>
                <w:p>
                  <w:pPr>
                    <w:adjustRightInd w:val="0"/>
                    <w:snapToGrid w:val="0"/>
                    <w:ind w:left="-109" w:leftChars="-52"/>
                    <w:jc w:val="center"/>
                    <w:textAlignment w:val="baseline"/>
                    <w:rPr>
                      <w:b/>
                      <w:bCs/>
                    </w:rPr>
                  </w:pPr>
                  <w:r>
                    <w:rPr>
                      <w:b/>
                      <w:bCs/>
                    </w:rPr>
                    <w:t>对比结果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56" w:type="dxa"/>
                  <w:vMerge w:val="restart"/>
                  <w:tcBorders>
                    <w:top w:val="single" w:color="auto" w:sz="4" w:space="0"/>
                    <w:right w:val="single" w:color="auto" w:sz="4" w:space="0"/>
                  </w:tcBorders>
                  <w:vAlign w:val="center"/>
                </w:tcPr>
                <w:p>
                  <w:pPr>
                    <w:adjustRightInd w:val="0"/>
                    <w:snapToGrid w:val="0"/>
                    <w:ind w:firstLine="210" w:firstLineChars="100"/>
                    <w:jc w:val="center"/>
                  </w:pPr>
                  <w:r>
                    <w:t>环</w:t>
                  </w:r>
                </w:p>
                <w:p>
                  <w:pPr>
                    <w:adjustRightInd w:val="0"/>
                    <w:snapToGrid w:val="0"/>
                    <w:ind w:firstLine="210" w:firstLineChars="100"/>
                    <w:jc w:val="center"/>
                  </w:pPr>
                  <w:r>
                    <w:t>境</w:t>
                  </w:r>
                </w:p>
                <w:p>
                  <w:pPr>
                    <w:adjustRightInd w:val="0"/>
                    <w:snapToGrid w:val="0"/>
                    <w:ind w:firstLine="210" w:firstLineChars="100"/>
                    <w:jc w:val="center"/>
                  </w:pPr>
                  <w:r>
                    <w:t>准</w:t>
                  </w:r>
                </w:p>
                <w:p>
                  <w:pPr>
                    <w:adjustRightInd w:val="0"/>
                    <w:snapToGrid w:val="0"/>
                    <w:ind w:firstLine="210" w:firstLineChars="100"/>
                    <w:jc w:val="center"/>
                  </w:pPr>
                  <w:r>
                    <w:t>入</w:t>
                  </w:r>
                </w:p>
                <w:p>
                  <w:pPr>
                    <w:adjustRightInd w:val="0"/>
                    <w:snapToGrid w:val="0"/>
                    <w:ind w:firstLine="210" w:firstLineChars="100"/>
                    <w:jc w:val="center"/>
                  </w:pPr>
                  <w:r>
                    <w:t>政</w:t>
                  </w:r>
                </w:p>
                <w:p>
                  <w:pPr>
                    <w:adjustRightInd w:val="0"/>
                    <w:snapToGrid w:val="0"/>
                    <w:ind w:firstLine="210" w:firstLineChars="100"/>
                    <w:jc w:val="center"/>
                  </w:pPr>
                  <w:r>
                    <w:t>策</w:t>
                  </w:r>
                </w:p>
              </w:tc>
              <w:tc>
                <w:tcPr>
                  <w:tcW w:w="4896"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pPr>
                  <w:r>
                    <w:t>1、简化部分审批程序。依据环保部《建设项目分类管理名录》规定，对填报环境影响登记表的项目，除畜禽养殖场、养殖小区、肉禽类加工、水产品加工、粪便处理、部分餐饮场所以及核与辐射项目外，环评文件由审批制改为备案制，即报即受理，2个工作日内办结；对编制环境影响报告表的农副产品加工项目，简化审批程序，即报即受理。</w:t>
                  </w:r>
                </w:p>
              </w:tc>
              <w:tc>
                <w:tcPr>
                  <w:tcW w:w="26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pPr>
                  <w:r>
                    <w:t>本项目应编制报告表。不属于简化审批程序类的建设项目。</w:t>
                  </w:r>
                </w:p>
              </w:tc>
              <w:tc>
                <w:tcPr>
                  <w:tcW w:w="958" w:type="dxa"/>
                  <w:tcBorders>
                    <w:top w:val="single" w:color="auto" w:sz="4" w:space="0"/>
                    <w:left w:val="single" w:color="auto" w:sz="4" w:space="0"/>
                    <w:bottom w:val="single" w:color="auto" w:sz="4" w:space="0"/>
                  </w:tcBorders>
                  <w:vAlign w:val="center"/>
                </w:tcPr>
                <w:p>
                  <w:pPr>
                    <w:adjustRightInd w:val="0"/>
                    <w:snapToGrid w:val="0"/>
                    <w:ind w:firstLine="105" w:firstLineChars="50"/>
                    <w:jc w:val="center"/>
                    <w:textAlignment w:val="baseline"/>
                  </w:pPr>
                  <w: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56" w:type="dxa"/>
                  <w:vMerge w:val="continue"/>
                  <w:tcBorders>
                    <w:top w:val="single" w:color="auto" w:sz="4" w:space="0"/>
                    <w:bottom w:val="single" w:color="auto" w:sz="4" w:space="0"/>
                    <w:right w:val="single" w:color="auto" w:sz="4" w:space="0"/>
                  </w:tcBorders>
                  <w:vAlign w:val="center"/>
                </w:tcPr>
                <w:p>
                  <w:pPr>
                    <w:adjustRightInd w:val="0"/>
                    <w:snapToGrid w:val="0"/>
                    <w:ind w:firstLine="210" w:firstLineChars="100"/>
                    <w:jc w:val="center"/>
                  </w:pPr>
                </w:p>
              </w:tc>
              <w:tc>
                <w:tcPr>
                  <w:tcW w:w="4896"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pPr>
                  <w:r>
                    <w:t>2、严控重污染项目。不予审批《工业项目分类清单》中三类工业项目和排放重金属、持久性有机污染物、挥发性有机污染物等影响粮食生产安全的二类工业新建项目（矿产资源点状开发项目和符合省、市重大产业布局的项目除外）。</w:t>
                  </w:r>
                </w:p>
              </w:tc>
              <w:tc>
                <w:tcPr>
                  <w:tcW w:w="2607" w:type="dxa"/>
                  <w:tcBorders>
                    <w:top w:val="single" w:color="auto" w:sz="4" w:space="0"/>
                    <w:left w:val="single" w:color="auto" w:sz="4" w:space="0"/>
                    <w:bottom w:val="single" w:color="auto" w:sz="4" w:space="0"/>
                    <w:right w:val="single" w:color="auto" w:sz="4" w:space="0"/>
                  </w:tcBorders>
                  <w:vAlign w:val="center"/>
                </w:tcPr>
                <w:p>
                  <w:pPr>
                    <w:pStyle w:val="15"/>
                  </w:pPr>
                  <w:r>
                    <w:t>本项目属一类工业项目, 不属于排放重金属、持久性有机污染物、挥发性有机污染物等影响粮食生产安全的项目。</w:t>
                  </w:r>
                </w:p>
              </w:tc>
              <w:tc>
                <w:tcPr>
                  <w:tcW w:w="958" w:type="dxa"/>
                  <w:tcBorders>
                    <w:top w:val="single" w:color="auto" w:sz="4" w:space="0"/>
                    <w:left w:val="single" w:color="auto" w:sz="4" w:space="0"/>
                    <w:bottom w:val="single" w:color="auto" w:sz="4" w:space="0"/>
                  </w:tcBorders>
                  <w:vAlign w:val="center"/>
                </w:tcPr>
                <w:p>
                  <w:pPr>
                    <w:adjustRightInd w:val="0"/>
                    <w:snapToGrid w:val="0"/>
                    <w:ind w:firstLine="105" w:firstLineChars="50"/>
                    <w:jc w:val="center"/>
                    <w:textAlignment w:val="baseline"/>
                  </w:pPr>
                  <w:r>
                    <w:t>不属于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56" w:type="dxa"/>
                  <w:vMerge w:val="continue"/>
                  <w:tcBorders>
                    <w:top w:val="single" w:color="auto" w:sz="4" w:space="0"/>
                    <w:bottom w:val="single" w:color="auto" w:sz="8" w:space="0"/>
                    <w:right w:val="single" w:color="auto" w:sz="4" w:space="0"/>
                  </w:tcBorders>
                  <w:vAlign w:val="center"/>
                </w:tcPr>
                <w:p>
                  <w:pPr>
                    <w:adjustRightInd w:val="0"/>
                    <w:snapToGrid w:val="0"/>
                    <w:ind w:firstLine="210" w:firstLineChars="100"/>
                    <w:jc w:val="center"/>
                  </w:pPr>
                </w:p>
              </w:tc>
              <w:tc>
                <w:tcPr>
                  <w:tcW w:w="4896"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pPr>
                  <w:r>
                    <w:t>3、严控部分区域重污染项目。在《水污染防治重点单元》区域内不予审批屠宰、酿造、含发酵工艺的粮食加工等废水排放量大且废水无法进入集中式污水处理厂处理的项目。</w:t>
                  </w:r>
                </w:p>
              </w:tc>
              <w:tc>
                <w:tcPr>
                  <w:tcW w:w="2607" w:type="dxa"/>
                  <w:tcBorders>
                    <w:top w:val="single" w:color="auto" w:sz="4" w:space="0"/>
                    <w:left w:val="single" w:color="auto" w:sz="4" w:space="0"/>
                    <w:bottom w:val="single" w:color="auto" w:sz="8" w:space="0"/>
                    <w:right w:val="single" w:color="auto" w:sz="4" w:space="0"/>
                  </w:tcBorders>
                  <w:vAlign w:val="center"/>
                </w:tcPr>
                <w:p>
                  <w:pPr>
                    <w:adjustRightInd w:val="0"/>
                    <w:snapToGrid w:val="0"/>
                    <w:jc w:val="center"/>
                    <w:textAlignment w:val="baseline"/>
                  </w:pPr>
                  <w:r>
                    <w:t>本项目不属于屠宰、酿造、含发酵工艺的粮食加工等废水排放量大且废水无法进入集中式污水处理厂处理的不予审批项目。</w:t>
                  </w:r>
                </w:p>
              </w:tc>
              <w:tc>
                <w:tcPr>
                  <w:tcW w:w="958" w:type="dxa"/>
                  <w:tcBorders>
                    <w:top w:val="single" w:color="auto" w:sz="4" w:space="0"/>
                    <w:left w:val="single" w:color="auto" w:sz="4" w:space="0"/>
                    <w:bottom w:val="single" w:color="auto" w:sz="8" w:space="0"/>
                  </w:tcBorders>
                  <w:vAlign w:val="center"/>
                </w:tcPr>
                <w:p>
                  <w:pPr>
                    <w:adjustRightInd w:val="0"/>
                    <w:snapToGrid w:val="0"/>
                    <w:ind w:firstLine="105" w:firstLineChars="50"/>
                    <w:jc w:val="center"/>
                    <w:textAlignment w:val="baseline"/>
                  </w:pPr>
                  <w:r>
                    <w:t>不属于</w:t>
                  </w:r>
                </w:p>
              </w:tc>
            </w:tr>
          </w:tbl>
          <w:p>
            <w:pPr>
              <w:autoSpaceDE w:val="0"/>
              <w:autoSpaceDN w:val="0"/>
              <w:adjustRightInd w:val="0"/>
              <w:spacing w:line="440" w:lineRule="exact"/>
              <w:ind w:firstLine="460" w:firstLineChars="192"/>
              <w:jc w:val="left"/>
              <w:rPr>
                <w:sz w:val="24"/>
              </w:rPr>
            </w:pPr>
            <w:r>
              <w:rPr>
                <w:sz w:val="24"/>
              </w:rPr>
              <w:t>由表8可知，本项目不属于《通知》中所列不予审批的项目，符合审批条件。</w:t>
            </w:r>
          </w:p>
          <w:p>
            <w:pPr>
              <w:autoSpaceDN w:val="0"/>
              <w:spacing w:line="440" w:lineRule="exact"/>
              <w:ind w:firstLine="482" w:firstLineChars="200"/>
              <w:rPr>
                <w:b/>
                <w:sz w:val="24"/>
              </w:rPr>
            </w:pPr>
            <w:r>
              <w:rPr>
                <w:rFonts w:hint="eastAsia"/>
                <w:b/>
                <w:sz w:val="24"/>
              </w:rPr>
              <w:t>5、与新</w:t>
            </w:r>
            <w:r>
              <w:rPr>
                <w:rFonts w:hint="eastAsia"/>
                <w:b/>
                <w:bCs/>
                <w:sz w:val="24"/>
              </w:rPr>
              <w:t>环攻坚办</w:t>
            </w:r>
            <w:r>
              <w:rPr>
                <w:b/>
                <w:bCs/>
                <w:sz w:val="24"/>
              </w:rPr>
              <w:t>[2019]</w:t>
            </w:r>
            <w:r>
              <w:rPr>
                <w:rFonts w:hint="eastAsia"/>
                <w:b/>
                <w:bCs/>
                <w:sz w:val="24"/>
              </w:rPr>
              <w:t>74号</w:t>
            </w:r>
            <w:r>
              <w:rPr>
                <w:rFonts w:hint="eastAsia"/>
                <w:b/>
                <w:sz w:val="24"/>
              </w:rPr>
              <w:t>文对比分析</w:t>
            </w:r>
          </w:p>
          <w:p>
            <w:pPr>
              <w:autoSpaceDN w:val="0"/>
              <w:spacing w:line="440" w:lineRule="exact"/>
              <w:ind w:firstLine="480" w:firstLineChars="200"/>
              <w:rPr>
                <w:sz w:val="24"/>
              </w:rPr>
            </w:pPr>
            <w:r>
              <w:rPr>
                <w:rFonts w:hint="eastAsia"/>
                <w:sz w:val="24"/>
              </w:rPr>
              <w:t>与《</w:t>
            </w:r>
            <w:r>
              <w:rPr>
                <w:sz w:val="24"/>
              </w:rPr>
              <w:t>新乡市环境污染防治攻坚指挥部办公室关于印发新乡市2019年大气污染防治攻坚战实施方案的通知</w:t>
            </w:r>
            <w:r>
              <w:rPr>
                <w:rFonts w:hint="eastAsia"/>
                <w:sz w:val="24"/>
              </w:rPr>
              <w:t>》（新</w:t>
            </w:r>
            <w:r>
              <w:rPr>
                <w:rFonts w:hint="eastAsia"/>
                <w:bCs/>
                <w:sz w:val="24"/>
              </w:rPr>
              <w:t>环攻坚办</w:t>
            </w:r>
            <w:r>
              <w:rPr>
                <w:bCs/>
                <w:sz w:val="24"/>
              </w:rPr>
              <w:t>[2019]</w:t>
            </w:r>
            <w:r>
              <w:rPr>
                <w:rFonts w:hint="eastAsia"/>
                <w:bCs/>
                <w:sz w:val="24"/>
              </w:rPr>
              <w:t>74号</w:t>
            </w:r>
            <w:r>
              <w:rPr>
                <w:rFonts w:hint="eastAsia"/>
                <w:sz w:val="24"/>
              </w:rPr>
              <w:t>）（以下简称《通知》）对比分析</w:t>
            </w:r>
          </w:p>
          <w:p>
            <w:pPr>
              <w:spacing w:line="400" w:lineRule="exact"/>
              <w:ind w:firstLine="480" w:firstLineChars="200"/>
              <w:rPr>
                <w:rFonts w:eastAsia="黑体"/>
                <w:sz w:val="24"/>
              </w:rPr>
            </w:pPr>
            <w:r>
              <w:rPr>
                <w:rFonts w:hAnsi="黑体" w:eastAsia="黑体"/>
                <w:sz w:val="24"/>
              </w:rPr>
              <w:t>表</w:t>
            </w:r>
            <w:r>
              <w:rPr>
                <w:rFonts w:hint="eastAsia" w:eastAsia="黑体"/>
                <w:sz w:val="24"/>
              </w:rPr>
              <w:t>9</w:t>
            </w:r>
            <w:r>
              <w:rPr>
                <w:rFonts w:eastAsia="黑体"/>
                <w:sz w:val="24"/>
              </w:rPr>
              <w:t xml:space="preserve">           </w:t>
            </w:r>
            <w:r>
              <w:rPr>
                <w:rFonts w:hAnsi="黑体" w:eastAsia="黑体"/>
                <w:sz w:val="24"/>
              </w:rPr>
              <w:t>本项目与《通知》对比分析一览表</w:t>
            </w:r>
          </w:p>
          <w:tbl>
            <w:tblPr>
              <w:tblStyle w:val="30"/>
              <w:tblW w:w="911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902"/>
              <w:gridCol w:w="2499"/>
              <w:gridCol w:w="90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716" w:type="dxa"/>
                  <w:gridSpan w:val="2"/>
                  <w:vAlign w:val="center"/>
                </w:tcPr>
                <w:p>
                  <w:pPr>
                    <w:jc w:val="center"/>
                    <w:rPr>
                      <w:b/>
                      <w:szCs w:val="21"/>
                    </w:rPr>
                  </w:pPr>
                  <w:r>
                    <w:rPr>
                      <w:rFonts w:hint="eastAsia"/>
                      <w:b/>
                      <w:szCs w:val="21"/>
                    </w:rPr>
                    <w:t>《通知》中与本项目有关的内容</w:t>
                  </w:r>
                </w:p>
              </w:tc>
              <w:tc>
                <w:tcPr>
                  <w:tcW w:w="2499" w:type="dxa"/>
                  <w:vAlign w:val="center"/>
                </w:tcPr>
                <w:p>
                  <w:pPr>
                    <w:jc w:val="center"/>
                    <w:rPr>
                      <w:b/>
                      <w:szCs w:val="21"/>
                    </w:rPr>
                  </w:pPr>
                  <w:r>
                    <w:rPr>
                      <w:rFonts w:hint="eastAsia"/>
                      <w:b/>
                      <w:szCs w:val="21"/>
                    </w:rPr>
                    <w:t>本项目情况</w:t>
                  </w:r>
                </w:p>
              </w:tc>
              <w:tc>
                <w:tcPr>
                  <w:tcW w:w="902" w:type="dxa"/>
                  <w:vAlign w:val="center"/>
                </w:tcPr>
                <w:p>
                  <w:pPr>
                    <w:rPr>
                      <w:b/>
                      <w:szCs w:val="21"/>
                    </w:rPr>
                  </w:pPr>
                  <w:r>
                    <w:rPr>
                      <w:rFonts w:hint="eastAsia"/>
                      <w:b/>
                      <w:szCs w:val="21"/>
                    </w:rPr>
                    <w:t>是否符合要求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4" w:type="dxa"/>
                  <w:vAlign w:val="center"/>
                </w:tcPr>
                <w:p>
                  <w:pPr>
                    <w:rPr>
                      <w:szCs w:val="21"/>
                    </w:rPr>
                  </w:pPr>
                  <w:r>
                    <w:rPr>
                      <w:szCs w:val="21"/>
                    </w:rPr>
                    <w:t>43</w:t>
                  </w:r>
                  <w:r>
                    <w:rPr>
                      <w:rFonts w:hint="eastAsia"/>
                      <w:szCs w:val="21"/>
                    </w:rPr>
                    <w:t>、加快构建工业企业全方位监控体系</w:t>
                  </w:r>
                </w:p>
              </w:tc>
              <w:tc>
                <w:tcPr>
                  <w:tcW w:w="4902" w:type="dxa"/>
                  <w:vAlign w:val="center"/>
                </w:tcPr>
                <w:p>
                  <w:pPr>
                    <w:rPr>
                      <w:szCs w:val="21"/>
                    </w:rPr>
                  </w:pPr>
                  <w:r>
                    <w:rPr>
                      <w:rFonts w:hint="eastAsia"/>
                      <w:szCs w:val="21"/>
                    </w:rPr>
                    <w:t>强化有组织排放监控。对全省第二次污染源普查的涉气企业进行全面筛查，</w:t>
                  </w:r>
                  <w:r>
                    <w:rPr>
                      <w:szCs w:val="21"/>
                    </w:rPr>
                    <w:t>2019</w:t>
                  </w:r>
                  <w:r>
                    <w:rPr>
                      <w:rFonts w:hint="eastAsia"/>
                      <w:szCs w:val="21"/>
                    </w:rPr>
                    <w:t>年</w:t>
                  </w:r>
                  <w:r>
                    <w:rPr>
                      <w:szCs w:val="21"/>
                    </w:rPr>
                    <w:t>9</w:t>
                  </w:r>
                  <w:r>
                    <w:rPr>
                      <w:rFonts w:hint="eastAsia"/>
                      <w:szCs w:val="21"/>
                    </w:rPr>
                    <w:t>月底前，满足建设标准（含无组织排放治理后，设置集气罩并配备除尘设施的工业企业）的排污单位，实现在线监控</w:t>
                  </w:r>
                  <w:r>
                    <w:rPr>
                      <w:szCs w:val="21"/>
                    </w:rPr>
                    <w:t>“</w:t>
                  </w:r>
                  <w:r>
                    <w:rPr>
                      <w:rFonts w:hint="eastAsia"/>
                      <w:szCs w:val="21"/>
                    </w:rPr>
                    <w:t>应安尽安</w:t>
                  </w:r>
                  <w:r>
                    <w:rPr>
                      <w:szCs w:val="21"/>
                    </w:rPr>
                    <w:t>”</w:t>
                  </w:r>
                  <w:r>
                    <w:rPr>
                      <w:rFonts w:hint="eastAsia"/>
                      <w:szCs w:val="21"/>
                    </w:rPr>
                    <w:t>。其中，火电、钢铁、水泥、平板玻璃、石化、有色金属、焦化、氮肥、原料药制造、农药等持有排污许可证的涉气工业企业，以及</w:t>
                  </w:r>
                  <w:r>
                    <w:rPr>
                      <w:szCs w:val="21"/>
                    </w:rPr>
                    <w:t>35</w:t>
                  </w:r>
                  <w:r>
                    <w:rPr>
                      <w:rFonts w:hint="eastAsia"/>
                      <w:szCs w:val="21"/>
                    </w:rPr>
                    <w:t>蒸吨</w:t>
                  </w:r>
                  <w:r>
                    <w:rPr>
                      <w:szCs w:val="21"/>
                    </w:rPr>
                    <w:t>/</w:t>
                  </w:r>
                  <w:r>
                    <w:rPr>
                      <w:rFonts w:hint="eastAsia"/>
                      <w:szCs w:val="21"/>
                    </w:rPr>
                    <w:t>时以上燃煤锅炉、</w:t>
                  </w:r>
                  <w:r>
                    <w:rPr>
                      <w:szCs w:val="21"/>
                    </w:rPr>
                    <w:t>20</w:t>
                  </w:r>
                  <w:r>
                    <w:rPr>
                      <w:rFonts w:hint="eastAsia"/>
                      <w:szCs w:val="21"/>
                    </w:rPr>
                    <w:t>蒸吨以上燃气、燃油、生物质锅炉，全部完成自动监控设施建设。</w:t>
                  </w:r>
                </w:p>
              </w:tc>
              <w:tc>
                <w:tcPr>
                  <w:tcW w:w="2499" w:type="dxa"/>
                  <w:vAlign w:val="center"/>
                </w:tcPr>
                <w:p>
                  <w:pPr>
                    <w:rPr>
                      <w:szCs w:val="21"/>
                    </w:rPr>
                  </w:pPr>
                  <w:r>
                    <w:rPr>
                      <w:rFonts w:hint="eastAsia"/>
                      <w:szCs w:val="21"/>
                    </w:rPr>
                    <w:t>本项目建成后，切割和焊接打磨废气经负压式密闭室+袋式除尘器+15m排气筒处理</w:t>
                  </w:r>
                  <w:r>
                    <w:rPr>
                      <w:rFonts w:hint="eastAsia"/>
                      <w:bCs/>
                      <w:szCs w:val="21"/>
                    </w:rPr>
                    <w:t>，废气经过处理后有组织排放，根据《新乡市环境污染防治攻坚指挥部办公室关于印发新乡市2019年大气污染防治攻坚战实施方案的通知》（新环攻坚办[2019]74号）的要求，在排气筒安装在线监控装置。</w:t>
                  </w:r>
                </w:p>
              </w:tc>
              <w:tc>
                <w:tcPr>
                  <w:tcW w:w="902" w:type="dxa"/>
                  <w:vAlign w:val="center"/>
                </w:tcPr>
                <w:p>
                  <w:pPr>
                    <w:jc w:val="center"/>
                    <w:rPr>
                      <w:szCs w:val="21"/>
                    </w:rPr>
                  </w:pPr>
                  <w:r>
                    <w:rPr>
                      <w:rFonts w:hint="eastAsia"/>
                      <w:szCs w:val="21"/>
                    </w:rPr>
                    <w:t>符合</w:t>
                  </w:r>
                </w:p>
              </w:tc>
            </w:tr>
          </w:tbl>
          <w:p>
            <w:pPr>
              <w:pStyle w:val="2"/>
              <w:ind w:firstLine="0" w:firstLine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333" w:type="dxa"/>
            <w:gridSpan w:val="6"/>
            <w:vAlign w:val="center"/>
          </w:tcPr>
          <w:p>
            <w:pPr>
              <w:spacing w:line="440" w:lineRule="exact"/>
              <w:rPr>
                <w:b/>
                <w:sz w:val="24"/>
              </w:rPr>
            </w:pPr>
            <w:r>
              <w:rPr>
                <w:b/>
                <w:sz w:val="24"/>
              </w:rPr>
              <w:t>与本项目有关的原有污染情况及主要环境问题：</w:t>
            </w:r>
          </w:p>
          <w:p>
            <w:pPr>
              <w:pStyle w:val="2"/>
              <w:ind w:firstLine="0" w:firstLineChars="0"/>
              <w:jc w:val="center"/>
            </w:pPr>
          </w:p>
          <w:p>
            <w:pPr>
              <w:pStyle w:val="2"/>
              <w:ind w:firstLine="0" w:firstLineChars="0"/>
              <w:jc w:val="center"/>
            </w:pPr>
          </w:p>
          <w:p>
            <w:pPr>
              <w:pStyle w:val="2"/>
              <w:ind w:firstLine="0" w:firstLineChars="0"/>
              <w:jc w:val="center"/>
            </w:pPr>
          </w:p>
          <w:p>
            <w:pPr>
              <w:pStyle w:val="2"/>
              <w:ind w:firstLine="0" w:firstLineChars="0"/>
              <w:jc w:val="center"/>
            </w:pPr>
            <w:r>
              <w:t>/</w:t>
            </w:r>
          </w:p>
          <w:p>
            <w:pPr>
              <w:pStyle w:val="2"/>
              <w:ind w:firstLine="0" w:firstLineChars="0"/>
            </w:pPr>
          </w:p>
          <w:p/>
        </w:tc>
      </w:tr>
    </w:tbl>
    <w:p>
      <w:pPr>
        <w:spacing w:line="440" w:lineRule="exact"/>
        <w:jc w:val="left"/>
        <w:rPr>
          <w:b/>
          <w:sz w:val="28"/>
        </w:rPr>
      </w:pPr>
      <w:r>
        <w:rPr>
          <w:b/>
          <w:sz w:val="28"/>
        </w:rPr>
        <w:t>建设项目所在地自然环境社会环境简况</w:t>
      </w:r>
    </w:p>
    <w:tbl>
      <w:tblPr>
        <w:tblStyle w:val="30"/>
        <w:tblW w:w="91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65" w:type="dxa"/>
            <w:tcBorders>
              <w:top w:val="single" w:color="auto" w:sz="8" w:space="0"/>
            </w:tcBorders>
          </w:tcPr>
          <w:p>
            <w:pPr>
              <w:spacing w:line="460" w:lineRule="exact"/>
              <w:ind w:firstLine="482" w:firstLineChars="200"/>
              <w:jc w:val="left"/>
              <w:rPr>
                <w:b/>
                <w:sz w:val="24"/>
              </w:rPr>
            </w:pPr>
            <w:r>
              <w:rPr>
                <w:rFonts w:hint="eastAsia"/>
                <w:b/>
                <w:sz w:val="24"/>
              </w:rPr>
              <w:t>1、地理位置</w:t>
            </w:r>
          </w:p>
          <w:p>
            <w:pPr>
              <w:spacing w:line="460" w:lineRule="exact"/>
              <w:ind w:firstLine="480" w:firstLineChars="200"/>
              <w:jc w:val="left"/>
              <w:rPr>
                <w:sz w:val="24"/>
              </w:rPr>
            </w:pPr>
            <w:r>
              <w:rPr>
                <w:rFonts w:hint="eastAsia"/>
                <w:sz w:val="24"/>
              </w:rPr>
              <w:t>新乡市凤泉区位于新乡市城区北部，太行山余脉凤凰山麓，凤泉区东部和西北部分别与卫辉和辉县毗邻，西南与南部分别与红旗区和牧野区相连。</w:t>
            </w:r>
          </w:p>
          <w:p>
            <w:pPr>
              <w:spacing w:line="460" w:lineRule="exact"/>
              <w:ind w:firstLine="480" w:firstLineChars="200"/>
              <w:jc w:val="left"/>
              <w:rPr>
                <w:sz w:val="24"/>
              </w:rPr>
            </w:pPr>
            <w:r>
              <w:rPr>
                <w:rFonts w:hint="eastAsia"/>
                <w:sz w:val="24"/>
              </w:rPr>
              <w:t>项目位于</w:t>
            </w:r>
            <w:r>
              <w:rPr>
                <w:sz w:val="24"/>
              </w:rPr>
              <w:t>新乡市凤泉区耿黄镇东鲁堡村北</w:t>
            </w:r>
            <w:r>
              <w:rPr>
                <w:rFonts w:hint="eastAsia"/>
                <w:sz w:val="24"/>
              </w:rPr>
              <w:t>，具体位置详见附图一。</w:t>
            </w:r>
          </w:p>
          <w:p>
            <w:pPr>
              <w:spacing w:line="460" w:lineRule="exact"/>
              <w:ind w:firstLine="482" w:firstLineChars="200"/>
              <w:jc w:val="left"/>
              <w:rPr>
                <w:b/>
                <w:sz w:val="24"/>
              </w:rPr>
            </w:pPr>
            <w:r>
              <w:rPr>
                <w:rFonts w:hint="eastAsia"/>
                <w:b/>
                <w:sz w:val="24"/>
              </w:rPr>
              <w:t>2、地形地貌</w:t>
            </w:r>
          </w:p>
          <w:p>
            <w:pPr>
              <w:spacing w:line="460" w:lineRule="exact"/>
              <w:ind w:firstLine="480" w:firstLineChars="200"/>
              <w:jc w:val="left"/>
              <w:rPr>
                <w:sz w:val="24"/>
              </w:rPr>
            </w:pPr>
            <w:r>
              <w:rPr>
                <w:rFonts w:hint="eastAsia"/>
                <w:sz w:val="24"/>
              </w:rPr>
              <w:t>新乡市位于黄河冲积平原的过渡区，按成因由北而南可划分为构造剥蚀山前丘陵，山前洪积倾斜平原和黄河、卫河冲积平原三种类型，凤泉区除北部凤凰山麓以外地势平坦，海拔高程一般为82cm，地形自然坡度一般为1/2000~1/3000。</w:t>
            </w:r>
          </w:p>
          <w:p>
            <w:pPr>
              <w:spacing w:line="460" w:lineRule="exact"/>
              <w:ind w:firstLine="480" w:firstLineChars="200"/>
              <w:jc w:val="left"/>
              <w:rPr>
                <w:sz w:val="24"/>
              </w:rPr>
            </w:pPr>
            <w:r>
              <w:rPr>
                <w:rFonts w:hint="eastAsia"/>
                <w:sz w:val="24"/>
              </w:rPr>
              <w:t>本项目所在地属平原地带，地势平坦。</w:t>
            </w:r>
          </w:p>
          <w:p>
            <w:pPr>
              <w:spacing w:line="460" w:lineRule="exact"/>
              <w:ind w:firstLine="482" w:firstLineChars="200"/>
              <w:jc w:val="left"/>
              <w:rPr>
                <w:b/>
                <w:sz w:val="24"/>
              </w:rPr>
            </w:pPr>
            <w:r>
              <w:rPr>
                <w:rFonts w:hint="eastAsia"/>
                <w:b/>
                <w:sz w:val="24"/>
              </w:rPr>
              <w:t>3、气候、气象</w:t>
            </w:r>
          </w:p>
          <w:p>
            <w:pPr>
              <w:spacing w:line="460" w:lineRule="exact"/>
              <w:ind w:firstLine="480" w:firstLineChars="200"/>
              <w:jc w:val="left"/>
              <w:rPr>
                <w:sz w:val="24"/>
              </w:rPr>
            </w:pPr>
            <w:r>
              <w:rPr>
                <w:rFonts w:hint="eastAsia"/>
                <w:sz w:val="24"/>
              </w:rPr>
              <w:t>新乡市地处中纬度地区，属大陆性季风气候，气候特点为：四季分明，雨热同期，年平均气温14℃，历年极端最高气温42.7℃，最低气温-21.3℃，年平均降雨量617.88mm，年平均风速2.4m/s，主导风向为东北风，西南风次之。</w:t>
            </w:r>
          </w:p>
          <w:p>
            <w:pPr>
              <w:spacing w:line="460" w:lineRule="exact"/>
              <w:ind w:firstLine="482" w:firstLineChars="200"/>
              <w:jc w:val="left"/>
              <w:rPr>
                <w:b/>
                <w:sz w:val="24"/>
              </w:rPr>
            </w:pPr>
            <w:r>
              <w:rPr>
                <w:b/>
                <w:sz w:val="24"/>
              </w:rPr>
              <w:t>4、水文</w:t>
            </w:r>
          </w:p>
          <w:p>
            <w:pPr>
              <w:spacing w:line="460" w:lineRule="exact"/>
              <w:ind w:firstLine="480" w:firstLineChars="200"/>
              <w:jc w:val="left"/>
              <w:rPr>
                <w:sz w:val="24"/>
              </w:rPr>
            </w:pPr>
            <w:r>
              <w:rPr>
                <w:sz w:val="24"/>
              </w:rPr>
              <w:t>（1）地表水体</w:t>
            </w:r>
          </w:p>
          <w:p>
            <w:pPr>
              <w:spacing w:line="460" w:lineRule="exact"/>
              <w:ind w:firstLine="480" w:firstLineChars="200"/>
              <w:jc w:val="left"/>
              <w:rPr>
                <w:sz w:val="24"/>
              </w:rPr>
            </w:pPr>
            <w:r>
              <w:rPr>
                <w:sz w:val="24"/>
              </w:rPr>
              <w:t>地表水主要有南水北调总干渠、民生渠和共产主义渠。民生渠和共产主义渠属海河流域。民生渠和共产主义渠目前水质超过</w:t>
            </w:r>
            <w:r>
              <w:rPr>
                <w:sz w:val="24"/>
              </w:rPr>
              <w:fldChar w:fldCharType="begin"/>
            </w:r>
            <w:r>
              <w:rPr>
                <w:sz w:val="24"/>
              </w:rPr>
              <w:instrText xml:space="preserve"> = 5 \* ROMAN </w:instrText>
            </w:r>
            <w:r>
              <w:rPr>
                <w:sz w:val="24"/>
              </w:rPr>
              <w:fldChar w:fldCharType="separate"/>
            </w:r>
            <w:r>
              <w:rPr>
                <w:sz w:val="24"/>
              </w:rPr>
              <w:t>V</w:t>
            </w:r>
            <w:r>
              <w:rPr>
                <w:sz w:val="24"/>
              </w:rPr>
              <w:fldChar w:fldCharType="end"/>
            </w:r>
            <w:r>
              <w:rPr>
                <w:sz w:val="24"/>
              </w:rPr>
              <w:t>类标准，主要超标物质为COD、NH3-N、TP。</w:t>
            </w:r>
          </w:p>
          <w:p>
            <w:pPr>
              <w:spacing w:line="460" w:lineRule="exact"/>
              <w:ind w:firstLine="480" w:firstLineChars="200"/>
              <w:jc w:val="left"/>
              <w:rPr>
                <w:sz w:val="24"/>
              </w:rPr>
            </w:pPr>
            <w:r>
              <w:rPr>
                <w:rFonts w:hint="eastAsia" w:ascii="宋体" w:hAnsi="宋体" w:cs="宋体"/>
                <w:sz w:val="24"/>
              </w:rPr>
              <w:t>①</w:t>
            </w:r>
            <w:r>
              <w:rPr>
                <w:sz w:val="24"/>
              </w:rPr>
              <w:t>共产主义渠：共产主义渠为人工开挖的河流，自获嘉县小段庄入新乡市，从卫辉市小河口出境，全长约88km，目前水质超过</w:t>
            </w:r>
            <w:r>
              <w:rPr>
                <w:sz w:val="24"/>
              </w:rPr>
              <w:fldChar w:fldCharType="begin"/>
            </w:r>
            <w:r>
              <w:rPr>
                <w:sz w:val="24"/>
              </w:rPr>
              <w:instrText xml:space="preserve"> = 5 \* ROMAN </w:instrText>
            </w:r>
            <w:r>
              <w:rPr>
                <w:sz w:val="24"/>
              </w:rPr>
              <w:fldChar w:fldCharType="separate"/>
            </w:r>
            <w:r>
              <w:rPr>
                <w:sz w:val="24"/>
              </w:rPr>
              <w:t>V</w:t>
            </w:r>
            <w:r>
              <w:rPr>
                <w:sz w:val="24"/>
              </w:rPr>
              <w:fldChar w:fldCharType="end"/>
            </w:r>
            <w:r>
              <w:rPr>
                <w:sz w:val="24"/>
              </w:rPr>
              <w:t>类标准。</w:t>
            </w:r>
          </w:p>
          <w:p>
            <w:pPr>
              <w:spacing w:line="460" w:lineRule="exact"/>
              <w:ind w:firstLine="480" w:firstLineChars="200"/>
              <w:jc w:val="left"/>
              <w:rPr>
                <w:sz w:val="24"/>
              </w:rPr>
            </w:pPr>
            <w:r>
              <w:rPr>
                <w:rFonts w:hint="eastAsia" w:ascii="宋体" w:hAnsi="宋体" w:cs="宋体"/>
                <w:sz w:val="24"/>
              </w:rPr>
              <w:t>②</w:t>
            </w:r>
            <w:r>
              <w:rPr>
                <w:sz w:val="24"/>
              </w:rPr>
              <w:t>民生渠：民生渠是共渠的支流，属海河流域，全长12.5km，是沿途主要的纳污河流，由于接纳了大量生产、生活废水，已超过地面水V类标准。</w:t>
            </w:r>
          </w:p>
          <w:p>
            <w:pPr>
              <w:spacing w:line="460" w:lineRule="exact"/>
              <w:ind w:firstLine="480" w:firstLineChars="200"/>
              <w:jc w:val="left"/>
              <w:rPr>
                <w:sz w:val="24"/>
              </w:rPr>
            </w:pPr>
            <w:r>
              <w:rPr>
                <w:rFonts w:hint="eastAsia" w:ascii="宋体" w:hAnsi="宋体" w:cs="宋体"/>
                <w:sz w:val="24"/>
              </w:rPr>
              <w:t>③</w:t>
            </w:r>
            <w:r>
              <w:rPr>
                <w:sz w:val="24"/>
              </w:rPr>
              <w:t>南水北调中线工程：南水北调中线总干渠全长1277公里，在我省境内有731公里，其中，新乡段工程渠线长度77</w:t>
            </w:r>
            <w:r>
              <w:rPr>
                <w:rFonts w:hint="eastAsia"/>
                <w:sz w:val="24"/>
              </w:rPr>
              <w:t>.</w:t>
            </w:r>
            <w:r>
              <w:rPr>
                <w:sz w:val="24"/>
              </w:rPr>
              <w:t>73公里。它从焦作进入新乡段的辉县市王敬屯乡，沿着太行山前100米高程自西向东，先后经过辉县市、凤泉区、卫辉市的14个乡镇、99个行政村，穿过沧河后进入鹤壁市淇县。工程规划在新乡市设4个分水口，分别是辉县市的郭屯、路固、凤泉区的老道井，卫辉市的温寺门。</w:t>
            </w:r>
          </w:p>
          <w:p>
            <w:pPr>
              <w:pStyle w:val="2"/>
              <w:ind w:firstLine="560"/>
            </w:pPr>
          </w:p>
          <w:p>
            <w:pPr>
              <w:spacing w:line="460" w:lineRule="exact"/>
              <w:ind w:firstLine="482" w:firstLineChars="200"/>
              <w:jc w:val="left"/>
              <w:rPr>
                <w:b/>
                <w:sz w:val="24"/>
              </w:rPr>
            </w:pPr>
            <w:r>
              <w:rPr>
                <w:b/>
                <w:sz w:val="24"/>
              </w:rPr>
              <w:t>5、土壤植被</w:t>
            </w:r>
          </w:p>
          <w:p>
            <w:pPr>
              <w:spacing w:line="460" w:lineRule="exact"/>
              <w:ind w:firstLine="480" w:firstLineChars="200"/>
              <w:jc w:val="left"/>
              <w:rPr>
                <w:sz w:val="24"/>
              </w:rPr>
            </w:pPr>
            <w:r>
              <w:rPr>
                <w:sz w:val="24"/>
              </w:rPr>
              <w:t>凤泉区土壤属潮土向褐土过渡的湿潮土、砂土，以荒草地为主。凤泉区内地表植被主要是林草及农作物，主要树种有国槐、刺槐、泡桐、柳树等，主要果树有苹果、桃树、梨树、杏等，主要灌木有白蜡条、胡枝子等，主要草类有白草、黄背草、蒿类，主要农作物有小麦、玉米、红薯、花生以及小杂粮等。区域可见到小型野生动物青蛙、田鼠、爬行类等，鸟类有麻雀、喜鹊、灰喜鹊等，人工饲养的有牛、羊、猪、狗、兔等。</w:t>
            </w:r>
          </w:p>
          <w:p>
            <w:pPr>
              <w:spacing w:line="460" w:lineRule="exact"/>
              <w:ind w:firstLine="480" w:firstLineChars="200"/>
              <w:jc w:val="left"/>
              <w:rPr>
                <w:sz w:val="24"/>
              </w:rPr>
            </w:pPr>
            <w:r>
              <w:rPr>
                <w:sz w:val="24"/>
              </w:rPr>
              <w:t>项目所在区域由于人类开发活动较早，受人为影响较大，目前已不存在野生动植物等。</w:t>
            </w:r>
          </w:p>
          <w:p>
            <w:pPr>
              <w:spacing w:line="460" w:lineRule="exact"/>
              <w:ind w:firstLine="482" w:firstLineChars="200"/>
              <w:jc w:val="left"/>
              <w:rPr>
                <w:b/>
                <w:sz w:val="24"/>
              </w:rPr>
            </w:pPr>
            <w:r>
              <w:rPr>
                <w:b/>
                <w:sz w:val="24"/>
              </w:rPr>
              <w:t>6、资源状况</w:t>
            </w:r>
          </w:p>
          <w:p>
            <w:pPr>
              <w:spacing w:line="460" w:lineRule="exact"/>
              <w:ind w:firstLine="480" w:firstLineChars="200"/>
              <w:jc w:val="left"/>
              <w:rPr>
                <w:sz w:val="24"/>
              </w:rPr>
            </w:pPr>
            <w:r>
              <w:rPr>
                <w:sz w:val="24"/>
              </w:rPr>
              <w:t>凤泉区区域内地下水源丰美，富含硒、锶的饮用天然矿泉水甘冽清爽。</w:t>
            </w:r>
          </w:p>
          <w:p>
            <w:pPr>
              <w:pStyle w:val="2"/>
              <w:ind w:firstLine="480"/>
            </w:pPr>
            <w:r>
              <w:rPr>
                <w:sz w:val="24"/>
              </w:rPr>
              <w:t>经现场勘查，项目区域内未发现珍稀、濒危野生动物。</w:t>
            </w:r>
          </w:p>
          <w:p>
            <w:pPr>
              <w:spacing w:line="460" w:lineRule="exact"/>
              <w:ind w:firstLine="482" w:firstLineChars="200"/>
              <w:jc w:val="left"/>
              <w:rPr>
                <w:b/>
                <w:sz w:val="24"/>
              </w:rPr>
            </w:pPr>
            <w:r>
              <w:rPr>
                <w:rFonts w:hint="eastAsia"/>
                <w:b/>
                <w:sz w:val="24"/>
              </w:rPr>
              <w:t>7、文物古迹</w:t>
            </w:r>
          </w:p>
          <w:p>
            <w:pPr>
              <w:spacing w:line="460" w:lineRule="exact"/>
              <w:ind w:firstLine="480" w:firstLineChars="200"/>
              <w:jc w:val="left"/>
              <w:rPr>
                <w:sz w:val="24"/>
              </w:rPr>
            </w:pPr>
            <w:r>
              <w:rPr>
                <w:rFonts w:hint="eastAsia"/>
                <w:sz w:val="24"/>
              </w:rPr>
              <w:t>凤泉区的鲁堡龙山文化、何屯仰韶文化、牧野大战等古文化遗址蜚声中外；现存全国最大的藩王陵墓—潞王陵，已被列入世界文化遗产预备名录。“世界水利工程史上的奇迹”—愚公泉和 “国家文明村”—耿庄村，已成为激励14万凤泉儿女立志实现更加和谐美好愿景的精神动力。</w:t>
            </w:r>
          </w:p>
          <w:p>
            <w:pPr>
              <w:spacing w:line="460" w:lineRule="exact"/>
              <w:ind w:firstLine="480" w:firstLineChars="200"/>
              <w:jc w:val="left"/>
              <w:rPr>
                <w:sz w:val="24"/>
              </w:rPr>
            </w:pPr>
            <w:r>
              <w:rPr>
                <w:rFonts w:hint="eastAsia"/>
                <w:sz w:val="24"/>
              </w:rPr>
              <w:t>经现场调查，项目评价区域内无重要历史文物古迹。</w:t>
            </w:r>
          </w:p>
          <w:p>
            <w:pPr>
              <w:pStyle w:val="2"/>
              <w:ind w:firstLine="560"/>
            </w:pPr>
          </w:p>
          <w:p/>
          <w:p>
            <w:pPr>
              <w:pStyle w:val="2"/>
              <w:ind w:firstLine="560"/>
            </w:pPr>
          </w:p>
          <w:p/>
          <w:p>
            <w:pPr>
              <w:pStyle w:val="2"/>
              <w:ind w:firstLine="560"/>
            </w:pPr>
          </w:p>
          <w:p/>
          <w:p>
            <w:pPr>
              <w:pStyle w:val="2"/>
              <w:ind w:firstLine="560"/>
            </w:pPr>
          </w:p>
          <w:p/>
          <w:p/>
        </w:tc>
      </w:tr>
    </w:tbl>
    <w:p>
      <w:pPr>
        <w:jc w:val="left"/>
        <w:rPr>
          <w:b/>
          <w:sz w:val="28"/>
        </w:rPr>
      </w:pPr>
      <w:r>
        <w:rPr>
          <w:b/>
          <w:sz w:val="28"/>
        </w:rPr>
        <w:t>环境质量状况</w:t>
      </w:r>
    </w:p>
    <w:tbl>
      <w:tblPr>
        <w:tblStyle w:val="30"/>
        <w:tblW w:w="9366" w:type="dxa"/>
        <w:jc w:val="center"/>
        <w:tblInd w:w="-7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60"/>
        <w:gridCol w:w="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04" w:hRule="atLeast"/>
          <w:jc w:val="center"/>
        </w:trPr>
        <w:tc>
          <w:tcPr>
            <w:tcW w:w="9366" w:type="dxa"/>
            <w:gridSpan w:val="2"/>
            <w:tcBorders>
              <w:top w:val="single" w:color="auto" w:sz="8" w:space="0"/>
            </w:tcBorders>
          </w:tcPr>
          <w:p>
            <w:pPr>
              <w:spacing w:line="440" w:lineRule="exact"/>
              <w:jc w:val="left"/>
              <w:rPr>
                <w:b/>
                <w:sz w:val="24"/>
              </w:rPr>
            </w:pPr>
            <w:r>
              <w:rPr>
                <w:b/>
                <w:sz w:val="24"/>
              </w:rPr>
              <w:t>建设项目所在地区域环境质量现状及主要环境问题（环境空气、地面水、地下水、声环境、生态环境等）：</w:t>
            </w:r>
          </w:p>
          <w:p>
            <w:pPr>
              <w:widowControl/>
              <w:spacing w:line="440" w:lineRule="exact"/>
              <w:ind w:firstLine="482" w:firstLineChars="200"/>
              <w:jc w:val="left"/>
              <w:rPr>
                <w:b/>
                <w:bCs/>
                <w:color w:val="000000"/>
                <w:kern w:val="0"/>
                <w:sz w:val="24"/>
              </w:rPr>
            </w:pPr>
            <w:r>
              <w:rPr>
                <w:b/>
                <w:bCs/>
                <w:color w:val="000000"/>
                <w:kern w:val="0"/>
                <w:sz w:val="24"/>
              </w:rPr>
              <w:t>1、环境空气质量现状</w:t>
            </w:r>
          </w:p>
          <w:p>
            <w:pPr>
              <w:spacing w:line="440" w:lineRule="exact"/>
              <w:ind w:firstLine="480" w:firstLineChars="200"/>
              <w:rPr>
                <w:sz w:val="24"/>
              </w:rPr>
            </w:pPr>
            <w:r>
              <w:rPr>
                <w:rFonts w:hint="eastAsia"/>
                <w:sz w:val="24"/>
              </w:rPr>
              <w:t>根据大气功能区划分原则，项目所在区域为二类功能区，环境空气质量应执行《环境空气质量标准》（</w:t>
            </w:r>
            <w:r>
              <w:rPr>
                <w:sz w:val="24"/>
              </w:rPr>
              <w:t>GB3095-2012</w:t>
            </w:r>
            <w:r>
              <w:rPr>
                <w:rFonts w:hint="eastAsia"/>
                <w:sz w:val="24"/>
              </w:rPr>
              <w:t>）二级标准。根据新乡市生态环境局发布的《新乡市</w:t>
            </w:r>
            <w:r>
              <w:rPr>
                <w:sz w:val="24"/>
              </w:rPr>
              <w:t>2018</w:t>
            </w:r>
            <w:r>
              <w:rPr>
                <w:rFonts w:hint="eastAsia"/>
                <w:sz w:val="24"/>
              </w:rPr>
              <w:t>年环境质量年报》，区域空气质量现状数据如下表所示。</w:t>
            </w:r>
          </w:p>
          <w:p>
            <w:pPr>
              <w:pStyle w:val="141"/>
              <w:spacing w:line="440" w:lineRule="exact"/>
              <w:ind w:firstLine="480"/>
              <w:rPr>
                <w:color w:val="auto"/>
              </w:rPr>
            </w:pPr>
            <w:r>
              <w:rPr>
                <w:rFonts w:hint="eastAsia"/>
                <w:color w:val="auto"/>
              </w:rPr>
              <w:t>表10</w:t>
            </w:r>
            <w:r>
              <w:rPr>
                <w:color w:val="auto"/>
              </w:rPr>
              <w:t xml:space="preserve">                    </w:t>
            </w:r>
            <w:r>
              <w:rPr>
                <w:rFonts w:hint="eastAsia"/>
                <w:color w:val="auto"/>
              </w:rPr>
              <w:t>区域空气质量现状评价表</w:t>
            </w:r>
          </w:p>
          <w:tbl>
            <w:tblPr>
              <w:tblStyle w:val="30"/>
              <w:tblW w:w="9150"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1408"/>
              <w:gridCol w:w="1895"/>
              <w:gridCol w:w="1571"/>
              <w:gridCol w:w="1708"/>
              <w:gridCol w:w="1255"/>
              <w:gridCol w:w="131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b/>
                      <w:color w:val="auto"/>
                      <w:kern w:val="2"/>
                    </w:rPr>
                  </w:pPr>
                  <w:r>
                    <w:rPr>
                      <w:rFonts w:hint="eastAsia"/>
                      <w:b/>
                      <w:color w:val="auto"/>
                      <w:kern w:val="2"/>
                    </w:rPr>
                    <w:t>污染物</w:t>
                  </w:r>
                </w:p>
              </w:tc>
              <w:tc>
                <w:tcPr>
                  <w:tcW w:w="1895" w:type="dxa"/>
                  <w:tcMar>
                    <w:top w:w="57" w:type="dxa"/>
                    <w:left w:w="85" w:type="dxa"/>
                    <w:bottom w:w="57" w:type="dxa"/>
                    <w:right w:w="85" w:type="dxa"/>
                  </w:tcMar>
                  <w:vAlign w:val="center"/>
                </w:tcPr>
                <w:p>
                  <w:pPr>
                    <w:pStyle w:val="140"/>
                    <w:rPr>
                      <w:b/>
                      <w:color w:val="auto"/>
                      <w:kern w:val="2"/>
                    </w:rPr>
                  </w:pPr>
                  <w:r>
                    <w:rPr>
                      <w:rFonts w:hint="eastAsia"/>
                      <w:b/>
                      <w:color w:val="auto"/>
                      <w:kern w:val="2"/>
                    </w:rPr>
                    <w:t>年评价指标</w:t>
                  </w:r>
                </w:p>
              </w:tc>
              <w:tc>
                <w:tcPr>
                  <w:tcW w:w="1571" w:type="dxa"/>
                  <w:tcMar>
                    <w:top w:w="57" w:type="dxa"/>
                    <w:left w:w="85" w:type="dxa"/>
                    <w:bottom w:w="57" w:type="dxa"/>
                    <w:right w:w="85" w:type="dxa"/>
                  </w:tcMar>
                  <w:vAlign w:val="center"/>
                </w:tcPr>
                <w:p>
                  <w:pPr>
                    <w:pStyle w:val="140"/>
                    <w:rPr>
                      <w:b/>
                      <w:color w:val="auto"/>
                      <w:kern w:val="2"/>
                    </w:rPr>
                  </w:pPr>
                  <w:r>
                    <w:rPr>
                      <w:rFonts w:hint="eastAsia"/>
                      <w:b/>
                      <w:color w:val="auto"/>
                      <w:kern w:val="2"/>
                    </w:rPr>
                    <w:t>现状浓度</w:t>
                  </w:r>
                  <w:r>
                    <w:rPr>
                      <w:b/>
                      <w:color w:val="auto"/>
                      <w:kern w:val="2"/>
                    </w:rPr>
                    <w:t>/</w:t>
                  </w:r>
                  <w:r>
                    <w:rPr>
                      <w:rFonts w:hint="eastAsia"/>
                      <w:b/>
                      <w:color w:val="auto"/>
                      <w:kern w:val="2"/>
                    </w:rPr>
                    <w:t>（</w:t>
                  </w:r>
                  <w:r>
                    <w:rPr>
                      <w:b/>
                      <w:color w:val="auto"/>
                      <w:kern w:val="2"/>
                    </w:rPr>
                    <w:t>μg/m</w:t>
                  </w:r>
                  <w:r>
                    <w:rPr>
                      <w:b/>
                      <w:color w:val="auto"/>
                      <w:kern w:val="2"/>
                      <w:vertAlign w:val="superscript"/>
                    </w:rPr>
                    <w:t>3</w:t>
                  </w:r>
                  <w:r>
                    <w:rPr>
                      <w:rFonts w:hint="eastAsia"/>
                      <w:b/>
                      <w:color w:val="auto"/>
                      <w:kern w:val="2"/>
                    </w:rPr>
                    <w:t>）</w:t>
                  </w:r>
                </w:p>
              </w:tc>
              <w:tc>
                <w:tcPr>
                  <w:tcW w:w="1708" w:type="dxa"/>
                  <w:tcMar>
                    <w:top w:w="57" w:type="dxa"/>
                    <w:left w:w="85" w:type="dxa"/>
                    <w:bottom w:w="57" w:type="dxa"/>
                    <w:right w:w="85" w:type="dxa"/>
                  </w:tcMar>
                  <w:vAlign w:val="center"/>
                </w:tcPr>
                <w:p>
                  <w:pPr>
                    <w:pStyle w:val="140"/>
                    <w:rPr>
                      <w:b/>
                      <w:color w:val="auto"/>
                      <w:kern w:val="2"/>
                    </w:rPr>
                  </w:pPr>
                  <w:r>
                    <w:rPr>
                      <w:rFonts w:hint="eastAsia"/>
                      <w:b/>
                      <w:color w:val="auto"/>
                      <w:kern w:val="2"/>
                    </w:rPr>
                    <w:t>标准值</w:t>
                  </w:r>
                  <w:r>
                    <w:rPr>
                      <w:b/>
                      <w:color w:val="auto"/>
                      <w:kern w:val="2"/>
                    </w:rPr>
                    <w:t>/</w:t>
                  </w:r>
                </w:p>
                <w:p>
                  <w:pPr>
                    <w:pStyle w:val="140"/>
                    <w:rPr>
                      <w:b/>
                      <w:color w:val="auto"/>
                      <w:kern w:val="2"/>
                    </w:rPr>
                  </w:pPr>
                  <w:r>
                    <w:rPr>
                      <w:rFonts w:hint="eastAsia"/>
                      <w:b/>
                      <w:color w:val="auto"/>
                      <w:kern w:val="2"/>
                    </w:rPr>
                    <w:t>（</w:t>
                  </w:r>
                  <w:r>
                    <w:rPr>
                      <w:b/>
                      <w:bCs/>
                      <w:color w:val="auto"/>
                      <w:kern w:val="2"/>
                    </w:rPr>
                    <w:t>μ</w:t>
                  </w:r>
                  <w:r>
                    <w:rPr>
                      <w:b/>
                      <w:color w:val="auto"/>
                      <w:kern w:val="2"/>
                    </w:rPr>
                    <w:t>g/m</w:t>
                  </w:r>
                  <w:r>
                    <w:rPr>
                      <w:b/>
                      <w:color w:val="auto"/>
                      <w:kern w:val="2"/>
                      <w:vertAlign w:val="superscript"/>
                    </w:rPr>
                    <w:t>3</w:t>
                  </w:r>
                  <w:r>
                    <w:rPr>
                      <w:rFonts w:hint="eastAsia"/>
                      <w:b/>
                      <w:color w:val="auto"/>
                      <w:kern w:val="2"/>
                    </w:rPr>
                    <w:t>）</w:t>
                  </w:r>
                </w:p>
              </w:tc>
              <w:tc>
                <w:tcPr>
                  <w:tcW w:w="1255" w:type="dxa"/>
                  <w:tcMar>
                    <w:top w:w="57" w:type="dxa"/>
                    <w:left w:w="85" w:type="dxa"/>
                    <w:bottom w:w="57" w:type="dxa"/>
                    <w:right w:w="85" w:type="dxa"/>
                  </w:tcMar>
                  <w:vAlign w:val="center"/>
                </w:tcPr>
                <w:p>
                  <w:pPr>
                    <w:pStyle w:val="140"/>
                    <w:rPr>
                      <w:b/>
                      <w:color w:val="auto"/>
                      <w:kern w:val="2"/>
                    </w:rPr>
                  </w:pPr>
                  <w:r>
                    <w:rPr>
                      <w:rFonts w:hint="eastAsia"/>
                      <w:b/>
                      <w:color w:val="auto"/>
                      <w:kern w:val="2"/>
                    </w:rPr>
                    <w:t>占标率/</w:t>
                  </w:r>
                </w:p>
                <w:p>
                  <w:pPr>
                    <w:pStyle w:val="140"/>
                    <w:rPr>
                      <w:b/>
                      <w:color w:val="auto"/>
                      <w:kern w:val="2"/>
                    </w:rPr>
                  </w:pPr>
                  <w:r>
                    <w:rPr>
                      <w:rFonts w:hint="eastAsia"/>
                      <w:b/>
                      <w:color w:val="auto"/>
                      <w:kern w:val="2"/>
                    </w:rPr>
                    <w:t>（</w:t>
                  </w:r>
                  <w:r>
                    <w:rPr>
                      <w:b/>
                      <w:color w:val="auto"/>
                      <w:kern w:val="2"/>
                    </w:rPr>
                    <w:t>%</w:t>
                  </w:r>
                  <w:r>
                    <w:rPr>
                      <w:rFonts w:hint="eastAsia"/>
                      <w:b/>
                      <w:color w:val="auto"/>
                      <w:kern w:val="2"/>
                    </w:rPr>
                    <w:t>）</w:t>
                  </w:r>
                </w:p>
              </w:tc>
              <w:tc>
                <w:tcPr>
                  <w:tcW w:w="1313" w:type="dxa"/>
                  <w:tcMar>
                    <w:top w:w="57" w:type="dxa"/>
                    <w:left w:w="85" w:type="dxa"/>
                    <w:bottom w:w="57" w:type="dxa"/>
                    <w:right w:w="85" w:type="dxa"/>
                  </w:tcMar>
                  <w:vAlign w:val="center"/>
                </w:tcPr>
                <w:p>
                  <w:pPr>
                    <w:pStyle w:val="140"/>
                    <w:rPr>
                      <w:b/>
                      <w:color w:val="auto"/>
                      <w:kern w:val="2"/>
                    </w:rPr>
                  </w:pPr>
                  <w:r>
                    <w:rPr>
                      <w:rFonts w:hint="eastAsia"/>
                      <w:b/>
                      <w:color w:val="auto"/>
                      <w:kern w:val="2"/>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PM</w:t>
                  </w:r>
                  <w:r>
                    <w:rPr>
                      <w:color w:val="auto"/>
                      <w:kern w:val="2"/>
                      <w:vertAlign w:val="subscript"/>
                    </w:rPr>
                    <w:t>10</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年平均质量浓度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105</w:t>
                  </w:r>
                </w:p>
              </w:tc>
              <w:tc>
                <w:tcPr>
                  <w:tcW w:w="1708" w:type="dxa"/>
                  <w:tcMar>
                    <w:top w:w="57" w:type="dxa"/>
                    <w:left w:w="85" w:type="dxa"/>
                    <w:bottom w:w="57" w:type="dxa"/>
                    <w:right w:w="85" w:type="dxa"/>
                  </w:tcMar>
                  <w:vAlign w:val="center"/>
                </w:tcPr>
                <w:p>
                  <w:pPr>
                    <w:pStyle w:val="140"/>
                    <w:rPr>
                      <w:color w:val="auto"/>
                      <w:kern w:val="2"/>
                    </w:rPr>
                  </w:pPr>
                  <w:r>
                    <w:rPr>
                      <w:color w:val="auto"/>
                      <w:kern w:val="2"/>
                    </w:rPr>
                    <w:t>70</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150</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PM</w:t>
                  </w:r>
                  <w:r>
                    <w:rPr>
                      <w:color w:val="auto"/>
                      <w:kern w:val="2"/>
                      <w:vertAlign w:val="subscript"/>
                    </w:rPr>
                    <w:t>2.5</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年平均质量浓度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61</w:t>
                  </w:r>
                </w:p>
              </w:tc>
              <w:tc>
                <w:tcPr>
                  <w:tcW w:w="1708" w:type="dxa"/>
                  <w:tcMar>
                    <w:top w:w="57" w:type="dxa"/>
                    <w:left w:w="85" w:type="dxa"/>
                    <w:bottom w:w="57" w:type="dxa"/>
                    <w:right w:w="85" w:type="dxa"/>
                  </w:tcMar>
                  <w:vAlign w:val="center"/>
                </w:tcPr>
                <w:p>
                  <w:pPr>
                    <w:pStyle w:val="140"/>
                    <w:rPr>
                      <w:color w:val="auto"/>
                      <w:kern w:val="2"/>
                    </w:rPr>
                  </w:pPr>
                  <w:r>
                    <w:rPr>
                      <w:color w:val="auto"/>
                      <w:kern w:val="2"/>
                    </w:rPr>
                    <w:t>35</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174</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SO</w:t>
                  </w:r>
                  <w:r>
                    <w:rPr>
                      <w:color w:val="auto"/>
                      <w:kern w:val="2"/>
                      <w:vertAlign w:val="subscript"/>
                    </w:rPr>
                    <w:t>2</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年平均质量浓度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19</w:t>
                  </w:r>
                </w:p>
              </w:tc>
              <w:tc>
                <w:tcPr>
                  <w:tcW w:w="1708" w:type="dxa"/>
                  <w:tcMar>
                    <w:top w:w="57" w:type="dxa"/>
                    <w:left w:w="85" w:type="dxa"/>
                    <w:bottom w:w="57" w:type="dxa"/>
                    <w:right w:w="85" w:type="dxa"/>
                  </w:tcMar>
                  <w:vAlign w:val="center"/>
                </w:tcPr>
                <w:p>
                  <w:pPr>
                    <w:pStyle w:val="140"/>
                    <w:rPr>
                      <w:color w:val="auto"/>
                      <w:kern w:val="2"/>
                    </w:rPr>
                  </w:pPr>
                  <w:r>
                    <w:rPr>
                      <w:color w:val="auto"/>
                      <w:kern w:val="2"/>
                    </w:rPr>
                    <w:t>60</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31.6</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NO</w:t>
                  </w:r>
                  <w:r>
                    <w:rPr>
                      <w:color w:val="auto"/>
                      <w:kern w:val="2"/>
                      <w:vertAlign w:val="subscript"/>
                    </w:rPr>
                    <w:t>2</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年平均质量浓度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49</w:t>
                  </w:r>
                </w:p>
              </w:tc>
              <w:tc>
                <w:tcPr>
                  <w:tcW w:w="1708" w:type="dxa"/>
                  <w:tcMar>
                    <w:top w:w="57" w:type="dxa"/>
                    <w:left w:w="85" w:type="dxa"/>
                    <w:bottom w:w="57" w:type="dxa"/>
                    <w:right w:w="85" w:type="dxa"/>
                  </w:tcMar>
                  <w:vAlign w:val="center"/>
                </w:tcPr>
                <w:p>
                  <w:pPr>
                    <w:pStyle w:val="140"/>
                    <w:rPr>
                      <w:color w:val="auto"/>
                      <w:kern w:val="2"/>
                    </w:rPr>
                  </w:pPr>
                  <w:r>
                    <w:rPr>
                      <w:color w:val="auto"/>
                      <w:kern w:val="2"/>
                    </w:rPr>
                    <w:t>40</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123</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CO</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第</w:t>
                  </w:r>
                  <w:r>
                    <w:rPr>
                      <w:color w:val="auto"/>
                      <w:kern w:val="2"/>
                    </w:rPr>
                    <w:t>95</w:t>
                  </w:r>
                  <w:r>
                    <w:rPr>
                      <w:rFonts w:hint="eastAsia"/>
                      <w:color w:val="auto"/>
                      <w:kern w:val="2"/>
                    </w:rPr>
                    <w:t>百分位浓度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1.3mg/m</w:t>
                  </w:r>
                  <w:r>
                    <w:rPr>
                      <w:color w:val="auto"/>
                      <w:kern w:val="2"/>
                      <w:vertAlign w:val="superscript"/>
                    </w:rPr>
                    <w:t>3</w:t>
                  </w:r>
                </w:p>
              </w:tc>
              <w:tc>
                <w:tcPr>
                  <w:tcW w:w="1708" w:type="dxa"/>
                  <w:tcMar>
                    <w:top w:w="57" w:type="dxa"/>
                    <w:left w:w="85" w:type="dxa"/>
                    <w:bottom w:w="57" w:type="dxa"/>
                    <w:right w:w="85" w:type="dxa"/>
                  </w:tcMar>
                  <w:vAlign w:val="center"/>
                </w:tcPr>
                <w:p>
                  <w:pPr>
                    <w:pStyle w:val="140"/>
                    <w:rPr>
                      <w:color w:val="auto"/>
                      <w:kern w:val="2"/>
                    </w:rPr>
                  </w:pPr>
                  <w:r>
                    <w:rPr>
                      <w:color w:val="auto"/>
                      <w:kern w:val="2"/>
                    </w:rPr>
                    <w:t>4mg/m</w:t>
                  </w:r>
                  <w:r>
                    <w:rPr>
                      <w:color w:val="auto"/>
                      <w:kern w:val="2"/>
                      <w:vertAlign w:val="superscript"/>
                    </w:rPr>
                    <w:t>3</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32.5</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1408" w:type="dxa"/>
                  <w:tcMar>
                    <w:top w:w="57" w:type="dxa"/>
                    <w:left w:w="85" w:type="dxa"/>
                    <w:bottom w:w="57" w:type="dxa"/>
                    <w:right w:w="85" w:type="dxa"/>
                  </w:tcMar>
                  <w:vAlign w:val="center"/>
                </w:tcPr>
                <w:p>
                  <w:pPr>
                    <w:pStyle w:val="140"/>
                    <w:rPr>
                      <w:color w:val="auto"/>
                      <w:kern w:val="2"/>
                    </w:rPr>
                  </w:pPr>
                  <w:r>
                    <w:rPr>
                      <w:color w:val="auto"/>
                      <w:kern w:val="2"/>
                    </w:rPr>
                    <w:t>O</w:t>
                  </w:r>
                  <w:r>
                    <w:rPr>
                      <w:color w:val="auto"/>
                      <w:kern w:val="2"/>
                      <w:vertAlign w:val="subscript"/>
                    </w:rPr>
                    <w:t>3</w:t>
                  </w:r>
                </w:p>
              </w:tc>
              <w:tc>
                <w:tcPr>
                  <w:tcW w:w="1895" w:type="dxa"/>
                  <w:tcMar>
                    <w:top w:w="57" w:type="dxa"/>
                    <w:left w:w="85" w:type="dxa"/>
                    <w:bottom w:w="57" w:type="dxa"/>
                    <w:right w:w="85" w:type="dxa"/>
                  </w:tcMar>
                  <w:vAlign w:val="center"/>
                </w:tcPr>
                <w:p>
                  <w:pPr>
                    <w:pStyle w:val="140"/>
                    <w:rPr>
                      <w:color w:val="auto"/>
                      <w:kern w:val="2"/>
                    </w:rPr>
                  </w:pPr>
                  <w:r>
                    <w:rPr>
                      <w:rFonts w:hint="eastAsia"/>
                      <w:color w:val="auto"/>
                      <w:kern w:val="2"/>
                    </w:rPr>
                    <w:t>第</w:t>
                  </w:r>
                  <w:r>
                    <w:rPr>
                      <w:color w:val="auto"/>
                      <w:kern w:val="2"/>
                    </w:rPr>
                    <w:t>90</w:t>
                  </w:r>
                  <w:r>
                    <w:rPr>
                      <w:rFonts w:hint="eastAsia"/>
                      <w:color w:val="auto"/>
                      <w:kern w:val="2"/>
                    </w:rPr>
                    <w:t>百分位浓度</w:t>
                  </w:r>
                </w:p>
              </w:tc>
              <w:tc>
                <w:tcPr>
                  <w:tcW w:w="1571" w:type="dxa"/>
                  <w:tcMar>
                    <w:top w:w="57" w:type="dxa"/>
                    <w:left w:w="85" w:type="dxa"/>
                    <w:bottom w:w="57" w:type="dxa"/>
                    <w:right w:w="85" w:type="dxa"/>
                  </w:tcMar>
                  <w:vAlign w:val="center"/>
                </w:tcPr>
                <w:p>
                  <w:pPr>
                    <w:pStyle w:val="140"/>
                    <w:rPr>
                      <w:color w:val="auto"/>
                      <w:kern w:val="2"/>
                    </w:rPr>
                  </w:pPr>
                  <w:r>
                    <w:rPr>
                      <w:color w:val="auto"/>
                      <w:kern w:val="2"/>
                    </w:rPr>
                    <w:t>117</w:t>
                  </w:r>
                </w:p>
              </w:tc>
              <w:tc>
                <w:tcPr>
                  <w:tcW w:w="1708" w:type="dxa"/>
                  <w:tcMar>
                    <w:top w:w="57" w:type="dxa"/>
                    <w:left w:w="85" w:type="dxa"/>
                    <w:bottom w:w="57" w:type="dxa"/>
                    <w:right w:w="85" w:type="dxa"/>
                  </w:tcMar>
                  <w:vAlign w:val="center"/>
                </w:tcPr>
                <w:p>
                  <w:pPr>
                    <w:pStyle w:val="140"/>
                    <w:rPr>
                      <w:color w:val="auto"/>
                      <w:kern w:val="2"/>
                    </w:rPr>
                  </w:pPr>
                  <w:r>
                    <w:rPr>
                      <w:color w:val="auto"/>
                      <w:kern w:val="2"/>
                    </w:rPr>
                    <w:t>160</w:t>
                  </w:r>
                </w:p>
              </w:tc>
              <w:tc>
                <w:tcPr>
                  <w:tcW w:w="1255" w:type="dxa"/>
                  <w:tcMar>
                    <w:top w:w="57" w:type="dxa"/>
                    <w:left w:w="85" w:type="dxa"/>
                    <w:bottom w:w="57" w:type="dxa"/>
                    <w:right w:w="85" w:type="dxa"/>
                  </w:tcMar>
                  <w:vAlign w:val="center"/>
                </w:tcPr>
                <w:p>
                  <w:pPr>
                    <w:autoSpaceDE w:val="0"/>
                    <w:autoSpaceDN w:val="0"/>
                    <w:jc w:val="center"/>
                    <w:rPr>
                      <w:szCs w:val="21"/>
                    </w:rPr>
                  </w:pPr>
                  <w:r>
                    <w:rPr>
                      <w:szCs w:val="21"/>
                    </w:rPr>
                    <w:t>73</w:t>
                  </w:r>
                </w:p>
              </w:tc>
              <w:tc>
                <w:tcPr>
                  <w:tcW w:w="1313" w:type="dxa"/>
                  <w:tcMar>
                    <w:top w:w="57" w:type="dxa"/>
                    <w:left w:w="85" w:type="dxa"/>
                    <w:bottom w:w="57" w:type="dxa"/>
                    <w:right w:w="85" w:type="dxa"/>
                  </w:tcMar>
                  <w:vAlign w:val="center"/>
                </w:tcPr>
                <w:p>
                  <w:pPr>
                    <w:pStyle w:val="140"/>
                    <w:rPr>
                      <w:color w:val="auto"/>
                      <w:kern w:val="2"/>
                    </w:rPr>
                  </w:pPr>
                  <w:r>
                    <w:rPr>
                      <w:rFonts w:hint="eastAsia"/>
                      <w:color w:val="auto"/>
                      <w:kern w:val="2"/>
                    </w:rPr>
                    <w:t>达标</w:t>
                  </w:r>
                </w:p>
              </w:tc>
            </w:tr>
          </w:tbl>
          <w:p>
            <w:pPr>
              <w:spacing w:line="440" w:lineRule="exact"/>
              <w:ind w:firstLine="480" w:firstLineChars="200"/>
              <w:rPr>
                <w:sz w:val="24"/>
              </w:rPr>
            </w:pPr>
            <w:r>
              <w:rPr>
                <w:rFonts w:hint="eastAsia"/>
                <w:sz w:val="24"/>
              </w:rPr>
              <w:t>由上表可知，其中</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和</w:t>
            </w:r>
            <w:r>
              <w:rPr>
                <w:sz w:val="24"/>
              </w:rPr>
              <w:t>NO</w:t>
            </w:r>
            <w:r>
              <w:rPr>
                <w:sz w:val="24"/>
                <w:vertAlign w:val="subscript"/>
              </w:rPr>
              <w:t>2</w:t>
            </w:r>
            <w:r>
              <w:rPr>
                <w:rFonts w:hint="eastAsia"/>
                <w:sz w:val="24"/>
              </w:rPr>
              <w:t>均不能够满足《环境空气质量标准》（</w:t>
            </w:r>
            <w:r>
              <w:rPr>
                <w:sz w:val="24"/>
              </w:rPr>
              <w:t>GB3095-2012</w:t>
            </w:r>
            <w:r>
              <w:rPr>
                <w:rFonts w:hint="eastAsia"/>
                <w:sz w:val="24"/>
              </w:rPr>
              <w:t>）二级标准要求。根据《环境影响评价技术导则</w:t>
            </w:r>
            <w:r>
              <w:rPr>
                <w:sz w:val="24"/>
              </w:rPr>
              <w:t xml:space="preserve">  </w:t>
            </w:r>
            <w:r>
              <w:rPr>
                <w:rFonts w:hint="eastAsia"/>
                <w:sz w:val="24"/>
              </w:rPr>
              <w:t>大气环境》</w:t>
            </w:r>
            <w:r>
              <w:rPr>
                <w:sz w:val="24"/>
              </w:rPr>
              <w:t>(HJ2.2-2018)</w:t>
            </w:r>
            <w:r>
              <w:rPr>
                <w:rFonts w:hint="eastAsia"/>
                <w:sz w:val="24"/>
              </w:rPr>
              <w:t>，本项目所在区域属于未达标区。</w:t>
            </w:r>
          </w:p>
          <w:p>
            <w:pPr>
              <w:spacing w:line="440" w:lineRule="exact"/>
              <w:ind w:firstLine="480" w:firstLineChars="200"/>
              <w:rPr>
                <w:sz w:val="24"/>
              </w:rPr>
            </w:pPr>
            <w:r>
              <w:rPr>
                <w:sz w:val="24"/>
              </w:rPr>
              <w:t>2018</w:t>
            </w:r>
            <w:r>
              <w:rPr>
                <w:rFonts w:hint="eastAsia"/>
                <w:sz w:val="24"/>
              </w:rPr>
              <w:t>年，新乡市城市环境空气</w:t>
            </w:r>
            <w:r>
              <w:rPr>
                <w:sz w:val="24"/>
              </w:rPr>
              <w:t>PM</w:t>
            </w:r>
            <w:r>
              <w:rPr>
                <w:sz w:val="24"/>
                <w:vertAlign w:val="subscript"/>
              </w:rPr>
              <w:t>10</w:t>
            </w:r>
            <w:r>
              <w:rPr>
                <w:rFonts w:hint="eastAsia"/>
                <w:sz w:val="24"/>
              </w:rPr>
              <w:t>同比下降</w:t>
            </w:r>
            <w:r>
              <w:rPr>
                <w:sz w:val="24"/>
              </w:rPr>
              <w:t>4</w:t>
            </w:r>
            <w:r>
              <w:rPr>
                <w:rFonts w:hint="eastAsia"/>
                <w:sz w:val="24"/>
              </w:rPr>
              <w:t>微克</w:t>
            </w:r>
            <w:r>
              <w:rPr>
                <w:sz w:val="24"/>
              </w:rPr>
              <w:t>/</w:t>
            </w:r>
            <w:r>
              <w:rPr>
                <w:rFonts w:hint="eastAsia"/>
                <w:sz w:val="24"/>
              </w:rPr>
              <w:t>立方米，降幅</w:t>
            </w:r>
            <w:r>
              <w:rPr>
                <w:sz w:val="24"/>
              </w:rPr>
              <w:t>3.7%</w:t>
            </w:r>
            <w:r>
              <w:rPr>
                <w:rFonts w:hint="eastAsia"/>
                <w:sz w:val="24"/>
              </w:rPr>
              <w:t>；</w:t>
            </w:r>
            <w:r>
              <w:rPr>
                <w:sz w:val="24"/>
              </w:rPr>
              <w:t>PM</w:t>
            </w:r>
            <w:r>
              <w:rPr>
                <w:sz w:val="24"/>
                <w:vertAlign w:val="subscript"/>
              </w:rPr>
              <w:t>2.5</w:t>
            </w:r>
            <w:r>
              <w:rPr>
                <w:rFonts w:hint="eastAsia"/>
                <w:sz w:val="24"/>
              </w:rPr>
              <w:t>同比下降</w:t>
            </w:r>
            <w:r>
              <w:rPr>
                <w:sz w:val="24"/>
              </w:rPr>
              <w:t>2</w:t>
            </w:r>
            <w:r>
              <w:rPr>
                <w:rFonts w:hint="eastAsia"/>
                <w:sz w:val="24"/>
              </w:rPr>
              <w:t>微克</w:t>
            </w:r>
            <w:r>
              <w:rPr>
                <w:sz w:val="24"/>
              </w:rPr>
              <w:t>/</w:t>
            </w:r>
            <w:r>
              <w:rPr>
                <w:rFonts w:hint="eastAsia"/>
                <w:sz w:val="24"/>
              </w:rPr>
              <w:t>立方米，降幅</w:t>
            </w:r>
            <w:r>
              <w:rPr>
                <w:sz w:val="24"/>
              </w:rPr>
              <w:t>3.2%</w:t>
            </w:r>
            <w:r>
              <w:rPr>
                <w:rFonts w:hint="eastAsia"/>
                <w:sz w:val="24"/>
              </w:rPr>
              <w:t>；</w:t>
            </w:r>
            <w:r>
              <w:rPr>
                <w:sz w:val="24"/>
              </w:rPr>
              <w:t>SO</w:t>
            </w:r>
            <w:r>
              <w:rPr>
                <w:sz w:val="24"/>
                <w:vertAlign w:val="subscript"/>
              </w:rPr>
              <w:t>2</w:t>
            </w:r>
            <w:r>
              <w:rPr>
                <w:rFonts w:hint="eastAsia"/>
                <w:sz w:val="24"/>
              </w:rPr>
              <w:t>同比下降</w:t>
            </w:r>
            <w:r>
              <w:rPr>
                <w:sz w:val="24"/>
              </w:rPr>
              <w:t>9</w:t>
            </w:r>
            <w:r>
              <w:rPr>
                <w:rFonts w:hint="eastAsia"/>
                <w:sz w:val="24"/>
              </w:rPr>
              <w:t>微克</w:t>
            </w:r>
            <w:r>
              <w:rPr>
                <w:sz w:val="24"/>
              </w:rPr>
              <w:t>/</w:t>
            </w:r>
            <w:r>
              <w:rPr>
                <w:rFonts w:hint="eastAsia"/>
                <w:sz w:val="24"/>
              </w:rPr>
              <w:t>立方米，降幅</w:t>
            </w:r>
            <w:r>
              <w:rPr>
                <w:sz w:val="24"/>
              </w:rPr>
              <w:t>32.1%</w:t>
            </w:r>
            <w:r>
              <w:rPr>
                <w:rFonts w:hint="eastAsia"/>
                <w:sz w:val="24"/>
              </w:rPr>
              <w:t>；</w:t>
            </w:r>
            <w:r>
              <w:rPr>
                <w:sz w:val="24"/>
              </w:rPr>
              <w:t>NO</w:t>
            </w:r>
            <w:r>
              <w:rPr>
                <w:sz w:val="24"/>
                <w:vertAlign w:val="subscript"/>
              </w:rPr>
              <w:t>2</w:t>
            </w:r>
            <w:r>
              <w:rPr>
                <w:rFonts w:hint="eastAsia"/>
                <w:sz w:val="24"/>
              </w:rPr>
              <w:t>同比下降</w:t>
            </w:r>
            <w:r>
              <w:rPr>
                <w:sz w:val="24"/>
              </w:rPr>
              <w:t>1</w:t>
            </w:r>
            <w:r>
              <w:rPr>
                <w:rFonts w:hint="eastAsia"/>
                <w:sz w:val="24"/>
              </w:rPr>
              <w:t>微克</w:t>
            </w:r>
            <w:r>
              <w:rPr>
                <w:sz w:val="24"/>
              </w:rPr>
              <w:t>/</w:t>
            </w:r>
            <w:r>
              <w:rPr>
                <w:rFonts w:hint="eastAsia"/>
                <w:sz w:val="24"/>
              </w:rPr>
              <w:t>立方米，降幅</w:t>
            </w:r>
            <w:r>
              <w:rPr>
                <w:sz w:val="24"/>
              </w:rPr>
              <w:t>2%</w:t>
            </w:r>
            <w:r>
              <w:rPr>
                <w:rFonts w:hint="eastAsia"/>
                <w:sz w:val="24"/>
              </w:rPr>
              <w:t>；</w:t>
            </w:r>
            <w:r>
              <w:rPr>
                <w:sz w:val="24"/>
              </w:rPr>
              <w:t>O</w:t>
            </w:r>
            <w:r>
              <w:rPr>
                <w:sz w:val="24"/>
                <w:vertAlign w:val="subscript"/>
              </w:rPr>
              <w:t>3</w:t>
            </w:r>
            <w:r>
              <w:rPr>
                <w:rFonts w:hint="eastAsia"/>
                <w:sz w:val="24"/>
              </w:rPr>
              <w:t>第</w:t>
            </w:r>
            <w:r>
              <w:rPr>
                <w:sz w:val="24"/>
              </w:rPr>
              <w:t>90</w:t>
            </w:r>
            <w:r>
              <w:rPr>
                <w:rFonts w:hint="eastAsia"/>
                <w:sz w:val="24"/>
              </w:rPr>
              <w:t>百分位浓度同比上升</w:t>
            </w:r>
            <w:r>
              <w:rPr>
                <w:sz w:val="24"/>
              </w:rPr>
              <w:t>5</w:t>
            </w:r>
            <w:r>
              <w:rPr>
                <w:rFonts w:hint="eastAsia"/>
                <w:sz w:val="24"/>
              </w:rPr>
              <w:t>微克</w:t>
            </w:r>
            <w:r>
              <w:rPr>
                <w:sz w:val="24"/>
              </w:rPr>
              <w:t>/</w:t>
            </w:r>
            <w:r>
              <w:rPr>
                <w:rFonts w:hint="eastAsia"/>
                <w:sz w:val="24"/>
              </w:rPr>
              <w:t>立方米，升幅</w:t>
            </w:r>
            <w:r>
              <w:rPr>
                <w:sz w:val="24"/>
              </w:rPr>
              <w:t>4.5%</w:t>
            </w:r>
            <w:r>
              <w:rPr>
                <w:rFonts w:hint="eastAsia"/>
                <w:sz w:val="24"/>
              </w:rPr>
              <w:t>，</w:t>
            </w:r>
            <w:r>
              <w:rPr>
                <w:sz w:val="24"/>
              </w:rPr>
              <w:t>CO</w:t>
            </w:r>
            <w:r>
              <w:rPr>
                <w:rFonts w:hint="eastAsia"/>
                <w:sz w:val="24"/>
              </w:rPr>
              <w:t>第</w:t>
            </w:r>
            <w:r>
              <w:rPr>
                <w:sz w:val="24"/>
              </w:rPr>
              <w:t>95</w:t>
            </w:r>
            <w:r>
              <w:rPr>
                <w:rFonts w:hint="eastAsia"/>
                <w:sz w:val="24"/>
              </w:rPr>
              <w:t>百分位浓度同比下降</w:t>
            </w:r>
            <w:r>
              <w:rPr>
                <w:sz w:val="24"/>
              </w:rPr>
              <w:t>0.1</w:t>
            </w:r>
            <w:r>
              <w:rPr>
                <w:rFonts w:hint="eastAsia"/>
                <w:sz w:val="24"/>
              </w:rPr>
              <w:t>微克</w:t>
            </w:r>
            <w:r>
              <w:rPr>
                <w:sz w:val="24"/>
              </w:rPr>
              <w:t>/</w:t>
            </w:r>
            <w:r>
              <w:rPr>
                <w:rFonts w:hint="eastAsia"/>
                <w:sz w:val="24"/>
              </w:rPr>
              <w:t>立方米，降幅</w:t>
            </w:r>
            <w:r>
              <w:rPr>
                <w:sz w:val="24"/>
              </w:rPr>
              <w:t>7.1%</w:t>
            </w:r>
            <w:r>
              <w:rPr>
                <w:rFonts w:hint="eastAsia"/>
                <w:sz w:val="24"/>
              </w:rPr>
              <w:t>。优、良天数</w:t>
            </w:r>
            <w:r>
              <w:rPr>
                <w:sz w:val="24"/>
              </w:rPr>
              <w:t>177</w:t>
            </w:r>
            <w:r>
              <w:rPr>
                <w:rFonts w:hint="eastAsia"/>
                <w:sz w:val="24"/>
              </w:rPr>
              <w:t>天，优、良天数比例</w:t>
            </w:r>
            <w:r>
              <w:rPr>
                <w:sz w:val="24"/>
              </w:rPr>
              <w:t>51.8%</w:t>
            </w:r>
            <w:r>
              <w:rPr>
                <w:rFonts w:hint="eastAsia"/>
                <w:sz w:val="24"/>
              </w:rPr>
              <w:t>，去年同期，优、良天数</w:t>
            </w:r>
            <w:r>
              <w:rPr>
                <w:sz w:val="24"/>
              </w:rPr>
              <w:t>173</w:t>
            </w:r>
            <w:r>
              <w:rPr>
                <w:rFonts w:hint="eastAsia"/>
                <w:sz w:val="24"/>
              </w:rPr>
              <w:t>天，优、良天数比例</w:t>
            </w:r>
            <w:r>
              <w:rPr>
                <w:sz w:val="24"/>
              </w:rPr>
              <w:t>47.4%</w:t>
            </w:r>
            <w:r>
              <w:rPr>
                <w:rFonts w:hint="eastAsia"/>
                <w:sz w:val="24"/>
              </w:rPr>
              <w:t>，同比优、良天数增加</w:t>
            </w:r>
            <w:r>
              <w:rPr>
                <w:sz w:val="24"/>
              </w:rPr>
              <w:t>4</w:t>
            </w:r>
            <w:r>
              <w:rPr>
                <w:rFonts w:hint="eastAsia"/>
                <w:sz w:val="24"/>
              </w:rPr>
              <w:t>天，上升</w:t>
            </w:r>
            <w:r>
              <w:rPr>
                <w:sz w:val="24"/>
              </w:rPr>
              <w:t>4.4</w:t>
            </w:r>
            <w:r>
              <w:rPr>
                <w:rFonts w:hint="eastAsia"/>
                <w:sz w:val="24"/>
              </w:rPr>
              <w:t>个百分点。</w:t>
            </w:r>
          </w:p>
          <w:p>
            <w:pPr>
              <w:spacing w:line="440" w:lineRule="exact"/>
              <w:ind w:firstLine="436" w:firstLineChars="182"/>
              <w:rPr>
                <w:sz w:val="24"/>
              </w:rPr>
            </w:pPr>
            <w:r>
              <w:rPr>
                <w:rFonts w:hint="eastAsia"/>
                <w:sz w:val="24"/>
              </w:rPr>
              <w:t>目前，新乡市正在实施《新乡市蓝天工程行动计划》、《新乡市</w:t>
            </w:r>
            <w:r>
              <w:rPr>
                <w:sz w:val="24"/>
              </w:rPr>
              <w:t>201</w:t>
            </w:r>
            <w:r>
              <w:rPr>
                <w:rFonts w:hint="eastAsia"/>
                <w:sz w:val="24"/>
              </w:rPr>
              <w:t>9年大气污染防治攻坚战实施方案》、《</w:t>
            </w:r>
            <w:r>
              <w:rPr>
                <w:sz w:val="24"/>
              </w:rPr>
              <w:t>“</w:t>
            </w:r>
            <w:r>
              <w:rPr>
                <w:rFonts w:hint="eastAsia"/>
                <w:sz w:val="24"/>
              </w:rPr>
              <w:t>十三五</w:t>
            </w:r>
            <w:r>
              <w:rPr>
                <w:sz w:val="24"/>
              </w:rPr>
              <w:t>”</w:t>
            </w:r>
            <w:r>
              <w:rPr>
                <w:rFonts w:hint="eastAsia"/>
                <w:sz w:val="24"/>
              </w:rPr>
              <w:t>挥发性有机物污染防治工作方案》、《新乡市环境污染防治攻坚战三年行动实施方案（</w:t>
            </w:r>
            <w:r>
              <w:rPr>
                <w:sz w:val="24"/>
              </w:rPr>
              <w:t>2018-2020</w:t>
            </w:r>
            <w:r>
              <w:rPr>
                <w:rFonts w:hint="eastAsia"/>
                <w:sz w:val="24"/>
              </w:rPr>
              <w:t>年）》等一系列措施，将不断改善区域大气环境质量。预计</w:t>
            </w:r>
            <w:r>
              <w:rPr>
                <w:sz w:val="24"/>
              </w:rPr>
              <w:t>2020</w:t>
            </w:r>
            <w:r>
              <w:rPr>
                <w:rFonts w:hint="eastAsia"/>
                <w:sz w:val="24"/>
              </w:rPr>
              <w:t>年可以达到《新乡市环境污染防治攻坚战三年行动实施方案（</w:t>
            </w:r>
            <w:r>
              <w:rPr>
                <w:sz w:val="24"/>
              </w:rPr>
              <w:t>2018-2020</w:t>
            </w:r>
            <w:r>
              <w:rPr>
                <w:rFonts w:hint="eastAsia"/>
                <w:sz w:val="24"/>
              </w:rPr>
              <w:t>年）》中：</w:t>
            </w:r>
            <w:r>
              <w:rPr>
                <w:sz w:val="24"/>
              </w:rPr>
              <w:t>“</w:t>
            </w:r>
            <w:r>
              <w:rPr>
                <w:rFonts w:hint="eastAsia"/>
                <w:sz w:val="24"/>
              </w:rPr>
              <w:t>全市</w:t>
            </w:r>
            <w:r>
              <w:rPr>
                <w:sz w:val="24"/>
              </w:rPr>
              <w:t>PM</w:t>
            </w:r>
            <w:r>
              <w:rPr>
                <w:sz w:val="24"/>
                <w:vertAlign w:val="subscript"/>
              </w:rPr>
              <w:t>2.5</w:t>
            </w:r>
            <w:r>
              <w:rPr>
                <w:rFonts w:hint="eastAsia"/>
                <w:sz w:val="24"/>
              </w:rPr>
              <w:t>年均浓度达到</w:t>
            </w:r>
            <w:r>
              <w:rPr>
                <w:sz w:val="24"/>
              </w:rPr>
              <w:t>55</w:t>
            </w:r>
            <w:r>
              <w:rPr>
                <w:rFonts w:hint="eastAsia"/>
                <w:sz w:val="24"/>
              </w:rPr>
              <w:t>微克</w:t>
            </w:r>
            <w:r>
              <w:rPr>
                <w:sz w:val="24"/>
              </w:rPr>
              <w:t>/</w:t>
            </w:r>
            <w:r>
              <w:rPr>
                <w:rFonts w:hint="eastAsia"/>
                <w:sz w:val="24"/>
              </w:rPr>
              <w:t>立方米以下，</w:t>
            </w:r>
            <w:r>
              <w:rPr>
                <w:sz w:val="24"/>
              </w:rPr>
              <w:t>PM</w:t>
            </w:r>
            <w:r>
              <w:rPr>
                <w:sz w:val="24"/>
                <w:vertAlign w:val="subscript"/>
              </w:rPr>
              <w:t>10</w:t>
            </w:r>
            <w:r>
              <w:rPr>
                <w:rFonts w:hint="eastAsia"/>
                <w:sz w:val="24"/>
              </w:rPr>
              <w:t>年均浓度达到</w:t>
            </w:r>
            <w:r>
              <w:rPr>
                <w:sz w:val="24"/>
              </w:rPr>
              <w:t>101</w:t>
            </w:r>
            <w:r>
              <w:rPr>
                <w:rFonts w:hint="eastAsia"/>
                <w:sz w:val="24"/>
              </w:rPr>
              <w:t>微克</w:t>
            </w:r>
            <w:r>
              <w:rPr>
                <w:sz w:val="24"/>
              </w:rPr>
              <w:t>/</w:t>
            </w:r>
            <w:r>
              <w:rPr>
                <w:rFonts w:hint="eastAsia"/>
                <w:sz w:val="24"/>
              </w:rPr>
              <w:t>立方米以下，全年优良天数比例达到</w:t>
            </w:r>
            <w:r>
              <w:rPr>
                <w:sz w:val="24"/>
              </w:rPr>
              <w:t>66%</w:t>
            </w:r>
            <w:r>
              <w:rPr>
                <w:rFonts w:hint="eastAsia"/>
                <w:sz w:val="24"/>
              </w:rPr>
              <w:t>以上</w:t>
            </w:r>
            <w:r>
              <w:rPr>
                <w:sz w:val="24"/>
              </w:rPr>
              <w:t>”</w:t>
            </w:r>
            <w:r>
              <w:rPr>
                <w:rFonts w:hint="eastAsia"/>
                <w:sz w:val="24"/>
              </w:rPr>
              <w:t>的目标要求</w:t>
            </w:r>
            <w:r>
              <w:rPr>
                <w:sz w:val="24"/>
              </w:rPr>
              <w:t>。</w:t>
            </w:r>
          </w:p>
          <w:p>
            <w:pPr>
              <w:spacing w:line="440" w:lineRule="exact"/>
              <w:ind w:firstLine="482" w:firstLineChars="200"/>
              <w:textAlignment w:val="baseline"/>
              <w:rPr>
                <w:b/>
                <w:color w:val="000000"/>
                <w:sz w:val="24"/>
                <w:szCs w:val="20"/>
              </w:rPr>
            </w:pPr>
            <w:r>
              <w:rPr>
                <w:b/>
                <w:color w:val="000000"/>
                <w:sz w:val="24"/>
                <w:szCs w:val="20"/>
              </w:rPr>
              <w:t>2、地表水环境质量现状</w:t>
            </w:r>
          </w:p>
          <w:p>
            <w:pPr>
              <w:spacing w:line="440" w:lineRule="exact"/>
              <w:ind w:firstLine="480" w:firstLineChars="200"/>
              <w:rPr>
                <w:color w:val="000000"/>
                <w:sz w:val="24"/>
                <w:szCs w:val="20"/>
              </w:rPr>
            </w:pPr>
            <w:r>
              <w:rPr>
                <w:color w:val="000000"/>
                <w:sz w:val="24"/>
              </w:rPr>
              <w:t>本项目无废水外排，</w:t>
            </w:r>
            <w:r>
              <w:rPr>
                <w:color w:val="000000"/>
                <w:sz w:val="24"/>
                <w:szCs w:val="20"/>
              </w:rPr>
              <w:t>项目所在区域距离最近的地表水体为民生渠，其规划水体功能为</w:t>
            </w:r>
            <w:r>
              <w:rPr>
                <w:color w:val="000000"/>
                <w:sz w:val="24"/>
                <w:szCs w:val="20"/>
              </w:rPr>
              <w:fldChar w:fldCharType="begin"/>
            </w:r>
            <w:r>
              <w:rPr>
                <w:color w:val="000000"/>
                <w:sz w:val="24"/>
                <w:szCs w:val="20"/>
              </w:rPr>
              <w:instrText xml:space="preserve">= 5 \* ROMAN</w:instrText>
            </w:r>
            <w:r>
              <w:rPr>
                <w:color w:val="000000"/>
                <w:sz w:val="24"/>
                <w:szCs w:val="20"/>
              </w:rPr>
              <w:fldChar w:fldCharType="separate"/>
            </w:r>
            <w:r>
              <w:rPr>
                <w:color w:val="000000"/>
                <w:sz w:val="24"/>
                <w:szCs w:val="20"/>
              </w:rPr>
              <w:t>V</w:t>
            </w:r>
            <w:r>
              <w:rPr>
                <w:color w:val="000000"/>
                <w:sz w:val="24"/>
                <w:szCs w:val="20"/>
              </w:rPr>
              <w:fldChar w:fldCharType="end"/>
            </w:r>
            <w:r>
              <w:rPr>
                <w:color w:val="000000"/>
                <w:sz w:val="24"/>
                <w:szCs w:val="20"/>
              </w:rPr>
              <w:t>类，评价引用新乡市环境保护监测站对民生渠天丰公司后断面的自动监测数据，数据见表1</w:t>
            </w:r>
            <w:r>
              <w:rPr>
                <w:rFonts w:hint="eastAsia"/>
                <w:color w:val="000000"/>
                <w:sz w:val="24"/>
                <w:szCs w:val="20"/>
              </w:rPr>
              <w:t>1</w:t>
            </w:r>
            <w:r>
              <w:rPr>
                <w:color w:val="000000"/>
                <w:sz w:val="24"/>
                <w:szCs w:val="20"/>
              </w:rPr>
              <w:t>。</w:t>
            </w:r>
          </w:p>
          <w:p>
            <w:pPr>
              <w:keepNext/>
              <w:widowControl/>
              <w:spacing w:line="440" w:lineRule="exact"/>
              <w:ind w:firstLine="240" w:firstLineChars="100"/>
              <w:jc w:val="left"/>
              <w:rPr>
                <w:rFonts w:eastAsia="黑体"/>
                <w:color w:val="000000"/>
                <w:kern w:val="0"/>
                <w:sz w:val="24"/>
              </w:rPr>
            </w:pPr>
            <w:r>
              <w:rPr>
                <w:rFonts w:eastAsia="黑体"/>
                <w:color w:val="000000"/>
                <w:kern w:val="0"/>
                <w:sz w:val="24"/>
              </w:rPr>
              <w:t>表1</w:t>
            </w:r>
            <w:r>
              <w:rPr>
                <w:rFonts w:hint="eastAsia" w:eastAsia="黑体"/>
                <w:color w:val="000000"/>
                <w:kern w:val="0"/>
                <w:sz w:val="24"/>
              </w:rPr>
              <w:t>1</w:t>
            </w:r>
            <w:r>
              <w:rPr>
                <w:rFonts w:eastAsia="黑体"/>
                <w:color w:val="000000"/>
                <w:kern w:val="0"/>
                <w:sz w:val="24"/>
              </w:rPr>
              <w:t xml:space="preserve">       民生渠天丰公司后断面监测数据（</w:t>
            </w:r>
            <w:r>
              <w:rPr>
                <w:rFonts w:eastAsia="黑体"/>
                <w:bCs/>
                <w:color w:val="000000"/>
                <w:kern w:val="0"/>
                <w:sz w:val="24"/>
              </w:rPr>
              <w:t>201</w:t>
            </w:r>
            <w:r>
              <w:rPr>
                <w:rFonts w:hint="eastAsia" w:eastAsia="黑体"/>
                <w:bCs/>
                <w:color w:val="000000"/>
                <w:kern w:val="0"/>
                <w:sz w:val="24"/>
              </w:rPr>
              <w:t>9</w:t>
            </w:r>
            <w:r>
              <w:rPr>
                <w:rFonts w:eastAsia="黑体"/>
                <w:bCs/>
                <w:color w:val="000000"/>
                <w:kern w:val="0"/>
                <w:sz w:val="24"/>
              </w:rPr>
              <w:t>年</w:t>
            </w:r>
            <w:r>
              <w:rPr>
                <w:rFonts w:hint="eastAsia" w:eastAsia="黑体"/>
                <w:bCs/>
                <w:color w:val="000000"/>
                <w:kern w:val="0"/>
                <w:sz w:val="24"/>
              </w:rPr>
              <w:t>3</w:t>
            </w:r>
            <w:r>
              <w:rPr>
                <w:rFonts w:eastAsia="黑体"/>
                <w:bCs/>
                <w:color w:val="000000"/>
                <w:kern w:val="0"/>
                <w:sz w:val="24"/>
              </w:rPr>
              <w:t>月份</w:t>
            </w:r>
            <w:r>
              <w:rPr>
                <w:rFonts w:eastAsia="黑体"/>
                <w:color w:val="000000"/>
                <w:kern w:val="0"/>
                <w:sz w:val="24"/>
              </w:rPr>
              <w:t>）</w:t>
            </w:r>
            <w:r>
              <w:rPr>
                <w:rFonts w:hint="eastAsia" w:eastAsia="黑体"/>
                <w:color w:val="000000"/>
                <w:kern w:val="0"/>
                <w:sz w:val="24"/>
              </w:rPr>
              <w:t xml:space="preserve">       </w:t>
            </w:r>
            <w:r>
              <w:rPr>
                <w:rFonts w:eastAsia="黑体"/>
                <w:color w:val="000000"/>
                <w:kern w:val="0"/>
                <w:sz w:val="24"/>
              </w:rPr>
              <w:t xml:space="preserve"> 单位：mg/L</w:t>
            </w:r>
          </w:p>
          <w:tbl>
            <w:tblPr>
              <w:tblStyle w:val="30"/>
              <w:tblW w:w="9165"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2291"/>
              <w:gridCol w:w="2289"/>
              <w:gridCol w:w="22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6" w:type="dxa"/>
                  <w:tcBorders>
                    <w:top w:val="single" w:color="auto" w:sz="8" w:space="0"/>
                  </w:tcBorders>
                  <w:vAlign w:val="center"/>
                </w:tcPr>
                <w:p>
                  <w:pPr>
                    <w:adjustRightInd w:val="0"/>
                    <w:snapToGrid w:val="0"/>
                    <w:jc w:val="center"/>
                    <w:rPr>
                      <w:b/>
                      <w:color w:val="000000"/>
                      <w:szCs w:val="21"/>
                    </w:rPr>
                  </w:pPr>
                  <w:r>
                    <w:rPr>
                      <w:b/>
                      <w:color w:val="000000"/>
                      <w:szCs w:val="21"/>
                    </w:rPr>
                    <w:t>监测因子</w:t>
                  </w:r>
                </w:p>
              </w:tc>
              <w:tc>
                <w:tcPr>
                  <w:tcW w:w="2291" w:type="dxa"/>
                  <w:tcBorders>
                    <w:top w:val="single" w:color="auto" w:sz="8" w:space="0"/>
                  </w:tcBorders>
                  <w:vAlign w:val="center"/>
                </w:tcPr>
                <w:p>
                  <w:pPr>
                    <w:adjustRightInd w:val="0"/>
                    <w:snapToGrid w:val="0"/>
                    <w:jc w:val="center"/>
                    <w:rPr>
                      <w:color w:val="000000"/>
                      <w:szCs w:val="21"/>
                    </w:rPr>
                  </w:pPr>
                  <w:r>
                    <w:rPr>
                      <w:color w:val="000000"/>
                      <w:szCs w:val="21"/>
                    </w:rPr>
                    <w:t>COD</w:t>
                  </w:r>
                </w:p>
              </w:tc>
              <w:tc>
                <w:tcPr>
                  <w:tcW w:w="2289" w:type="dxa"/>
                  <w:tcBorders>
                    <w:top w:val="single" w:color="auto" w:sz="8" w:space="0"/>
                  </w:tcBorders>
                  <w:vAlign w:val="center"/>
                </w:tcPr>
                <w:p>
                  <w:pPr>
                    <w:adjustRightInd w:val="0"/>
                    <w:snapToGrid w:val="0"/>
                    <w:jc w:val="center"/>
                    <w:rPr>
                      <w:color w:val="000000"/>
                      <w:szCs w:val="21"/>
                    </w:rPr>
                  </w:pPr>
                  <w:r>
                    <w:rPr>
                      <w:color w:val="000000"/>
                      <w:szCs w:val="21"/>
                    </w:rPr>
                    <w:t>NH</w:t>
                  </w:r>
                  <w:r>
                    <w:rPr>
                      <w:color w:val="000000"/>
                      <w:szCs w:val="21"/>
                      <w:vertAlign w:val="subscript"/>
                    </w:rPr>
                    <w:t>3</w:t>
                  </w:r>
                  <w:r>
                    <w:rPr>
                      <w:color w:val="000000"/>
                      <w:szCs w:val="21"/>
                    </w:rPr>
                    <w:t>-N</w:t>
                  </w:r>
                </w:p>
              </w:tc>
              <w:tc>
                <w:tcPr>
                  <w:tcW w:w="2289" w:type="dxa"/>
                  <w:tcBorders>
                    <w:top w:val="single" w:color="auto" w:sz="8" w:space="0"/>
                  </w:tcBorders>
                  <w:vAlign w:val="center"/>
                </w:tcPr>
                <w:p>
                  <w:pPr>
                    <w:adjustRightInd w:val="0"/>
                    <w:snapToGrid w:val="0"/>
                    <w:jc w:val="center"/>
                    <w:rPr>
                      <w:color w:val="000000"/>
                      <w:szCs w:val="21"/>
                    </w:rPr>
                  </w:pPr>
                  <w:r>
                    <w:rPr>
                      <w:color w:val="000000"/>
                      <w:szCs w:val="21"/>
                    </w:rPr>
                    <w:t>TP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6" w:type="dxa"/>
                  <w:vAlign w:val="center"/>
                </w:tcPr>
                <w:p>
                  <w:pPr>
                    <w:adjustRightInd w:val="0"/>
                    <w:snapToGrid w:val="0"/>
                    <w:jc w:val="center"/>
                    <w:rPr>
                      <w:b/>
                      <w:color w:val="000000"/>
                      <w:szCs w:val="21"/>
                    </w:rPr>
                  </w:pPr>
                  <w:r>
                    <w:rPr>
                      <w:b/>
                      <w:color w:val="000000"/>
                      <w:szCs w:val="21"/>
                    </w:rPr>
                    <w:t>监测数据</w:t>
                  </w:r>
                </w:p>
              </w:tc>
              <w:tc>
                <w:tcPr>
                  <w:tcW w:w="2291" w:type="dxa"/>
                  <w:vAlign w:val="center"/>
                </w:tcPr>
                <w:p>
                  <w:pPr>
                    <w:adjustRightInd w:val="0"/>
                    <w:snapToGrid w:val="0"/>
                    <w:jc w:val="center"/>
                    <w:rPr>
                      <w:color w:val="000000"/>
                      <w:szCs w:val="21"/>
                    </w:rPr>
                  </w:pPr>
                  <w:r>
                    <w:rPr>
                      <w:rFonts w:hint="eastAsia"/>
                      <w:color w:val="000000"/>
                      <w:szCs w:val="21"/>
                    </w:rPr>
                    <w:t>326</w:t>
                  </w:r>
                  <w:r>
                    <w:rPr>
                      <w:color w:val="000000"/>
                      <w:szCs w:val="21"/>
                    </w:rPr>
                    <w:t>-</w:t>
                  </w:r>
                  <w:r>
                    <w:rPr>
                      <w:rFonts w:hint="eastAsia"/>
                      <w:color w:val="000000"/>
                      <w:szCs w:val="21"/>
                    </w:rPr>
                    <w:t>383</w:t>
                  </w:r>
                </w:p>
              </w:tc>
              <w:tc>
                <w:tcPr>
                  <w:tcW w:w="2289" w:type="dxa"/>
                  <w:vAlign w:val="center"/>
                </w:tcPr>
                <w:p>
                  <w:pPr>
                    <w:jc w:val="center"/>
                    <w:rPr>
                      <w:color w:val="000000"/>
                      <w:szCs w:val="21"/>
                    </w:rPr>
                  </w:pPr>
                  <w:r>
                    <w:rPr>
                      <w:rFonts w:hint="eastAsia"/>
                      <w:color w:val="000000"/>
                      <w:szCs w:val="21"/>
                    </w:rPr>
                    <w:t>25.5</w:t>
                  </w:r>
                  <w:r>
                    <w:rPr>
                      <w:color w:val="000000"/>
                      <w:szCs w:val="21"/>
                    </w:rPr>
                    <w:t>-35.6</w:t>
                  </w:r>
                </w:p>
              </w:tc>
              <w:tc>
                <w:tcPr>
                  <w:tcW w:w="2289" w:type="dxa"/>
                  <w:vAlign w:val="center"/>
                </w:tcPr>
                <w:p>
                  <w:pPr>
                    <w:jc w:val="center"/>
                    <w:rPr>
                      <w:color w:val="000000"/>
                      <w:szCs w:val="21"/>
                    </w:rPr>
                  </w:pPr>
                  <w:r>
                    <w:rPr>
                      <w:rFonts w:hint="eastAsia"/>
                      <w:color w:val="000000"/>
                      <w:szCs w:val="21"/>
                    </w:rPr>
                    <w:t>5.48</w:t>
                  </w:r>
                  <w:r>
                    <w:rPr>
                      <w:color w:val="000000"/>
                      <w:szCs w:val="21"/>
                    </w:rPr>
                    <w:t>-</w:t>
                  </w:r>
                  <w:r>
                    <w:rPr>
                      <w:rFonts w:hint="eastAsia"/>
                      <w:color w:val="000000"/>
                      <w:szCs w:val="21"/>
                    </w:rPr>
                    <w:t>5.55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6" w:type="dxa"/>
                  <w:vAlign w:val="center"/>
                </w:tcPr>
                <w:p>
                  <w:pPr>
                    <w:adjustRightInd w:val="0"/>
                    <w:snapToGrid w:val="0"/>
                    <w:jc w:val="center"/>
                    <w:rPr>
                      <w:b/>
                      <w:color w:val="000000"/>
                      <w:szCs w:val="21"/>
                    </w:rPr>
                  </w:pPr>
                  <w:r>
                    <w:rPr>
                      <w:b/>
                      <w:color w:val="000000"/>
                      <w:szCs w:val="21"/>
                    </w:rPr>
                    <w:t>质量标准</w:t>
                  </w:r>
                </w:p>
              </w:tc>
              <w:tc>
                <w:tcPr>
                  <w:tcW w:w="2291" w:type="dxa"/>
                  <w:vAlign w:val="center"/>
                </w:tcPr>
                <w:p>
                  <w:pPr>
                    <w:jc w:val="center"/>
                    <w:rPr>
                      <w:color w:val="000000"/>
                      <w:szCs w:val="21"/>
                    </w:rPr>
                  </w:pPr>
                  <w:r>
                    <w:rPr>
                      <w:color w:val="000000"/>
                      <w:szCs w:val="21"/>
                    </w:rPr>
                    <w:t>40</w:t>
                  </w:r>
                </w:p>
              </w:tc>
              <w:tc>
                <w:tcPr>
                  <w:tcW w:w="2289" w:type="dxa"/>
                  <w:vAlign w:val="center"/>
                </w:tcPr>
                <w:p>
                  <w:pPr>
                    <w:jc w:val="center"/>
                    <w:rPr>
                      <w:color w:val="000000"/>
                      <w:szCs w:val="21"/>
                    </w:rPr>
                  </w:pPr>
                  <w:r>
                    <w:rPr>
                      <w:rFonts w:hint="eastAsia"/>
                      <w:color w:val="000000"/>
                      <w:szCs w:val="21"/>
                    </w:rPr>
                    <w:t>2</w:t>
                  </w:r>
                </w:p>
              </w:tc>
              <w:tc>
                <w:tcPr>
                  <w:tcW w:w="2289" w:type="dxa"/>
                  <w:vAlign w:val="center"/>
                </w:tcPr>
                <w:p>
                  <w:pPr>
                    <w:jc w:val="center"/>
                    <w:rPr>
                      <w:color w:val="000000"/>
                      <w:szCs w:val="21"/>
                    </w:rPr>
                  </w:pPr>
                  <w:r>
                    <w:rPr>
                      <w:color w:val="000000"/>
                      <w:szCs w:val="21"/>
                    </w:rPr>
                    <w:t>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96" w:type="dxa"/>
                  <w:tcBorders>
                    <w:bottom w:val="single" w:color="auto" w:sz="8" w:space="0"/>
                  </w:tcBorders>
                  <w:vAlign w:val="center"/>
                </w:tcPr>
                <w:p>
                  <w:pPr>
                    <w:jc w:val="center"/>
                    <w:rPr>
                      <w:b/>
                      <w:color w:val="000000"/>
                      <w:szCs w:val="21"/>
                    </w:rPr>
                  </w:pPr>
                  <w:r>
                    <w:rPr>
                      <w:b/>
                      <w:color w:val="000000"/>
                      <w:szCs w:val="21"/>
                    </w:rPr>
                    <w:t>达标情况</w:t>
                  </w:r>
                </w:p>
              </w:tc>
              <w:tc>
                <w:tcPr>
                  <w:tcW w:w="2291" w:type="dxa"/>
                  <w:tcBorders>
                    <w:bottom w:val="single" w:color="auto" w:sz="8" w:space="0"/>
                  </w:tcBorders>
                  <w:vAlign w:val="center"/>
                </w:tcPr>
                <w:p>
                  <w:pPr>
                    <w:jc w:val="center"/>
                    <w:rPr>
                      <w:color w:val="000000"/>
                      <w:szCs w:val="21"/>
                    </w:rPr>
                  </w:pPr>
                  <w:r>
                    <w:rPr>
                      <w:color w:val="000000"/>
                      <w:szCs w:val="21"/>
                    </w:rPr>
                    <w:t>超标</w:t>
                  </w:r>
                </w:p>
              </w:tc>
              <w:tc>
                <w:tcPr>
                  <w:tcW w:w="2289" w:type="dxa"/>
                  <w:tcBorders>
                    <w:bottom w:val="single" w:color="auto" w:sz="8" w:space="0"/>
                  </w:tcBorders>
                  <w:vAlign w:val="center"/>
                </w:tcPr>
                <w:p>
                  <w:pPr>
                    <w:jc w:val="center"/>
                    <w:rPr>
                      <w:color w:val="000000"/>
                      <w:szCs w:val="21"/>
                    </w:rPr>
                  </w:pPr>
                  <w:r>
                    <w:rPr>
                      <w:color w:val="000000"/>
                      <w:szCs w:val="21"/>
                    </w:rPr>
                    <w:t>超标</w:t>
                  </w:r>
                </w:p>
              </w:tc>
              <w:tc>
                <w:tcPr>
                  <w:tcW w:w="2289" w:type="dxa"/>
                  <w:tcBorders>
                    <w:bottom w:val="single" w:color="auto" w:sz="8" w:space="0"/>
                  </w:tcBorders>
                  <w:vAlign w:val="center"/>
                </w:tcPr>
                <w:p>
                  <w:pPr>
                    <w:jc w:val="center"/>
                    <w:rPr>
                      <w:color w:val="000000"/>
                      <w:szCs w:val="21"/>
                    </w:rPr>
                  </w:pPr>
                  <w:r>
                    <w:rPr>
                      <w:color w:val="000000"/>
                      <w:szCs w:val="21"/>
                    </w:rPr>
                    <w:t>超标</w:t>
                  </w:r>
                </w:p>
              </w:tc>
            </w:tr>
          </w:tbl>
          <w:p>
            <w:pPr>
              <w:spacing w:line="440" w:lineRule="exact"/>
              <w:ind w:firstLine="480" w:firstLineChars="200"/>
              <w:rPr>
                <w:color w:val="000000"/>
                <w:sz w:val="24"/>
              </w:rPr>
            </w:pPr>
            <w:r>
              <w:rPr>
                <w:color w:val="000000"/>
                <w:sz w:val="24"/>
              </w:rPr>
              <w:t>由上表可知，201</w:t>
            </w:r>
            <w:r>
              <w:rPr>
                <w:rFonts w:hint="eastAsia"/>
                <w:color w:val="000000"/>
                <w:sz w:val="24"/>
              </w:rPr>
              <w:t>9</w:t>
            </w:r>
            <w:r>
              <w:rPr>
                <w:color w:val="000000"/>
                <w:sz w:val="24"/>
              </w:rPr>
              <w:t>年</w:t>
            </w:r>
            <w:r>
              <w:rPr>
                <w:rFonts w:hint="eastAsia"/>
                <w:color w:val="000000"/>
                <w:sz w:val="24"/>
              </w:rPr>
              <w:t>3</w:t>
            </w:r>
            <w:r>
              <w:rPr>
                <w:color w:val="000000"/>
                <w:sz w:val="24"/>
              </w:rPr>
              <w:t>月份民生渠天丰公司后断面水质不能满足《地表水环境质量标准》（GB3838-2002）</w:t>
            </w:r>
            <w:r>
              <w:rPr>
                <w:color w:val="000000"/>
                <w:sz w:val="24"/>
              </w:rPr>
              <w:fldChar w:fldCharType="begin"/>
            </w:r>
            <w:r>
              <w:rPr>
                <w:color w:val="000000"/>
                <w:sz w:val="24"/>
              </w:rPr>
              <w:instrText xml:space="preserve">= 5 \* ROMAN</w:instrText>
            </w:r>
            <w:r>
              <w:rPr>
                <w:color w:val="000000"/>
                <w:sz w:val="24"/>
              </w:rPr>
              <w:fldChar w:fldCharType="separate"/>
            </w:r>
            <w:r>
              <w:rPr>
                <w:color w:val="000000"/>
                <w:sz w:val="24"/>
              </w:rPr>
              <w:t>V</w:t>
            </w:r>
            <w:r>
              <w:rPr>
                <w:color w:val="000000"/>
                <w:sz w:val="24"/>
              </w:rPr>
              <w:fldChar w:fldCharType="end"/>
            </w:r>
            <w:r>
              <w:rPr>
                <w:color w:val="000000"/>
                <w:sz w:val="24"/>
              </w:rPr>
              <w:t>类标准</w:t>
            </w:r>
            <w:r>
              <w:rPr>
                <w:rFonts w:hint="eastAsia"/>
                <w:sz w:val="24"/>
              </w:rPr>
              <w:t>，</w:t>
            </w:r>
            <w:r>
              <w:rPr>
                <w:rFonts w:hint="eastAsia" w:eastAsiaTheme="minorEastAsia"/>
                <w:sz w:val="24"/>
              </w:rPr>
              <w:t>其不达标原因主要是因为共产主义渠沿途接纳了大量的工业、生活废水和农灌回水所致</w:t>
            </w:r>
            <w:r>
              <w:rPr>
                <w:rFonts w:eastAsiaTheme="minorEastAsia"/>
                <w:sz w:val="24"/>
              </w:rPr>
              <w:t>。</w:t>
            </w:r>
            <w:r>
              <w:rPr>
                <w:color w:val="000000"/>
                <w:sz w:val="24"/>
              </w:rPr>
              <w:t>目前新乡市正在推进实施《2016年新乡市碧水工程实施方案》（新政办（2016）55号）、《新乡市碧水工程行动计划（水污染防治工作方案）》（新政文（2016）122号）、《新乡市人民政府关于打赢水污染防治攻坚战的意见》（新政文[2017]28号）、《新乡市卫河流域水污染防治攻坚战实施方案等11个专项方案》（新环攻坚办（2017）20号）和《新乡市污水处理厂及配套管网建设与城市黑臭水体整治实施方案》（新环攻坚办（2017）13号），将继续改善新乡市水环境质量。</w:t>
            </w:r>
          </w:p>
          <w:p>
            <w:pPr>
              <w:adjustRightInd w:val="0"/>
              <w:snapToGrid w:val="0"/>
              <w:spacing w:line="440" w:lineRule="exact"/>
              <w:ind w:firstLine="482" w:firstLineChars="200"/>
              <w:rPr>
                <w:b/>
                <w:color w:val="000000"/>
                <w:sz w:val="24"/>
                <w:szCs w:val="20"/>
              </w:rPr>
            </w:pPr>
            <w:r>
              <w:rPr>
                <w:b/>
                <w:color w:val="000000"/>
                <w:sz w:val="24"/>
              </w:rPr>
              <w:t>3、</w:t>
            </w:r>
            <w:r>
              <w:rPr>
                <w:b/>
                <w:color w:val="000000"/>
                <w:sz w:val="24"/>
                <w:szCs w:val="20"/>
              </w:rPr>
              <w:t>声环境质量现状</w:t>
            </w:r>
          </w:p>
          <w:p>
            <w:pPr>
              <w:pStyle w:val="64"/>
              <w:spacing w:line="520" w:lineRule="exact"/>
              <w:ind w:firstLine="480" w:firstLineChars="200"/>
              <w:rPr>
                <w:rFonts w:ascii="Times New Roman" w:hAnsi="Times New Roman"/>
                <w:color w:val="000000"/>
                <w:sz w:val="24"/>
                <w:szCs w:val="24"/>
              </w:rPr>
            </w:pPr>
            <w:r>
              <w:rPr>
                <w:rFonts w:ascii="Times New Roman" w:hAnsi="Times New Roman"/>
                <w:sz w:val="24"/>
                <w:szCs w:val="24"/>
              </w:rPr>
              <w:t>本项目评价区域声环境现状较好，根据现场监测数据，区域昼间噪声为</w:t>
            </w:r>
            <w:r>
              <w:rPr>
                <w:rFonts w:hint="eastAsia" w:ascii="Times New Roman" w:hAnsi="Times New Roman"/>
                <w:sz w:val="24"/>
                <w:szCs w:val="24"/>
              </w:rPr>
              <w:t>49.6</w:t>
            </w:r>
            <w:r>
              <w:rPr>
                <w:rFonts w:ascii="Times New Roman" w:hAnsi="Times New Roman"/>
                <w:sz w:val="24"/>
                <w:szCs w:val="24"/>
              </w:rPr>
              <w:t>~</w:t>
            </w:r>
            <w:r>
              <w:rPr>
                <w:rFonts w:hint="eastAsia" w:ascii="Times New Roman" w:hAnsi="Times New Roman"/>
                <w:sz w:val="24"/>
                <w:szCs w:val="24"/>
              </w:rPr>
              <w:t>52.7</w:t>
            </w:r>
            <w:r>
              <w:rPr>
                <w:rFonts w:ascii="Times New Roman" w:hAnsi="Times New Roman"/>
                <w:sz w:val="24"/>
                <w:szCs w:val="24"/>
              </w:rPr>
              <w:t>dB，夜间噪声</w:t>
            </w:r>
            <w:r>
              <w:rPr>
                <w:rFonts w:hint="eastAsia" w:ascii="Times New Roman" w:hAnsi="Times New Roman"/>
                <w:sz w:val="24"/>
                <w:szCs w:val="24"/>
              </w:rPr>
              <w:t>4</w:t>
            </w:r>
            <w:r>
              <w:rPr>
                <w:rFonts w:ascii="Times New Roman" w:hAnsi="Times New Roman"/>
                <w:sz w:val="24"/>
                <w:szCs w:val="24"/>
              </w:rPr>
              <w:t>0.4~</w:t>
            </w:r>
            <w:r>
              <w:rPr>
                <w:rFonts w:hint="eastAsia" w:ascii="Times New Roman" w:hAnsi="Times New Roman"/>
                <w:sz w:val="24"/>
                <w:szCs w:val="24"/>
              </w:rPr>
              <w:t>4</w:t>
            </w:r>
            <w:r>
              <w:rPr>
                <w:rFonts w:ascii="Times New Roman" w:hAnsi="Times New Roman"/>
                <w:sz w:val="24"/>
                <w:szCs w:val="24"/>
              </w:rPr>
              <w:t>5.6dB，能达到《声环境质量标准》（GB3096-2008）2类标准要求。</w:t>
            </w:r>
          </w:p>
          <w:p>
            <w:pPr>
              <w:adjustRightInd w:val="0"/>
              <w:snapToGrid w:val="0"/>
              <w:spacing w:line="440" w:lineRule="exact"/>
              <w:ind w:firstLine="482" w:firstLineChars="200"/>
              <w:jc w:val="left"/>
              <w:rPr>
                <w:b/>
                <w:color w:val="000000"/>
                <w:sz w:val="24"/>
              </w:rPr>
            </w:pPr>
            <w:r>
              <w:rPr>
                <w:b/>
                <w:color w:val="000000"/>
                <w:sz w:val="24"/>
              </w:rPr>
              <w:t>4、生态环境现状</w:t>
            </w:r>
          </w:p>
          <w:p>
            <w:pPr>
              <w:spacing w:line="460" w:lineRule="exact"/>
              <w:ind w:firstLine="480" w:firstLineChars="200"/>
              <w:rPr>
                <w:color w:val="000000"/>
                <w:sz w:val="24"/>
              </w:rPr>
            </w:pPr>
            <w:r>
              <w:rPr>
                <w:color w:val="000000"/>
                <w:sz w:val="24"/>
              </w:rPr>
              <w:t>由于人为的开发，评价区域生态环境已遭到破坏，目前区域内主要以人工生态环境为主，主要植被为人工栽培的树木、花草等，但覆盖率较低。</w:t>
            </w:r>
          </w:p>
          <w:p>
            <w:pPr>
              <w:spacing w:line="460" w:lineRule="exact"/>
              <w:ind w:firstLine="480" w:firstLineChars="200"/>
              <w:rPr>
                <w:color w:val="000000"/>
                <w:sz w:val="24"/>
              </w:rPr>
            </w:pPr>
            <w:r>
              <w:rPr>
                <w:color w:val="000000"/>
                <w:sz w:val="24"/>
              </w:rPr>
              <w:t>评价区域内无野生植被、大型野生动物以及受国家保护的动植物种类。</w:t>
            </w:r>
          </w:p>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13315" w:hRule="atLeast"/>
          <w:jc w:val="center"/>
        </w:trPr>
        <w:tc>
          <w:tcPr>
            <w:tcW w:w="9360" w:type="dxa"/>
            <w:tcBorders>
              <w:bottom w:val="single" w:color="auto" w:sz="8" w:space="0"/>
            </w:tcBorders>
          </w:tcPr>
          <w:p>
            <w:pPr>
              <w:adjustRightInd w:val="0"/>
              <w:snapToGrid w:val="0"/>
              <w:spacing w:line="440" w:lineRule="exact"/>
              <w:rPr>
                <w:b/>
                <w:color w:val="000000"/>
                <w:sz w:val="24"/>
                <w:szCs w:val="20"/>
              </w:rPr>
            </w:pPr>
            <w:r>
              <w:rPr>
                <w:b/>
                <w:color w:val="000000"/>
                <w:sz w:val="24"/>
                <w:szCs w:val="20"/>
              </w:rPr>
              <w:t>主要环境保护目标（列出名单及保护级别）：</w:t>
            </w:r>
          </w:p>
          <w:p>
            <w:pPr>
              <w:spacing w:line="460" w:lineRule="exact"/>
              <w:ind w:firstLine="480" w:firstLineChars="200"/>
              <w:rPr>
                <w:color w:val="000000"/>
                <w:sz w:val="24"/>
              </w:rPr>
            </w:pPr>
            <w:r>
              <w:rPr>
                <w:color w:val="000000"/>
                <w:sz w:val="24"/>
              </w:rPr>
              <w:t>本项目周围环境保护目标和保护级别见下表。</w:t>
            </w:r>
          </w:p>
          <w:p>
            <w:pPr>
              <w:adjustRightInd w:val="0"/>
              <w:snapToGrid w:val="0"/>
              <w:spacing w:line="440" w:lineRule="exact"/>
              <w:ind w:firstLine="480" w:firstLineChars="200"/>
              <w:textAlignment w:val="baseline"/>
              <w:rPr>
                <w:rFonts w:eastAsia="黑体"/>
                <w:color w:val="000000"/>
                <w:sz w:val="24"/>
              </w:rPr>
            </w:pPr>
            <w:bookmarkStart w:id="0" w:name="_Ref306975603"/>
            <w:r>
              <w:rPr>
                <w:rFonts w:eastAsia="黑体"/>
                <w:color w:val="000000"/>
                <w:sz w:val="24"/>
              </w:rPr>
              <w:t>表</w:t>
            </w:r>
            <w:bookmarkEnd w:id="0"/>
            <w:r>
              <w:rPr>
                <w:rFonts w:eastAsia="黑体"/>
                <w:color w:val="000000"/>
                <w:sz w:val="24"/>
              </w:rPr>
              <w:t>1</w:t>
            </w:r>
            <w:r>
              <w:rPr>
                <w:rFonts w:hint="eastAsia" w:eastAsia="黑体"/>
                <w:color w:val="000000"/>
                <w:sz w:val="24"/>
              </w:rPr>
              <w:t>2</w:t>
            </w:r>
            <w:r>
              <w:rPr>
                <w:rFonts w:eastAsia="黑体"/>
                <w:color w:val="000000"/>
                <w:sz w:val="24"/>
              </w:rPr>
              <w:t xml:space="preserve">                      项目四周环境敏感点</w:t>
            </w:r>
          </w:p>
          <w:tbl>
            <w:tblPr>
              <w:tblStyle w:val="30"/>
              <w:tblW w:w="914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1968"/>
              <w:gridCol w:w="1560"/>
              <w:gridCol w:w="1543"/>
              <w:gridCol w:w="291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0" w:type="dxa"/>
                  <w:vAlign w:val="center"/>
                </w:tcPr>
                <w:p>
                  <w:pPr>
                    <w:jc w:val="center"/>
                    <w:rPr>
                      <w:b/>
                      <w:color w:val="000000"/>
                      <w:szCs w:val="20"/>
                    </w:rPr>
                  </w:pPr>
                  <w:r>
                    <w:rPr>
                      <w:b/>
                      <w:color w:val="000000"/>
                      <w:szCs w:val="20"/>
                    </w:rPr>
                    <w:t>保护类别</w:t>
                  </w:r>
                </w:p>
              </w:tc>
              <w:tc>
                <w:tcPr>
                  <w:tcW w:w="1968" w:type="dxa"/>
                  <w:vAlign w:val="center"/>
                </w:tcPr>
                <w:p>
                  <w:pPr>
                    <w:jc w:val="center"/>
                    <w:rPr>
                      <w:b/>
                      <w:color w:val="000000"/>
                      <w:szCs w:val="20"/>
                    </w:rPr>
                  </w:pPr>
                  <w:r>
                    <w:rPr>
                      <w:b/>
                      <w:color w:val="000000"/>
                      <w:szCs w:val="20"/>
                    </w:rPr>
                    <w:t>敏感点名称</w:t>
                  </w:r>
                </w:p>
              </w:tc>
              <w:tc>
                <w:tcPr>
                  <w:tcW w:w="1560" w:type="dxa"/>
                  <w:vAlign w:val="center"/>
                </w:tcPr>
                <w:p>
                  <w:pPr>
                    <w:jc w:val="center"/>
                    <w:rPr>
                      <w:b/>
                      <w:color w:val="000000"/>
                      <w:szCs w:val="20"/>
                    </w:rPr>
                  </w:pPr>
                  <w:r>
                    <w:rPr>
                      <w:b/>
                      <w:color w:val="000000"/>
                      <w:szCs w:val="20"/>
                    </w:rPr>
                    <w:t>方 向</w:t>
                  </w:r>
                </w:p>
              </w:tc>
              <w:tc>
                <w:tcPr>
                  <w:tcW w:w="1543" w:type="dxa"/>
                  <w:vAlign w:val="center"/>
                </w:tcPr>
                <w:p>
                  <w:pPr>
                    <w:jc w:val="center"/>
                    <w:rPr>
                      <w:b/>
                      <w:color w:val="000000"/>
                      <w:szCs w:val="20"/>
                    </w:rPr>
                  </w:pPr>
                  <w:r>
                    <w:rPr>
                      <w:b/>
                      <w:color w:val="000000"/>
                      <w:szCs w:val="20"/>
                    </w:rPr>
                    <w:t>距离（m）</w:t>
                  </w:r>
                </w:p>
              </w:tc>
              <w:tc>
                <w:tcPr>
                  <w:tcW w:w="2913" w:type="dxa"/>
                  <w:vAlign w:val="center"/>
                </w:tcPr>
                <w:p>
                  <w:pPr>
                    <w:jc w:val="center"/>
                    <w:rPr>
                      <w:b/>
                      <w:color w:val="000000"/>
                      <w:szCs w:val="20"/>
                    </w:rPr>
                  </w:pPr>
                  <w:r>
                    <w:rPr>
                      <w:b/>
                      <w:color w:val="000000"/>
                      <w:szCs w:val="20"/>
                    </w:rPr>
                    <w:t>保护级别</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1160" w:type="dxa"/>
                  <w:vAlign w:val="center"/>
                </w:tcPr>
                <w:p>
                  <w:pPr>
                    <w:jc w:val="center"/>
                    <w:rPr>
                      <w:color w:val="000000"/>
                      <w:szCs w:val="20"/>
                    </w:rPr>
                  </w:pPr>
                  <w:r>
                    <w:rPr>
                      <w:color w:val="000000"/>
                      <w:szCs w:val="20"/>
                    </w:rPr>
                    <w:t>大气环境</w:t>
                  </w:r>
                </w:p>
                <w:p>
                  <w:pPr>
                    <w:jc w:val="center"/>
                    <w:rPr>
                      <w:color w:val="000000"/>
                      <w:szCs w:val="20"/>
                    </w:rPr>
                  </w:pPr>
                  <w:r>
                    <w:rPr>
                      <w:color w:val="000000"/>
                      <w:szCs w:val="20"/>
                    </w:rPr>
                    <w:t>噪声</w:t>
                  </w:r>
                </w:p>
              </w:tc>
              <w:tc>
                <w:tcPr>
                  <w:tcW w:w="1968" w:type="dxa"/>
                  <w:vAlign w:val="center"/>
                </w:tcPr>
                <w:p>
                  <w:pPr>
                    <w:jc w:val="center"/>
                    <w:rPr>
                      <w:color w:val="000000"/>
                      <w:szCs w:val="20"/>
                    </w:rPr>
                  </w:pPr>
                  <w:r>
                    <w:rPr>
                      <w:color w:val="000000"/>
                      <w:szCs w:val="20"/>
                    </w:rPr>
                    <w:t>东鲁堡村</w:t>
                  </w:r>
                </w:p>
              </w:tc>
              <w:tc>
                <w:tcPr>
                  <w:tcW w:w="1560" w:type="dxa"/>
                  <w:vAlign w:val="center"/>
                </w:tcPr>
                <w:p>
                  <w:pPr>
                    <w:jc w:val="center"/>
                    <w:rPr>
                      <w:color w:val="000000"/>
                      <w:szCs w:val="20"/>
                    </w:rPr>
                  </w:pPr>
                  <w:r>
                    <w:rPr>
                      <w:color w:val="000000"/>
                      <w:szCs w:val="20"/>
                    </w:rPr>
                    <w:t>南</w:t>
                  </w:r>
                </w:p>
              </w:tc>
              <w:tc>
                <w:tcPr>
                  <w:tcW w:w="1543" w:type="dxa"/>
                  <w:vAlign w:val="center"/>
                </w:tcPr>
                <w:p>
                  <w:pPr>
                    <w:jc w:val="center"/>
                    <w:rPr>
                      <w:color w:val="000000"/>
                      <w:szCs w:val="20"/>
                    </w:rPr>
                  </w:pPr>
                  <w:r>
                    <w:rPr>
                      <w:rFonts w:hint="eastAsia"/>
                      <w:color w:val="000000"/>
                      <w:szCs w:val="20"/>
                    </w:rPr>
                    <w:t>395</w:t>
                  </w:r>
                </w:p>
              </w:tc>
              <w:tc>
                <w:tcPr>
                  <w:tcW w:w="2913" w:type="dxa"/>
                  <w:vAlign w:val="center"/>
                </w:tcPr>
                <w:p>
                  <w:pPr>
                    <w:jc w:val="center"/>
                    <w:rPr>
                      <w:color w:val="000000"/>
                      <w:szCs w:val="20"/>
                    </w:rPr>
                  </w:pPr>
                  <w:r>
                    <w:rPr>
                      <w:color w:val="000000"/>
                      <w:szCs w:val="20"/>
                    </w:rPr>
                    <w:t>《环境空气质量标准》（GB3095-2012）二级</w:t>
                  </w:r>
                </w:p>
                <w:p>
                  <w:pPr>
                    <w:jc w:val="center"/>
                    <w:rPr>
                      <w:color w:val="000000"/>
                      <w:szCs w:val="20"/>
                    </w:rPr>
                  </w:pPr>
                  <w:r>
                    <w:rPr>
                      <w:color w:val="000000"/>
                      <w:szCs w:val="20"/>
                    </w:rPr>
                    <w:t>《声环境质量标准》（GB3096-2008）2类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60" w:type="dxa"/>
                  <w:vAlign w:val="center"/>
                </w:tcPr>
                <w:p>
                  <w:pPr>
                    <w:jc w:val="center"/>
                    <w:rPr>
                      <w:color w:val="000000"/>
                      <w:szCs w:val="20"/>
                    </w:rPr>
                  </w:pPr>
                  <w:r>
                    <w:rPr>
                      <w:color w:val="000000"/>
                      <w:szCs w:val="20"/>
                    </w:rPr>
                    <w:t>地下水</w:t>
                  </w:r>
                </w:p>
              </w:tc>
              <w:tc>
                <w:tcPr>
                  <w:tcW w:w="1968" w:type="dxa"/>
                  <w:vAlign w:val="center"/>
                </w:tcPr>
                <w:p>
                  <w:pPr>
                    <w:jc w:val="center"/>
                    <w:rPr>
                      <w:color w:val="000000"/>
                      <w:szCs w:val="20"/>
                    </w:rPr>
                  </w:pPr>
                  <w:r>
                    <w:rPr>
                      <w:bCs/>
                      <w:color w:val="000000"/>
                      <w:szCs w:val="20"/>
                    </w:rPr>
                    <w:t>凤泉水厂地下水饮用水源保护区(共8眼井)</w:t>
                  </w:r>
                </w:p>
              </w:tc>
              <w:tc>
                <w:tcPr>
                  <w:tcW w:w="1560" w:type="dxa"/>
                  <w:vAlign w:val="center"/>
                </w:tcPr>
                <w:p>
                  <w:pPr>
                    <w:jc w:val="center"/>
                    <w:rPr>
                      <w:color w:val="000000"/>
                      <w:szCs w:val="20"/>
                    </w:rPr>
                  </w:pPr>
                  <w:r>
                    <w:rPr>
                      <w:color w:val="000000"/>
                      <w:szCs w:val="20"/>
                    </w:rPr>
                    <w:t>北</w:t>
                  </w:r>
                </w:p>
              </w:tc>
              <w:tc>
                <w:tcPr>
                  <w:tcW w:w="1543" w:type="dxa"/>
                  <w:vAlign w:val="center"/>
                </w:tcPr>
                <w:p>
                  <w:pPr>
                    <w:jc w:val="center"/>
                    <w:rPr>
                      <w:color w:val="000000"/>
                      <w:szCs w:val="20"/>
                    </w:rPr>
                  </w:pPr>
                  <w:r>
                    <w:rPr>
                      <w:rFonts w:hint="eastAsia"/>
                      <w:color w:val="000000"/>
                      <w:szCs w:val="20"/>
                    </w:rPr>
                    <w:t>4200</w:t>
                  </w:r>
                </w:p>
              </w:tc>
              <w:tc>
                <w:tcPr>
                  <w:tcW w:w="2913" w:type="dxa"/>
                  <w:vAlign w:val="center"/>
                </w:tcPr>
                <w:p>
                  <w:pPr>
                    <w:jc w:val="center"/>
                    <w:rPr>
                      <w:color w:val="000000"/>
                      <w:szCs w:val="20"/>
                    </w:rPr>
                  </w:pPr>
                  <w:r>
                    <w:rPr>
                      <w:color w:val="000000"/>
                      <w:szCs w:val="20"/>
                    </w:rPr>
                    <w:t>地下水源地二级保护区</w:t>
                  </w:r>
                </w:p>
              </w:tc>
            </w:tr>
          </w:tbl>
          <w:p>
            <w:pPr>
              <w:jc w:val="left"/>
              <w:rPr>
                <w:b/>
                <w:color w:val="000000"/>
                <w:sz w:val="24"/>
              </w:rPr>
            </w:pPr>
          </w:p>
          <w:p>
            <w:pPr>
              <w:pStyle w:val="2"/>
              <w:spacing w:line="440" w:lineRule="exact"/>
              <w:ind w:firstLine="480"/>
              <w:rPr>
                <w:sz w:val="24"/>
              </w:rPr>
            </w:pPr>
          </w:p>
          <w:p>
            <w:pPr>
              <w:spacing w:line="440" w:lineRule="exact"/>
              <w:jc w:val="left"/>
              <w:rPr>
                <w:b/>
                <w:color w:val="000000"/>
                <w:sz w:val="24"/>
              </w:rPr>
            </w:pPr>
          </w:p>
          <w:p>
            <w:pPr>
              <w:pStyle w:val="4"/>
              <w:spacing w:before="0" w:after="0" w:line="440" w:lineRule="exact"/>
              <w:ind w:left="0"/>
              <w:rPr>
                <w:rFonts w:eastAsia="宋体"/>
              </w:rPr>
            </w:pPr>
          </w:p>
          <w:p>
            <w:pPr>
              <w:spacing w:line="440" w:lineRule="exact"/>
              <w:jc w:val="left"/>
            </w:pPr>
          </w:p>
          <w:p>
            <w:pPr>
              <w:pStyle w:val="4"/>
              <w:spacing w:before="0" w:after="0" w:line="440" w:lineRule="exact"/>
              <w:ind w:left="0"/>
              <w:rPr>
                <w:rFonts w:eastAsia="宋体"/>
              </w:rPr>
            </w:pPr>
          </w:p>
          <w:p>
            <w:pPr>
              <w:spacing w:line="440" w:lineRule="exact"/>
            </w:pPr>
          </w:p>
          <w:p>
            <w:pPr>
              <w:spacing w:line="440" w:lineRule="exact"/>
            </w:pPr>
          </w:p>
          <w:p>
            <w:pPr>
              <w:pStyle w:val="4"/>
              <w:spacing w:line="440" w:lineRule="exact"/>
              <w:rPr>
                <w:rFonts w:eastAsia="宋体"/>
              </w:rPr>
            </w:pPr>
          </w:p>
          <w:p>
            <w:pPr>
              <w:spacing w:line="440" w:lineRule="exact"/>
            </w:pPr>
          </w:p>
          <w:p>
            <w:pPr>
              <w:pStyle w:val="4"/>
              <w:spacing w:line="440" w:lineRule="exact"/>
              <w:rPr>
                <w:rFonts w:eastAsia="宋体"/>
              </w:rPr>
            </w:pPr>
          </w:p>
          <w:p>
            <w:pPr>
              <w:pStyle w:val="4"/>
              <w:ind w:left="0" w:firstLine="0"/>
              <w:jc w:val="both"/>
              <w:rPr>
                <w:rFonts w:eastAsia="宋体"/>
              </w:rPr>
            </w:pPr>
          </w:p>
        </w:tc>
      </w:tr>
    </w:tbl>
    <w:p>
      <w:pPr>
        <w:jc w:val="left"/>
        <w:rPr>
          <w:b/>
        </w:rPr>
      </w:pPr>
      <w:r>
        <w:rPr>
          <w:b/>
        </w:rPr>
        <w:br w:type="page"/>
      </w:r>
      <w:r>
        <w:rPr>
          <w:b/>
          <w:sz w:val="28"/>
        </w:rPr>
        <w:t>评价适用标准</w:t>
      </w:r>
    </w:p>
    <w:tbl>
      <w:tblPr>
        <w:tblStyle w:val="30"/>
        <w:tblW w:w="9378" w:type="dxa"/>
        <w:jc w:val="center"/>
        <w:tblInd w:w="-8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649"/>
        <w:gridCol w:w="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681" w:hRule="atLeast"/>
          <w:jc w:val="center"/>
        </w:trPr>
        <w:tc>
          <w:tcPr>
            <w:tcW w:w="721" w:type="dxa"/>
            <w:tcBorders>
              <w:top w:val="single" w:color="auto" w:sz="8" w:space="0"/>
            </w:tcBorders>
            <w:vAlign w:val="center"/>
          </w:tcPr>
          <w:p>
            <w:pPr>
              <w:jc w:val="center"/>
              <w:rPr>
                <w:b/>
                <w:sz w:val="24"/>
              </w:rPr>
            </w:pPr>
            <w:r>
              <w:rPr>
                <w:b/>
                <w:sz w:val="24"/>
              </w:rPr>
              <w:t>环</w:t>
            </w:r>
          </w:p>
          <w:p>
            <w:pPr>
              <w:jc w:val="center"/>
              <w:rPr>
                <w:b/>
                <w:sz w:val="24"/>
              </w:rPr>
            </w:pPr>
            <w:r>
              <w:rPr>
                <w:b/>
                <w:sz w:val="24"/>
              </w:rPr>
              <w:t>境</w:t>
            </w:r>
          </w:p>
          <w:p>
            <w:pPr>
              <w:jc w:val="center"/>
              <w:rPr>
                <w:b/>
                <w:sz w:val="24"/>
              </w:rPr>
            </w:pPr>
            <w:r>
              <w:rPr>
                <w:b/>
                <w:sz w:val="24"/>
              </w:rPr>
              <w:t>质</w:t>
            </w:r>
          </w:p>
          <w:p>
            <w:pPr>
              <w:jc w:val="center"/>
              <w:rPr>
                <w:b/>
                <w:sz w:val="24"/>
              </w:rPr>
            </w:pPr>
            <w:r>
              <w:rPr>
                <w:b/>
                <w:sz w:val="24"/>
              </w:rPr>
              <w:t>量</w:t>
            </w:r>
          </w:p>
          <w:p>
            <w:pPr>
              <w:jc w:val="center"/>
              <w:rPr>
                <w:b/>
                <w:sz w:val="24"/>
              </w:rPr>
            </w:pPr>
            <w:r>
              <w:rPr>
                <w:b/>
                <w:sz w:val="24"/>
              </w:rPr>
              <w:t>标</w:t>
            </w:r>
          </w:p>
          <w:p>
            <w:pPr>
              <w:jc w:val="center"/>
              <w:rPr>
                <w:b/>
              </w:rPr>
            </w:pPr>
            <w:r>
              <w:rPr>
                <w:b/>
                <w:sz w:val="24"/>
              </w:rPr>
              <w:t>准</w:t>
            </w:r>
          </w:p>
        </w:tc>
        <w:tc>
          <w:tcPr>
            <w:tcW w:w="8657" w:type="dxa"/>
            <w:gridSpan w:val="2"/>
            <w:tcBorders>
              <w:top w:val="single" w:color="auto" w:sz="8" w:space="0"/>
            </w:tcBorders>
          </w:tcPr>
          <w:p>
            <w:pPr>
              <w:spacing w:line="440" w:lineRule="exact"/>
              <w:ind w:firstLine="480" w:firstLineChars="200"/>
              <w:rPr>
                <w:rFonts w:ascii="黑体" w:hAnsi="黑体" w:eastAsia="黑体"/>
                <w:bCs/>
                <w:sz w:val="24"/>
              </w:rPr>
            </w:pPr>
            <w:r>
              <w:rPr>
                <w:rFonts w:ascii="黑体" w:hAnsi="黑体" w:eastAsia="黑体"/>
                <w:bCs/>
                <w:sz w:val="24"/>
              </w:rPr>
              <w:t>表1</w:t>
            </w:r>
            <w:r>
              <w:rPr>
                <w:rFonts w:hint="eastAsia" w:ascii="黑体" w:hAnsi="黑体" w:eastAsia="黑体"/>
                <w:bCs/>
                <w:sz w:val="24"/>
              </w:rPr>
              <w:t>3</w:t>
            </w:r>
            <w:r>
              <w:rPr>
                <w:rFonts w:ascii="黑体" w:hAnsi="黑体" w:eastAsia="黑体"/>
                <w:bCs/>
                <w:sz w:val="24"/>
              </w:rPr>
              <w:t xml:space="preserve">                  环境质量标准</w:t>
            </w:r>
          </w:p>
          <w:tbl>
            <w:tblPr>
              <w:tblStyle w:val="30"/>
              <w:tblW w:w="8441"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863"/>
              <w:gridCol w:w="1558"/>
              <w:gridCol w:w="1412"/>
              <w:gridCol w:w="145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tcBorders>
                    <w:top w:val="single" w:color="auto" w:sz="8" w:space="0"/>
                    <w:bottom w:val="single" w:color="auto" w:sz="4" w:space="0"/>
                    <w:right w:val="single" w:color="auto" w:sz="4" w:space="0"/>
                  </w:tcBorders>
                  <w:vAlign w:val="center"/>
                </w:tcPr>
                <w:p>
                  <w:pPr>
                    <w:jc w:val="center"/>
                    <w:rPr>
                      <w:b/>
                      <w:bCs/>
                      <w:szCs w:val="21"/>
                    </w:rPr>
                  </w:pPr>
                  <w:r>
                    <w:rPr>
                      <w:b/>
                      <w:bCs/>
                      <w:szCs w:val="21"/>
                    </w:rPr>
                    <w:t>环境要素</w:t>
                  </w:r>
                </w:p>
              </w:tc>
              <w:tc>
                <w:tcPr>
                  <w:tcW w:w="2863" w:type="dxa"/>
                  <w:tcBorders>
                    <w:top w:val="single" w:color="auto" w:sz="8" w:space="0"/>
                    <w:left w:val="single" w:color="auto" w:sz="4" w:space="0"/>
                    <w:bottom w:val="single" w:color="auto" w:sz="4" w:space="0"/>
                    <w:right w:val="single" w:color="auto" w:sz="4" w:space="0"/>
                  </w:tcBorders>
                  <w:vAlign w:val="center"/>
                </w:tcPr>
                <w:p>
                  <w:pPr>
                    <w:jc w:val="center"/>
                    <w:rPr>
                      <w:b/>
                      <w:bCs/>
                      <w:szCs w:val="21"/>
                    </w:rPr>
                  </w:pPr>
                  <w:r>
                    <w:rPr>
                      <w:b/>
                      <w:bCs/>
                      <w:szCs w:val="21"/>
                    </w:rPr>
                    <w:t>标准名称及级(类)别</w:t>
                  </w:r>
                </w:p>
              </w:tc>
              <w:tc>
                <w:tcPr>
                  <w:tcW w:w="1558" w:type="dxa"/>
                  <w:tcBorders>
                    <w:top w:val="single" w:color="auto" w:sz="8" w:space="0"/>
                    <w:left w:val="single" w:color="auto" w:sz="4" w:space="0"/>
                    <w:bottom w:val="single" w:color="auto" w:sz="4" w:space="0"/>
                    <w:right w:val="single" w:color="auto" w:sz="4" w:space="0"/>
                  </w:tcBorders>
                  <w:vAlign w:val="center"/>
                </w:tcPr>
                <w:p>
                  <w:pPr>
                    <w:jc w:val="center"/>
                    <w:rPr>
                      <w:b/>
                      <w:bCs/>
                      <w:szCs w:val="21"/>
                    </w:rPr>
                  </w:pPr>
                  <w:r>
                    <w:rPr>
                      <w:b/>
                      <w:bCs/>
                      <w:szCs w:val="21"/>
                    </w:rPr>
                    <w:t>项目</w:t>
                  </w:r>
                </w:p>
              </w:tc>
              <w:tc>
                <w:tcPr>
                  <w:tcW w:w="2869" w:type="dxa"/>
                  <w:gridSpan w:val="2"/>
                  <w:tcBorders>
                    <w:top w:val="single" w:color="auto" w:sz="8" w:space="0"/>
                    <w:left w:val="single" w:color="auto" w:sz="4" w:space="0"/>
                    <w:bottom w:val="single" w:color="auto" w:sz="4" w:space="0"/>
                  </w:tcBorders>
                  <w:vAlign w:val="center"/>
                </w:tcPr>
                <w:p>
                  <w:pPr>
                    <w:tabs>
                      <w:tab w:val="left" w:pos="1332"/>
                    </w:tabs>
                    <w:jc w:val="center"/>
                    <w:rPr>
                      <w:b/>
                      <w:bCs/>
                      <w:szCs w:val="21"/>
                    </w:rPr>
                  </w:pPr>
                  <w:r>
                    <w:rPr>
                      <w:b/>
                      <w:bCs/>
                      <w:szCs w:val="21"/>
                    </w:rPr>
                    <w:t>标 准 限 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restart"/>
                  <w:tcBorders>
                    <w:top w:val="single" w:color="auto" w:sz="4" w:space="0"/>
                    <w:right w:val="single" w:color="auto" w:sz="4" w:space="0"/>
                  </w:tcBorders>
                  <w:vAlign w:val="center"/>
                </w:tcPr>
                <w:p>
                  <w:pPr>
                    <w:jc w:val="center"/>
                    <w:rPr>
                      <w:szCs w:val="21"/>
                    </w:rPr>
                  </w:pPr>
                  <w:r>
                    <w:rPr>
                      <w:szCs w:val="21"/>
                    </w:rPr>
                    <w:t>地表水</w:t>
                  </w:r>
                </w:p>
              </w:tc>
              <w:tc>
                <w:tcPr>
                  <w:tcW w:w="2863"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《地表水环境质量标准》（GB3838-2002）Ⅴ类</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pH</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6-9</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COD</w:t>
                  </w:r>
                  <w:r>
                    <w:rPr>
                      <w:szCs w:val="21"/>
                      <w:vertAlign w:val="subscript"/>
                    </w:rPr>
                    <w:t>Cr</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rFonts w:hint="eastAsia"/>
                      <w:szCs w:val="21"/>
                    </w:rPr>
                    <w:t>40</w:t>
                  </w:r>
                  <w:r>
                    <w:rPr>
                      <w:szCs w:val="21"/>
                    </w:rPr>
                    <w:t>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BOD</w:t>
                  </w:r>
                  <w:r>
                    <w:rPr>
                      <w:szCs w:val="21"/>
                      <w:vertAlign w:val="subscript"/>
                    </w:rPr>
                    <w:t>5</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rFonts w:hint="eastAsia"/>
                      <w:szCs w:val="21"/>
                    </w:rPr>
                    <w:t>10</w:t>
                  </w:r>
                  <w:r>
                    <w:rPr>
                      <w:szCs w:val="21"/>
                    </w:rPr>
                    <w:t>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NH</w:t>
                  </w:r>
                  <w:r>
                    <w:rPr>
                      <w:szCs w:val="21"/>
                      <w:vertAlign w:val="subscript"/>
                    </w:rPr>
                    <w:t>3</w:t>
                  </w:r>
                  <w:r>
                    <w:rPr>
                      <w:szCs w:val="21"/>
                    </w:rPr>
                    <w:t>-N</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rFonts w:hint="eastAsia"/>
                      <w:szCs w:val="21"/>
                    </w:rPr>
                    <w:t>2</w:t>
                  </w:r>
                  <w:r>
                    <w:rPr>
                      <w:szCs w:val="21"/>
                    </w:rPr>
                    <w:t>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TP</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0.</w:t>
                  </w:r>
                  <w:r>
                    <w:rPr>
                      <w:rFonts w:hint="eastAsia"/>
                      <w:szCs w:val="21"/>
                    </w:rPr>
                    <w:t xml:space="preserve">4 </w:t>
                  </w:r>
                  <w:r>
                    <w:rPr>
                      <w:szCs w:val="21"/>
                    </w:rPr>
                    <w:t>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bottom w:val="single" w:color="auto" w:sz="4" w:space="0"/>
                    <w:right w:val="single" w:color="auto" w:sz="4" w:space="0"/>
                  </w:tcBorders>
                  <w:vAlign w:val="center"/>
                </w:tcPr>
                <w:p>
                  <w:pPr>
                    <w:jc w:val="center"/>
                    <w:rPr>
                      <w:szCs w:val="21"/>
                    </w:rPr>
                  </w:pPr>
                </w:p>
              </w:tc>
              <w:tc>
                <w:tcPr>
                  <w:tcW w:w="2863" w:type="dxa"/>
                  <w:vMerge w:val="continue"/>
                  <w:tcBorders>
                    <w:left w:val="single" w:color="auto" w:sz="4" w:space="0"/>
                    <w:bottom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TN</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rFonts w:hint="eastAsia"/>
                      <w:szCs w:val="21"/>
                    </w:rPr>
                    <w:t>2.0</w:t>
                  </w:r>
                  <w:r>
                    <w:rPr>
                      <w:szCs w:val="21"/>
                    </w:rPr>
                    <w:t xml:space="preserve"> 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restart"/>
                  <w:tcBorders>
                    <w:top w:val="single" w:color="auto" w:sz="4" w:space="0"/>
                    <w:bottom w:val="single" w:color="auto" w:sz="4" w:space="0"/>
                    <w:right w:val="single" w:color="auto" w:sz="4" w:space="0"/>
                  </w:tcBorders>
                  <w:vAlign w:val="center"/>
                </w:tcPr>
                <w:p>
                  <w:pPr>
                    <w:jc w:val="center"/>
                    <w:rPr>
                      <w:szCs w:val="21"/>
                    </w:rPr>
                  </w:pPr>
                  <w:r>
                    <w:rPr>
                      <w:szCs w:val="21"/>
                    </w:rPr>
                    <w:t>地下水</w:t>
                  </w:r>
                </w:p>
              </w:tc>
              <w:tc>
                <w:tcPr>
                  <w:tcW w:w="2863"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《地下水环境质量标准》（GB/T14848-2017）III类</w:t>
                  </w: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pH（无量纲）</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6.5～8.5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top w:val="single" w:color="auto" w:sz="4" w:space="0"/>
                    <w:bottom w:val="single" w:color="auto" w:sz="4" w:space="0"/>
                    <w:right w:val="single" w:color="auto" w:sz="4" w:space="0"/>
                  </w:tcBorders>
                  <w:vAlign w:val="center"/>
                </w:tcPr>
                <w:p>
                  <w:pPr>
                    <w:jc w:val="center"/>
                    <w:rPr>
                      <w:szCs w:val="21"/>
                    </w:rPr>
                  </w:pPr>
                </w:p>
              </w:tc>
              <w:tc>
                <w:tcPr>
                  <w:tcW w:w="2863"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总硬度</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450mg/L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top w:val="single" w:color="auto" w:sz="4" w:space="0"/>
                    <w:bottom w:val="single" w:color="auto" w:sz="4" w:space="0"/>
                    <w:right w:val="single" w:color="auto" w:sz="4" w:space="0"/>
                  </w:tcBorders>
                  <w:vAlign w:val="center"/>
                </w:tcPr>
                <w:p>
                  <w:pPr>
                    <w:jc w:val="center"/>
                    <w:rPr>
                      <w:szCs w:val="21"/>
                    </w:rPr>
                  </w:pPr>
                </w:p>
              </w:tc>
              <w:tc>
                <w:tcPr>
                  <w:tcW w:w="2863"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耗氧量</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3.0 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top w:val="single" w:color="auto" w:sz="4" w:space="0"/>
                    <w:bottom w:val="single" w:color="auto" w:sz="4" w:space="0"/>
                    <w:right w:val="single" w:color="auto" w:sz="4" w:space="0"/>
                  </w:tcBorders>
                  <w:vAlign w:val="center"/>
                </w:tcPr>
                <w:p>
                  <w:pPr>
                    <w:jc w:val="center"/>
                    <w:rPr>
                      <w:szCs w:val="21"/>
                    </w:rPr>
                  </w:pPr>
                </w:p>
              </w:tc>
              <w:tc>
                <w:tcPr>
                  <w:tcW w:w="2863"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氨氮</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0.5mg/L</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restart"/>
                  <w:tcBorders>
                    <w:top w:val="single" w:color="auto" w:sz="4" w:space="0"/>
                    <w:right w:val="single" w:color="auto" w:sz="4" w:space="0"/>
                  </w:tcBorders>
                  <w:vAlign w:val="center"/>
                </w:tcPr>
                <w:p>
                  <w:pPr>
                    <w:jc w:val="center"/>
                    <w:rPr>
                      <w:szCs w:val="21"/>
                    </w:rPr>
                  </w:pPr>
                  <w:r>
                    <w:rPr>
                      <w:szCs w:val="21"/>
                    </w:rPr>
                    <w:t>环境空气</w:t>
                  </w:r>
                </w:p>
              </w:tc>
              <w:tc>
                <w:tcPr>
                  <w:tcW w:w="2863" w:type="dxa"/>
                  <w:vMerge w:val="restart"/>
                  <w:tcBorders>
                    <w:top w:val="single" w:color="auto" w:sz="4" w:space="0"/>
                    <w:left w:val="single" w:color="auto" w:sz="4" w:space="0"/>
                    <w:right w:val="single" w:color="auto" w:sz="4" w:space="0"/>
                  </w:tcBorders>
                  <w:vAlign w:val="center"/>
                </w:tcPr>
                <w:p>
                  <w:pPr>
                    <w:jc w:val="center"/>
                    <w:rPr>
                      <w:szCs w:val="21"/>
                    </w:rPr>
                  </w:pPr>
                  <w:r>
                    <w:rPr>
                      <w:szCs w:val="21"/>
                    </w:rPr>
                    <w:t>《环境空气质量标准》（GB3095-2012）二级</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PM</w:t>
                  </w:r>
                  <w:r>
                    <w:rPr>
                      <w:szCs w:val="21"/>
                      <w:vertAlign w:val="subscript"/>
                    </w:rPr>
                    <w:t>2.5</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35μg/m</w:t>
                  </w:r>
                  <w:r>
                    <w:rPr>
                      <w:szCs w:val="21"/>
                      <w:vertAlign w:val="superscript"/>
                    </w:rPr>
                    <w:t>3</w:t>
                  </w:r>
                  <w:r>
                    <w:rPr>
                      <w:szCs w:val="21"/>
                    </w:rPr>
                    <w:t>（年平均）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75μg/m</w:t>
                  </w:r>
                  <w:r>
                    <w:rPr>
                      <w:szCs w:val="21"/>
                      <w:vertAlign w:val="superscript"/>
                    </w:rPr>
                    <w:t>3</w:t>
                  </w:r>
                  <w:r>
                    <w:rPr>
                      <w:szCs w:val="21"/>
                    </w:rPr>
                    <w:t>（24小时平均）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PM</w:t>
                  </w:r>
                  <w:r>
                    <w:rPr>
                      <w:szCs w:val="21"/>
                      <w:vertAlign w:val="subscript"/>
                    </w:rPr>
                    <w:t>10</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70μg/m</w:t>
                  </w:r>
                  <w:r>
                    <w:rPr>
                      <w:szCs w:val="21"/>
                      <w:vertAlign w:val="superscript"/>
                    </w:rPr>
                    <w:t>3</w:t>
                  </w:r>
                  <w:r>
                    <w:rPr>
                      <w:szCs w:val="21"/>
                    </w:rPr>
                    <w:t>（年平均）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150μg/m</w:t>
                  </w:r>
                  <w:r>
                    <w:rPr>
                      <w:szCs w:val="21"/>
                      <w:vertAlign w:val="superscript"/>
                    </w:rPr>
                    <w:t>3</w:t>
                  </w:r>
                  <w:r>
                    <w:rPr>
                      <w:szCs w:val="21"/>
                    </w:rPr>
                    <w:t>（24小时平均）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SO</w:t>
                  </w:r>
                  <w:r>
                    <w:rPr>
                      <w:szCs w:val="21"/>
                      <w:vertAlign w:val="subscript"/>
                    </w:rPr>
                    <w:t>2</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60μg/m</w:t>
                  </w:r>
                  <w:r>
                    <w:rPr>
                      <w:szCs w:val="21"/>
                      <w:vertAlign w:val="superscript"/>
                    </w:rPr>
                    <w:t>3</w:t>
                  </w:r>
                  <w:r>
                    <w:rPr>
                      <w:szCs w:val="21"/>
                    </w:rPr>
                    <w:t>（年平均）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500μg/m</w:t>
                  </w:r>
                  <w:r>
                    <w:rPr>
                      <w:szCs w:val="21"/>
                      <w:vertAlign w:val="superscript"/>
                    </w:rPr>
                    <w:t>3</w:t>
                  </w:r>
                  <w:r>
                    <w:rPr>
                      <w:szCs w:val="21"/>
                    </w:rPr>
                    <w:t>（1小时平均）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150μg/m</w:t>
                  </w:r>
                  <w:r>
                    <w:rPr>
                      <w:szCs w:val="21"/>
                      <w:vertAlign w:val="superscript"/>
                    </w:rPr>
                    <w:t>3</w:t>
                  </w:r>
                  <w:r>
                    <w:rPr>
                      <w:szCs w:val="21"/>
                    </w:rPr>
                    <w:t>（24小时平均）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restart"/>
                  <w:tcBorders>
                    <w:top w:val="single" w:color="auto" w:sz="4" w:space="0"/>
                    <w:left w:val="single" w:color="auto" w:sz="4" w:space="0"/>
                    <w:right w:val="single" w:color="auto" w:sz="4" w:space="0"/>
                  </w:tcBorders>
                  <w:vAlign w:val="center"/>
                </w:tcPr>
                <w:p>
                  <w:pPr>
                    <w:jc w:val="center"/>
                    <w:rPr>
                      <w:szCs w:val="21"/>
                    </w:rPr>
                  </w:pPr>
                  <w:r>
                    <w:rPr>
                      <w:szCs w:val="21"/>
                    </w:rPr>
                    <w:t>NO</w:t>
                  </w:r>
                  <w:r>
                    <w:rPr>
                      <w:szCs w:val="21"/>
                      <w:vertAlign w:val="subscript"/>
                    </w:rPr>
                    <w:t>2</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40μg/m</w:t>
                  </w:r>
                  <w:r>
                    <w:rPr>
                      <w:szCs w:val="21"/>
                      <w:vertAlign w:val="superscript"/>
                    </w:rPr>
                    <w:t>3</w:t>
                  </w:r>
                  <w:r>
                    <w:rPr>
                      <w:szCs w:val="21"/>
                    </w:rPr>
                    <w:t>（年平均）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left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200μg/m</w:t>
                  </w:r>
                  <w:r>
                    <w:rPr>
                      <w:szCs w:val="21"/>
                      <w:vertAlign w:val="superscript"/>
                    </w:rPr>
                    <w:t>3</w:t>
                  </w:r>
                  <w:r>
                    <w:rPr>
                      <w:szCs w:val="21"/>
                    </w:rPr>
                    <w:t>（1小时平均）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continue"/>
                  <w:tcBorders>
                    <w:left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80μg/m</w:t>
                  </w:r>
                  <w:r>
                    <w:rPr>
                      <w:szCs w:val="21"/>
                      <w:vertAlign w:val="superscript"/>
                    </w:rPr>
                    <w:t>3</w:t>
                  </w:r>
                  <w:r>
                    <w:rPr>
                      <w:szCs w:val="21"/>
                    </w:rPr>
                    <w:t>（24小时平均）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restart"/>
                  <w:tcBorders>
                    <w:left w:val="single" w:color="auto" w:sz="4" w:space="0"/>
                    <w:right w:val="single" w:color="auto" w:sz="4" w:space="0"/>
                  </w:tcBorders>
                  <w:vAlign w:val="center"/>
                </w:tcPr>
                <w:p>
                  <w:pPr>
                    <w:jc w:val="center"/>
                    <w:rPr>
                      <w:szCs w:val="21"/>
                    </w:rPr>
                  </w:pPr>
                  <w:r>
                    <w:rPr>
                      <w:color w:val="000000"/>
                      <w:szCs w:val="20"/>
                    </w:rPr>
                    <w:t>CO</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4mg/m</w:t>
                  </w:r>
                  <w:r>
                    <w:rPr>
                      <w:szCs w:val="21"/>
                      <w:vertAlign w:val="superscript"/>
                    </w:rPr>
                    <w:t>3</w:t>
                  </w:r>
                  <w:r>
                    <w:rPr>
                      <w:color w:val="000000"/>
                      <w:szCs w:val="20"/>
                    </w:rPr>
                    <w:t>（24小时平均）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 w:hRule="atLeast"/>
                <w:jc w:val="center"/>
              </w:trPr>
              <w:tc>
                <w:tcPr>
                  <w:tcW w:w="1151" w:type="dxa"/>
                  <w:vMerge w:val="continue"/>
                  <w:tcBorders>
                    <w:right w:val="single" w:color="auto" w:sz="4" w:space="0"/>
                  </w:tcBorders>
                  <w:vAlign w:val="center"/>
                </w:tcPr>
                <w:p>
                  <w:pPr>
                    <w:jc w:val="center"/>
                  </w:pPr>
                </w:p>
              </w:tc>
              <w:tc>
                <w:tcPr>
                  <w:tcW w:w="2863" w:type="dxa"/>
                  <w:vMerge w:val="continue"/>
                  <w:tcBorders>
                    <w:left w:val="single" w:color="auto" w:sz="4" w:space="0"/>
                    <w:right w:val="single" w:color="auto" w:sz="4" w:space="0"/>
                  </w:tcBorders>
                  <w:vAlign w:val="center"/>
                </w:tcPr>
                <w:p>
                  <w:pPr>
                    <w:jc w:val="center"/>
                  </w:pPr>
                </w:p>
              </w:tc>
              <w:tc>
                <w:tcPr>
                  <w:tcW w:w="1558" w:type="dxa"/>
                  <w:vMerge w:val="continue"/>
                  <w:tcBorders>
                    <w:left w:val="single" w:color="auto" w:sz="4" w:space="0"/>
                    <w:bottom w:val="single" w:color="auto" w:sz="4" w:space="0"/>
                    <w:right w:val="single" w:color="auto" w:sz="4" w:space="0"/>
                  </w:tcBorders>
                  <w:vAlign w:val="center"/>
                </w:tc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10mg/m</w:t>
                  </w:r>
                  <w:r>
                    <w:rPr>
                      <w:szCs w:val="21"/>
                      <w:vertAlign w:val="superscript"/>
                    </w:rPr>
                    <w:t>3</w:t>
                  </w:r>
                  <w:r>
                    <w:rPr>
                      <w:color w:val="000000"/>
                      <w:szCs w:val="20"/>
                    </w:rPr>
                    <w:t>(1小时平均)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1" w:type="dxa"/>
                  <w:vMerge w:val="continue"/>
                  <w:tcBorders>
                    <w:right w:val="single" w:color="auto" w:sz="4" w:space="0"/>
                  </w:tcBorders>
                  <w:vAlign w:val="center"/>
                </w:tcPr>
                <w:p>
                  <w:pPr>
                    <w:jc w:val="center"/>
                    <w:rPr>
                      <w:szCs w:val="21"/>
                    </w:rPr>
                  </w:pPr>
                </w:p>
              </w:tc>
              <w:tc>
                <w:tcPr>
                  <w:tcW w:w="2863" w:type="dxa"/>
                  <w:vMerge w:val="continue"/>
                  <w:tcBorders>
                    <w:left w:val="single" w:color="auto" w:sz="4" w:space="0"/>
                    <w:right w:val="single" w:color="auto" w:sz="4" w:space="0"/>
                  </w:tcBorders>
                  <w:vAlign w:val="center"/>
                </w:tcPr>
                <w:p>
                  <w:pPr>
                    <w:jc w:val="center"/>
                    <w:rPr>
                      <w:szCs w:val="21"/>
                    </w:rPr>
                  </w:pPr>
                </w:p>
              </w:tc>
              <w:tc>
                <w:tcPr>
                  <w:tcW w:w="1558" w:type="dxa"/>
                  <w:vMerge w:val="restart"/>
                  <w:tcBorders>
                    <w:top w:val="single" w:color="auto" w:sz="4" w:space="0"/>
                    <w:left w:val="single" w:color="auto" w:sz="4" w:space="0"/>
                    <w:right w:val="single" w:color="auto" w:sz="4" w:space="0"/>
                  </w:tcBorders>
                  <w:vAlign w:val="center"/>
                </w:tcPr>
                <w:p>
                  <w:pPr>
                    <w:jc w:val="center"/>
                    <w:rPr>
                      <w:szCs w:val="21"/>
                    </w:rPr>
                  </w:pPr>
                  <w:r>
                    <w:rPr>
                      <w:szCs w:val="21"/>
                    </w:rPr>
                    <w:t>O</w:t>
                  </w:r>
                  <w:r>
                    <w:rPr>
                      <w:szCs w:val="21"/>
                      <w:vertAlign w:val="subscript"/>
                    </w:rPr>
                    <w:t>3</w:t>
                  </w: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160μg/m</w:t>
                  </w:r>
                  <w:r>
                    <w:rPr>
                      <w:szCs w:val="21"/>
                      <w:vertAlign w:val="superscript"/>
                    </w:rPr>
                    <w:t>3</w:t>
                  </w:r>
                  <w:r>
                    <w:rPr>
                      <w:szCs w:val="21"/>
                    </w:rPr>
                    <w:t>（8小时平均）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 w:hRule="atLeast"/>
                <w:jc w:val="center"/>
              </w:trPr>
              <w:tc>
                <w:tcPr>
                  <w:tcW w:w="1151" w:type="dxa"/>
                  <w:vMerge w:val="continue"/>
                  <w:tcBorders>
                    <w:bottom w:val="single" w:color="auto" w:sz="4" w:space="0"/>
                    <w:right w:val="single" w:color="auto" w:sz="4" w:space="0"/>
                  </w:tcBorders>
                  <w:vAlign w:val="center"/>
                </w:tcPr>
                <w:p>
                  <w:pPr>
                    <w:jc w:val="center"/>
                    <w:rPr>
                      <w:szCs w:val="21"/>
                    </w:rPr>
                  </w:pPr>
                </w:p>
              </w:tc>
              <w:tc>
                <w:tcPr>
                  <w:tcW w:w="2863" w:type="dxa"/>
                  <w:vMerge w:val="continue"/>
                  <w:tcBorders>
                    <w:left w:val="single" w:color="auto" w:sz="4" w:space="0"/>
                    <w:bottom w:val="single" w:color="auto" w:sz="4" w:space="0"/>
                    <w:right w:val="single" w:color="auto" w:sz="4" w:space="0"/>
                  </w:tcBorders>
                  <w:vAlign w:val="center"/>
                </w:tcPr>
                <w:p>
                  <w:pPr>
                    <w:jc w:val="center"/>
                    <w:rPr>
                      <w:szCs w:val="21"/>
                    </w:rPr>
                  </w:pPr>
                </w:p>
              </w:tc>
              <w:tc>
                <w:tcPr>
                  <w:tcW w:w="1558" w:type="dxa"/>
                  <w:vMerge w:val="continue"/>
                  <w:tcBorders>
                    <w:left w:val="single" w:color="auto" w:sz="4" w:space="0"/>
                    <w:bottom w:val="single" w:color="auto" w:sz="4" w:space="0"/>
                    <w:right w:val="single" w:color="auto" w:sz="4" w:space="0"/>
                  </w:tcBorders>
                  <w:vAlign w:val="center"/>
                </w:tcPr>
                <w:p>
                  <w:pPr>
                    <w:jc w:val="center"/>
                    <w:rPr>
                      <w:szCs w:val="21"/>
                    </w:rPr>
                  </w:pPr>
                </w:p>
              </w:tc>
              <w:tc>
                <w:tcPr>
                  <w:tcW w:w="2869" w:type="dxa"/>
                  <w:gridSpan w:val="2"/>
                  <w:tcBorders>
                    <w:top w:val="single" w:color="auto" w:sz="4" w:space="0"/>
                    <w:left w:val="single" w:color="auto" w:sz="4" w:space="0"/>
                    <w:bottom w:val="single" w:color="auto" w:sz="4" w:space="0"/>
                  </w:tcBorders>
                  <w:vAlign w:val="center"/>
                </w:tcPr>
                <w:p>
                  <w:pPr>
                    <w:jc w:val="center"/>
                    <w:rPr>
                      <w:szCs w:val="21"/>
                    </w:rPr>
                  </w:pPr>
                  <w:r>
                    <w:rPr>
                      <w:szCs w:val="21"/>
                    </w:rPr>
                    <w:t>200μg/m</w:t>
                  </w:r>
                  <w:r>
                    <w:rPr>
                      <w:szCs w:val="21"/>
                      <w:vertAlign w:val="superscript"/>
                    </w:rPr>
                    <w:t>3</w:t>
                  </w:r>
                  <w:r>
                    <w:rPr>
                      <w:szCs w:val="21"/>
                    </w:rPr>
                    <w:t>（1小时平均）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restart"/>
                  <w:tcBorders>
                    <w:top w:val="single" w:color="auto" w:sz="4" w:space="0"/>
                    <w:bottom w:val="single" w:color="auto" w:sz="4" w:space="0"/>
                    <w:right w:val="single" w:color="auto" w:sz="4" w:space="0"/>
                  </w:tcBorders>
                  <w:vAlign w:val="center"/>
                </w:tcPr>
                <w:p>
                  <w:pPr>
                    <w:jc w:val="center"/>
                    <w:rPr>
                      <w:szCs w:val="21"/>
                    </w:rPr>
                  </w:pPr>
                  <w:r>
                    <w:rPr>
                      <w:szCs w:val="21"/>
                    </w:rPr>
                    <w:t>声环境</w:t>
                  </w:r>
                </w:p>
              </w:tc>
              <w:tc>
                <w:tcPr>
                  <w:tcW w:w="2863"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《声环境质量标准》</w:t>
                  </w:r>
                </w:p>
                <w:p>
                  <w:pPr>
                    <w:jc w:val="center"/>
                    <w:rPr>
                      <w:szCs w:val="21"/>
                    </w:rPr>
                  </w:pPr>
                  <w:r>
                    <w:rPr>
                      <w:szCs w:val="21"/>
                    </w:rPr>
                    <w:t>（GB3096－2008）2类</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噪声</w:t>
                  </w:r>
                </w:p>
              </w:tc>
              <w:tc>
                <w:tcPr>
                  <w:tcW w:w="14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昼间</w:t>
                  </w:r>
                </w:p>
              </w:tc>
              <w:tc>
                <w:tcPr>
                  <w:tcW w:w="1457" w:type="dxa"/>
                  <w:tcBorders>
                    <w:top w:val="single" w:color="auto" w:sz="4" w:space="0"/>
                    <w:left w:val="single" w:color="auto" w:sz="4" w:space="0"/>
                    <w:bottom w:val="single" w:color="auto" w:sz="4" w:space="0"/>
                  </w:tcBorders>
                  <w:vAlign w:val="center"/>
                </w:tcPr>
                <w:p>
                  <w:pPr>
                    <w:jc w:val="center"/>
                    <w:rPr>
                      <w:szCs w:val="21"/>
                    </w:rPr>
                  </w:pPr>
                  <w:r>
                    <w:rPr>
                      <w:szCs w:val="21"/>
                    </w:rPr>
                    <w:t>60dB(A)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151" w:type="dxa"/>
                  <w:vMerge w:val="continue"/>
                  <w:tcBorders>
                    <w:top w:val="single" w:color="auto" w:sz="4" w:space="0"/>
                    <w:bottom w:val="single" w:color="auto" w:sz="8" w:space="0"/>
                    <w:right w:val="single" w:color="auto" w:sz="4" w:space="0"/>
                  </w:tcBorders>
                  <w:vAlign w:val="center"/>
                </w:tcPr>
                <w:p>
                  <w:pPr>
                    <w:jc w:val="center"/>
                    <w:rPr>
                      <w:szCs w:val="21"/>
                    </w:rPr>
                  </w:pPr>
                </w:p>
              </w:tc>
              <w:tc>
                <w:tcPr>
                  <w:tcW w:w="2863" w:type="dxa"/>
                  <w:vMerge w:val="continue"/>
                  <w:tcBorders>
                    <w:top w:val="single" w:color="auto" w:sz="4" w:space="0"/>
                    <w:left w:val="single" w:color="auto" w:sz="4" w:space="0"/>
                    <w:bottom w:val="single" w:color="auto" w:sz="8" w:space="0"/>
                    <w:right w:val="single" w:color="auto" w:sz="4" w:space="0"/>
                  </w:tcBorders>
                  <w:vAlign w:val="center"/>
                </w:tcPr>
                <w:p>
                  <w:pPr>
                    <w:jc w:val="center"/>
                    <w:rPr>
                      <w:szCs w:val="21"/>
                    </w:rPr>
                  </w:pPr>
                </w:p>
              </w:tc>
              <w:tc>
                <w:tcPr>
                  <w:tcW w:w="1558" w:type="dxa"/>
                  <w:vMerge w:val="continue"/>
                  <w:tcBorders>
                    <w:top w:val="single" w:color="auto" w:sz="4" w:space="0"/>
                    <w:left w:val="single" w:color="auto" w:sz="4" w:space="0"/>
                    <w:bottom w:val="single" w:color="auto" w:sz="8" w:space="0"/>
                    <w:right w:val="single" w:color="auto" w:sz="4" w:space="0"/>
                  </w:tcBorders>
                  <w:vAlign w:val="center"/>
                </w:tcPr>
                <w:p>
                  <w:pPr>
                    <w:jc w:val="center"/>
                    <w:rPr>
                      <w:szCs w:val="21"/>
                    </w:rPr>
                  </w:pPr>
                </w:p>
              </w:tc>
              <w:tc>
                <w:tcPr>
                  <w:tcW w:w="1412" w:type="dxa"/>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夜间</w:t>
                  </w:r>
                </w:p>
              </w:tc>
              <w:tc>
                <w:tcPr>
                  <w:tcW w:w="1457" w:type="dxa"/>
                  <w:tcBorders>
                    <w:top w:val="single" w:color="auto" w:sz="4" w:space="0"/>
                    <w:left w:val="single" w:color="auto" w:sz="4" w:space="0"/>
                    <w:bottom w:val="single" w:color="auto" w:sz="8" w:space="0"/>
                  </w:tcBorders>
                  <w:vAlign w:val="center"/>
                </w:tcPr>
                <w:p>
                  <w:pPr>
                    <w:jc w:val="center"/>
                    <w:rPr>
                      <w:szCs w:val="21"/>
                    </w:rPr>
                  </w:pPr>
                  <w:r>
                    <w:rPr>
                      <w:szCs w:val="21"/>
                    </w:rPr>
                    <w:t>50 dB(A)</w:t>
                  </w:r>
                </w:p>
              </w:tc>
            </w:tr>
          </w:tbl>
          <w:p>
            <w:pPr>
              <w:pStyle w:val="4"/>
              <w:ind w:left="0" w:firstLine="0"/>
              <w:jc w:val="both"/>
              <w:rPr>
                <w:rFonts w:eastAsia="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3416" w:hRule="atLeast"/>
          <w:jc w:val="center"/>
        </w:trPr>
        <w:tc>
          <w:tcPr>
            <w:tcW w:w="721" w:type="dxa"/>
            <w:vAlign w:val="center"/>
          </w:tcPr>
          <w:p>
            <w:pPr>
              <w:ind w:firstLine="120" w:firstLineChars="50"/>
              <w:rPr>
                <w:b/>
                <w:sz w:val="24"/>
              </w:rPr>
            </w:pPr>
            <w:r>
              <w:rPr>
                <w:b/>
                <w:sz w:val="24"/>
              </w:rPr>
              <w:t>污</w:t>
            </w:r>
          </w:p>
          <w:p>
            <w:pPr>
              <w:ind w:firstLine="120" w:firstLineChars="50"/>
              <w:rPr>
                <w:b/>
                <w:sz w:val="24"/>
              </w:rPr>
            </w:pPr>
            <w:r>
              <w:rPr>
                <w:b/>
                <w:sz w:val="24"/>
              </w:rPr>
              <w:t>染</w:t>
            </w:r>
          </w:p>
          <w:p>
            <w:pPr>
              <w:jc w:val="center"/>
              <w:rPr>
                <w:b/>
                <w:sz w:val="24"/>
              </w:rPr>
            </w:pPr>
            <w:r>
              <w:rPr>
                <w:b/>
                <w:sz w:val="24"/>
              </w:rPr>
              <w:t>物</w:t>
            </w:r>
          </w:p>
          <w:p>
            <w:pPr>
              <w:jc w:val="center"/>
              <w:rPr>
                <w:b/>
                <w:sz w:val="24"/>
              </w:rPr>
            </w:pPr>
            <w:r>
              <w:rPr>
                <w:b/>
                <w:sz w:val="24"/>
              </w:rPr>
              <w:t>排</w:t>
            </w:r>
          </w:p>
          <w:p>
            <w:pPr>
              <w:jc w:val="center"/>
              <w:rPr>
                <w:b/>
                <w:sz w:val="24"/>
              </w:rPr>
            </w:pPr>
            <w:r>
              <w:rPr>
                <w:b/>
                <w:sz w:val="24"/>
              </w:rPr>
              <w:t>放</w:t>
            </w:r>
          </w:p>
          <w:p>
            <w:pPr>
              <w:jc w:val="center"/>
              <w:rPr>
                <w:b/>
                <w:sz w:val="24"/>
              </w:rPr>
            </w:pPr>
            <w:r>
              <w:rPr>
                <w:b/>
                <w:sz w:val="24"/>
              </w:rPr>
              <w:t>标</w:t>
            </w:r>
          </w:p>
          <w:p>
            <w:pPr>
              <w:jc w:val="center"/>
              <w:rPr>
                <w:b/>
              </w:rPr>
            </w:pPr>
            <w:r>
              <w:rPr>
                <w:b/>
                <w:sz w:val="24"/>
              </w:rPr>
              <w:t>准</w:t>
            </w:r>
          </w:p>
        </w:tc>
        <w:tc>
          <w:tcPr>
            <w:tcW w:w="8649" w:type="dxa"/>
          </w:tcPr>
          <w:p>
            <w:pPr>
              <w:spacing w:line="440" w:lineRule="exact"/>
              <w:ind w:firstLine="480" w:firstLineChars="200"/>
              <w:jc w:val="left"/>
              <w:rPr>
                <w:rFonts w:ascii="黑体" w:hAnsi="黑体" w:eastAsia="黑体"/>
                <w:bCs/>
                <w:sz w:val="24"/>
              </w:rPr>
            </w:pPr>
            <w:r>
              <w:rPr>
                <w:rFonts w:ascii="黑体" w:hAnsi="黑体" w:eastAsia="黑体"/>
                <w:bCs/>
                <w:sz w:val="24"/>
              </w:rPr>
              <w:t>表1</w:t>
            </w:r>
            <w:r>
              <w:rPr>
                <w:rFonts w:hint="eastAsia" w:ascii="黑体" w:hAnsi="黑体" w:eastAsia="黑体"/>
                <w:bCs/>
                <w:sz w:val="24"/>
              </w:rPr>
              <w:t>4</w:t>
            </w:r>
            <w:r>
              <w:rPr>
                <w:rFonts w:ascii="黑体" w:hAnsi="黑体" w:eastAsia="黑体"/>
                <w:bCs/>
                <w:sz w:val="24"/>
              </w:rPr>
              <w:t xml:space="preserve">             </w:t>
            </w:r>
            <w:r>
              <w:rPr>
                <w:rFonts w:hint="eastAsia" w:ascii="黑体" w:hAnsi="黑体" w:eastAsia="黑体"/>
                <w:bCs/>
                <w:sz w:val="24"/>
              </w:rPr>
              <w:t xml:space="preserve">   </w:t>
            </w:r>
            <w:r>
              <w:rPr>
                <w:rFonts w:ascii="黑体" w:hAnsi="黑体" w:eastAsia="黑体"/>
                <w:bCs/>
                <w:sz w:val="24"/>
              </w:rPr>
              <w:t xml:space="preserve"> 污染物排放标准</w:t>
            </w:r>
          </w:p>
          <w:tbl>
            <w:tblPr>
              <w:tblStyle w:val="30"/>
              <w:tblW w:w="843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02"/>
              <w:gridCol w:w="2126"/>
              <w:gridCol w:w="20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5" w:type="dxa"/>
                  <w:tcBorders>
                    <w:top w:val="single" w:color="auto" w:sz="8" w:space="0"/>
                    <w:bottom w:val="single" w:color="auto" w:sz="4" w:space="0"/>
                    <w:right w:val="single" w:color="auto" w:sz="4" w:space="0"/>
                  </w:tcBorders>
                  <w:vAlign w:val="center"/>
                </w:tcPr>
                <w:p>
                  <w:pPr>
                    <w:jc w:val="center"/>
                    <w:rPr>
                      <w:b/>
                      <w:szCs w:val="21"/>
                    </w:rPr>
                  </w:pPr>
                  <w:r>
                    <w:rPr>
                      <w:b/>
                      <w:szCs w:val="21"/>
                    </w:rPr>
                    <w:t>污染物</w:t>
                  </w:r>
                </w:p>
              </w:tc>
              <w:tc>
                <w:tcPr>
                  <w:tcW w:w="3402" w:type="dxa"/>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标准名称</w:t>
                  </w:r>
                </w:p>
              </w:tc>
              <w:tc>
                <w:tcPr>
                  <w:tcW w:w="2126" w:type="dxa"/>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污染因子</w:t>
                  </w:r>
                </w:p>
              </w:tc>
              <w:tc>
                <w:tcPr>
                  <w:tcW w:w="2020" w:type="dxa"/>
                  <w:tcBorders>
                    <w:top w:val="single" w:color="auto" w:sz="8" w:space="0"/>
                    <w:left w:val="single" w:color="auto" w:sz="4" w:space="0"/>
                    <w:bottom w:val="single" w:color="auto" w:sz="4" w:space="0"/>
                  </w:tcBorders>
                  <w:vAlign w:val="center"/>
                </w:tcPr>
                <w:p>
                  <w:pPr>
                    <w:jc w:val="center"/>
                    <w:rPr>
                      <w:b/>
                      <w:szCs w:val="21"/>
                    </w:rPr>
                  </w:pPr>
                  <w:r>
                    <w:rPr>
                      <w:b/>
                      <w:szCs w:val="21"/>
                    </w:rPr>
                    <w:t>标准限值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70" w:hRule="atLeast"/>
                <w:jc w:val="center"/>
              </w:trPr>
              <w:tc>
                <w:tcPr>
                  <w:tcW w:w="885" w:type="dxa"/>
                  <w:tcBorders>
                    <w:top w:val="single" w:color="auto" w:sz="4" w:space="0"/>
                    <w:right w:val="single" w:color="auto" w:sz="4" w:space="0"/>
                  </w:tcBorders>
                  <w:vAlign w:val="center"/>
                </w:tcPr>
                <w:p>
                  <w:pPr>
                    <w:jc w:val="center"/>
                    <w:rPr>
                      <w:szCs w:val="21"/>
                    </w:rPr>
                  </w:pPr>
                  <w:r>
                    <w:rPr>
                      <w:szCs w:val="21"/>
                    </w:rPr>
                    <w:t>废气</w:t>
                  </w:r>
                </w:p>
              </w:tc>
              <w:tc>
                <w:tcPr>
                  <w:tcW w:w="3402" w:type="dxa"/>
                  <w:tcBorders>
                    <w:top w:val="single" w:color="auto" w:sz="4" w:space="0"/>
                    <w:left w:val="single" w:color="auto" w:sz="4" w:space="0"/>
                    <w:right w:val="single" w:color="auto" w:sz="4" w:space="0"/>
                  </w:tcBorders>
                  <w:vAlign w:val="center"/>
                </w:tcPr>
                <w:p>
                  <w:pPr>
                    <w:tabs>
                      <w:tab w:val="left" w:pos="792"/>
                    </w:tabs>
                    <w:jc w:val="center"/>
                    <w:rPr>
                      <w:szCs w:val="21"/>
                    </w:rPr>
                  </w:pPr>
                  <w:r>
                    <w:rPr>
                      <w:szCs w:val="21"/>
                    </w:rPr>
                    <w:t>《大气污染物综合排放标准》（GB16297-1996）表2二级</w:t>
                  </w:r>
                </w:p>
              </w:tc>
              <w:tc>
                <w:tcPr>
                  <w:tcW w:w="2126" w:type="dxa"/>
                  <w:tcBorders>
                    <w:top w:val="single" w:color="auto" w:sz="4" w:space="0"/>
                    <w:left w:val="single" w:color="auto" w:sz="4" w:space="0"/>
                    <w:right w:val="single" w:color="auto" w:sz="4" w:space="0"/>
                  </w:tcBorders>
                  <w:vAlign w:val="center"/>
                </w:tcPr>
                <w:p>
                  <w:pPr>
                    <w:jc w:val="center"/>
                    <w:rPr>
                      <w:szCs w:val="21"/>
                    </w:rPr>
                  </w:pPr>
                  <w:r>
                    <w:rPr>
                      <w:szCs w:val="21"/>
                    </w:rPr>
                    <w:t>颗粒物</w:t>
                  </w:r>
                </w:p>
              </w:tc>
              <w:tc>
                <w:tcPr>
                  <w:tcW w:w="2020" w:type="dxa"/>
                  <w:tcBorders>
                    <w:top w:val="single" w:color="auto" w:sz="4" w:space="0"/>
                    <w:left w:val="single" w:color="auto" w:sz="4" w:space="0"/>
                  </w:tcBorders>
                  <w:vAlign w:val="center"/>
                </w:tcPr>
                <w:p>
                  <w:pPr>
                    <w:jc w:val="center"/>
                    <w:rPr>
                      <w:szCs w:val="21"/>
                    </w:rPr>
                  </w:pPr>
                  <w:r>
                    <w:rPr>
                      <w:rFonts w:hint="eastAsia"/>
                      <w:szCs w:val="21"/>
                    </w:rPr>
                    <w:t>有组织120</w:t>
                  </w:r>
                  <w:r>
                    <w:rPr>
                      <w:szCs w:val="21"/>
                    </w:rPr>
                    <w:t xml:space="preserve"> mg/m</w:t>
                  </w:r>
                  <w:r>
                    <w:rPr>
                      <w:szCs w:val="21"/>
                      <w:vertAlign w:val="superscript"/>
                    </w:rPr>
                    <w:t>3</w:t>
                  </w:r>
                  <w:r>
                    <w:rPr>
                      <w:szCs w:val="21"/>
                    </w:rPr>
                    <w:t>、</w:t>
                  </w:r>
                </w:p>
                <w:p>
                  <w:pPr>
                    <w:jc w:val="center"/>
                    <w:rPr>
                      <w:szCs w:val="21"/>
                    </w:rPr>
                  </w:pPr>
                  <w:r>
                    <w:rPr>
                      <w:szCs w:val="21"/>
                    </w:rPr>
                    <w:t>3.5kg/h</w:t>
                  </w:r>
                  <w:r>
                    <w:rPr>
                      <w:rFonts w:hint="eastAsia"/>
                      <w:szCs w:val="21"/>
                    </w:rPr>
                    <w:t>（</w:t>
                  </w:r>
                  <w:r>
                    <w:rPr>
                      <w:szCs w:val="21"/>
                    </w:rPr>
                    <w:t>15m</w:t>
                  </w:r>
                  <w:r>
                    <w:rPr>
                      <w:rFonts w:hint="eastAsia"/>
                      <w:szCs w:val="21"/>
                    </w:rPr>
                    <w:t>高排气筒）的限值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5" w:type="dxa"/>
                  <w:tcBorders>
                    <w:top w:val="single" w:color="auto" w:sz="4" w:space="0"/>
                    <w:bottom w:val="single" w:color="auto" w:sz="4" w:space="0"/>
                    <w:right w:val="single" w:color="auto" w:sz="4" w:space="0"/>
                  </w:tcBorders>
                  <w:vAlign w:val="center"/>
                </w:tcPr>
                <w:p>
                  <w:pPr>
                    <w:jc w:val="center"/>
                    <w:rPr>
                      <w:szCs w:val="21"/>
                    </w:rPr>
                  </w:pPr>
                  <w:r>
                    <w:rPr>
                      <w:szCs w:val="21"/>
                    </w:rPr>
                    <w:t>噪声</w:t>
                  </w:r>
                </w:p>
              </w:tc>
              <w:tc>
                <w:tcPr>
                  <w:tcW w:w="340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《工业企业厂界环境噪声排放标准》（GB12348-2008）2类</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噪声</w:t>
                  </w:r>
                </w:p>
              </w:tc>
              <w:tc>
                <w:tcPr>
                  <w:tcW w:w="2020" w:type="dxa"/>
                  <w:tcBorders>
                    <w:top w:val="single" w:color="auto" w:sz="4" w:space="0"/>
                    <w:left w:val="single" w:color="auto" w:sz="4" w:space="0"/>
                    <w:bottom w:val="single" w:color="auto" w:sz="4" w:space="0"/>
                  </w:tcBorders>
                  <w:vAlign w:val="center"/>
                </w:tcPr>
                <w:p>
                  <w:pPr>
                    <w:jc w:val="center"/>
                    <w:rPr>
                      <w:szCs w:val="21"/>
                    </w:rPr>
                  </w:pPr>
                  <w:r>
                    <w:rPr>
                      <w:szCs w:val="21"/>
                    </w:rPr>
                    <w:t>昼间60dB</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885" w:type="dxa"/>
                  <w:vMerge w:val="restart"/>
                  <w:tcBorders>
                    <w:top w:val="single" w:color="auto" w:sz="4" w:space="0"/>
                    <w:bottom w:val="single" w:color="auto" w:sz="4" w:space="0"/>
                    <w:right w:val="single" w:color="auto" w:sz="4" w:space="0"/>
                  </w:tcBorders>
                  <w:vAlign w:val="center"/>
                </w:tcPr>
                <w:p>
                  <w:pPr>
                    <w:jc w:val="center"/>
                    <w:rPr>
                      <w:szCs w:val="21"/>
                    </w:rPr>
                  </w:pPr>
                  <w:r>
                    <w:rPr>
                      <w:szCs w:val="21"/>
                    </w:rPr>
                    <w:t>固废</w:t>
                  </w:r>
                </w:p>
              </w:tc>
              <w:tc>
                <w:tcPr>
                  <w:tcW w:w="7548" w:type="dxa"/>
                  <w:gridSpan w:val="3"/>
                  <w:tcBorders>
                    <w:top w:val="single" w:color="auto" w:sz="4" w:space="0"/>
                    <w:left w:val="single" w:color="auto" w:sz="4" w:space="0"/>
                    <w:bottom w:val="single" w:color="auto" w:sz="4" w:space="0"/>
                  </w:tcBorders>
                  <w:vAlign w:val="center"/>
                </w:tcPr>
                <w:p>
                  <w:pPr>
                    <w:jc w:val="center"/>
                    <w:rPr>
                      <w:szCs w:val="21"/>
                    </w:rPr>
                  </w:pPr>
                  <w:r>
                    <w:rPr>
                      <w:szCs w:val="21"/>
                    </w:rPr>
                    <w:t>《一般工业固体废物贮存、处置场污染控制标准》（GB18599-2001及2013修改单）</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85" w:type="dxa"/>
                  <w:vMerge w:val="continue"/>
                  <w:tcBorders>
                    <w:top w:val="single" w:color="auto" w:sz="4" w:space="0"/>
                    <w:bottom w:val="single" w:color="auto" w:sz="8" w:space="0"/>
                    <w:right w:val="single" w:color="auto" w:sz="4" w:space="0"/>
                  </w:tcBorders>
                  <w:vAlign w:val="center"/>
                </w:tcPr>
                <w:p>
                  <w:pPr>
                    <w:jc w:val="center"/>
                    <w:rPr>
                      <w:szCs w:val="21"/>
                    </w:rPr>
                  </w:pPr>
                </w:p>
              </w:tc>
              <w:tc>
                <w:tcPr>
                  <w:tcW w:w="7548" w:type="dxa"/>
                  <w:gridSpan w:val="3"/>
                  <w:tcBorders>
                    <w:top w:val="single" w:color="auto" w:sz="4" w:space="0"/>
                    <w:left w:val="single" w:color="auto" w:sz="4" w:space="0"/>
                    <w:bottom w:val="single" w:color="auto" w:sz="8" w:space="0"/>
                  </w:tcBorders>
                  <w:vAlign w:val="center"/>
                </w:tcPr>
                <w:p>
                  <w:pPr>
                    <w:jc w:val="center"/>
                    <w:rPr>
                      <w:szCs w:val="21"/>
                    </w:rPr>
                  </w:pPr>
                  <w:r>
                    <w:rPr>
                      <w:szCs w:val="21"/>
                    </w:rPr>
                    <w:t>《危险废物贮存污染控制标准》（GB18597-2001及2013修改单）</w:t>
                  </w:r>
                </w:p>
              </w:tc>
            </w:tr>
          </w:tbl>
          <w:p>
            <w:pPr>
              <w:spacing w:line="520" w:lineRule="exact"/>
              <w:ind w:firstLine="707" w:firstLineChars="350"/>
              <w:jc w:val="left"/>
              <w:rPr>
                <w:spacing w:val="-4"/>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Height w:val="4093" w:hRule="atLeast"/>
          <w:jc w:val="center"/>
        </w:trPr>
        <w:tc>
          <w:tcPr>
            <w:tcW w:w="721" w:type="dxa"/>
            <w:tcBorders>
              <w:bottom w:val="single" w:color="auto" w:sz="8" w:space="0"/>
            </w:tcBorders>
            <w:vAlign w:val="center"/>
          </w:tcPr>
          <w:p>
            <w:pPr>
              <w:spacing w:line="280" w:lineRule="exact"/>
              <w:jc w:val="center"/>
              <w:rPr>
                <w:b/>
                <w:sz w:val="24"/>
              </w:rPr>
            </w:pPr>
            <w:r>
              <w:rPr>
                <w:b/>
                <w:sz w:val="24"/>
              </w:rPr>
              <w:t>总</w:t>
            </w:r>
          </w:p>
          <w:p>
            <w:pPr>
              <w:spacing w:line="280" w:lineRule="exact"/>
              <w:jc w:val="center"/>
              <w:rPr>
                <w:b/>
                <w:sz w:val="24"/>
              </w:rPr>
            </w:pPr>
            <w:r>
              <w:rPr>
                <w:b/>
                <w:sz w:val="24"/>
              </w:rPr>
              <w:t>量</w:t>
            </w:r>
          </w:p>
          <w:p>
            <w:pPr>
              <w:spacing w:line="280" w:lineRule="exact"/>
              <w:jc w:val="center"/>
              <w:rPr>
                <w:b/>
                <w:sz w:val="24"/>
              </w:rPr>
            </w:pPr>
            <w:r>
              <w:rPr>
                <w:b/>
                <w:sz w:val="24"/>
              </w:rPr>
              <w:t>控</w:t>
            </w:r>
          </w:p>
          <w:p>
            <w:pPr>
              <w:spacing w:line="280" w:lineRule="exact"/>
              <w:jc w:val="center"/>
              <w:rPr>
                <w:b/>
                <w:sz w:val="24"/>
              </w:rPr>
            </w:pPr>
            <w:r>
              <w:rPr>
                <w:b/>
                <w:sz w:val="24"/>
              </w:rPr>
              <w:t>制</w:t>
            </w:r>
          </w:p>
          <w:p>
            <w:pPr>
              <w:spacing w:line="280" w:lineRule="exact"/>
              <w:jc w:val="center"/>
              <w:rPr>
                <w:b/>
                <w:sz w:val="24"/>
              </w:rPr>
            </w:pPr>
            <w:r>
              <w:rPr>
                <w:b/>
                <w:sz w:val="24"/>
              </w:rPr>
              <w:t>标</w:t>
            </w:r>
          </w:p>
          <w:p>
            <w:pPr>
              <w:spacing w:line="280" w:lineRule="exact"/>
              <w:jc w:val="center"/>
              <w:rPr>
                <w:b/>
                <w:sz w:val="24"/>
              </w:rPr>
            </w:pPr>
            <w:r>
              <w:rPr>
                <w:b/>
                <w:sz w:val="24"/>
              </w:rPr>
              <w:t>准</w:t>
            </w:r>
          </w:p>
        </w:tc>
        <w:tc>
          <w:tcPr>
            <w:tcW w:w="8649" w:type="dxa"/>
            <w:tcBorders>
              <w:bottom w:val="single" w:color="auto" w:sz="8" w:space="0"/>
            </w:tcBorders>
            <w:vAlign w:val="center"/>
          </w:tcPr>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spacing w:line="240" w:lineRule="exact"/>
              <w:jc w:val="center"/>
            </w:pPr>
          </w:p>
          <w:p>
            <w:pPr>
              <w:pStyle w:val="4"/>
              <w:spacing w:before="0" w:after="0" w:line="240" w:lineRule="exact"/>
              <w:ind w:left="0"/>
              <w:rPr>
                <w:rFonts w:eastAsia="宋体"/>
              </w:rPr>
            </w:pPr>
          </w:p>
          <w:p>
            <w:pPr>
              <w:pStyle w:val="4"/>
              <w:spacing w:before="0" w:after="0" w:line="440" w:lineRule="exact"/>
              <w:ind w:left="0" w:firstLine="0"/>
              <w:jc w:val="both"/>
              <w:rPr>
                <w:rFonts w:eastAsia="宋体"/>
              </w:rPr>
            </w:pPr>
          </w:p>
          <w:p>
            <w:pPr>
              <w:jc w:val="center"/>
              <w:rPr>
                <w:sz w:val="24"/>
              </w:rPr>
            </w:pPr>
            <w:r>
              <w:rPr>
                <w:sz w:val="24"/>
              </w:rPr>
              <w:t>/</w:t>
            </w:r>
          </w:p>
          <w:p>
            <w:pPr>
              <w:jc w:val="left"/>
              <w:rPr>
                <w:sz w:val="24"/>
              </w:rPr>
            </w:pPr>
          </w:p>
          <w:p/>
          <w:p>
            <w:pPr>
              <w:pStyle w:val="2"/>
              <w:ind w:firstLine="560"/>
            </w:pPr>
          </w:p>
          <w:p/>
          <w:p>
            <w:pPr>
              <w:pStyle w:val="2"/>
              <w:ind w:firstLine="560"/>
            </w:pPr>
          </w:p>
          <w:p/>
          <w:p>
            <w:pPr>
              <w:pStyle w:val="2"/>
              <w:ind w:firstLine="560"/>
            </w:pPr>
          </w:p>
          <w:p/>
          <w:p>
            <w:pPr>
              <w:pStyle w:val="2"/>
              <w:ind w:firstLine="0" w:firstLineChars="0"/>
            </w:pPr>
          </w:p>
          <w:p>
            <w:pPr>
              <w:pStyle w:val="2"/>
              <w:ind w:firstLine="0" w:firstLineChars="0"/>
            </w:pPr>
          </w:p>
        </w:tc>
      </w:tr>
    </w:tbl>
    <w:p>
      <w:pPr>
        <w:spacing w:line="440" w:lineRule="exact"/>
        <w:jc w:val="left"/>
        <w:rPr>
          <w:b/>
          <w:sz w:val="28"/>
        </w:rPr>
      </w:pPr>
      <w:r>
        <w:rPr>
          <w:b/>
          <w:sz w:val="28"/>
        </w:rPr>
        <w:t>建设项目工程分析</w:t>
      </w:r>
    </w:p>
    <w:tbl>
      <w:tblPr>
        <w:tblStyle w:val="30"/>
        <w:tblW w:w="91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199" w:type="dxa"/>
            <w:tcBorders>
              <w:top w:val="single" w:color="auto" w:sz="8" w:space="0"/>
            </w:tcBorders>
          </w:tcPr>
          <w:p>
            <w:pPr>
              <w:spacing w:line="440" w:lineRule="exact"/>
              <w:textAlignment w:val="baseline"/>
              <w:rPr>
                <w:color w:val="000000"/>
                <w:sz w:val="24"/>
              </w:rPr>
            </w:pPr>
            <w:r>
              <w:rPr>
                <w:b/>
                <w:color w:val="000000"/>
                <w:sz w:val="24"/>
              </w:rPr>
              <w:pict>
                <v:rect id="_x0000_s1255" o:spid="_x0000_s1255" o:spt="1" style="position:absolute;left:0pt;margin-left:70.9pt;margin-top:33.35pt;height:23.6pt;width:40.7pt;z-index:251763712;mso-width-relative:page;mso-height-relative:page;" stroked="f" coordsize="21600,21600">
                  <v:path/>
                  <v:fill opacity="0f" focussize="0,0"/>
                  <v:stroke on="f"/>
                  <v:imagedata o:title=""/>
                  <o:lock v:ext="edit"/>
                  <v:textbox>
                    <w:txbxContent>
                      <w:p>
                        <w:pPr>
                          <w:jc w:val="center"/>
                        </w:pPr>
                        <w:r>
                          <w:rPr>
                            <w:rFonts w:hint="eastAsia"/>
                          </w:rPr>
                          <w:t>N</w:t>
                        </w:r>
                      </w:p>
                    </w:txbxContent>
                  </v:textbox>
                </v:rect>
              </w:pict>
            </w:r>
            <w:r>
              <w:rPr>
                <w:b/>
                <w:color w:val="000000"/>
                <w:sz w:val="24"/>
              </w:rPr>
              <w:pict>
                <v:shape id="_x0000_s1249" o:spid="_x0000_s1249" o:spt="32" type="#_x0000_t32" style="position:absolute;left:0pt;flip:y;margin-left:91.9pt;margin-top:48.7pt;height:23.25pt;width:0pt;z-index:251757568;mso-width-relative:page;mso-height-relative:page;" o:connectortype="straight" filled="f" coordsize="21600,21600">
                  <v:path arrowok="t"/>
                  <v:fill on="f" focussize="0,0"/>
                  <v:stroke dashstyle="dash" endarrow="block"/>
                  <v:imagedata o:title=""/>
                  <o:lock v:ext="edit"/>
                </v:shape>
              </w:pict>
            </w:r>
            <w:r>
              <w:rPr>
                <w:b/>
                <w:color w:val="000000"/>
                <w:sz w:val="24"/>
              </w:rPr>
              <w:pict>
                <v:rect id="_x0000_s1240" o:spid="_x0000_s1240" o:spt="1" style="position:absolute;left:0pt;margin-left:137.85pt;margin-top:71.95pt;height:23.6pt;width:40.7pt;z-index:251749376;mso-width-relative:page;mso-height-relative:page;" coordsize="21600,21600">
                  <v:path/>
                  <v:fill opacity="0f" focussize="0,0"/>
                  <v:stroke/>
                  <v:imagedata o:title=""/>
                  <o:lock v:ext="edit"/>
                  <v:textbox>
                    <w:txbxContent>
                      <w:p>
                        <w:pPr>
                          <w:jc w:val="center"/>
                        </w:pPr>
                        <w:r>
                          <w:rPr>
                            <w:rFonts w:hint="eastAsia"/>
                          </w:rPr>
                          <w:t>卷圆</w:t>
                        </w:r>
                      </w:p>
                    </w:txbxContent>
                  </v:textbox>
                </v:rect>
              </w:pict>
            </w:r>
            <w:r>
              <w:rPr>
                <w:b/>
                <w:color w:val="000000"/>
                <w:sz w:val="24"/>
              </w:rPr>
              <w:pict>
                <v:shape id="_x0000_s1239" o:spid="_x0000_s1239" o:spt="32" type="#_x0000_t32" style="position:absolute;left:0pt;margin-left:178.55pt;margin-top:83.95pt;height:0pt;width:26.25pt;z-index:251748352;mso-width-relative:page;mso-height-relative:page;" o:connectortype="straight" filled="f" coordsize="21600,21600">
                  <v:path arrowok="t"/>
                  <v:fill on="f" focussize="0,0"/>
                  <v:stroke endarrow="block"/>
                  <v:imagedata o:title=""/>
                  <o:lock v:ext="edit"/>
                </v:shape>
              </w:pict>
            </w:r>
            <w:r>
              <w:rPr>
                <w:b/>
                <w:color w:val="000000"/>
                <w:sz w:val="24"/>
              </w:rPr>
              <w:pict>
                <v:rect id="_x0000_s1238" o:spid="_x0000_s1238" o:spt="1" style="position:absolute;left:0pt;margin-left:70.9pt;margin-top:71.95pt;height:23.6pt;width:40.7pt;z-index:251747328;mso-width-relative:page;mso-height-relative:page;" coordsize="21600,21600">
                  <v:path/>
                  <v:fill opacity="0f" focussize="0,0"/>
                  <v:stroke/>
                  <v:imagedata o:title=""/>
                  <o:lock v:ext="edit"/>
                  <v:textbox>
                    <w:txbxContent>
                      <w:p>
                        <w:pPr>
                          <w:jc w:val="center"/>
                        </w:pPr>
                        <w:r>
                          <w:t>折弯</w:t>
                        </w:r>
                      </w:p>
                    </w:txbxContent>
                  </v:textbox>
                </v:rect>
              </w:pict>
            </w:r>
            <w:r>
              <w:rPr>
                <w:b/>
                <w:color w:val="000000"/>
                <w:sz w:val="24"/>
              </w:rPr>
              <w:pict>
                <v:shape id="_x0000_s1237" o:spid="_x0000_s1237" o:spt="32" type="#_x0000_t32" style="position:absolute;left:0pt;margin-left:44.65pt;margin-top:83.95pt;height:0pt;width:26.25pt;z-index:251746304;mso-width-relative:page;mso-height-relative:page;" o:connectortype="straight" filled="f" coordsize="21600,21600">
                  <v:path arrowok="t"/>
                  <v:fill on="f" focussize="0,0"/>
                  <v:stroke endarrow="block"/>
                  <v:imagedata o:title=""/>
                  <o:lock v:ext="edit"/>
                </v:shape>
              </w:pict>
            </w:r>
            <w:r>
              <w:rPr>
                <w:rFonts w:hint="eastAsia"/>
                <w:b/>
                <w:color w:val="000000"/>
                <w:sz w:val="24"/>
              </w:rPr>
              <w:t>一、</w:t>
            </w:r>
            <w:r>
              <w:rPr>
                <w:b/>
                <w:color w:val="000000"/>
                <w:sz w:val="24"/>
              </w:rPr>
              <w:t>工艺流程简述(图示)</w:t>
            </w:r>
            <w:r>
              <w:rPr>
                <w:color w:val="000000"/>
                <w:sz w:val="24"/>
              </w:rPr>
              <w:t>：</w:t>
            </w:r>
          </w:p>
          <w:p>
            <w:pPr>
              <w:tabs>
                <w:tab w:val="left" w:pos="3060"/>
                <w:tab w:val="center" w:pos="4491"/>
                <w:tab w:val="right" w:pos="8983"/>
              </w:tabs>
              <w:spacing w:line="440" w:lineRule="exact"/>
              <w:jc w:val="left"/>
            </w:pPr>
            <w:r>
              <w:rPr>
                <w:b/>
                <w:color w:val="000000"/>
                <w:sz w:val="24"/>
              </w:rPr>
              <w:pict>
                <v:rect id="_x0000_s1254" o:spid="_x0000_s1254" o:spt="1" style="position:absolute;left:0pt;margin-left:217.75pt;margin-top:12.1pt;height:23.6pt;width:54.9pt;z-index:251762688;mso-width-relative:page;mso-height-relative:page;" stroked="f" coordsize="21600,21600">
                  <v:path/>
                  <v:fill opacity="0f" focussize="0,0"/>
                  <v:stroke on="f"/>
                  <v:imagedata o:title=""/>
                  <o:lock v:ext="edit"/>
                  <v:textbox>
                    <w:txbxContent>
                      <w:p>
                        <w:pPr>
                          <w:jc w:val="center"/>
                        </w:pPr>
                        <w:r>
                          <w:rPr>
                            <w:rFonts w:hint="eastAsia"/>
                          </w:rPr>
                          <w:t>N、G</w:t>
                        </w:r>
                      </w:p>
                    </w:txbxContent>
                  </v:textbox>
                </v:rect>
              </w:pict>
            </w:r>
            <w:r>
              <w:rPr>
                <w:b/>
                <w:color w:val="000000"/>
                <w:sz w:val="24"/>
              </w:rPr>
              <w:pict>
                <v:rect id="_x0000_s1252" o:spid="_x0000_s1252" o:spt="1" style="position:absolute;left:0pt;margin-left:-0.55pt;margin-top:12.1pt;height:23.6pt;width:57.2pt;z-index:251760640;mso-width-relative:page;mso-height-relative:page;" stroked="f" coordsize="21600,21600">
                  <v:path/>
                  <v:fill opacity="0f" focussize="0,0"/>
                  <v:stroke on="f"/>
                  <v:imagedata o:title=""/>
                  <o:lock v:ext="edit"/>
                  <v:textbox>
                    <w:txbxContent>
                      <w:p>
                        <w:pPr>
                          <w:jc w:val="center"/>
                        </w:pPr>
                        <w:r>
                          <w:rPr>
                            <w:rFonts w:hint="eastAsia"/>
                          </w:rPr>
                          <w:t>S、N、G</w:t>
                        </w:r>
                      </w:p>
                    </w:txbxContent>
                  </v:textbox>
                </v:rect>
              </w:pict>
            </w:r>
            <w:r>
              <w:rPr>
                <w:b/>
                <w:color w:val="000000"/>
                <w:sz w:val="24"/>
              </w:rPr>
              <w:pict>
                <v:rect id="_x0000_s1256" o:spid="_x0000_s1256" o:spt="1" style="position:absolute;left:0pt;margin-left:-2pt;margin-top:11.35pt;height:107.6pt;width:453pt;z-index:-251551744;mso-width-relative:page;mso-height-relative:page;" stroked="t" coordsize="21600,21600">
                  <v:path/>
                  <v:fill opacity="0f" focussize="0,0"/>
                  <v:stroke color="#000000"/>
                  <v:imagedata o:title=""/>
                  <o:lock v:ext="edit"/>
                </v:rect>
              </w:pict>
            </w:r>
            <w:r>
              <w:rPr>
                <w:b/>
                <w:color w:val="000000"/>
                <w:sz w:val="24"/>
              </w:rPr>
              <w:pict>
                <v:rect id="_x0000_s1247" o:spid="_x0000_s1247" o:spt="1" style="position:absolute;left:0pt;margin-left:137.85pt;margin-top:10.6pt;height:23.6pt;width:40.7pt;z-index:251755520;mso-width-relative:page;mso-height-relative:page;" stroked="f" coordsize="21600,21600">
                  <v:path/>
                  <v:fill opacity="0f" focussize="0,0"/>
                  <v:stroke on="f"/>
                  <v:imagedata o:title=""/>
                  <o:lock v:ext="edit"/>
                  <v:textbox>
                    <w:txbxContent>
                      <w:p>
                        <w:pPr>
                          <w:jc w:val="center"/>
                        </w:pPr>
                        <w:r>
                          <w:rPr>
                            <w:rFonts w:hint="eastAsia"/>
                          </w:rPr>
                          <w:t>N</w:t>
                        </w:r>
                      </w:p>
                    </w:txbxContent>
                  </v:textbox>
                </v:rect>
              </w:pict>
            </w:r>
            <w:r>
              <w:tab/>
            </w:r>
          </w:p>
          <w:p>
            <w:pPr>
              <w:pStyle w:val="2"/>
              <w:tabs>
                <w:tab w:val="left" w:pos="5160"/>
              </w:tabs>
              <w:ind w:firstLine="419" w:firstLineChars="174"/>
            </w:pPr>
            <w:r>
              <w:rPr>
                <w:b/>
                <w:color w:val="000000"/>
                <w:sz w:val="24"/>
              </w:rPr>
              <w:pict>
                <v:shape id="_x0000_s1251" o:spid="_x0000_s1251" o:spt="32" type="#_x0000_t32" style="position:absolute;left:0pt;flip:y;margin-left:246.4pt;margin-top:4.7pt;height:23.25pt;width:0pt;z-index:251759616;mso-width-relative:page;mso-height-relative:page;" o:connectortype="straight" filled="f" coordsize="21600,21600">
                  <v:path arrowok="t"/>
                  <v:fill on="f" focussize="0,0"/>
                  <v:stroke dashstyle="dash" endarrow="block"/>
                  <v:imagedata o:title=""/>
                  <o:lock v:ext="edit"/>
                </v:shape>
              </w:pict>
            </w:r>
            <w:r>
              <w:rPr>
                <w:b/>
                <w:color w:val="000000"/>
                <w:sz w:val="24"/>
              </w:rPr>
              <w:pict>
                <v:rect id="_x0000_s1236" o:spid="_x0000_s1236" o:spt="1" style="position:absolute;left:0pt;margin-left:203.5pt;margin-top:27.95pt;height:23.6pt;width:85.15pt;z-index:251745280;mso-width-relative:page;mso-height-relative:page;" coordsize="21600,21600">
                  <v:path/>
                  <v:fill opacity="0f" focussize="0,0"/>
                  <v:stroke/>
                  <v:imagedata o:title=""/>
                  <o:lock v:ext="edit"/>
                  <v:textbox>
                    <w:txbxContent>
                      <w:p>
                        <w:pPr>
                          <w:jc w:val="center"/>
                        </w:pPr>
                        <w:r>
                          <w:rPr>
                            <w:rFonts w:hint="eastAsia"/>
                          </w:rPr>
                          <w:t>焊接打磨</w:t>
                        </w:r>
                      </w:p>
                    </w:txbxContent>
                  </v:textbox>
                </v:rect>
              </w:pict>
            </w:r>
            <w:r>
              <w:rPr>
                <w:b/>
                <w:color w:val="000000"/>
                <w:sz w:val="24"/>
              </w:rPr>
              <w:pict>
                <v:rect id="_x0000_s1244" o:spid="_x0000_s1244" o:spt="1" style="position:absolute;left:0pt;margin-left:314.9pt;margin-top:27.95pt;height:23.6pt;width:40.7pt;z-index:251753472;mso-width-relative:page;mso-height-relative:page;" coordsize="21600,21600">
                  <v:path/>
                  <v:fill opacity="0f" focussize="0,0"/>
                  <v:stroke/>
                  <v:imagedata o:title=""/>
                  <o:lock v:ext="edit"/>
                  <v:textbox>
                    <w:txbxContent>
                      <w:p>
                        <w:pPr>
                          <w:jc w:val="center"/>
                        </w:pPr>
                        <w:r>
                          <w:t>入库</w:t>
                        </w:r>
                      </w:p>
                    </w:txbxContent>
                  </v:textbox>
                </v:rect>
              </w:pict>
            </w:r>
            <w:r>
              <w:rPr>
                <w:b/>
                <w:color w:val="000000"/>
                <w:sz w:val="24"/>
              </w:rPr>
              <w:pict>
                <v:shape id="_x0000_s1248" o:spid="_x0000_s1248" o:spt="32" type="#_x0000_t32" style="position:absolute;left:0pt;flip:y;margin-left:158.65pt;margin-top:3.2pt;height:23.25pt;width:0.05pt;z-index:251756544;mso-width-relative:page;mso-height-relative:page;" o:connectortype="straight" filled="f" coordsize="21600,21600">
                  <v:path arrowok="t"/>
                  <v:fill on="f" focussize="0,0"/>
                  <v:stroke dashstyle="dash" endarrow="block"/>
                  <v:imagedata o:title=""/>
                  <o:lock v:ext="edit"/>
                </v:shape>
              </w:pict>
            </w:r>
            <w:r>
              <w:rPr>
                <w:b/>
                <w:color w:val="000000"/>
                <w:sz w:val="24"/>
              </w:rPr>
              <w:pict>
                <v:shape id="_x0000_s1246" o:spid="_x0000_s1246" o:spt="32" type="#_x0000_t32" style="position:absolute;left:0pt;flip:y;margin-left:25.9pt;margin-top:4.7pt;height:23.25pt;width:0pt;z-index:251754496;mso-width-relative:page;mso-height-relative:page;" o:connectortype="straight" filled="f" coordsize="21600,21600">
                  <v:path arrowok="t"/>
                  <v:fill on="f" focussize="0,0"/>
                  <v:stroke dashstyle="dash" endarrow="block"/>
                  <v:imagedata o:title=""/>
                  <o:lock v:ext="edit"/>
                </v:shape>
              </w:pict>
            </w:r>
            <w:r>
              <w:rPr>
                <w:b/>
                <w:color w:val="000000"/>
                <w:sz w:val="24"/>
              </w:rPr>
              <w:pict>
                <v:rect id="_x0000_s1142" o:spid="_x0000_s1142" o:spt="1" style="position:absolute;left:0pt;margin-left:3.95pt;margin-top:27.95pt;height:23.6pt;width:40.7pt;z-index:251654144;mso-width-relative:page;mso-height-relative:page;" coordsize="21600,21600">
                  <v:path/>
                  <v:fill opacity="0f" focussize="0,0"/>
                  <v:stroke/>
                  <v:imagedata o:title=""/>
                  <o:lock v:ext="edit"/>
                  <v:textbox>
                    <w:txbxContent>
                      <w:p>
                        <w:pPr>
                          <w:jc w:val="center"/>
                        </w:pPr>
                        <w:r>
                          <w:t>下料</w:t>
                        </w:r>
                      </w:p>
                    </w:txbxContent>
                  </v:textbox>
                </v:rect>
              </w:pict>
            </w:r>
            <w:r>
              <w:tab/>
            </w:r>
          </w:p>
          <w:p>
            <w:pPr>
              <w:spacing w:line="440" w:lineRule="exact"/>
              <w:rPr>
                <w:rFonts w:ascii="黑体" w:hAnsi="黑体" w:eastAsia="黑体"/>
                <w:sz w:val="24"/>
                <w:szCs w:val="32"/>
              </w:rPr>
            </w:pPr>
            <w:r>
              <w:rPr>
                <w:b/>
                <w:color w:val="000000"/>
                <w:sz w:val="24"/>
              </w:rPr>
              <w:pict>
                <v:shape id="_x0000_s1243" o:spid="_x0000_s1243" o:spt="32" type="#_x0000_t32" style="position:absolute;left:0pt;margin-left:288.65pt;margin-top:8.75pt;height:0pt;width:26.25pt;z-index:251752448;mso-width-relative:page;mso-height-relative:page;" o:connectortype="straight" filled="f" coordsize="21600,21600">
                  <v:path arrowok="t"/>
                  <v:fill on="f" focussize="0,0"/>
                  <v:stroke endarrow="block"/>
                  <v:imagedata o:title=""/>
                  <o:lock v:ext="edit"/>
                </v:shape>
              </w:pict>
            </w:r>
            <w:r>
              <w:pict>
                <v:shape id="_x0000_s1235" o:spid="_x0000_s1235" o:spt="32" type="#_x0000_t32" style="position:absolute;left:0pt;margin-left:111.6pt;margin-top:8.75pt;height:0pt;width:26.25pt;z-index:251744256;mso-width-relative:page;mso-height-relative:page;" o:connectortype="straight" filled="f" coordsize="21600,21600">
                  <v:path arrowok="t"/>
                  <v:fill on="f" focussize="0,0"/>
                  <v:stroke endarrow="block"/>
                  <v:imagedata o:title=""/>
                  <o:lock v:ext="edit"/>
                </v:shape>
              </w:pict>
            </w:r>
          </w:p>
          <w:p>
            <w:pPr>
              <w:spacing w:line="440" w:lineRule="exact"/>
              <w:rPr>
                <w:rFonts w:ascii="黑体" w:hAnsi="黑体" w:eastAsia="黑体"/>
                <w:sz w:val="24"/>
                <w:szCs w:val="32"/>
              </w:rPr>
            </w:pPr>
            <w:r>
              <w:pict>
                <v:shape id="_x0000_s1053" o:spid="_x0000_s1053" o:spt="202" type="#_x0000_t202" style="position:absolute;left:0pt;margin-left:261.8pt;margin-top:13pt;height:23.6pt;width:185.6pt;z-index:251633664;mso-width-relative:page;mso-height-relative:page;" fillcolor="#000001" filled="f" coordsize="21600,21600">
                  <v:path/>
                  <v:fill on="f" focussize="0,0"/>
                  <v:stroke dashstyle="dash"/>
                  <v:imagedata o:title=""/>
                  <o:lock v:ext="edit"/>
                  <v:textbox>
                    <w:txbxContent>
                      <w:p>
                        <w:pPr>
                          <w:rPr>
                            <w:szCs w:val="21"/>
                          </w:rPr>
                        </w:pPr>
                        <w:r>
                          <w:rPr>
                            <w:rFonts w:hint="eastAsia" w:hAnsi="宋体"/>
                            <w:szCs w:val="21"/>
                          </w:rPr>
                          <w:t>备注：</w:t>
                        </w:r>
                        <w:r>
                          <w:rPr>
                            <w:szCs w:val="21"/>
                          </w:rPr>
                          <w:t xml:space="preserve"> S</w:t>
                        </w:r>
                        <w:r>
                          <w:rPr>
                            <w:rFonts w:hint="eastAsia" w:hAnsi="宋体"/>
                            <w:szCs w:val="21"/>
                          </w:rPr>
                          <w:t>：固废</w:t>
                        </w:r>
                        <w:r>
                          <w:rPr>
                            <w:szCs w:val="21"/>
                          </w:rPr>
                          <w:t xml:space="preserve">   N</w:t>
                        </w:r>
                        <w:r>
                          <w:rPr>
                            <w:rFonts w:hint="eastAsia" w:hAnsi="宋体"/>
                            <w:szCs w:val="21"/>
                          </w:rPr>
                          <w:t>：噪声、G:废气</w:t>
                        </w:r>
                      </w:p>
                    </w:txbxContent>
                  </v:textbox>
                </v:shape>
              </w:pict>
            </w:r>
          </w:p>
          <w:p>
            <w:pPr>
              <w:spacing w:line="440" w:lineRule="exact"/>
              <w:rPr>
                <w:rFonts w:ascii="黑体" w:hAnsi="黑体" w:eastAsia="黑体"/>
                <w:sz w:val="24"/>
                <w:szCs w:val="32"/>
              </w:rPr>
            </w:pPr>
          </w:p>
          <w:p>
            <w:pPr>
              <w:spacing w:line="440" w:lineRule="exact"/>
              <w:ind w:firstLine="2280" w:firstLineChars="950"/>
              <w:rPr>
                <w:rFonts w:ascii="黑体" w:hAnsi="黑体" w:eastAsia="黑体"/>
                <w:sz w:val="24"/>
                <w:szCs w:val="32"/>
              </w:rPr>
            </w:pPr>
            <w:r>
              <w:rPr>
                <w:rFonts w:ascii="黑体" w:hAnsi="黑体" w:eastAsia="黑体"/>
                <w:sz w:val="24"/>
                <w:szCs w:val="32"/>
              </w:rPr>
              <w:t>图3   环保设备机械配件工艺流程图</w:t>
            </w:r>
          </w:p>
          <w:p>
            <w:pPr>
              <w:spacing w:line="420" w:lineRule="exact"/>
              <w:rPr>
                <w:b/>
                <w:bCs/>
                <w:sz w:val="24"/>
                <w:szCs w:val="32"/>
              </w:rPr>
            </w:pPr>
            <w:r>
              <w:rPr>
                <w:b/>
                <w:bCs/>
                <w:sz w:val="24"/>
                <w:szCs w:val="32"/>
              </w:rPr>
              <w:t>工艺流程简述：</w:t>
            </w:r>
          </w:p>
          <w:p>
            <w:pPr>
              <w:spacing w:line="460" w:lineRule="exact"/>
              <w:ind w:firstLine="482" w:firstLineChars="200"/>
              <w:rPr>
                <w:sz w:val="24"/>
                <w:szCs w:val="32"/>
              </w:rPr>
            </w:pPr>
            <w:r>
              <w:rPr>
                <w:rFonts w:hint="eastAsia"/>
                <w:b/>
                <w:bCs/>
                <w:sz w:val="24"/>
                <w:szCs w:val="32"/>
              </w:rPr>
              <w:t>下料</w:t>
            </w:r>
            <w:r>
              <w:rPr>
                <w:b/>
                <w:bCs/>
                <w:sz w:val="24"/>
                <w:szCs w:val="32"/>
              </w:rPr>
              <w:t>：</w:t>
            </w:r>
            <w:r>
              <w:rPr>
                <w:bCs/>
                <w:sz w:val="24"/>
                <w:szCs w:val="32"/>
              </w:rPr>
              <w:t>将备好的原材料</w:t>
            </w:r>
            <w:r>
              <w:rPr>
                <w:sz w:val="24"/>
                <w:szCs w:val="32"/>
              </w:rPr>
              <w:t>按照一定的规格型号，利用切割机、剪板机等设备进行切割，需要打孔的原材料利用转成进行打孔。此工段设备运行过程会产生噪声</w:t>
            </w:r>
            <w:r>
              <w:rPr>
                <w:rFonts w:hint="eastAsia"/>
                <w:sz w:val="24"/>
                <w:szCs w:val="32"/>
              </w:rPr>
              <w:t>、</w:t>
            </w:r>
            <w:r>
              <w:rPr>
                <w:sz w:val="24"/>
                <w:szCs w:val="32"/>
              </w:rPr>
              <w:t>固废及废气。</w:t>
            </w:r>
          </w:p>
          <w:p>
            <w:pPr>
              <w:spacing w:line="460" w:lineRule="exact"/>
              <w:ind w:firstLine="482" w:firstLineChars="200"/>
              <w:rPr>
                <w:b/>
                <w:bCs/>
                <w:sz w:val="24"/>
                <w:szCs w:val="32"/>
              </w:rPr>
            </w:pPr>
            <w:r>
              <w:rPr>
                <w:b/>
                <w:bCs/>
                <w:sz w:val="24"/>
                <w:szCs w:val="32"/>
              </w:rPr>
              <w:t>折弯</w:t>
            </w:r>
            <w:r>
              <w:rPr>
                <w:sz w:val="24"/>
                <w:szCs w:val="32"/>
              </w:rPr>
              <w:t>：将下料完成的材料按照一定的规格型号利用折弯机进行折弯。此工段设备运行过程会产生噪声。</w:t>
            </w:r>
          </w:p>
          <w:p>
            <w:pPr>
              <w:spacing w:line="460" w:lineRule="exact"/>
              <w:ind w:firstLine="482" w:firstLineChars="200"/>
              <w:rPr>
                <w:b/>
                <w:bCs/>
                <w:sz w:val="24"/>
                <w:szCs w:val="32"/>
              </w:rPr>
            </w:pPr>
            <w:r>
              <w:rPr>
                <w:b/>
                <w:bCs/>
                <w:sz w:val="24"/>
                <w:szCs w:val="32"/>
              </w:rPr>
              <w:t>卷圆</w:t>
            </w:r>
            <w:r>
              <w:rPr>
                <w:sz w:val="24"/>
                <w:szCs w:val="32"/>
              </w:rPr>
              <w:t>：按照图纸要求，有些钢材需要利用卷圆机进行卷圆备用。此工段设备运行过程会产生噪声。</w:t>
            </w:r>
          </w:p>
          <w:p>
            <w:pPr>
              <w:spacing w:line="460" w:lineRule="exact"/>
              <w:ind w:firstLine="482" w:firstLineChars="200"/>
            </w:pPr>
            <w:r>
              <w:rPr>
                <w:b/>
                <w:bCs/>
                <w:sz w:val="24"/>
                <w:szCs w:val="32"/>
              </w:rPr>
              <w:t>焊接打磨、入库</w:t>
            </w:r>
            <w:r>
              <w:rPr>
                <w:sz w:val="24"/>
                <w:szCs w:val="32"/>
              </w:rPr>
              <w:t>：机加工后的材料按照要求将缝隙进行焊接，对焊缝进行手动打磨修整后入库代售。此工段会产生噪声及废气。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89" w:hRule="atLeast"/>
          <w:jc w:val="center"/>
        </w:trPr>
        <w:tc>
          <w:tcPr>
            <w:tcW w:w="9199" w:type="dxa"/>
            <w:tcBorders>
              <w:bottom w:val="single" w:color="auto" w:sz="8" w:space="0"/>
            </w:tcBorders>
          </w:tcPr>
          <w:p>
            <w:pPr>
              <w:spacing w:line="440" w:lineRule="exact"/>
              <w:ind w:firstLine="480" w:firstLineChars="200"/>
              <w:rPr>
                <w:sz w:val="24"/>
              </w:rPr>
            </w:pPr>
            <w:r>
              <w:rPr>
                <w:sz w:val="24"/>
              </w:rPr>
              <w:t>项目营运期污染工序详见表1</w:t>
            </w:r>
            <w:r>
              <w:rPr>
                <w:rFonts w:hint="eastAsia"/>
                <w:sz w:val="24"/>
              </w:rPr>
              <w:t>5</w:t>
            </w:r>
            <w:r>
              <w:rPr>
                <w:sz w:val="24"/>
              </w:rPr>
              <w:t>。</w:t>
            </w:r>
          </w:p>
          <w:p>
            <w:pPr>
              <w:spacing w:line="440" w:lineRule="exact"/>
              <w:ind w:firstLine="480" w:firstLineChars="200"/>
              <w:rPr>
                <w:rFonts w:ascii="黑体" w:hAnsi="黑体" w:eastAsia="黑体"/>
                <w:bCs/>
                <w:sz w:val="24"/>
              </w:rPr>
            </w:pPr>
            <w:r>
              <w:rPr>
                <w:rFonts w:ascii="黑体" w:hAnsi="黑体" w:eastAsia="黑体"/>
                <w:bCs/>
                <w:sz w:val="24"/>
              </w:rPr>
              <w:t>表1</w:t>
            </w:r>
            <w:r>
              <w:rPr>
                <w:rFonts w:hint="eastAsia" w:ascii="黑体" w:hAnsi="黑体" w:eastAsia="黑体"/>
                <w:bCs/>
                <w:sz w:val="24"/>
              </w:rPr>
              <w:t>5</w:t>
            </w:r>
            <w:r>
              <w:rPr>
                <w:rFonts w:ascii="黑体" w:hAnsi="黑体" w:eastAsia="黑体"/>
                <w:bCs/>
                <w:sz w:val="24"/>
              </w:rPr>
              <w:t xml:space="preserve">                </w:t>
            </w:r>
            <w:r>
              <w:rPr>
                <w:rFonts w:hint="eastAsia" w:ascii="黑体" w:hAnsi="黑体" w:eastAsia="黑体"/>
                <w:bCs/>
                <w:sz w:val="24"/>
              </w:rPr>
              <w:t xml:space="preserve">  </w:t>
            </w:r>
            <w:r>
              <w:rPr>
                <w:rFonts w:ascii="黑体" w:hAnsi="黑体" w:eastAsia="黑体"/>
                <w:bCs/>
                <w:sz w:val="24"/>
              </w:rPr>
              <w:t>产污环节一览表</w:t>
            </w:r>
          </w:p>
          <w:tbl>
            <w:tblPr>
              <w:tblStyle w:val="30"/>
              <w:tblW w:w="898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132"/>
              <w:gridCol w:w="1278"/>
              <w:gridCol w:w="2410"/>
              <w:gridCol w:w="307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90" w:type="dxa"/>
                  <w:tcBorders>
                    <w:top w:val="single" w:color="auto" w:sz="8" w:space="0"/>
                    <w:bottom w:val="single" w:color="auto" w:sz="4" w:space="0"/>
                    <w:right w:val="single" w:color="auto" w:sz="4" w:space="0"/>
                  </w:tcBorders>
                  <w:vAlign w:val="center"/>
                </w:tcPr>
                <w:p>
                  <w:pPr>
                    <w:jc w:val="center"/>
                    <w:rPr>
                      <w:b/>
                    </w:rPr>
                  </w:pPr>
                  <w:r>
                    <w:rPr>
                      <w:b/>
                    </w:rPr>
                    <w:t>污染因素</w:t>
                  </w:r>
                </w:p>
              </w:tc>
              <w:tc>
                <w:tcPr>
                  <w:tcW w:w="2410" w:type="dxa"/>
                  <w:gridSpan w:val="2"/>
                  <w:tcBorders>
                    <w:top w:val="single" w:color="auto" w:sz="8" w:space="0"/>
                    <w:left w:val="single" w:color="auto" w:sz="4" w:space="0"/>
                    <w:bottom w:val="single" w:color="auto" w:sz="4" w:space="0"/>
                    <w:right w:val="single" w:color="auto" w:sz="4" w:space="0"/>
                  </w:tcBorders>
                  <w:vAlign w:val="center"/>
                </w:tcPr>
                <w:p>
                  <w:pPr>
                    <w:jc w:val="center"/>
                    <w:rPr>
                      <w:b/>
                    </w:rPr>
                  </w:pPr>
                  <w:r>
                    <w:rPr>
                      <w:b/>
                    </w:rPr>
                    <w:t>产污环节</w:t>
                  </w:r>
                </w:p>
              </w:tc>
              <w:tc>
                <w:tcPr>
                  <w:tcW w:w="2410" w:type="dxa"/>
                  <w:tcBorders>
                    <w:top w:val="single" w:color="auto" w:sz="8" w:space="0"/>
                    <w:left w:val="single" w:color="auto" w:sz="4" w:space="0"/>
                    <w:bottom w:val="single" w:color="auto" w:sz="4" w:space="0"/>
                    <w:right w:val="single" w:color="auto" w:sz="4" w:space="0"/>
                  </w:tcBorders>
                  <w:vAlign w:val="center"/>
                </w:tcPr>
                <w:p>
                  <w:pPr>
                    <w:jc w:val="center"/>
                    <w:rPr>
                      <w:b/>
                    </w:rPr>
                  </w:pPr>
                  <w:r>
                    <w:rPr>
                      <w:b/>
                    </w:rPr>
                    <w:t>污染物</w:t>
                  </w:r>
                </w:p>
              </w:tc>
              <w:tc>
                <w:tcPr>
                  <w:tcW w:w="3073" w:type="dxa"/>
                  <w:tcBorders>
                    <w:top w:val="single" w:color="auto" w:sz="8" w:space="0"/>
                    <w:left w:val="single" w:color="auto" w:sz="4" w:space="0"/>
                    <w:bottom w:val="single" w:color="auto" w:sz="4" w:space="0"/>
                  </w:tcBorders>
                  <w:vAlign w:val="center"/>
                </w:tcPr>
                <w:p>
                  <w:pPr>
                    <w:jc w:val="center"/>
                    <w:rPr>
                      <w:b/>
                    </w:rPr>
                  </w:pPr>
                  <w:r>
                    <w:rPr>
                      <w:b/>
                    </w:rPr>
                    <w:t>防治措施</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090" w:type="dxa"/>
                  <w:vMerge w:val="restart"/>
                  <w:tcBorders>
                    <w:top w:val="single" w:color="auto" w:sz="4" w:space="0"/>
                    <w:right w:val="single" w:color="auto" w:sz="4" w:space="0"/>
                  </w:tcBorders>
                  <w:vAlign w:val="center"/>
                </w:tcPr>
                <w:p>
                  <w:pPr>
                    <w:jc w:val="center"/>
                  </w:pPr>
                  <w:r>
                    <w:t>废气</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pPr>
                  <w:r>
                    <w:t>切割</w:t>
                  </w:r>
                </w:p>
              </w:tc>
              <w:tc>
                <w:tcPr>
                  <w:tcW w:w="2410" w:type="dxa"/>
                  <w:tcBorders>
                    <w:top w:val="single" w:color="auto" w:sz="4" w:space="0"/>
                    <w:left w:val="single" w:color="auto" w:sz="4" w:space="0"/>
                    <w:right w:val="single" w:color="auto" w:sz="4" w:space="0"/>
                  </w:tcBorders>
                  <w:vAlign w:val="center"/>
                </w:tcPr>
                <w:p>
                  <w:pPr>
                    <w:jc w:val="center"/>
                  </w:pPr>
                  <w:r>
                    <w:t>切割废气</w:t>
                  </w:r>
                </w:p>
              </w:tc>
              <w:tc>
                <w:tcPr>
                  <w:tcW w:w="3073" w:type="dxa"/>
                  <w:vMerge w:val="restart"/>
                  <w:tcBorders>
                    <w:top w:val="single" w:color="auto" w:sz="4" w:space="0"/>
                    <w:left w:val="single" w:color="auto" w:sz="4" w:space="0"/>
                  </w:tcBorders>
                  <w:vAlign w:val="center"/>
                </w:tcPr>
                <w:p>
                  <w:pPr>
                    <w:jc w:val="center"/>
                  </w:pPr>
                  <w:r>
                    <w:t>负压式密闭室+袋式除尘器+15m高排气筒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090" w:type="dxa"/>
                  <w:vMerge w:val="continue"/>
                  <w:tcBorders>
                    <w:bottom w:val="single" w:color="auto" w:sz="4" w:space="0"/>
                    <w:right w:val="single" w:color="auto" w:sz="4" w:space="0"/>
                  </w:tcBorders>
                  <w:vAlign w:val="center"/>
                </w:tcPr>
                <w:p>
                  <w:pPr>
                    <w:jc w:val="cente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pPr>
                  <w:r>
                    <w:t>焊接打磨</w:t>
                  </w:r>
                </w:p>
              </w:tc>
              <w:tc>
                <w:tcPr>
                  <w:tcW w:w="2410" w:type="dxa"/>
                  <w:tcBorders>
                    <w:left w:val="single" w:color="auto" w:sz="4" w:space="0"/>
                    <w:bottom w:val="single" w:color="auto" w:sz="4" w:space="0"/>
                    <w:right w:val="single" w:color="auto" w:sz="4" w:space="0"/>
                  </w:tcBorders>
                  <w:vAlign w:val="center"/>
                </w:tcPr>
                <w:p>
                  <w:pPr>
                    <w:jc w:val="center"/>
                  </w:pPr>
                  <w:r>
                    <w:t>焊烟、打磨废气</w:t>
                  </w:r>
                </w:p>
              </w:tc>
              <w:tc>
                <w:tcPr>
                  <w:tcW w:w="3073" w:type="dxa"/>
                  <w:vMerge w:val="continue"/>
                  <w:tcBorders>
                    <w:left w:val="single" w:color="auto" w:sz="4" w:space="0"/>
                    <w:bottom w:val="single" w:color="auto" w:sz="4" w:space="0"/>
                  </w:tcBorders>
                  <w:vAlign w:val="center"/>
                </w:tcPr>
                <w:p>
                  <w:pPr>
                    <w:jc w:val="cente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090" w:type="dxa"/>
                  <w:tcBorders>
                    <w:top w:val="single" w:color="auto" w:sz="4" w:space="0"/>
                    <w:bottom w:val="single" w:color="auto" w:sz="4" w:space="0"/>
                    <w:right w:val="single" w:color="auto" w:sz="4" w:space="0"/>
                  </w:tcBorders>
                  <w:vAlign w:val="center"/>
                </w:tcPr>
                <w:p>
                  <w:pPr>
                    <w:jc w:val="center"/>
                  </w:pPr>
                  <w:r>
                    <w:t>废水</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jc w:val="center"/>
                  </w:pPr>
                  <w:r>
                    <w:t>生活污水</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pPr>
                  <w:r>
                    <w:t>COD、SS、NH</w:t>
                  </w:r>
                  <w:r>
                    <w:rPr>
                      <w:vertAlign w:val="subscript"/>
                    </w:rPr>
                    <w:t>3</w:t>
                  </w:r>
                  <w:r>
                    <w:t>-N、TP、</w:t>
                  </w:r>
                  <w:r>
                    <w:rPr>
                      <w:rFonts w:hint="eastAsia"/>
                    </w:rPr>
                    <w:t>TN</w:t>
                  </w:r>
                </w:p>
              </w:tc>
              <w:tc>
                <w:tcPr>
                  <w:tcW w:w="3073" w:type="dxa"/>
                  <w:tcBorders>
                    <w:top w:val="single" w:color="auto" w:sz="4" w:space="0"/>
                    <w:left w:val="single" w:color="auto" w:sz="4" w:space="0"/>
                    <w:bottom w:val="single" w:color="auto" w:sz="4" w:space="0"/>
                  </w:tcBorders>
                  <w:vAlign w:val="center"/>
                </w:tcPr>
                <w:p>
                  <w:pPr>
                    <w:jc w:val="center"/>
                  </w:pPr>
                  <w:r>
                    <w:t>由化粪池处理后定期清运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1090" w:type="dxa"/>
                  <w:vMerge w:val="restart"/>
                  <w:tcBorders>
                    <w:top w:val="single" w:color="auto" w:sz="4" w:space="0"/>
                    <w:bottom w:val="single" w:color="auto" w:sz="4" w:space="0"/>
                    <w:right w:val="single" w:color="auto" w:sz="4" w:space="0"/>
                  </w:tcBorders>
                  <w:vAlign w:val="center"/>
                </w:tcPr>
                <w:p>
                  <w:pPr>
                    <w:jc w:val="center"/>
                  </w:pPr>
                  <w:r>
                    <w:t>固废</w:t>
                  </w:r>
                </w:p>
              </w:tc>
              <w:tc>
                <w:tcPr>
                  <w:tcW w:w="1132" w:type="dxa"/>
                  <w:vMerge w:val="restart"/>
                  <w:tcBorders>
                    <w:top w:val="single" w:color="auto" w:sz="4" w:space="0"/>
                    <w:left w:val="single" w:color="auto" w:sz="4" w:space="0"/>
                    <w:bottom w:val="single" w:color="auto" w:sz="4" w:space="0"/>
                    <w:right w:val="single" w:color="auto" w:sz="4" w:space="0"/>
                  </w:tcBorders>
                  <w:vAlign w:val="center"/>
                </w:tcPr>
                <w:p>
                  <w:pPr>
                    <w:jc w:val="center"/>
                  </w:pPr>
                  <w:r>
                    <w:t>一般固废</w:t>
                  </w:r>
                </w:p>
              </w:tc>
              <w:tc>
                <w:tcPr>
                  <w:tcW w:w="1278" w:type="dxa"/>
                  <w:tcBorders>
                    <w:top w:val="single" w:color="auto" w:sz="4" w:space="0"/>
                    <w:left w:val="single" w:color="auto" w:sz="4" w:space="0"/>
                    <w:right w:val="single" w:color="auto" w:sz="4" w:space="0"/>
                  </w:tcBorders>
                  <w:vAlign w:val="center"/>
                </w:tcPr>
                <w:p>
                  <w:pPr>
                    <w:jc w:val="center"/>
                  </w:pPr>
                  <w:r>
                    <w:t>机加工</w:t>
                  </w:r>
                </w:p>
              </w:tc>
              <w:tc>
                <w:tcPr>
                  <w:tcW w:w="2410" w:type="dxa"/>
                  <w:tcBorders>
                    <w:top w:val="single" w:color="auto" w:sz="4" w:space="0"/>
                    <w:left w:val="single" w:color="auto" w:sz="4" w:space="0"/>
                    <w:right w:val="single" w:color="auto" w:sz="4" w:space="0"/>
                  </w:tcBorders>
                  <w:vAlign w:val="center"/>
                </w:tcPr>
                <w:p>
                  <w:pPr>
                    <w:jc w:val="center"/>
                  </w:pPr>
                  <w:r>
                    <w:t>废边角料</w:t>
                  </w:r>
                </w:p>
              </w:tc>
              <w:tc>
                <w:tcPr>
                  <w:tcW w:w="3073" w:type="dxa"/>
                  <w:tcBorders>
                    <w:top w:val="single" w:color="auto" w:sz="4" w:space="0"/>
                    <w:left w:val="single" w:color="auto" w:sz="4" w:space="0"/>
                  </w:tcBorders>
                  <w:vAlign w:val="center"/>
                </w:tcPr>
                <w:p>
                  <w:pPr>
                    <w:jc w:val="center"/>
                  </w:pPr>
                  <w:r>
                    <w:t>收集暂存后定期外售</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90" w:type="dxa"/>
                  <w:vMerge w:val="continue"/>
                  <w:tcBorders>
                    <w:top w:val="single" w:color="auto" w:sz="4" w:space="0"/>
                    <w:bottom w:val="single" w:color="auto" w:sz="4" w:space="0"/>
                    <w:right w:val="single" w:color="auto" w:sz="4" w:space="0"/>
                  </w:tcBorders>
                  <w:vAlign w:val="center"/>
                </w:tcPr>
                <w:p>
                  <w:pPr>
                    <w:jc w:val="cente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pPr>
                  <w:r>
                    <w:t>除尘器除尘</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pPr>
                  <w:r>
                    <w:t>颗粒物</w:t>
                  </w:r>
                </w:p>
              </w:tc>
              <w:tc>
                <w:tcPr>
                  <w:tcW w:w="3073" w:type="dxa"/>
                  <w:tcBorders>
                    <w:left w:val="single" w:color="auto" w:sz="4" w:space="0"/>
                    <w:bottom w:val="single" w:color="auto" w:sz="4" w:space="0"/>
                  </w:tcBorders>
                  <w:vAlign w:val="center"/>
                </w:tcPr>
                <w:p>
                  <w:pPr>
                    <w:jc w:val="center"/>
                  </w:pPr>
                  <w:r>
                    <w:t>收集暂存后交由环卫部门处理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90" w:type="dxa"/>
                  <w:vMerge w:val="continue"/>
                  <w:tcBorders>
                    <w:top w:val="single" w:color="auto" w:sz="4" w:space="0"/>
                    <w:bottom w:val="single" w:color="auto" w:sz="4" w:space="0"/>
                    <w:right w:val="single" w:color="auto" w:sz="4" w:space="0"/>
                  </w:tcBorders>
                  <w:vAlign w:val="center"/>
                </w:tcPr>
                <w:p>
                  <w:pPr>
                    <w:jc w:val="cente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278" w:type="dxa"/>
                  <w:tcBorders>
                    <w:top w:val="single" w:color="auto" w:sz="4" w:space="0"/>
                    <w:left w:val="single" w:color="auto" w:sz="4" w:space="0"/>
                    <w:bottom w:val="single" w:color="auto" w:sz="4" w:space="0"/>
                    <w:right w:val="single" w:color="auto" w:sz="4" w:space="0"/>
                  </w:tcBorders>
                  <w:vAlign w:val="center"/>
                </w:tcPr>
                <w:p>
                  <w:pPr>
                    <w:jc w:val="center"/>
                  </w:pPr>
                  <w:r>
                    <w:t>员工生活</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pPr>
                  <w:r>
                    <w:t>生活垃圾</w:t>
                  </w:r>
                </w:p>
              </w:tc>
              <w:tc>
                <w:tcPr>
                  <w:tcW w:w="3073" w:type="dxa"/>
                  <w:tcBorders>
                    <w:left w:val="single" w:color="auto" w:sz="4" w:space="0"/>
                    <w:bottom w:val="single" w:color="auto" w:sz="4" w:space="0"/>
                  </w:tcBorders>
                  <w:vAlign w:val="center"/>
                </w:tcPr>
                <w:p>
                  <w:pPr>
                    <w:jc w:val="center"/>
                  </w:pPr>
                  <w:r>
                    <w:t>交由环卫部门统一清运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90" w:type="dxa"/>
                  <w:vMerge w:val="continue"/>
                  <w:tcBorders>
                    <w:top w:val="single" w:color="auto" w:sz="4" w:space="0"/>
                    <w:bottom w:val="single" w:color="auto" w:sz="4" w:space="0"/>
                    <w:right w:val="single" w:color="auto" w:sz="4" w:space="0"/>
                  </w:tcBorders>
                  <w:vAlign w:val="center"/>
                </w:tcPr>
                <w:p>
                  <w:pPr>
                    <w:jc w:val="cente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pPr>
                  <w:r>
                    <w:t>危险废物</w:t>
                  </w:r>
                </w:p>
              </w:tc>
              <w:tc>
                <w:tcPr>
                  <w:tcW w:w="1278" w:type="dxa"/>
                  <w:tcBorders>
                    <w:top w:val="single" w:color="auto" w:sz="4" w:space="0"/>
                    <w:left w:val="single" w:color="auto" w:sz="4" w:space="0"/>
                    <w:bottom w:val="single" w:color="auto" w:sz="4" w:space="0"/>
                    <w:right w:val="single" w:color="auto" w:sz="4" w:space="0"/>
                  </w:tcBorders>
                  <w:vAlign w:val="center"/>
                </w:tcPr>
                <w:p>
                  <w:pPr>
                    <w:jc w:val="center"/>
                  </w:pPr>
                  <w:r>
                    <w:t>机加工设备</w:t>
                  </w:r>
                </w:p>
              </w:tc>
              <w:tc>
                <w:tcPr>
                  <w:tcW w:w="2410" w:type="dxa"/>
                  <w:tcBorders>
                    <w:top w:val="single" w:color="auto" w:sz="4" w:space="0"/>
                    <w:left w:val="single" w:color="auto" w:sz="4" w:space="0"/>
                    <w:bottom w:val="single" w:color="auto" w:sz="4" w:space="0"/>
                    <w:right w:val="single" w:color="auto" w:sz="4" w:space="0"/>
                  </w:tcBorders>
                  <w:vAlign w:val="center"/>
                </w:tcPr>
                <w:p>
                  <w:pPr>
                    <w:tabs>
                      <w:tab w:val="left" w:pos="6593"/>
                    </w:tabs>
                    <w:jc w:val="center"/>
                  </w:pPr>
                  <w:r>
                    <w:t>废机油</w:t>
                  </w:r>
                </w:p>
              </w:tc>
              <w:tc>
                <w:tcPr>
                  <w:tcW w:w="3073" w:type="dxa"/>
                  <w:tcBorders>
                    <w:top w:val="single" w:color="auto" w:sz="4" w:space="0"/>
                    <w:left w:val="single" w:color="auto" w:sz="4" w:space="0"/>
                    <w:bottom w:val="single" w:color="auto" w:sz="4" w:space="0"/>
                  </w:tcBorders>
                  <w:vAlign w:val="center"/>
                </w:tcPr>
                <w:p>
                  <w:pPr>
                    <w:jc w:val="center"/>
                  </w:pPr>
                  <w:r>
                    <w:t>危废暂存间暂存后交由有相应类别危废资质单位定期处理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90" w:type="dxa"/>
                  <w:tcBorders>
                    <w:top w:val="single" w:color="auto" w:sz="4" w:space="0"/>
                    <w:bottom w:val="single" w:color="auto" w:sz="8" w:space="0"/>
                    <w:right w:val="single" w:color="auto" w:sz="4" w:space="0"/>
                  </w:tcBorders>
                  <w:vAlign w:val="center"/>
                </w:tcPr>
                <w:p>
                  <w:pPr>
                    <w:jc w:val="center"/>
                  </w:pPr>
                  <w:r>
                    <w:t>噪 声</w:t>
                  </w:r>
                </w:p>
              </w:tc>
              <w:tc>
                <w:tcPr>
                  <w:tcW w:w="2410" w:type="dxa"/>
                  <w:gridSpan w:val="2"/>
                  <w:tcBorders>
                    <w:top w:val="single" w:color="auto" w:sz="4" w:space="0"/>
                    <w:left w:val="single" w:color="auto" w:sz="4" w:space="0"/>
                    <w:bottom w:val="single" w:color="auto" w:sz="8" w:space="0"/>
                    <w:right w:val="single" w:color="auto" w:sz="4" w:space="0"/>
                  </w:tcBorders>
                  <w:vAlign w:val="center"/>
                </w:tcPr>
                <w:p>
                  <w:pPr>
                    <w:jc w:val="center"/>
                  </w:pPr>
                  <w:r>
                    <w:t>机加工工序</w:t>
                  </w:r>
                </w:p>
              </w:tc>
              <w:tc>
                <w:tcPr>
                  <w:tcW w:w="2410" w:type="dxa"/>
                  <w:tcBorders>
                    <w:top w:val="single" w:color="auto" w:sz="4" w:space="0"/>
                    <w:left w:val="single" w:color="auto" w:sz="4" w:space="0"/>
                    <w:bottom w:val="single" w:color="auto" w:sz="8" w:space="0"/>
                    <w:right w:val="single" w:color="auto" w:sz="4" w:space="0"/>
                  </w:tcBorders>
                  <w:vAlign w:val="center"/>
                </w:tcPr>
                <w:p>
                  <w:pPr>
                    <w:jc w:val="center"/>
                  </w:pPr>
                  <w:r>
                    <w:t>设备噪声</w:t>
                  </w:r>
                </w:p>
              </w:tc>
              <w:tc>
                <w:tcPr>
                  <w:tcW w:w="3073" w:type="dxa"/>
                  <w:tcBorders>
                    <w:top w:val="single" w:color="auto" w:sz="4" w:space="0"/>
                    <w:left w:val="single" w:color="auto" w:sz="4" w:space="0"/>
                    <w:bottom w:val="single" w:color="auto" w:sz="8" w:space="0"/>
                  </w:tcBorders>
                  <w:vAlign w:val="center"/>
                </w:tcPr>
                <w:p>
                  <w:pPr>
                    <w:jc w:val="center"/>
                  </w:pPr>
                  <w:r>
                    <w:t>减振、密闭隔音、距离衰减等</w:t>
                  </w:r>
                </w:p>
              </w:tc>
            </w:tr>
          </w:tbl>
          <w:p>
            <w:pPr>
              <w:pStyle w:val="2"/>
              <w:ind w:firstLine="0" w:firstLineChars="0"/>
            </w:pPr>
          </w:p>
        </w:tc>
      </w:tr>
    </w:tbl>
    <w:p>
      <w:pPr>
        <w:spacing w:line="440" w:lineRule="exact"/>
        <w:jc w:val="left"/>
        <w:rPr>
          <w:b/>
          <w:sz w:val="28"/>
        </w:rPr>
      </w:pPr>
      <w:r>
        <w:rPr>
          <w:b/>
          <w:sz w:val="28"/>
        </w:rPr>
        <w:t>项目主要污染物产生及预计排放情况</w:t>
      </w:r>
    </w:p>
    <w:tbl>
      <w:tblPr>
        <w:tblStyle w:val="30"/>
        <w:tblW w:w="915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793"/>
        <w:gridCol w:w="1842"/>
        <w:gridCol w:w="1205"/>
        <w:gridCol w:w="1205"/>
        <w:gridCol w:w="21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tcBorders>
              <w:top w:val="single" w:color="auto" w:sz="8" w:space="0"/>
              <w:tl2br w:val="single" w:color="auto" w:sz="4" w:space="0"/>
            </w:tcBorders>
            <w:vAlign w:val="center"/>
          </w:tcPr>
          <w:p>
            <w:pPr>
              <w:spacing w:line="440" w:lineRule="exact"/>
              <w:ind w:firstLine="241" w:firstLineChars="100"/>
              <w:jc w:val="center"/>
              <w:rPr>
                <w:b/>
                <w:sz w:val="24"/>
              </w:rPr>
            </w:pPr>
            <w:r>
              <w:rPr>
                <w:b/>
                <w:sz w:val="24"/>
              </w:rPr>
              <w:t>内容</w:t>
            </w:r>
          </w:p>
          <w:p>
            <w:pPr>
              <w:spacing w:line="440" w:lineRule="exact"/>
              <w:jc w:val="center"/>
              <w:rPr>
                <w:b/>
                <w:sz w:val="24"/>
              </w:rPr>
            </w:pPr>
          </w:p>
          <w:p>
            <w:pPr>
              <w:spacing w:line="440" w:lineRule="exact"/>
              <w:rPr>
                <w:b/>
                <w:sz w:val="24"/>
              </w:rPr>
            </w:pPr>
            <w:r>
              <w:rPr>
                <w:b/>
                <w:sz w:val="24"/>
              </w:rPr>
              <w:t>类型</w:t>
            </w:r>
          </w:p>
        </w:tc>
        <w:tc>
          <w:tcPr>
            <w:tcW w:w="1793" w:type="dxa"/>
            <w:tcBorders>
              <w:top w:val="single" w:color="auto" w:sz="8" w:space="0"/>
            </w:tcBorders>
            <w:vAlign w:val="center"/>
          </w:tcPr>
          <w:p>
            <w:pPr>
              <w:spacing w:line="340" w:lineRule="exact"/>
              <w:jc w:val="center"/>
              <w:rPr>
                <w:b/>
                <w:sz w:val="24"/>
              </w:rPr>
            </w:pPr>
            <w:r>
              <w:rPr>
                <w:b/>
                <w:sz w:val="24"/>
              </w:rPr>
              <w:t>排放源</w:t>
            </w:r>
          </w:p>
          <w:p>
            <w:pPr>
              <w:spacing w:line="340" w:lineRule="exact"/>
              <w:jc w:val="center"/>
              <w:rPr>
                <w:b/>
                <w:sz w:val="24"/>
              </w:rPr>
            </w:pPr>
            <w:r>
              <w:rPr>
                <w:b/>
                <w:sz w:val="24"/>
              </w:rPr>
              <w:t>（编号）</w:t>
            </w:r>
          </w:p>
        </w:tc>
        <w:tc>
          <w:tcPr>
            <w:tcW w:w="1842" w:type="dxa"/>
            <w:tcBorders>
              <w:top w:val="single" w:color="auto" w:sz="8" w:space="0"/>
            </w:tcBorders>
            <w:vAlign w:val="center"/>
          </w:tcPr>
          <w:p>
            <w:pPr>
              <w:spacing w:line="340" w:lineRule="exact"/>
              <w:jc w:val="center"/>
              <w:rPr>
                <w:b/>
                <w:sz w:val="24"/>
              </w:rPr>
            </w:pPr>
            <w:r>
              <w:rPr>
                <w:b/>
                <w:sz w:val="24"/>
              </w:rPr>
              <w:t>污染物</w:t>
            </w:r>
          </w:p>
          <w:p>
            <w:pPr>
              <w:spacing w:line="340" w:lineRule="exact"/>
              <w:jc w:val="center"/>
              <w:rPr>
                <w:b/>
                <w:sz w:val="24"/>
              </w:rPr>
            </w:pPr>
            <w:r>
              <w:rPr>
                <w:b/>
                <w:sz w:val="24"/>
              </w:rPr>
              <w:t>名  称</w:t>
            </w:r>
          </w:p>
        </w:tc>
        <w:tc>
          <w:tcPr>
            <w:tcW w:w="2410" w:type="dxa"/>
            <w:gridSpan w:val="2"/>
            <w:tcBorders>
              <w:top w:val="single" w:color="auto" w:sz="8" w:space="0"/>
            </w:tcBorders>
            <w:vAlign w:val="center"/>
          </w:tcPr>
          <w:p>
            <w:pPr>
              <w:spacing w:line="340" w:lineRule="exact"/>
              <w:jc w:val="center"/>
              <w:rPr>
                <w:b/>
                <w:sz w:val="24"/>
              </w:rPr>
            </w:pPr>
            <w:r>
              <w:rPr>
                <w:b/>
                <w:sz w:val="24"/>
              </w:rPr>
              <w:t>处理前产生浓度及产生量（单位）</w:t>
            </w:r>
          </w:p>
        </w:tc>
        <w:tc>
          <w:tcPr>
            <w:tcW w:w="2168" w:type="dxa"/>
            <w:tcBorders>
              <w:top w:val="single" w:color="auto" w:sz="8" w:space="0"/>
            </w:tcBorders>
            <w:vAlign w:val="center"/>
          </w:tcPr>
          <w:p>
            <w:pPr>
              <w:spacing w:line="340" w:lineRule="exact"/>
              <w:jc w:val="center"/>
              <w:rPr>
                <w:b/>
                <w:sz w:val="24"/>
              </w:rPr>
            </w:pPr>
            <w:r>
              <w:rPr>
                <w:b/>
                <w:sz w:val="24"/>
              </w:rPr>
              <w:t>排放浓度及排放量</w:t>
            </w:r>
          </w:p>
          <w:p>
            <w:pPr>
              <w:spacing w:line="340" w:lineRule="exact"/>
              <w:jc w:val="center"/>
              <w:rPr>
                <w:b/>
                <w:sz w:val="24"/>
              </w:rPr>
            </w:pPr>
            <w:r>
              <w:rPr>
                <w:b/>
                <w:sz w:val="24"/>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45" w:type="dxa"/>
            <w:vMerge w:val="restart"/>
            <w:vAlign w:val="center"/>
          </w:tcPr>
          <w:p>
            <w:pPr>
              <w:jc w:val="center"/>
              <w:rPr>
                <w:b/>
                <w:sz w:val="24"/>
              </w:rPr>
            </w:pPr>
            <w:r>
              <w:rPr>
                <w:b/>
                <w:sz w:val="24"/>
              </w:rPr>
              <w:t>大</w:t>
            </w:r>
          </w:p>
          <w:p>
            <w:pPr>
              <w:jc w:val="center"/>
              <w:rPr>
                <w:b/>
                <w:sz w:val="24"/>
              </w:rPr>
            </w:pPr>
            <w:r>
              <w:rPr>
                <w:b/>
                <w:sz w:val="24"/>
              </w:rPr>
              <w:t>气</w:t>
            </w:r>
          </w:p>
          <w:p>
            <w:pPr>
              <w:jc w:val="center"/>
              <w:rPr>
                <w:b/>
                <w:sz w:val="24"/>
              </w:rPr>
            </w:pPr>
            <w:r>
              <w:rPr>
                <w:b/>
                <w:sz w:val="24"/>
              </w:rPr>
              <w:t>污</w:t>
            </w:r>
          </w:p>
          <w:p>
            <w:pPr>
              <w:jc w:val="center"/>
              <w:rPr>
                <w:b/>
                <w:sz w:val="24"/>
              </w:rPr>
            </w:pPr>
            <w:r>
              <w:rPr>
                <w:b/>
                <w:sz w:val="24"/>
              </w:rPr>
              <w:t>染</w:t>
            </w:r>
          </w:p>
          <w:p>
            <w:pPr>
              <w:jc w:val="center"/>
              <w:rPr>
                <w:b/>
                <w:sz w:val="24"/>
              </w:rPr>
            </w:pPr>
            <w:r>
              <w:rPr>
                <w:b/>
                <w:sz w:val="24"/>
              </w:rPr>
              <w:t>物</w:t>
            </w:r>
          </w:p>
        </w:tc>
        <w:tc>
          <w:tcPr>
            <w:tcW w:w="1793" w:type="dxa"/>
            <w:vAlign w:val="center"/>
          </w:tcPr>
          <w:p>
            <w:pPr>
              <w:jc w:val="center"/>
              <w:rPr>
                <w:sz w:val="24"/>
                <w:szCs w:val="21"/>
              </w:rPr>
            </w:pPr>
            <w:r>
              <w:rPr>
                <w:sz w:val="24"/>
                <w:szCs w:val="21"/>
              </w:rPr>
              <w:t>切割</w:t>
            </w:r>
          </w:p>
        </w:tc>
        <w:tc>
          <w:tcPr>
            <w:tcW w:w="1842" w:type="dxa"/>
            <w:vAlign w:val="center"/>
          </w:tcPr>
          <w:p>
            <w:pPr>
              <w:jc w:val="center"/>
              <w:rPr>
                <w:sz w:val="24"/>
                <w:szCs w:val="21"/>
              </w:rPr>
            </w:pPr>
            <w:r>
              <w:rPr>
                <w:sz w:val="24"/>
                <w:szCs w:val="21"/>
              </w:rPr>
              <w:t>切割废气</w:t>
            </w:r>
          </w:p>
        </w:tc>
        <w:tc>
          <w:tcPr>
            <w:tcW w:w="1205" w:type="dxa"/>
            <w:vAlign w:val="center"/>
          </w:tcPr>
          <w:p>
            <w:pPr>
              <w:jc w:val="center"/>
              <w:rPr>
                <w:sz w:val="24"/>
              </w:rPr>
            </w:pPr>
            <w:r>
              <w:rPr>
                <w:bCs/>
                <w:sz w:val="24"/>
              </w:rPr>
              <w:t>0.0</w:t>
            </w:r>
            <w:r>
              <w:rPr>
                <w:rFonts w:hint="eastAsia"/>
                <w:bCs/>
                <w:sz w:val="24"/>
              </w:rPr>
              <w:t>45</w:t>
            </w:r>
            <w:r>
              <w:rPr>
                <w:bCs/>
                <w:sz w:val="24"/>
              </w:rPr>
              <w:t>t/a</w:t>
            </w:r>
          </w:p>
        </w:tc>
        <w:tc>
          <w:tcPr>
            <w:tcW w:w="1205" w:type="dxa"/>
            <w:vMerge w:val="restart"/>
            <w:vAlign w:val="center"/>
          </w:tcPr>
          <w:p>
            <w:pPr>
              <w:jc w:val="center"/>
              <w:rPr>
                <w:sz w:val="24"/>
              </w:rPr>
            </w:pPr>
            <w:r>
              <w:rPr>
                <w:rFonts w:hint="eastAsia"/>
                <w:sz w:val="24"/>
              </w:rPr>
              <w:t>111.85</w:t>
            </w:r>
            <w:r>
              <w:rPr>
                <w:bCs/>
                <w:sz w:val="24"/>
              </w:rPr>
              <w:t>mg/m</w:t>
            </w:r>
            <w:r>
              <w:rPr>
                <w:bCs/>
                <w:sz w:val="24"/>
                <w:vertAlign w:val="superscript"/>
              </w:rPr>
              <w:t>3</w:t>
            </w:r>
          </w:p>
        </w:tc>
        <w:tc>
          <w:tcPr>
            <w:tcW w:w="2168" w:type="dxa"/>
            <w:vMerge w:val="restart"/>
            <w:vAlign w:val="center"/>
          </w:tcPr>
          <w:p>
            <w:pPr>
              <w:jc w:val="center"/>
              <w:rPr>
                <w:sz w:val="24"/>
              </w:rPr>
            </w:pPr>
            <w:r>
              <w:rPr>
                <w:bCs/>
                <w:sz w:val="24"/>
              </w:rPr>
              <w:t>0.0</w:t>
            </w:r>
            <w:r>
              <w:rPr>
                <w:rFonts w:hint="eastAsia"/>
                <w:bCs/>
                <w:sz w:val="24"/>
              </w:rPr>
              <w:t>151</w:t>
            </w:r>
            <w:r>
              <w:rPr>
                <w:bCs/>
                <w:sz w:val="24"/>
              </w:rPr>
              <w:t>t/a，</w:t>
            </w:r>
            <w:r>
              <w:rPr>
                <w:rFonts w:hint="eastAsia"/>
                <w:bCs/>
                <w:sz w:val="24"/>
              </w:rPr>
              <w:t>11.185</w:t>
            </w:r>
            <w:r>
              <w:rPr>
                <w:bCs/>
                <w:sz w:val="24"/>
              </w:rPr>
              <w:t>mg/m</w:t>
            </w:r>
            <w:r>
              <w:rPr>
                <w:bCs/>
                <w:sz w:val="24"/>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945" w:type="dxa"/>
            <w:vMerge w:val="continue"/>
            <w:vAlign w:val="center"/>
          </w:tcPr>
          <w:p>
            <w:pPr>
              <w:jc w:val="center"/>
              <w:rPr>
                <w:b/>
                <w:sz w:val="24"/>
              </w:rPr>
            </w:pPr>
          </w:p>
        </w:tc>
        <w:tc>
          <w:tcPr>
            <w:tcW w:w="1793" w:type="dxa"/>
            <w:vAlign w:val="center"/>
          </w:tcPr>
          <w:p>
            <w:pPr>
              <w:jc w:val="center"/>
              <w:rPr>
                <w:sz w:val="24"/>
                <w:szCs w:val="21"/>
              </w:rPr>
            </w:pPr>
            <w:r>
              <w:rPr>
                <w:rFonts w:hint="eastAsia"/>
                <w:sz w:val="24"/>
                <w:szCs w:val="21"/>
              </w:rPr>
              <w:t>焊接打磨</w:t>
            </w:r>
          </w:p>
        </w:tc>
        <w:tc>
          <w:tcPr>
            <w:tcW w:w="1842" w:type="dxa"/>
            <w:vAlign w:val="center"/>
          </w:tcPr>
          <w:p>
            <w:pPr>
              <w:jc w:val="center"/>
              <w:rPr>
                <w:sz w:val="24"/>
                <w:szCs w:val="21"/>
              </w:rPr>
            </w:pPr>
            <w:r>
              <w:rPr>
                <w:sz w:val="24"/>
                <w:szCs w:val="21"/>
              </w:rPr>
              <w:t>焊烟、打磨废气</w:t>
            </w:r>
          </w:p>
        </w:tc>
        <w:tc>
          <w:tcPr>
            <w:tcW w:w="1205" w:type="dxa"/>
            <w:vAlign w:val="center"/>
          </w:tcPr>
          <w:p>
            <w:pPr>
              <w:jc w:val="center"/>
              <w:rPr>
                <w:bCs/>
                <w:sz w:val="24"/>
              </w:rPr>
            </w:pPr>
            <w:r>
              <w:rPr>
                <w:rFonts w:hint="eastAsia"/>
                <w:bCs/>
                <w:sz w:val="24"/>
              </w:rPr>
              <w:t>0.106t/a</w:t>
            </w:r>
          </w:p>
        </w:tc>
        <w:tc>
          <w:tcPr>
            <w:tcW w:w="1205" w:type="dxa"/>
            <w:vMerge w:val="continue"/>
            <w:vAlign w:val="center"/>
          </w:tcPr>
          <w:p>
            <w:pPr>
              <w:jc w:val="center"/>
              <w:rPr>
                <w:bCs/>
                <w:sz w:val="24"/>
              </w:rPr>
            </w:pPr>
          </w:p>
        </w:tc>
        <w:tc>
          <w:tcPr>
            <w:tcW w:w="2168" w:type="dxa"/>
            <w:vMerge w:val="continue"/>
            <w:vAlign w:val="center"/>
          </w:tcPr>
          <w:p>
            <w:pPr>
              <w:jc w:val="center"/>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restart"/>
            <w:vAlign w:val="center"/>
          </w:tcPr>
          <w:p>
            <w:pPr>
              <w:jc w:val="center"/>
              <w:rPr>
                <w:b/>
                <w:sz w:val="24"/>
              </w:rPr>
            </w:pPr>
            <w:r>
              <w:rPr>
                <w:b/>
                <w:sz w:val="24"/>
              </w:rPr>
              <w:t>水</w:t>
            </w:r>
          </w:p>
          <w:p>
            <w:pPr>
              <w:jc w:val="center"/>
              <w:rPr>
                <w:b/>
                <w:sz w:val="24"/>
              </w:rPr>
            </w:pPr>
            <w:r>
              <w:rPr>
                <w:b/>
                <w:sz w:val="24"/>
              </w:rPr>
              <w:t>污</w:t>
            </w:r>
          </w:p>
          <w:p>
            <w:pPr>
              <w:jc w:val="center"/>
              <w:rPr>
                <w:b/>
                <w:sz w:val="24"/>
              </w:rPr>
            </w:pPr>
            <w:r>
              <w:rPr>
                <w:b/>
                <w:sz w:val="24"/>
              </w:rPr>
              <w:t>染</w:t>
            </w:r>
          </w:p>
          <w:p>
            <w:pPr>
              <w:jc w:val="center"/>
              <w:rPr>
                <w:b/>
                <w:sz w:val="24"/>
              </w:rPr>
            </w:pPr>
            <w:r>
              <w:rPr>
                <w:b/>
                <w:sz w:val="24"/>
              </w:rPr>
              <w:t>物</w:t>
            </w:r>
          </w:p>
        </w:tc>
        <w:tc>
          <w:tcPr>
            <w:tcW w:w="1793" w:type="dxa"/>
            <w:vMerge w:val="restart"/>
            <w:vAlign w:val="center"/>
          </w:tcPr>
          <w:p>
            <w:pPr>
              <w:jc w:val="center"/>
              <w:rPr>
                <w:sz w:val="24"/>
              </w:rPr>
            </w:pPr>
            <w:r>
              <w:rPr>
                <w:sz w:val="24"/>
              </w:rPr>
              <w:t>生活污水</w:t>
            </w:r>
          </w:p>
          <w:p>
            <w:pPr>
              <w:jc w:val="center"/>
              <w:rPr>
                <w:sz w:val="24"/>
              </w:rPr>
            </w:pPr>
            <w:r>
              <w:rPr>
                <w:sz w:val="24"/>
              </w:rPr>
              <w:t>（</w:t>
            </w:r>
            <w:r>
              <w:rPr>
                <w:rFonts w:hint="eastAsia"/>
                <w:sz w:val="24"/>
              </w:rPr>
              <w:t>19.44</w:t>
            </w:r>
            <w:r>
              <w:rPr>
                <w:sz w:val="24"/>
              </w:rPr>
              <w:t>t/a）</w:t>
            </w:r>
          </w:p>
        </w:tc>
        <w:tc>
          <w:tcPr>
            <w:tcW w:w="1842" w:type="dxa"/>
            <w:vAlign w:val="center"/>
          </w:tcPr>
          <w:p>
            <w:pPr>
              <w:jc w:val="center"/>
              <w:rPr>
                <w:sz w:val="24"/>
              </w:rPr>
            </w:pPr>
            <w:r>
              <w:rPr>
                <w:sz w:val="24"/>
              </w:rPr>
              <w:t>COD</w:t>
            </w:r>
          </w:p>
        </w:tc>
        <w:tc>
          <w:tcPr>
            <w:tcW w:w="2410" w:type="dxa"/>
            <w:gridSpan w:val="2"/>
            <w:vAlign w:val="center"/>
          </w:tcPr>
          <w:p>
            <w:pPr>
              <w:ind w:firstLine="120" w:firstLineChars="50"/>
              <w:jc w:val="center"/>
              <w:rPr>
                <w:sz w:val="24"/>
              </w:rPr>
            </w:pPr>
            <w:r>
              <w:rPr>
                <w:sz w:val="24"/>
              </w:rPr>
              <w:t>350mg/L，0.0</w:t>
            </w:r>
            <w:r>
              <w:rPr>
                <w:rFonts w:hint="eastAsia"/>
                <w:sz w:val="24"/>
              </w:rPr>
              <w:t>068</w:t>
            </w:r>
            <w:r>
              <w:rPr>
                <w:sz w:val="24"/>
              </w:rPr>
              <w:t>t/a</w:t>
            </w:r>
          </w:p>
        </w:tc>
        <w:tc>
          <w:tcPr>
            <w:tcW w:w="2168" w:type="dxa"/>
            <w:vMerge w:val="restart"/>
            <w:vAlign w:val="center"/>
          </w:tcPr>
          <w:p>
            <w:pPr>
              <w:jc w:val="center"/>
            </w:pPr>
            <w:r>
              <w:rPr>
                <w:rFonts w:hint="eastAsi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spacing w:line="440" w:lineRule="exact"/>
              <w:jc w:val="center"/>
              <w:rPr>
                <w:b/>
                <w:sz w:val="24"/>
              </w:rPr>
            </w:pPr>
          </w:p>
        </w:tc>
        <w:tc>
          <w:tcPr>
            <w:tcW w:w="1793" w:type="dxa"/>
            <w:vMerge w:val="continue"/>
            <w:vAlign w:val="center"/>
          </w:tcPr>
          <w:p>
            <w:pPr>
              <w:jc w:val="center"/>
              <w:rPr>
                <w:sz w:val="24"/>
              </w:rPr>
            </w:pPr>
          </w:p>
        </w:tc>
        <w:tc>
          <w:tcPr>
            <w:tcW w:w="1842" w:type="dxa"/>
            <w:vAlign w:val="center"/>
          </w:tcPr>
          <w:p>
            <w:pPr>
              <w:jc w:val="center"/>
              <w:rPr>
                <w:sz w:val="24"/>
              </w:rPr>
            </w:pPr>
            <w:r>
              <w:rPr>
                <w:bCs/>
                <w:sz w:val="24"/>
              </w:rPr>
              <w:t>NH</w:t>
            </w:r>
            <w:r>
              <w:rPr>
                <w:bCs/>
                <w:sz w:val="24"/>
                <w:vertAlign w:val="subscript"/>
              </w:rPr>
              <w:t>3</w:t>
            </w:r>
            <w:r>
              <w:rPr>
                <w:bCs/>
                <w:sz w:val="24"/>
              </w:rPr>
              <w:t>-N</w:t>
            </w:r>
          </w:p>
        </w:tc>
        <w:tc>
          <w:tcPr>
            <w:tcW w:w="2410" w:type="dxa"/>
            <w:gridSpan w:val="2"/>
            <w:vAlign w:val="center"/>
          </w:tcPr>
          <w:p>
            <w:pPr>
              <w:tabs>
                <w:tab w:val="left" w:pos="1404"/>
              </w:tabs>
              <w:jc w:val="center"/>
              <w:rPr>
                <w:sz w:val="24"/>
              </w:rPr>
            </w:pPr>
            <w:r>
              <w:rPr>
                <w:sz w:val="24"/>
              </w:rPr>
              <w:t>25mg/L，0.00</w:t>
            </w:r>
            <w:r>
              <w:rPr>
                <w:rFonts w:hint="eastAsia"/>
                <w:sz w:val="24"/>
              </w:rPr>
              <w:t>05</w:t>
            </w:r>
            <w:r>
              <w:rPr>
                <w:sz w:val="24"/>
              </w:rPr>
              <w:t>t/a</w:t>
            </w:r>
          </w:p>
        </w:tc>
        <w:tc>
          <w:tcPr>
            <w:tcW w:w="2168" w:type="dxa"/>
            <w:vMerge w:val="continue"/>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spacing w:line="440" w:lineRule="exact"/>
              <w:jc w:val="center"/>
              <w:rPr>
                <w:b/>
                <w:sz w:val="24"/>
              </w:rPr>
            </w:pPr>
          </w:p>
        </w:tc>
        <w:tc>
          <w:tcPr>
            <w:tcW w:w="1793" w:type="dxa"/>
            <w:vMerge w:val="continue"/>
            <w:vAlign w:val="center"/>
          </w:tcPr>
          <w:p>
            <w:pPr>
              <w:jc w:val="center"/>
              <w:rPr>
                <w:sz w:val="24"/>
              </w:rPr>
            </w:pPr>
          </w:p>
        </w:tc>
        <w:tc>
          <w:tcPr>
            <w:tcW w:w="1842" w:type="dxa"/>
            <w:vAlign w:val="center"/>
          </w:tcPr>
          <w:p>
            <w:pPr>
              <w:jc w:val="center"/>
              <w:rPr>
                <w:sz w:val="24"/>
              </w:rPr>
            </w:pPr>
            <w:r>
              <w:rPr>
                <w:sz w:val="24"/>
              </w:rPr>
              <w:t>TP</w:t>
            </w:r>
          </w:p>
        </w:tc>
        <w:tc>
          <w:tcPr>
            <w:tcW w:w="2410" w:type="dxa"/>
            <w:gridSpan w:val="2"/>
            <w:vAlign w:val="center"/>
          </w:tcPr>
          <w:p>
            <w:pPr>
              <w:ind w:firstLine="120" w:firstLineChars="50"/>
              <w:jc w:val="center"/>
              <w:rPr>
                <w:sz w:val="24"/>
              </w:rPr>
            </w:pPr>
            <w:r>
              <w:rPr>
                <w:sz w:val="24"/>
              </w:rPr>
              <w:t>3mg/L，0.000</w:t>
            </w:r>
            <w:r>
              <w:rPr>
                <w:rFonts w:hint="eastAsia"/>
                <w:sz w:val="24"/>
              </w:rPr>
              <w:t>06</w:t>
            </w:r>
            <w:r>
              <w:rPr>
                <w:sz w:val="24"/>
              </w:rPr>
              <w:t>t/a</w:t>
            </w:r>
          </w:p>
        </w:tc>
        <w:tc>
          <w:tcPr>
            <w:tcW w:w="2168" w:type="dxa"/>
            <w:vMerge w:val="continue"/>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spacing w:line="440" w:lineRule="exact"/>
              <w:jc w:val="center"/>
              <w:rPr>
                <w:b/>
                <w:sz w:val="24"/>
              </w:rPr>
            </w:pPr>
          </w:p>
        </w:tc>
        <w:tc>
          <w:tcPr>
            <w:tcW w:w="1793" w:type="dxa"/>
            <w:vMerge w:val="continue"/>
            <w:vAlign w:val="center"/>
          </w:tcPr>
          <w:p>
            <w:pPr>
              <w:jc w:val="center"/>
              <w:rPr>
                <w:sz w:val="24"/>
              </w:rPr>
            </w:pPr>
          </w:p>
        </w:tc>
        <w:tc>
          <w:tcPr>
            <w:tcW w:w="1842" w:type="dxa"/>
            <w:vAlign w:val="center"/>
          </w:tcPr>
          <w:p>
            <w:pPr>
              <w:jc w:val="center"/>
              <w:rPr>
                <w:sz w:val="24"/>
              </w:rPr>
            </w:pPr>
            <w:r>
              <w:rPr>
                <w:rFonts w:hint="eastAsia"/>
                <w:sz w:val="24"/>
              </w:rPr>
              <w:t>TN</w:t>
            </w:r>
          </w:p>
        </w:tc>
        <w:tc>
          <w:tcPr>
            <w:tcW w:w="2410" w:type="dxa"/>
            <w:gridSpan w:val="2"/>
            <w:vAlign w:val="center"/>
          </w:tcPr>
          <w:p>
            <w:pPr>
              <w:ind w:firstLine="120" w:firstLineChars="50"/>
              <w:jc w:val="center"/>
              <w:rPr>
                <w:sz w:val="24"/>
              </w:rPr>
            </w:pPr>
            <w:r>
              <w:rPr>
                <w:rFonts w:hint="eastAsia"/>
                <w:sz w:val="24"/>
              </w:rPr>
              <w:t>30</w:t>
            </w:r>
            <w:r>
              <w:rPr>
                <w:sz w:val="24"/>
              </w:rPr>
              <w:t xml:space="preserve"> mg/L</w:t>
            </w:r>
            <w:r>
              <w:rPr>
                <w:rFonts w:hint="eastAsia"/>
                <w:sz w:val="24"/>
              </w:rPr>
              <w:t>，0.0006</w:t>
            </w:r>
            <w:r>
              <w:rPr>
                <w:rFonts w:hint="eastAsia"/>
              </w:rPr>
              <w:t xml:space="preserve"> t/a</w:t>
            </w:r>
          </w:p>
        </w:tc>
        <w:tc>
          <w:tcPr>
            <w:tcW w:w="2168" w:type="dxa"/>
            <w:vMerge w:val="continue"/>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restart"/>
            <w:vAlign w:val="center"/>
          </w:tcPr>
          <w:p>
            <w:pPr>
              <w:jc w:val="center"/>
              <w:rPr>
                <w:b/>
                <w:sz w:val="24"/>
              </w:rPr>
            </w:pPr>
            <w:r>
              <w:rPr>
                <w:b/>
                <w:sz w:val="24"/>
              </w:rPr>
              <w:t>固</w:t>
            </w:r>
          </w:p>
          <w:p>
            <w:pPr>
              <w:jc w:val="center"/>
              <w:rPr>
                <w:b/>
                <w:sz w:val="24"/>
              </w:rPr>
            </w:pPr>
            <w:r>
              <w:rPr>
                <w:b/>
                <w:sz w:val="24"/>
              </w:rPr>
              <w:t>体</w:t>
            </w:r>
          </w:p>
          <w:p>
            <w:pPr>
              <w:jc w:val="center"/>
              <w:rPr>
                <w:b/>
                <w:sz w:val="24"/>
              </w:rPr>
            </w:pPr>
            <w:r>
              <w:rPr>
                <w:b/>
                <w:sz w:val="24"/>
              </w:rPr>
              <w:t>废</w:t>
            </w:r>
          </w:p>
          <w:p>
            <w:pPr>
              <w:jc w:val="center"/>
              <w:rPr>
                <w:b/>
                <w:sz w:val="24"/>
              </w:rPr>
            </w:pPr>
            <w:r>
              <w:rPr>
                <w:b/>
                <w:sz w:val="24"/>
              </w:rPr>
              <w:t>物</w:t>
            </w:r>
          </w:p>
        </w:tc>
        <w:tc>
          <w:tcPr>
            <w:tcW w:w="1793" w:type="dxa"/>
            <w:vAlign w:val="center"/>
          </w:tcPr>
          <w:p>
            <w:pPr>
              <w:jc w:val="center"/>
              <w:rPr>
                <w:sz w:val="24"/>
              </w:rPr>
            </w:pPr>
            <w:r>
              <w:rPr>
                <w:sz w:val="24"/>
              </w:rPr>
              <w:t>机加工</w:t>
            </w:r>
          </w:p>
        </w:tc>
        <w:tc>
          <w:tcPr>
            <w:tcW w:w="1842" w:type="dxa"/>
            <w:vAlign w:val="center"/>
          </w:tcPr>
          <w:p>
            <w:pPr>
              <w:jc w:val="center"/>
              <w:rPr>
                <w:sz w:val="24"/>
              </w:rPr>
            </w:pPr>
            <w:r>
              <w:rPr>
                <w:sz w:val="24"/>
              </w:rPr>
              <w:t>废边角料</w:t>
            </w:r>
          </w:p>
        </w:tc>
        <w:tc>
          <w:tcPr>
            <w:tcW w:w="2410" w:type="dxa"/>
            <w:gridSpan w:val="2"/>
            <w:vAlign w:val="center"/>
          </w:tcPr>
          <w:p>
            <w:pPr>
              <w:autoSpaceDE w:val="0"/>
              <w:autoSpaceDN w:val="0"/>
              <w:adjustRightInd w:val="0"/>
              <w:snapToGrid w:val="0"/>
              <w:jc w:val="center"/>
              <w:textAlignment w:val="baseline"/>
              <w:rPr>
                <w:kern w:val="0"/>
                <w:sz w:val="24"/>
                <w:szCs w:val="21"/>
              </w:rPr>
            </w:pPr>
            <w:r>
              <w:rPr>
                <w:rFonts w:hint="eastAsia"/>
                <w:kern w:val="0"/>
                <w:sz w:val="24"/>
                <w:szCs w:val="21"/>
              </w:rPr>
              <w:t>3</w:t>
            </w:r>
            <w:r>
              <w:rPr>
                <w:sz w:val="24"/>
              </w:rPr>
              <w:t>t/a</w:t>
            </w:r>
          </w:p>
        </w:tc>
        <w:tc>
          <w:tcPr>
            <w:tcW w:w="2168" w:type="dxa"/>
            <w:vAlign w:val="center"/>
          </w:tcPr>
          <w:p>
            <w:pPr>
              <w:jc w:val="center"/>
              <w:rPr>
                <w:sz w:val="24"/>
                <w:lang w:val="fr-FR"/>
              </w:rPr>
            </w:pPr>
            <w:r>
              <w:rPr>
                <w:sz w:val="24"/>
                <w:lang w:val="fr-F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jc w:val="center"/>
              <w:rPr>
                <w:b/>
                <w:sz w:val="24"/>
              </w:rPr>
            </w:pPr>
          </w:p>
        </w:tc>
        <w:tc>
          <w:tcPr>
            <w:tcW w:w="1793" w:type="dxa"/>
            <w:vAlign w:val="center"/>
          </w:tcPr>
          <w:p>
            <w:pPr>
              <w:jc w:val="center"/>
              <w:rPr>
                <w:sz w:val="24"/>
              </w:rPr>
            </w:pPr>
            <w:r>
              <w:rPr>
                <w:sz w:val="24"/>
              </w:rPr>
              <w:t>除尘器收尘</w:t>
            </w:r>
          </w:p>
        </w:tc>
        <w:tc>
          <w:tcPr>
            <w:tcW w:w="1842" w:type="dxa"/>
            <w:vAlign w:val="center"/>
          </w:tcPr>
          <w:p>
            <w:pPr>
              <w:jc w:val="center"/>
              <w:rPr>
                <w:sz w:val="24"/>
              </w:rPr>
            </w:pPr>
            <w:r>
              <w:rPr>
                <w:sz w:val="24"/>
              </w:rPr>
              <w:t>颗粒物</w:t>
            </w:r>
          </w:p>
        </w:tc>
        <w:tc>
          <w:tcPr>
            <w:tcW w:w="2410" w:type="dxa"/>
            <w:gridSpan w:val="2"/>
            <w:vAlign w:val="center"/>
          </w:tcPr>
          <w:p>
            <w:pPr>
              <w:autoSpaceDE w:val="0"/>
              <w:autoSpaceDN w:val="0"/>
              <w:adjustRightInd w:val="0"/>
              <w:snapToGrid w:val="0"/>
              <w:jc w:val="center"/>
              <w:textAlignment w:val="baseline"/>
              <w:rPr>
                <w:kern w:val="0"/>
                <w:sz w:val="24"/>
                <w:szCs w:val="21"/>
              </w:rPr>
            </w:pPr>
            <w:r>
              <w:rPr>
                <w:rFonts w:hint="eastAsia"/>
                <w:kern w:val="0"/>
                <w:sz w:val="24"/>
                <w:szCs w:val="21"/>
              </w:rPr>
              <w:t>0.1359</w:t>
            </w:r>
            <w:r>
              <w:rPr>
                <w:sz w:val="24"/>
              </w:rPr>
              <w:t xml:space="preserve"> t/a</w:t>
            </w:r>
          </w:p>
        </w:tc>
        <w:tc>
          <w:tcPr>
            <w:tcW w:w="2168" w:type="dxa"/>
            <w:vAlign w:val="center"/>
          </w:tcPr>
          <w:p>
            <w:pPr>
              <w:jc w:val="center"/>
              <w:rPr>
                <w:sz w:val="24"/>
                <w:lang w:val="fr-FR"/>
              </w:rPr>
            </w:pPr>
            <w:r>
              <w:rPr>
                <w:rFonts w:hint="eastAsia"/>
                <w:sz w:val="24"/>
                <w:lang w:val="fr-F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jc w:val="center"/>
              <w:rPr>
                <w:b/>
                <w:sz w:val="24"/>
              </w:rPr>
            </w:pPr>
          </w:p>
        </w:tc>
        <w:tc>
          <w:tcPr>
            <w:tcW w:w="1793" w:type="dxa"/>
            <w:vAlign w:val="center"/>
          </w:tcPr>
          <w:p>
            <w:pPr>
              <w:jc w:val="center"/>
              <w:rPr>
                <w:sz w:val="24"/>
                <w:szCs w:val="21"/>
              </w:rPr>
            </w:pPr>
            <w:r>
              <w:rPr>
                <w:sz w:val="24"/>
                <w:szCs w:val="21"/>
              </w:rPr>
              <w:t>员工生活</w:t>
            </w:r>
          </w:p>
        </w:tc>
        <w:tc>
          <w:tcPr>
            <w:tcW w:w="1842" w:type="dxa"/>
            <w:vAlign w:val="center"/>
          </w:tcPr>
          <w:p>
            <w:pPr>
              <w:jc w:val="center"/>
              <w:rPr>
                <w:sz w:val="24"/>
                <w:szCs w:val="21"/>
              </w:rPr>
            </w:pPr>
            <w:r>
              <w:rPr>
                <w:sz w:val="24"/>
                <w:szCs w:val="21"/>
              </w:rPr>
              <w:t>生活垃圾</w:t>
            </w:r>
          </w:p>
        </w:tc>
        <w:tc>
          <w:tcPr>
            <w:tcW w:w="2410" w:type="dxa"/>
            <w:gridSpan w:val="2"/>
            <w:vAlign w:val="center"/>
          </w:tcPr>
          <w:p>
            <w:pPr>
              <w:autoSpaceDE w:val="0"/>
              <w:autoSpaceDN w:val="0"/>
              <w:adjustRightInd w:val="0"/>
              <w:snapToGrid w:val="0"/>
              <w:jc w:val="center"/>
              <w:textAlignment w:val="baseline"/>
              <w:rPr>
                <w:kern w:val="0"/>
                <w:sz w:val="24"/>
                <w:szCs w:val="21"/>
              </w:rPr>
            </w:pPr>
            <w:r>
              <w:rPr>
                <w:rFonts w:hint="eastAsia"/>
                <w:sz w:val="24"/>
              </w:rPr>
              <w:t>0.405</w:t>
            </w:r>
            <w:r>
              <w:rPr>
                <w:sz w:val="24"/>
              </w:rPr>
              <w:t>t/a</w:t>
            </w:r>
          </w:p>
        </w:tc>
        <w:tc>
          <w:tcPr>
            <w:tcW w:w="2168" w:type="dxa"/>
            <w:vAlign w:val="center"/>
          </w:tcPr>
          <w:p>
            <w:pPr>
              <w:jc w:val="center"/>
              <w:rPr>
                <w:sz w:val="24"/>
                <w:lang w:val="fr-FR"/>
              </w:rPr>
            </w:pPr>
            <w:r>
              <w:rPr>
                <w:sz w:val="24"/>
                <w:lang w:val="fr-F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Merge w:val="continue"/>
            <w:vAlign w:val="center"/>
          </w:tcPr>
          <w:p>
            <w:pPr>
              <w:jc w:val="center"/>
              <w:rPr>
                <w:b/>
                <w:sz w:val="24"/>
              </w:rPr>
            </w:pPr>
          </w:p>
        </w:tc>
        <w:tc>
          <w:tcPr>
            <w:tcW w:w="1793" w:type="dxa"/>
            <w:vAlign w:val="center"/>
          </w:tcPr>
          <w:p>
            <w:pPr>
              <w:jc w:val="center"/>
              <w:rPr>
                <w:color w:val="FF0000"/>
                <w:sz w:val="24"/>
              </w:rPr>
            </w:pPr>
            <w:r>
              <w:rPr>
                <w:sz w:val="24"/>
              </w:rPr>
              <w:t>机加工</w:t>
            </w:r>
          </w:p>
        </w:tc>
        <w:tc>
          <w:tcPr>
            <w:tcW w:w="1842" w:type="dxa"/>
            <w:vAlign w:val="center"/>
          </w:tcPr>
          <w:p>
            <w:pPr>
              <w:tabs>
                <w:tab w:val="left" w:pos="6593"/>
              </w:tabs>
              <w:jc w:val="center"/>
              <w:rPr>
                <w:sz w:val="24"/>
              </w:rPr>
            </w:pPr>
            <w:r>
              <w:rPr>
                <w:sz w:val="24"/>
              </w:rPr>
              <w:t xml:space="preserve"> 废</w:t>
            </w:r>
            <w:r>
              <w:rPr>
                <w:rFonts w:hint="eastAsia"/>
                <w:sz w:val="24"/>
              </w:rPr>
              <w:t>机</w:t>
            </w:r>
            <w:r>
              <w:rPr>
                <w:sz w:val="24"/>
              </w:rPr>
              <w:t>油</w:t>
            </w:r>
          </w:p>
        </w:tc>
        <w:tc>
          <w:tcPr>
            <w:tcW w:w="2410" w:type="dxa"/>
            <w:gridSpan w:val="2"/>
            <w:vAlign w:val="center"/>
          </w:tcPr>
          <w:p>
            <w:pPr>
              <w:autoSpaceDE w:val="0"/>
              <w:autoSpaceDN w:val="0"/>
              <w:adjustRightInd w:val="0"/>
              <w:snapToGrid w:val="0"/>
              <w:jc w:val="center"/>
              <w:textAlignment w:val="baseline"/>
              <w:rPr>
                <w:kern w:val="0"/>
                <w:sz w:val="24"/>
                <w:szCs w:val="21"/>
              </w:rPr>
            </w:pPr>
            <w:r>
              <w:rPr>
                <w:kern w:val="0"/>
                <w:sz w:val="24"/>
                <w:szCs w:val="21"/>
              </w:rPr>
              <w:t>0.0</w:t>
            </w:r>
            <w:r>
              <w:rPr>
                <w:rFonts w:hint="eastAsia"/>
                <w:kern w:val="0"/>
                <w:sz w:val="24"/>
                <w:szCs w:val="21"/>
              </w:rPr>
              <w:t>04</w:t>
            </w:r>
            <w:r>
              <w:rPr>
                <w:sz w:val="24"/>
              </w:rPr>
              <w:t>t/a</w:t>
            </w:r>
          </w:p>
        </w:tc>
        <w:tc>
          <w:tcPr>
            <w:tcW w:w="2168" w:type="dxa"/>
            <w:vAlign w:val="center"/>
          </w:tcPr>
          <w:p>
            <w:pPr>
              <w:jc w:val="center"/>
              <w:rPr>
                <w:sz w:val="24"/>
              </w:rPr>
            </w:pPr>
            <w:r>
              <w:rPr>
                <w:sz w:val="24"/>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Align w:val="center"/>
          </w:tcPr>
          <w:p>
            <w:pPr>
              <w:spacing w:line="440" w:lineRule="exact"/>
              <w:jc w:val="center"/>
              <w:rPr>
                <w:b/>
                <w:sz w:val="24"/>
              </w:rPr>
            </w:pPr>
            <w:r>
              <w:rPr>
                <w:b/>
                <w:sz w:val="24"/>
              </w:rPr>
              <w:t>噪</w:t>
            </w:r>
          </w:p>
          <w:p>
            <w:pPr>
              <w:spacing w:line="440" w:lineRule="exact"/>
              <w:jc w:val="center"/>
              <w:rPr>
                <w:b/>
                <w:sz w:val="24"/>
              </w:rPr>
            </w:pPr>
            <w:r>
              <w:rPr>
                <w:b/>
                <w:sz w:val="24"/>
              </w:rPr>
              <w:t>声</w:t>
            </w:r>
          </w:p>
        </w:tc>
        <w:tc>
          <w:tcPr>
            <w:tcW w:w="8213" w:type="dxa"/>
            <w:gridSpan w:val="5"/>
            <w:vAlign w:val="center"/>
          </w:tcPr>
          <w:p>
            <w:pPr>
              <w:spacing w:line="440" w:lineRule="exact"/>
              <w:ind w:firstLine="480" w:firstLineChars="200"/>
              <w:rPr>
                <w:sz w:val="24"/>
              </w:rPr>
            </w:pPr>
            <w:r>
              <w:rPr>
                <w:sz w:val="24"/>
              </w:rPr>
              <w:t>本项目营运期噪声主要来源为</w:t>
            </w:r>
            <w:r>
              <w:rPr>
                <w:bCs/>
                <w:sz w:val="24"/>
              </w:rPr>
              <w:t>切割机、台钻、剪板机、卷圆机、冲床等机加工设备</w:t>
            </w:r>
            <w:r>
              <w:rPr>
                <w:sz w:val="24"/>
              </w:rPr>
              <w:t>噪声，声压等级一般在7</w:t>
            </w:r>
            <w:r>
              <w:rPr>
                <w:rFonts w:hint="eastAsia"/>
                <w:sz w:val="24"/>
              </w:rPr>
              <w:t>5</w:t>
            </w:r>
            <w:r>
              <w:rPr>
                <w:sz w:val="24"/>
              </w:rPr>
              <w:t>~8</w:t>
            </w:r>
            <w:r>
              <w:rPr>
                <w:rFonts w:hint="eastAsia"/>
                <w:sz w:val="24"/>
              </w:rPr>
              <w:t>0</w:t>
            </w:r>
            <w:r>
              <w:rPr>
                <w:sz w:val="24"/>
              </w:rPr>
              <w:t>dB（A）之间，经减振、隔声及距离衰减后，厂区高噪声源对四个厂界噪声贡献值均能够达到《工业企业厂界环境噪声排放标准》（GB12348-2008）2类标准的要求，工程对项目周围声环境影响不大。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5" w:type="dxa"/>
            <w:vAlign w:val="center"/>
          </w:tcPr>
          <w:p>
            <w:pPr>
              <w:jc w:val="center"/>
              <w:rPr>
                <w:b/>
                <w:sz w:val="24"/>
              </w:rPr>
            </w:pPr>
            <w:r>
              <w:rPr>
                <w:b/>
                <w:sz w:val="24"/>
              </w:rPr>
              <w:t>其</w:t>
            </w:r>
          </w:p>
          <w:p>
            <w:pPr>
              <w:jc w:val="center"/>
              <w:rPr>
                <w:b/>
                <w:sz w:val="24"/>
              </w:rPr>
            </w:pPr>
            <w:r>
              <w:rPr>
                <w:b/>
                <w:sz w:val="24"/>
              </w:rPr>
              <w:t>他</w:t>
            </w:r>
          </w:p>
        </w:tc>
        <w:tc>
          <w:tcPr>
            <w:tcW w:w="8213" w:type="dxa"/>
            <w:gridSpan w:val="5"/>
            <w:vAlign w:val="center"/>
          </w:tcPr>
          <w:p>
            <w:pPr>
              <w:spacing w:line="440" w:lineRule="exact"/>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58" w:type="dxa"/>
            <w:gridSpan w:val="6"/>
            <w:tcBorders>
              <w:bottom w:val="single" w:color="auto" w:sz="8" w:space="0"/>
            </w:tcBorders>
            <w:vAlign w:val="center"/>
          </w:tcPr>
          <w:p>
            <w:pPr>
              <w:spacing w:line="440" w:lineRule="exact"/>
            </w:pPr>
            <w:r>
              <w:rPr>
                <w:b/>
                <w:bCs/>
                <w:sz w:val="24"/>
              </w:rPr>
              <w:t>主要生态影响（不够时可附另页）：</w:t>
            </w:r>
          </w:p>
          <w:p>
            <w:pPr>
              <w:spacing w:line="440" w:lineRule="exact"/>
              <w:ind w:firstLine="480" w:firstLineChars="200"/>
              <w:rPr>
                <w:sz w:val="24"/>
              </w:rPr>
            </w:pPr>
            <w:r>
              <w:rPr>
                <w:sz w:val="24"/>
              </w:rPr>
              <w:t>本项目所在区域不属于生态敏感或脆弱区。</w:t>
            </w:r>
          </w:p>
          <w:p>
            <w:pPr>
              <w:pStyle w:val="2"/>
              <w:ind w:firstLine="560"/>
            </w:pPr>
          </w:p>
          <w:p/>
          <w:p>
            <w:pPr>
              <w:pStyle w:val="2"/>
              <w:ind w:firstLine="0" w:firstLineChars="0"/>
            </w:pPr>
          </w:p>
          <w:p>
            <w:pPr>
              <w:pStyle w:val="2"/>
              <w:ind w:firstLine="0" w:firstLineChars="0"/>
            </w:pPr>
          </w:p>
          <w:p>
            <w:pPr>
              <w:pStyle w:val="2"/>
              <w:ind w:firstLine="0" w:firstLineChars="0"/>
            </w:pPr>
          </w:p>
        </w:tc>
      </w:tr>
    </w:tbl>
    <w:p>
      <w:pPr>
        <w:spacing w:line="440" w:lineRule="exact"/>
        <w:jc w:val="left"/>
        <w:rPr>
          <w:b/>
          <w:sz w:val="28"/>
        </w:rPr>
      </w:pPr>
      <w:r>
        <w:rPr>
          <w:b/>
          <w:sz w:val="28"/>
        </w:rPr>
        <w:t>环境影响分析</w:t>
      </w:r>
    </w:p>
    <w:tbl>
      <w:tblPr>
        <w:tblStyle w:val="30"/>
        <w:tblW w:w="96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9638" w:type="dxa"/>
            <w:tcBorders>
              <w:top w:val="single" w:color="auto" w:sz="8" w:space="0"/>
            </w:tcBorders>
          </w:tcPr>
          <w:p>
            <w:pPr>
              <w:spacing w:line="460" w:lineRule="exact"/>
              <w:jc w:val="left"/>
              <w:rPr>
                <w:b/>
                <w:sz w:val="24"/>
              </w:rPr>
            </w:pPr>
            <w:r>
              <w:rPr>
                <w:b/>
                <w:sz w:val="24"/>
              </w:rPr>
              <w:t>施工期环境影响简要分析：</w:t>
            </w:r>
          </w:p>
          <w:p>
            <w:pPr>
              <w:spacing w:line="460" w:lineRule="exact"/>
              <w:ind w:firstLine="482" w:firstLineChars="200"/>
              <w:jc w:val="left"/>
              <w:rPr>
                <w:b/>
                <w:sz w:val="24"/>
              </w:rPr>
            </w:pPr>
            <w:r>
              <w:rPr>
                <w:b/>
                <w:sz w:val="24"/>
              </w:rPr>
              <w:t>施工期环境影响简要分析：</w:t>
            </w:r>
          </w:p>
          <w:p>
            <w:pPr>
              <w:pStyle w:val="2"/>
              <w:ind w:firstLine="480"/>
              <w:rPr>
                <w:bCs/>
                <w:sz w:val="24"/>
              </w:rPr>
            </w:pPr>
            <w:r>
              <w:rPr>
                <w:sz w:val="24"/>
              </w:rPr>
              <w:t>本项目</w:t>
            </w:r>
            <w:r>
              <w:rPr>
                <w:bCs/>
                <w:sz w:val="24"/>
              </w:rPr>
              <w:t>利用</w:t>
            </w:r>
            <w:r>
              <w:rPr>
                <w:sz w:val="24"/>
              </w:rPr>
              <w:t>已建厂房进行建设</w:t>
            </w:r>
            <w:r>
              <w:rPr>
                <w:bCs/>
                <w:sz w:val="24"/>
              </w:rPr>
              <w:t>，因此评价不再对施工期环境影响进行分析。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60" w:hRule="atLeast"/>
          <w:jc w:val="center"/>
        </w:trPr>
        <w:tc>
          <w:tcPr>
            <w:tcW w:w="9638" w:type="dxa"/>
            <w:tcBorders>
              <w:bottom w:val="single" w:color="auto" w:sz="8" w:space="0"/>
            </w:tcBorders>
          </w:tcPr>
          <w:p>
            <w:pPr>
              <w:spacing w:line="440" w:lineRule="exact"/>
              <w:jc w:val="left"/>
              <w:rPr>
                <w:b/>
                <w:sz w:val="24"/>
              </w:rPr>
            </w:pPr>
            <w:r>
              <w:rPr>
                <w:b/>
                <w:sz w:val="24"/>
              </w:rPr>
              <w:t>营运期环境影响分析：</w:t>
            </w:r>
          </w:p>
          <w:p>
            <w:pPr>
              <w:spacing w:line="520" w:lineRule="exact"/>
              <w:ind w:firstLine="470" w:firstLineChars="196"/>
              <w:jc w:val="left"/>
              <w:rPr>
                <w:sz w:val="24"/>
              </w:rPr>
            </w:pPr>
            <w:r>
              <w:rPr>
                <w:sz w:val="24"/>
              </w:rPr>
              <w:t>项目正常营运期间，有废水、固废和噪声产生。</w:t>
            </w:r>
          </w:p>
          <w:p>
            <w:pPr>
              <w:adjustRightInd w:val="0"/>
              <w:snapToGrid w:val="0"/>
              <w:spacing w:line="420" w:lineRule="exact"/>
              <w:ind w:firstLine="482" w:firstLineChars="200"/>
              <w:textAlignment w:val="baseline"/>
              <w:rPr>
                <w:b/>
                <w:sz w:val="24"/>
              </w:rPr>
            </w:pPr>
            <w:r>
              <w:rPr>
                <w:b/>
                <w:sz w:val="24"/>
              </w:rPr>
              <w:t>一、废水</w:t>
            </w:r>
          </w:p>
          <w:p>
            <w:pPr>
              <w:spacing w:line="420" w:lineRule="exact"/>
              <w:ind w:firstLine="480" w:firstLineChars="200"/>
              <w:jc w:val="left"/>
              <w:rPr>
                <w:sz w:val="24"/>
              </w:rPr>
            </w:pPr>
            <w:r>
              <w:rPr>
                <w:sz w:val="24"/>
              </w:rPr>
              <w:t>项目废水主要为生活污水。本项目职工</w:t>
            </w:r>
            <w:r>
              <w:rPr>
                <w:rFonts w:hint="eastAsia"/>
                <w:sz w:val="24"/>
              </w:rPr>
              <w:t>3人</w:t>
            </w:r>
            <w:r>
              <w:rPr>
                <w:sz w:val="24"/>
              </w:rPr>
              <w:t>，不在厂区食宿，年工作日2</w:t>
            </w:r>
            <w:r>
              <w:rPr>
                <w:rFonts w:hint="eastAsia"/>
                <w:sz w:val="24"/>
              </w:rPr>
              <w:t>7</w:t>
            </w:r>
            <w:r>
              <w:rPr>
                <w:sz w:val="24"/>
              </w:rPr>
              <w:t>0天，用水量按30L/人·d计，则生活用水量为</w:t>
            </w:r>
            <w:r>
              <w:rPr>
                <w:rFonts w:hint="eastAsia"/>
                <w:sz w:val="24"/>
              </w:rPr>
              <w:t>24.3</w:t>
            </w:r>
            <w:r>
              <w:rPr>
                <w:sz w:val="24"/>
              </w:rPr>
              <w:t>t/a，排放系数以0.8计，则生活污水排放量为</w:t>
            </w:r>
            <w:r>
              <w:rPr>
                <w:rFonts w:hint="eastAsia"/>
                <w:sz w:val="24"/>
              </w:rPr>
              <w:t>19.44</w:t>
            </w:r>
            <w:r>
              <w:rPr>
                <w:sz w:val="24"/>
              </w:rPr>
              <w:t>t/a。</w:t>
            </w:r>
          </w:p>
          <w:p>
            <w:pPr>
              <w:spacing w:line="420" w:lineRule="exact"/>
              <w:rPr>
                <w:sz w:val="24"/>
              </w:rPr>
            </w:pPr>
            <w:r>
              <w:rPr>
                <w:sz w:val="24"/>
              </w:rPr>
              <w:t>类比确定废水水质为：COD350mg/L、SS250mg/L、NH</w:t>
            </w:r>
            <w:r>
              <w:rPr>
                <w:sz w:val="24"/>
                <w:vertAlign w:val="subscript"/>
              </w:rPr>
              <w:t>3</w:t>
            </w:r>
            <w:r>
              <w:rPr>
                <w:sz w:val="24"/>
              </w:rPr>
              <w:t>-N25mg/L、TP 3mg/L、</w:t>
            </w:r>
            <w:r>
              <w:rPr>
                <w:rFonts w:hint="eastAsia"/>
                <w:sz w:val="24"/>
              </w:rPr>
              <w:t>TN30</w:t>
            </w:r>
            <w:r>
              <w:rPr>
                <w:sz w:val="24"/>
              </w:rPr>
              <w:t xml:space="preserve"> mg/L。本项目生活污水经化粪池处理后的水质为COD 300mg/L、SS 150mg/L、NH</w:t>
            </w:r>
            <w:r>
              <w:rPr>
                <w:sz w:val="24"/>
                <w:vertAlign w:val="subscript"/>
              </w:rPr>
              <w:t>3</w:t>
            </w:r>
            <w:r>
              <w:rPr>
                <w:sz w:val="24"/>
              </w:rPr>
              <w:t>-N 25mg/L，TP 3mg/L、</w:t>
            </w:r>
            <w:r>
              <w:rPr>
                <w:rFonts w:hint="eastAsia"/>
                <w:sz w:val="24"/>
              </w:rPr>
              <w:t>TN30</w:t>
            </w:r>
            <w:r>
              <w:rPr>
                <w:sz w:val="24"/>
              </w:rPr>
              <w:t xml:space="preserve"> mg/L。本项目生活污水</w:t>
            </w:r>
            <w:r>
              <w:rPr>
                <w:sz w:val="24"/>
                <w:lang w:val="pt-BR"/>
              </w:rPr>
              <w:t>经化粪池处理后</w:t>
            </w:r>
            <w:r>
              <w:rPr>
                <w:sz w:val="24"/>
              </w:rPr>
              <w:t>定期清运。</w:t>
            </w:r>
          </w:p>
          <w:p>
            <w:pPr>
              <w:spacing w:line="420" w:lineRule="exact"/>
              <w:ind w:firstLine="482" w:firstLineChars="200"/>
              <w:rPr>
                <w:b/>
                <w:sz w:val="24"/>
              </w:rPr>
            </w:pPr>
            <w:r>
              <w:rPr>
                <w:b/>
                <w:sz w:val="24"/>
              </w:rPr>
              <w:t>二、噪声</w:t>
            </w:r>
          </w:p>
          <w:p>
            <w:pPr>
              <w:adjustRightInd w:val="0"/>
              <w:spacing w:line="420" w:lineRule="exact"/>
              <w:ind w:firstLine="480" w:firstLineChars="200"/>
              <w:rPr>
                <w:sz w:val="24"/>
              </w:rPr>
            </w:pPr>
            <w:r>
              <w:rPr>
                <w:sz w:val="24"/>
              </w:rPr>
              <w:t>项目高噪声设备主要是切割机、台钻、剪板机、卷圆机、冲床等机加工设备，噪声源强在75-8</w:t>
            </w:r>
            <w:r>
              <w:rPr>
                <w:rFonts w:hint="eastAsia"/>
                <w:sz w:val="24"/>
              </w:rPr>
              <w:t>0</w:t>
            </w:r>
            <w:r>
              <w:rPr>
                <w:sz w:val="24"/>
              </w:rPr>
              <w:t>dB(A)左右。本项目主要噪声源的等效声级及治理情况见下表。</w:t>
            </w:r>
          </w:p>
          <w:p>
            <w:pPr>
              <w:spacing w:line="420" w:lineRule="exact"/>
              <w:ind w:firstLine="576" w:firstLineChars="240"/>
              <w:rPr>
                <w:rFonts w:ascii="黑体" w:hAnsi="黑体" w:eastAsia="黑体"/>
                <w:bCs/>
                <w:sz w:val="24"/>
              </w:rPr>
            </w:pPr>
            <w:r>
              <w:rPr>
                <w:rFonts w:ascii="黑体" w:hAnsi="黑体" w:eastAsia="黑体"/>
                <w:bCs/>
                <w:sz w:val="24"/>
              </w:rPr>
              <w:t>表1</w:t>
            </w:r>
            <w:r>
              <w:rPr>
                <w:rFonts w:hint="eastAsia" w:ascii="黑体" w:hAnsi="黑体" w:eastAsia="黑体"/>
                <w:bCs/>
                <w:sz w:val="24"/>
              </w:rPr>
              <w:t>6</w:t>
            </w:r>
            <w:r>
              <w:rPr>
                <w:rFonts w:ascii="黑体" w:hAnsi="黑体" w:eastAsia="黑体"/>
                <w:bCs/>
                <w:sz w:val="24"/>
              </w:rPr>
              <w:t xml:space="preserve">                   </w:t>
            </w:r>
            <w:r>
              <w:rPr>
                <w:rFonts w:hint="eastAsia" w:ascii="黑体" w:hAnsi="黑体" w:eastAsia="黑体"/>
                <w:bCs/>
                <w:sz w:val="24"/>
              </w:rPr>
              <w:t xml:space="preserve">  </w:t>
            </w:r>
            <w:r>
              <w:rPr>
                <w:rFonts w:ascii="黑体" w:hAnsi="黑体" w:eastAsia="黑体"/>
                <w:bCs/>
                <w:sz w:val="24"/>
              </w:rPr>
              <w:t>高噪声设备一览表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985"/>
              <w:gridCol w:w="2821"/>
              <w:gridCol w:w="217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jc w:val="center"/>
                    <w:rPr>
                      <w:b/>
                      <w:szCs w:val="20"/>
                    </w:rPr>
                  </w:pPr>
                  <w:r>
                    <w:rPr>
                      <w:b/>
                      <w:szCs w:val="20"/>
                    </w:rPr>
                    <w:t>主要噪声源</w:t>
                  </w:r>
                </w:p>
              </w:tc>
              <w:tc>
                <w:tcPr>
                  <w:tcW w:w="1985" w:type="dxa"/>
                  <w:vAlign w:val="center"/>
                </w:tcPr>
                <w:p>
                  <w:pPr>
                    <w:jc w:val="center"/>
                    <w:rPr>
                      <w:b/>
                      <w:szCs w:val="20"/>
                    </w:rPr>
                  </w:pPr>
                  <w:r>
                    <w:rPr>
                      <w:b/>
                      <w:szCs w:val="20"/>
                    </w:rPr>
                    <w:t>噪声源强 dB（A）</w:t>
                  </w:r>
                </w:p>
              </w:tc>
              <w:tc>
                <w:tcPr>
                  <w:tcW w:w="2821" w:type="dxa"/>
                  <w:vAlign w:val="center"/>
                </w:tcPr>
                <w:p>
                  <w:pPr>
                    <w:jc w:val="center"/>
                    <w:rPr>
                      <w:b/>
                      <w:szCs w:val="20"/>
                    </w:rPr>
                  </w:pPr>
                  <w:r>
                    <w:rPr>
                      <w:b/>
                      <w:szCs w:val="20"/>
                    </w:rPr>
                    <w:t>治理措施</w:t>
                  </w:r>
                </w:p>
              </w:tc>
              <w:tc>
                <w:tcPr>
                  <w:tcW w:w="2172" w:type="dxa"/>
                  <w:vAlign w:val="center"/>
                </w:tcPr>
                <w:p>
                  <w:pPr>
                    <w:jc w:val="center"/>
                    <w:rPr>
                      <w:b/>
                      <w:szCs w:val="20"/>
                    </w:rPr>
                  </w:pPr>
                  <w:r>
                    <w:rPr>
                      <w:b/>
                      <w:szCs w:val="20"/>
                    </w:rPr>
                    <w:t>治理后源强dB（A）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adjustRightInd w:val="0"/>
                    <w:snapToGrid w:val="0"/>
                    <w:jc w:val="center"/>
                    <w:rPr>
                      <w:szCs w:val="21"/>
                    </w:rPr>
                  </w:pPr>
                  <w:r>
                    <w:rPr>
                      <w:szCs w:val="21"/>
                    </w:rPr>
                    <w:t>切割机</w:t>
                  </w:r>
                </w:p>
              </w:tc>
              <w:tc>
                <w:tcPr>
                  <w:tcW w:w="1985" w:type="dxa"/>
                  <w:vAlign w:val="center"/>
                </w:tcPr>
                <w:p>
                  <w:pPr>
                    <w:adjustRightInd w:val="0"/>
                    <w:snapToGrid w:val="0"/>
                    <w:jc w:val="center"/>
                    <w:rPr>
                      <w:szCs w:val="21"/>
                    </w:rPr>
                  </w:pPr>
                  <w:r>
                    <w:rPr>
                      <w:szCs w:val="21"/>
                    </w:rPr>
                    <w:t>8</w:t>
                  </w:r>
                  <w:r>
                    <w:rPr>
                      <w:rFonts w:hint="eastAsia"/>
                      <w:szCs w:val="21"/>
                    </w:rPr>
                    <w:t>0</w:t>
                  </w:r>
                </w:p>
              </w:tc>
              <w:tc>
                <w:tcPr>
                  <w:tcW w:w="2821" w:type="dxa"/>
                  <w:vMerge w:val="restart"/>
                  <w:vAlign w:val="center"/>
                </w:tcPr>
                <w:p>
                  <w:pPr>
                    <w:jc w:val="center"/>
                    <w:rPr>
                      <w:kern w:val="0"/>
                      <w:szCs w:val="21"/>
                    </w:rPr>
                  </w:pPr>
                  <w:r>
                    <w:rPr>
                      <w:kern w:val="0"/>
                      <w:szCs w:val="21"/>
                    </w:rPr>
                    <w:t>设备设减振基础，加强生产车间的密闭性能等</w:t>
                  </w:r>
                </w:p>
              </w:tc>
              <w:tc>
                <w:tcPr>
                  <w:tcW w:w="2172" w:type="dxa"/>
                  <w:vAlign w:val="center"/>
                </w:tcPr>
                <w:p>
                  <w:pPr>
                    <w:snapToGrid w:val="0"/>
                    <w:jc w:val="center"/>
                    <w:rPr>
                      <w:szCs w:val="21"/>
                    </w:rPr>
                  </w:pPr>
                  <w:r>
                    <w:rPr>
                      <w:szCs w:val="21"/>
                    </w:rPr>
                    <w:t>55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adjustRightInd w:val="0"/>
                    <w:snapToGrid w:val="0"/>
                    <w:jc w:val="center"/>
                    <w:rPr>
                      <w:szCs w:val="21"/>
                    </w:rPr>
                  </w:pPr>
                  <w:r>
                    <w:rPr>
                      <w:szCs w:val="21"/>
                    </w:rPr>
                    <w:t>台钻</w:t>
                  </w:r>
                </w:p>
              </w:tc>
              <w:tc>
                <w:tcPr>
                  <w:tcW w:w="1985" w:type="dxa"/>
                  <w:vAlign w:val="center"/>
                </w:tcPr>
                <w:p>
                  <w:pPr>
                    <w:adjustRightInd w:val="0"/>
                    <w:snapToGrid w:val="0"/>
                    <w:jc w:val="center"/>
                    <w:rPr>
                      <w:szCs w:val="21"/>
                    </w:rPr>
                  </w:pPr>
                  <w:r>
                    <w:rPr>
                      <w:rFonts w:hint="eastAsia"/>
                      <w:szCs w:val="21"/>
                    </w:rPr>
                    <w:t>75</w:t>
                  </w:r>
                </w:p>
              </w:tc>
              <w:tc>
                <w:tcPr>
                  <w:tcW w:w="2821" w:type="dxa"/>
                  <w:vMerge w:val="continue"/>
                  <w:vAlign w:val="center"/>
                </w:tcPr>
                <w:p>
                  <w:pPr>
                    <w:jc w:val="center"/>
                    <w:rPr>
                      <w:kern w:val="0"/>
                      <w:szCs w:val="21"/>
                    </w:rPr>
                  </w:pPr>
                </w:p>
              </w:tc>
              <w:tc>
                <w:tcPr>
                  <w:tcW w:w="2172" w:type="dxa"/>
                  <w:vAlign w:val="center"/>
                </w:tcPr>
                <w:p>
                  <w:pPr>
                    <w:snapToGrid w:val="0"/>
                    <w:jc w:val="center"/>
                    <w:rPr>
                      <w:szCs w:val="21"/>
                    </w:rPr>
                  </w:pPr>
                  <w:r>
                    <w:rPr>
                      <w:szCs w:val="21"/>
                    </w:rPr>
                    <w:t>5</w:t>
                  </w:r>
                  <w:r>
                    <w:rPr>
                      <w:rFonts w:hint="eastAsia"/>
                      <w:szCs w:val="21"/>
                    </w:rPr>
                    <w:t>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adjustRightInd w:val="0"/>
                    <w:snapToGrid w:val="0"/>
                    <w:jc w:val="center"/>
                    <w:rPr>
                      <w:szCs w:val="21"/>
                    </w:rPr>
                  </w:pPr>
                  <w:r>
                    <w:rPr>
                      <w:szCs w:val="21"/>
                    </w:rPr>
                    <w:t>剪板机</w:t>
                  </w:r>
                </w:p>
              </w:tc>
              <w:tc>
                <w:tcPr>
                  <w:tcW w:w="1985" w:type="dxa"/>
                  <w:vAlign w:val="center"/>
                </w:tcPr>
                <w:p>
                  <w:pPr>
                    <w:adjustRightInd w:val="0"/>
                    <w:snapToGrid w:val="0"/>
                    <w:jc w:val="center"/>
                    <w:rPr>
                      <w:szCs w:val="21"/>
                    </w:rPr>
                  </w:pPr>
                  <w:r>
                    <w:rPr>
                      <w:rFonts w:hint="eastAsia"/>
                      <w:szCs w:val="21"/>
                    </w:rPr>
                    <w:t>75</w:t>
                  </w:r>
                </w:p>
              </w:tc>
              <w:tc>
                <w:tcPr>
                  <w:tcW w:w="2821" w:type="dxa"/>
                  <w:vMerge w:val="continue"/>
                  <w:vAlign w:val="center"/>
                </w:tcPr>
                <w:p>
                  <w:pPr>
                    <w:jc w:val="center"/>
                    <w:rPr>
                      <w:kern w:val="0"/>
                      <w:szCs w:val="21"/>
                    </w:rPr>
                  </w:pPr>
                </w:p>
              </w:tc>
              <w:tc>
                <w:tcPr>
                  <w:tcW w:w="2172" w:type="dxa"/>
                  <w:vAlign w:val="center"/>
                </w:tcPr>
                <w:p>
                  <w:pPr>
                    <w:snapToGrid w:val="0"/>
                    <w:jc w:val="center"/>
                    <w:rPr>
                      <w:szCs w:val="21"/>
                    </w:rPr>
                  </w:pPr>
                  <w:r>
                    <w:rPr>
                      <w:rFonts w:hint="eastAsia"/>
                      <w:szCs w:val="21"/>
                    </w:rPr>
                    <w:t>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adjustRightInd w:val="0"/>
                    <w:snapToGrid w:val="0"/>
                    <w:jc w:val="center"/>
                    <w:rPr>
                      <w:szCs w:val="21"/>
                    </w:rPr>
                  </w:pPr>
                  <w:r>
                    <w:rPr>
                      <w:szCs w:val="21"/>
                    </w:rPr>
                    <w:t>卷圆机</w:t>
                  </w:r>
                </w:p>
              </w:tc>
              <w:tc>
                <w:tcPr>
                  <w:tcW w:w="1985" w:type="dxa"/>
                  <w:vAlign w:val="center"/>
                </w:tcPr>
                <w:p>
                  <w:pPr>
                    <w:adjustRightInd w:val="0"/>
                    <w:snapToGrid w:val="0"/>
                    <w:jc w:val="center"/>
                    <w:rPr>
                      <w:szCs w:val="21"/>
                    </w:rPr>
                  </w:pPr>
                  <w:r>
                    <w:rPr>
                      <w:rFonts w:hint="eastAsia"/>
                      <w:szCs w:val="21"/>
                    </w:rPr>
                    <w:t>75</w:t>
                  </w:r>
                </w:p>
              </w:tc>
              <w:tc>
                <w:tcPr>
                  <w:tcW w:w="2821" w:type="dxa"/>
                  <w:vMerge w:val="continue"/>
                  <w:vAlign w:val="center"/>
                </w:tcPr>
                <w:p>
                  <w:pPr>
                    <w:jc w:val="center"/>
                    <w:rPr>
                      <w:kern w:val="0"/>
                      <w:szCs w:val="21"/>
                    </w:rPr>
                  </w:pPr>
                </w:p>
              </w:tc>
              <w:tc>
                <w:tcPr>
                  <w:tcW w:w="2172" w:type="dxa"/>
                  <w:vAlign w:val="center"/>
                </w:tcPr>
                <w:p>
                  <w:pPr>
                    <w:snapToGrid w:val="0"/>
                    <w:jc w:val="center"/>
                    <w:rPr>
                      <w:szCs w:val="21"/>
                    </w:rPr>
                  </w:pPr>
                  <w:r>
                    <w:rPr>
                      <w:rFonts w:hint="eastAsia"/>
                      <w:szCs w:val="21"/>
                    </w:rPr>
                    <w:t>50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444" w:type="dxa"/>
                  <w:vAlign w:val="center"/>
                </w:tcPr>
                <w:p>
                  <w:pPr>
                    <w:adjustRightInd w:val="0"/>
                    <w:snapToGrid w:val="0"/>
                    <w:jc w:val="center"/>
                    <w:rPr>
                      <w:szCs w:val="21"/>
                    </w:rPr>
                  </w:pPr>
                  <w:r>
                    <w:rPr>
                      <w:szCs w:val="21"/>
                    </w:rPr>
                    <w:t>冲床</w:t>
                  </w:r>
                </w:p>
              </w:tc>
              <w:tc>
                <w:tcPr>
                  <w:tcW w:w="1985" w:type="dxa"/>
                  <w:vAlign w:val="center"/>
                </w:tcPr>
                <w:p>
                  <w:pPr>
                    <w:adjustRightInd w:val="0"/>
                    <w:snapToGrid w:val="0"/>
                    <w:jc w:val="center"/>
                    <w:rPr>
                      <w:szCs w:val="21"/>
                    </w:rPr>
                  </w:pPr>
                  <w:r>
                    <w:rPr>
                      <w:rFonts w:hint="eastAsia"/>
                      <w:szCs w:val="21"/>
                    </w:rPr>
                    <w:t>75</w:t>
                  </w:r>
                </w:p>
              </w:tc>
              <w:tc>
                <w:tcPr>
                  <w:tcW w:w="2821" w:type="dxa"/>
                  <w:vMerge w:val="continue"/>
                  <w:vAlign w:val="center"/>
                </w:tcPr>
                <w:p>
                  <w:pPr>
                    <w:jc w:val="center"/>
                    <w:rPr>
                      <w:kern w:val="0"/>
                      <w:szCs w:val="21"/>
                    </w:rPr>
                  </w:pPr>
                </w:p>
              </w:tc>
              <w:tc>
                <w:tcPr>
                  <w:tcW w:w="2172" w:type="dxa"/>
                  <w:vAlign w:val="center"/>
                </w:tcPr>
                <w:p>
                  <w:pPr>
                    <w:snapToGrid w:val="0"/>
                    <w:jc w:val="center"/>
                    <w:rPr>
                      <w:szCs w:val="21"/>
                    </w:rPr>
                  </w:pPr>
                  <w:r>
                    <w:rPr>
                      <w:rFonts w:hint="eastAsia"/>
                      <w:szCs w:val="21"/>
                    </w:rPr>
                    <w:t>50</w:t>
                  </w:r>
                </w:p>
              </w:tc>
            </w:tr>
          </w:tbl>
          <w:p>
            <w:pPr>
              <w:spacing w:line="440" w:lineRule="exact"/>
              <w:ind w:firstLine="480" w:firstLineChars="200"/>
              <w:rPr>
                <w:sz w:val="24"/>
              </w:rPr>
            </w:pPr>
            <w:r>
              <w:rPr>
                <w:sz w:val="24"/>
              </w:rPr>
              <w:t xml:space="preserve">                                                                                                                                                                                                                                                                                                                                                                                                                                                                                                                                                                                                                                                                                                                                                                                                                                                                                                                                                                                                                                                                                                                                                                                                                                                                                                                                                                                                                                                                                                                                                                                                                                                                                                                                                                                                                                                                                                                                                                                                                                        </w:t>
            </w:r>
          </w:p>
          <w:p>
            <w:pPr>
              <w:spacing w:line="440" w:lineRule="exact"/>
              <w:ind w:firstLine="480" w:firstLineChars="200"/>
              <w:rPr>
                <w:sz w:val="24"/>
              </w:rPr>
            </w:pPr>
            <w:r>
              <w:rPr>
                <w:sz w:val="24"/>
              </w:rPr>
              <w:t xml:space="preserve">叠加公式选择为：  </w:t>
            </w:r>
          </w:p>
          <w:p>
            <w:pPr>
              <w:spacing w:line="360" w:lineRule="auto"/>
              <w:jc w:val="center"/>
              <w:rPr>
                <w:sz w:val="24"/>
              </w:rPr>
            </w:pPr>
            <w:r>
              <w:rPr>
                <w:sz w:val="24"/>
              </w:rPr>
              <w:pict>
                <v:shape id="_x0000_i1025" o:spt="75" type="#_x0000_t75" style="height:41.25pt;width:94.5pt;" filled="f" o:preferrelative="t" stroked="f" coordsize="21600,21600">
                  <v:path/>
                  <v:fill on="f" focussize="0,0"/>
                  <v:stroke on="f" joinstyle="miter"/>
                  <v:imagedata r:id="rId11" o:title=""/>
                  <o:lock v:ext="edit" aspectratio="t"/>
                  <w10:wrap type="none"/>
                  <w10:anchorlock/>
                </v:shape>
              </w:pict>
            </w:r>
          </w:p>
          <w:p>
            <w:pPr>
              <w:spacing w:line="400" w:lineRule="exact"/>
              <w:ind w:firstLine="480" w:firstLineChars="200"/>
              <w:rPr>
                <w:sz w:val="24"/>
              </w:rPr>
            </w:pPr>
            <w:r>
              <w:rPr>
                <w:sz w:val="24"/>
              </w:rPr>
              <w:t>式中：L——等效声级，dB(A)；</w:t>
            </w:r>
          </w:p>
          <w:p>
            <w:pPr>
              <w:spacing w:line="400" w:lineRule="exact"/>
              <w:ind w:firstLine="480" w:firstLineChars="200"/>
              <w:rPr>
                <w:sz w:val="24"/>
              </w:rPr>
            </w:pPr>
            <w:r>
              <w:rPr>
                <w:sz w:val="24"/>
              </w:rPr>
              <w:t xml:space="preserve">      Li——等间隔时间t时读取的声级值，dB(A)；</w:t>
            </w:r>
          </w:p>
          <w:p>
            <w:pPr>
              <w:spacing w:line="400" w:lineRule="exact"/>
              <w:ind w:firstLine="480" w:firstLineChars="200"/>
              <w:rPr>
                <w:sz w:val="24"/>
              </w:rPr>
            </w:pPr>
            <w:r>
              <w:rPr>
                <w:sz w:val="24"/>
              </w:rPr>
              <w:t xml:space="preserve">      N——读取声级值的总个数。</w:t>
            </w:r>
          </w:p>
          <w:p>
            <w:pPr>
              <w:spacing w:line="400" w:lineRule="exact"/>
              <w:ind w:firstLine="480" w:firstLineChars="200"/>
              <w:rPr>
                <w:sz w:val="24"/>
              </w:rPr>
            </w:pPr>
            <w:r>
              <w:rPr>
                <w:sz w:val="24"/>
              </w:rPr>
              <w:t>评价根据最不利因素进行考虑：即所有高噪声设备同时运行。合成噪声对厂界的影响</w:t>
            </w:r>
          </w:p>
          <w:p>
            <w:pPr>
              <w:spacing w:line="400" w:lineRule="exact"/>
              <w:ind w:firstLine="480" w:firstLineChars="200"/>
              <w:rPr>
                <w:sz w:val="24"/>
              </w:rPr>
            </w:pPr>
            <w:r>
              <w:rPr>
                <w:sz w:val="24"/>
              </w:rPr>
              <w:t>以噪声源在传播过程中的距离衰减因素为主，对于传播发散、空气吸收、阻挡物的反射因素的影响未做考虑，噪声在传播过程中随距离的衰减按下公式计算：</w:t>
            </w:r>
          </w:p>
          <w:p>
            <w:pPr>
              <w:tabs>
                <w:tab w:val="center" w:pos="5008"/>
              </w:tabs>
              <w:spacing w:line="400" w:lineRule="exact"/>
              <w:jc w:val="center"/>
              <w:rPr>
                <w:sz w:val="24"/>
                <w:lang w:val="pt-BR"/>
              </w:rPr>
            </w:pPr>
            <w:r>
              <w:rPr>
                <w:sz w:val="24"/>
                <w:lang w:val="pt-BR"/>
              </w:rPr>
              <w:t>L</w:t>
            </w:r>
            <w:r>
              <w:rPr>
                <w:sz w:val="24"/>
                <w:vertAlign w:val="subscript"/>
                <w:lang w:val="pt-BR"/>
              </w:rPr>
              <w:t>A</w:t>
            </w:r>
            <w:r>
              <w:rPr>
                <w:sz w:val="24"/>
                <w:lang w:val="pt-BR"/>
              </w:rPr>
              <w:t>(r)= L</w:t>
            </w:r>
            <w:r>
              <w:rPr>
                <w:sz w:val="24"/>
                <w:vertAlign w:val="subscript"/>
                <w:lang w:val="pt-BR"/>
              </w:rPr>
              <w:t>A</w:t>
            </w:r>
            <w:r>
              <w:rPr>
                <w:sz w:val="24"/>
                <w:lang w:val="pt-BR"/>
              </w:rPr>
              <w:t>(r</w:t>
            </w:r>
            <w:r>
              <w:rPr>
                <w:sz w:val="24"/>
                <w:vertAlign w:val="subscript"/>
                <w:lang w:val="pt-BR"/>
              </w:rPr>
              <w:t>0</w:t>
            </w:r>
            <w:r>
              <w:rPr>
                <w:sz w:val="24"/>
                <w:lang w:val="pt-BR"/>
              </w:rPr>
              <w:t>) -20×Lg(r/r</w:t>
            </w:r>
            <w:r>
              <w:rPr>
                <w:sz w:val="24"/>
                <w:vertAlign w:val="subscript"/>
                <w:lang w:val="pt-BR"/>
              </w:rPr>
              <w:t>0</w:t>
            </w:r>
            <w:r>
              <w:rPr>
                <w:sz w:val="24"/>
                <w:lang w:val="pt-BR"/>
              </w:rPr>
              <w:t>)</w:t>
            </w:r>
          </w:p>
          <w:p>
            <w:pPr>
              <w:tabs>
                <w:tab w:val="center" w:pos="5008"/>
              </w:tabs>
              <w:spacing w:line="400" w:lineRule="exact"/>
              <w:ind w:firstLine="480" w:firstLineChars="200"/>
              <w:rPr>
                <w:sz w:val="24"/>
                <w:lang w:val="pt-BR"/>
              </w:rPr>
            </w:pPr>
            <w:r>
              <w:rPr>
                <w:sz w:val="24"/>
              </w:rPr>
              <w:t>式中</w:t>
            </w:r>
            <w:r>
              <w:rPr>
                <w:sz w:val="24"/>
                <w:lang w:val="pt-BR"/>
              </w:rPr>
              <w:t>：L</w:t>
            </w:r>
            <w:r>
              <w:rPr>
                <w:sz w:val="24"/>
                <w:vertAlign w:val="subscript"/>
                <w:lang w:val="pt-BR"/>
              </w:rPr>
              <w:t>A</w:t>
            </w:r>
            <w:r>
              <w:rPr>
                <w:sz w:val="24"/>
                <w:lang w:val="pt-BR"/>
              </w:rPr>
              <w:t>(r)—</w:t>
            </w:r>
            <w:r>
              <w:rPr>
                <w:sz w:val="24"/>
              </w:rPr>
              <w:t>预测点声压级</w:t>
            </w:r>
            <w:r>
              <w:rPr>
                <w:sz w:val="24"/>
                <w:lang w:val="pt-BR"/>
              </w:rPr>
              <w:t>，dB(A)；</w:t>
            </w:r>
          </w:p>
          <w:p>
            <w:pPr>
              <w:tabs>
                <w:tab w:val="center" w:pos="5008"/>
              </w:tabs>
              <w:spacing w:line="400" w:lineRule="exact"/>
              <w:ind w:firstLine="1200" w:firstLineChars="500"/>
              <w:rPr>
                <w:sz w:val="24"/>
                <w:lang w:val="pt-BR"/>
              </w:rPr>
            </w:pPr>
            <w:r>
              <w:rPr>
                <w:sz w:val="24"/>
                <w:lang w:val="pt-BR"/>
              </w:rPr>
              <w:t>L</w:t>
            </w:r>
            <w:r>
              <w:rPr>
                <w:sz w:val="24"/>
                <w:vertAlign w:val="subscript"/>
                <w:lang w:val="pt-BR"/>
              </w:rPr>
              <w:t>A</w:t>
            </w:r>
            <w:r>
              <w:rPr>
                <w:sz w:val="24"/>
                <w:lang w:val="pt-BR"/>
              </w:rPr>
              <w:t>(r</w:t>
            </w:r>
            <w:r>
              <w:rPr>
                <w:sz w:val="24"/>
                <w:vertAlign w:val="subscript"/>
                <w:lang w:val="pt-BR"/>
              </w:rPr>
              <w:t>0</w:t>
            </w:r>
            <w:r>
              <w:rPr>
                <w:sz w:val="24"/>
                <w:lang w:val="pt-BR"/>
              </w:rPr>
              <w:t>)—</w:t>
            </w:r>
            <w:r>
              <w:rPr>
                <w:sz w:val="24"/>
              </w:rPr>
              <w:t>噪声源声压级</w:t>
            </w:r>
            <w:r>
              <w:rPr>
                <w:sz w:val="24"/>
                <w:lang w:val="pt-BR"/>
              </w:rPr>
              <w:t>，dB(A)；</w:t>
            </w:r>
          </w:p>
          <w:p>
            <w:pPr>
              <w:tabs>
                <w:tab w:val="center" w:pos="5008"/>
              </w:tabs>
              <w:spacing w:line="400" w:lineRule="exact"/>
              <w:ind w:firstLine="1200" w:firstLineChars="500"/>
              <w:rPr>
                <w:sz w:val="24"/>
                <w:lang w:val="pt-BR"/>
              </w:rPr>
            </w:pPr>
            <w:r>
              <w:rPr>
                <w:sz w:val="24"/>
                <w:lang w:val="pt-BR"/>
              </w:rPr>
              <w:t>r—</w:t>
            </w:r>
            <w:r>
              <w:rPr>
                <w:sz w:val="24"/>
              </w:rPr>
              <w:t>预测点离噪声源的距离</w:t>
            </w:r>
            <w:r>
              <w:rPr>
                <w:sz w:val="24"/>
                <w:lang w:val="pt-BR"/>
              </w:rPr>
              <w:t>，m；</w:t>
            </w:r>
          </w:p>
          <w:p>
            <w:pPr>
              <w:tabs>
                <w:tab w:val="left" w:pos="8370"/>
                <w:tab w:val="left" w:pos="8600"/>
              </w:tabs>
              <w:spacing w:line="400" w:lineRule="exact"/>
              <w:ind w:firstLine="480" w:firstLineChars="200"/>
              <w:rPr>
                <w:sz w:val="24"/>
              </w:rPr>
            </w:pPr>
            <w:r>
              <w:rPr>
                <w:sz w:val="24"/>
              </w:rPr>
              <w:t>本工程噪声源主要分布于生产车间，对项目四周厂界噪声排放量预测计算，厂界噪声的预测结果见下表。</w:t>
            </w:r>
          </w:p>
          <w:p>
            <w:pPr>
              <w:spacing w:line="440" w:lineRule="exact"/>
              <w:ind w:firstLine="480" w:firstLineChars="200"/>
              <w:rPr>
                <w:rFonts w:ascii="黑体" w:hAnsi="黑体" w:eastAsia="黑体"/>
                <w:bCs/>
                <w:sz w:val="24"/>
              </w:rPr>
            </w:pPr>
            <w:r>
              <w:rPr>
                <w:rFonts w:ascii="黑体" w:hAnsi="黑体" w:eastAsia="黑体"/>
                <w:bCs/>
                <w:sz w:val="24"/>
              </w:rPr>
              <w:t>表</w:t>
            </w:r>
            <w:r>
              <w:rPr>
                <w:rFonts w:hint="eastAsia" w:ascii="黑体" w:hAnsi="黑体" w:eastAsia="黑体"/>
                <w:bCs/>
                <w:sz w:val="24"/>
              </w:rPr>
              <w:t>17</w:t>
            </w:r>
            <w:r>
              <w:rPr>
                <w:rFonts w:ascii="黑体" w:hAnsi="黑体" w:eastAsia="黑体"/>
                <w:bCs/>
                <w:sz w:val="24"/>
              </w:rPr>
              <w:t xml:space="preserve">                   厂界噪声贡献值一览表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835"/>
              <w:gridCol w:w="2848"/>
              <w:gridCol w:w="157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8" w:space="0"/>
                    <w:left w:val="nil"/>
                    <w:bottom w:val="single" w:color="auto" w:sz="4" w:space="0"/>
                    <w:right w:val="single" w:color="auto" w:sz="4" w:space="0"/>
                  </w:tcBorders>
                  <w:vAlign w:val="center"/>
                </w:tcPr>
                <w:p>
                  <w:pPr>
                    <w:snapToGrid w:val="0"/>
                    <w:jc w:val="center"/>
                    <w:rPr>
                      <w:b/>
                      <w:bCs/>
                      <w:szCs w:val="21"/>
                    </w:rPr>
                  </w:pPr>
                  <w:r>
                    <w:rPr>
                      <w:b/>
                      <w:bCs/>
                    </w:rPr>
                    <w:t>厂  界</w:t>
                  </w:r>
                </w:p>
              </w:tc>
              <w:tc>
                <w:tcPr>
                  <w:tcW w:w="2835" w:type="dxa"/>
                  <w:tcBorders>
                    <w:top w:val="single" w:color="auto" w:sz="8" w:space="0"/>
                    <w:left w:val="nil"/>
                    <w:bottom w:val="single" w:color="auto" w:sz="4" w:space="0"/>
                    <w:right w:val="single" w:color="auto" w:sz="4" w:space="0"/>
                  </w:tcBorders>
                  <w:vAlign w:val="center"/>
                </w:tcPr>
                <w:p>
                  <w:pPr>
                    <w:snapToGrid w:val="0"/>
                    <w:jc w:val="center"/>
                    <w:rPr>
                      <w:b/>
                      <w:bCs/>
                      <w:szCs w:val="21"/>
                    </w:rPr>
                  </w:pPr>
                  <w:r>
                    <w:rPr>
                      <w:b/>
                      <w:bCs/>
                    </w:rPr>
                    <w:t>预测点距离（m）</w:t>
                  </w:r>
                </w:p>
              </w:tc>
              <w:tc>
                <w:tcPr>
                  <w:tcW w:w="2848" w:type="dxa"/>
                  <w:tcBorders>
                    <w:top w:val="single" w:color="auto" w:sz="8" w:space="0"/>
                    <w:left w:val="nil"/>
                    <w:bottom w:val="single" w:color="auto" w:sz="4" w:space="0"/>
                    <w:right w:val="single" w:color="auto" w:sz="4" w:space="0"/>
                  </w:tcBorders>
                  <w:vAlign w:val="center"/>
                </w:tcPr>
                <w:p>
                  <w:pPr>
                    <w:snapToGrid w:val="0"/>
                    <w:jc w:val="center"/>
                    <w:rPr>
                      <w:b/>
                      <w:bCs/>
                      <w:szCs w:val="21"/>
                    </w:rPr>
                  </w:pPr>
                  <w:r>
                    <w:rPr>
                      <w:b/>
                      <w:bCs/>
                    </w:rPr>
                    <w:t>贡献值dB(A)</w:t>
                  </w:r>
                </w:p>
              </w:tc>
              <w:tc>
                <w:tcPr>
                  <w:tcW w:w="1578" w:type="dxa"/>
                  <w:tcBorders>
                    <w:top w:val="single" w:color="auto" w:sz="8" w:space="0"/>
                    <w:left w:val="single" w:color="auto" w:sz="4" w:space="0"/>
                    <w:bottom w:val="single" w:color="auto" w:sz="4" w:space="0"/>
                    <w:right w:val="nil"/>
                  </w:tcBorders>
                  <w:vAlign w:val="center"/>
                </w:tcPr>
                <w:p>
                  <w:pPr>
                    <w:snapToGrid w:val="0"/>
                    <w:jc w:val="center"/>
                    <w:rPr>
                      <w:b/>
                      <w:bCs/>
                      <w:szCs w:val="21"/>
                    </w:rPr>
                  </w:pPr>
                  <w:r>
                    <w:rPr>
                      <w:b/>
                      <w:bCs/>
                    </w:rPr>
                    <w:t>达标情况</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4" w:space="0"/>
                    <w:left w:val="nil"/>
                    <w:bottom w:val="single" w:color="auto" w:sz="4" w:space="0"/>
                    <w:right w:val="single" w:color="auto" w:sz="4" w:space="0"/>
                  </w:tcBorders>
                  <w:vAlign w:val="center"/>
                </w:tcPr>
                <w:p>
                  <w:pPr>
                    <w:snapToGrid w:val="0"/>
                    <w:jc w:val="center"/>
                    <w:rPr>
                      <w:szCs w:val="21"/>
                    </w:rPr>
                  </w:pPr>
                  <w:r>
                    <w:t>东厂界</w:t>
                  </w:r>
                </w:p>
              </w:tc>
              <w:tc>
                <w:tcPr>
                  <w:tcW w:w="2835"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w:t>
                  </w:r>
                </w:p>
              </w:tc>
              <w:tc>
                <w:tcPr>
                  <w:tcW w:w="2848" w:type="dxa"/>
                  <w:tcBorders>
                    <w:top w:val="single" w:color="auto" w:sz="4" w:space="0"/>
                    <w:left w:val="nil"/>
                    <w:bottom w:val="single" w:color="auto" w:sz="4" w:space="0"/>
                    <w:right w:val="single" w:color="auto" w:sz="4" w:space="0"/>
                  </w:tcBorders>
                  <w:vAlign w:val="center"/>
                </w:tcPr>
                <w:p>
                  <w:pPr>
                    <w:snapToGrid w:val="0"/>
                    <w:jc w:val="center"/>
                    <w:rPr>
                      <w:szCs w:val="21"/>
                    </w:rPr>
                  </w:pPr>
                  <w:r>
                    <w:rPr>
                      <w:rFonts w:hint="eastAsia"/>
                      <w:szCs w:val="21"/>
                    </w:rPr>
                    <w:t>58.55</w:t>
                  </w:r>
                </w:p>
              </w:tc>
              <w:tc>
                <w:tcPr>
                  <w:tcW w:w="1578" w:type="dxa"/>
                  <w:vMerge w:val="restart"/>
                  <w:tcBorders>
                    <w:top w:val="nil"/>
                    <w:left w:val="single" w:color="auto" w:sz="4" w:space="0"/>
                    <w:bottom w:val="single" w:color="auto" w:sz="4" w:space="0"/>
                    <w:right w:val="nil"/>
                  </w:tcBorders>
                  <w:vAlign w:val="center"/>
                </w:tcPr>
                <w:p>
                  <w:pPr>
                    <w:snapToGrid w:val="0"/>
                    <w:jc w:val="center"/>
                    <w:rPr>
                      <w:szCs w:val="21"/>
                    </w:rPr>
                  </w:pPr>
                  <w:r>
                    <w:t>达标</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4" w:space="0"/>
                    <w:left w:val="nil"/>
                    <w:bottom w:val="single" w:color="auto" w:sz="4" w:space="0"/>
                    <w:right w:val="single" w:color="auto" w:sz="4" w:space="0"/>
                  </w:tcBorders>
                  <w:vAlign w:val="center"/>
                </w:tcPr>
                <w:p>
                  <w:pPr>
                    <w:snapToGrid w:val="0"/>
                    <w:jc w:val="center"/>
                    <w:rPr>
                      <w:szCs w:val="21"/>
                    </w:rPr>
                  </w:pPr>
                  <w:r>
                    <w:t>西厂界</w:t>
                  </w:r>
                </w:p>
              </w:tc>
              <w:tc>
                <w:tcPr>
                  <w:tcW w:w="2835"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w:t>
                  </w:r>
                </w:p>
              </w:tc>
              <w:tc>
                <w:tcPr>
                  <w:tcW w:w="2848" w:type="dxa"/>
                  <w:tcBorders>
                    <w:top w:val="single" w:color="auto" w:sz="4" w:space="0"/>
                    <w:left w:val="nil"/>
                    <w:bottom w:val="single" w:color="auto" w:sz="4" w:space="0"/>
                    <w:right w:val="single" w:color="auto" w:sz="4" w:space="0"/>
                  </w:tcBorders>
                  <w:vAlign w:val="center"/>
                </w:tcPr>
                <w:p>
                  <w:pPr>
                    <w:snapToGrid w:val="0"/>
                    <w:jc w:val="center"/>
                    <w:rPr>
                      <w:szCs w:val="21"/>
                    </w:rPr>
                  </w:pPr>
                  <w:r>
                    <w:rPr>
                      <w:rFonts w:hint="eastAsia"/>
                      <w:szCs w:val="21"/>
                    </w:rPr>
                    <w:t>58.55</w:t>
                  </w:r>
                </w:p>
              </w:tc>
              <w:tc>
                <w:tcPr>
                  <w:tcW w:w="1578" w:type="dxa"/>
                  <w:vMerge w:val="continue"/>
                  <w:tcBorders>
                    <w:top w:val="nil"/>
                    <w:left w:val="single" w:color="auto" w:sz="4" w:space="0"/>
                    <w:bottom w:val="single" w:color="auto" w:sz="4" w:space="0"/>
                    <w:right w:val="nil"/>
                  </w:tcBorders>
                  <w:vAlign w:val="center"/>
                </w:tcPr>
                <w:p>
                  <w:pPr>
                    <w:widowControl/>
                    <w:jc w:val="left"/>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4" w:space="0"/>
                    <w:left w:val="nil"/>
                    <w:bottom w:val="single" w:color="auto" w:sz="4" w:space="0"/>
                    <w:right w:val="single" w:color="auto" w:sz="4" w:space="0"/>
                  </w:tcBorders>
                  <w:vAlign w:val="center"/>
                </w:tcPr>
                <w:p>
                  <w:pPr>
                    <w:snapToGrid w:val="0"/>
                    <w:jc w:val="center"/>
                    <w:rPr>
                      <w:szCs w:val="21"/>
                    </w:rPr>
                  </w:pPr>
                  <w:r>
                    <w:t>南厂界</w:t>
                  </w:r>
                </w:p>
              </w:tc>
              <w:tc>
                <w:tcPr>
                  <w:tcW w:w="2835"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10</w:t>
                  </w:r>
                </w:p>
              </w:tc>
              <w:tc>
                <w:tcPr>
                  <w:tcW w:w="2848" w:type="dxa"/>
                  <w:tcBorders>
                    <w:top w:val="single" w:color="auto" w:sz="4" w:space="0"/>
                    <w:left w:val="nil"/>
                    <w:bottom w:val="single" w:color="auto" w:sz="4" w:space="0"/>
                    <w:right w:val="single" w:color="auto" w:sz="4" w:space="0"/>
                  </w:tcBorders>
                  <w:vAlign w:val="center"/>
                </w:tcPr>
                <w:p>
                  <w:pPr>
                    <w:snapToGrid w:val="0"/>
                    <w:jc w:val="center"/>
                    <w:rPr>
                      <w:szCs w:val="21"/>
                    </w:rPr>
                  </w:pPr>
                  <w:r>
                    <w:rPr>
                      <w:rFonts w:hint="eastAsia"/>
                      <w:szCs w:val="21"/>
                    </w:rPr>
                    <w:t>38.55</w:t>
                  </w:r>
                </w:p>
              </w:tc>
              <w:tc>
                <w:tcPr>
                  <w:tcW w:w="1578" w:type="dxa"/>
                  <w:vMerge w:val="continue"/>
                  <w:tcBorders>
                    <w:top w:val="nil"/>
                    <w:left w:val="single" w:color="auto" w:sz="4" w:space="0"/>
                    <w:bottom w:val="single" w:color="auto" w:sz="4" w:space="0"/>
                    <w:right w:val="nil"/>
                  </w:tcBorders>
                  <w:vAlign w:val="center"/>
                </w:tcPr>
                <w:p>
                  <w:pPr>
                    <w:widowControl/>
                    <w:jc w:val="left"/>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4" w:space="0"/>
                    <w:left w:val="nil"/>
                    <w:bottom w:val="single" w:color="auto" w:sz="4" w:space="0"/>
                    <w:right w:val="single" w:color="auto" w:sz="4" w:space="0"/>
                  </w:tcBorders>
                  <w:vAlign w:val="center"/>
                </w:tcPr>
                <w:p>
                  <w:pPr>
                    <w:snapToGrid w:val="0"/>
                    <w:jc w:val="center"/>
                    <w:rPr>
                      <w:szCs w:val="21"/>
                    </w:rPr>
                  </w:pPr>
                  <w:r>
                    <w:t>北厂界</w:t>
                  </w:r>
                </w:p>
              </w:tc>
              <w:tc>
                <w:tcPr>
                  <w:tcW w:w="2835"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1</w:t>
                  </w:r>
                </w:p>
              </w:tc>
              <w:tc>
                <w:tcPr>
                  <w:tcW w:w="2848" w:type="dxa"/>
                  <w:tcBorders>
                    <w:top w:val="single" w:color="auto" w:sz="4" w:space="0"/>
                    <w:left w:val="nil"/>
                    <w:bottom w:val="single" w:color="auto" w:sz="4" w:space="0"/>
                    <w:right w:val="single" w:color="auto" w:sz="4" w:space="0"/>
                  </w:tcBorders>
                  <w:vAlign w:val="center"/>
                </w:tcPr>
                <w:p>
                  <w:pPr>
                    <w:snapToGrid w:val="0"/>
                    <w:jc w:val="center"/>
                    <w:rPr>
                      <w:szCs w:val="21"/>
                    </w:rPr>
                  </w:pPr>
                  <w:r>
                    <w:rPr>
                      <w:rFonts w:hint="eastAsia"/>
                      <w:szCs w:val="21"/>
                    </w:rPr>
                    <w:t>58.55</w:t>
                  </w:r>
                </w:p>
              </w:tc>
              <w:tc>
                <w:tcPr>
                  <w:tcW w:w="1578" w:type="dxa"/>
                  <w:vMerge w:val="continue"/>
                  <w:tcBorders>
                    <w:top w:val="nil"/>
                    <w:left w:val="single" w:color="auto" w:sz="4" w:space="0"/>
                    <w:bottom w:val="nil"/>
                    <w:right w:val="nil"/>
                  </w:tcBorders>
                  <w:vAlign w:val="center"/>
                </w:tcPr>
                <w:p>
                  <w:pPr>
                    <w:widowControl/>
                    <w:jc w:val="left"/>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61" w:type="dxa"/>
                  <w:tcBorders>
                    <w:top w:val="single" w:color="auto" w:sz="4" w:space="0"/>
                    <w:left w:val="nil"/>
                    <w:bottom w:val="single" w:color="auto" w:sz="4" w:space="0"/>
                    <w:right w:val="single" w:color="auto" w:sz="4" w:space="0"/>
                  </w:tcBorders>
                  <w:vAlign w:val="center"/>
                </w:tcPr>
                <w:p>
                  <w:pPr>
                    <w:snapToGrid w:val="0"/>
                    <w:jc w:val="center"/>
                  </w:pPr>
                  <w:r>
                    <w:t>标准</w:t>
                  </w:r>
                </w:p>
              </w:tc>
              <w:tc>
                <w:tcPr>
                  <w:tcW w:w="5683" w:type="dxa"/>
                  <w:gridSpan w:val="2"/>
                  <w:tcBorders>
                    <w:top w:val="single" w:color="auto" w:sz="4" w:space="0"/>
                    <w:left w:val="nil"/>
                    <w:bottom w:val="single" w:color="auto" w:sz="4" w:space="0"/>
                    <w:right w:val="single" w:color="auto" w:sz="4" w:space="0"/>
                  </w:tcBorders>
                  <w:vAlign w:val="center"/>
                </w:tcPr>
                <w:p>
                  <w:pPr>
                    <w:snapToGrid w:val="0"/>
                    <w:jc w:val="center"/>
                    <w:rPr>
                      <w:szCs w:val="21"/>
                    </w:rPr>
                  </w:pPr>
                  <w:r>
                    <w:rPr>
                      <w:szCs w:val="21"/>
                    </w:rPr>
                    <w:t>《工业企业厂界环境噪声排放标准》（GB12348-2008）2类标准昼间60dB（A）</w:t>
                  </w:r>
                </w:p>
              </w:tc>
              <w:tc>
                <w:tcPr>
                  <w:tcW w:w="1578" w:type="dxa"/>
                  <w:tcBorders>
                    <w:top w:val="nil"/>
                    <w:left w:val="single" w:color="auto" w:sz="4" w:space="0"/>
                    <w:bottom w:val="single" w:color="auto" w:sz="4" w:space="0"/>
                    <w:right w:val="nil"/>
                  </w:tcBorders>
                  <w:vAlign w:val="center"/>
                </w:tcPr>
                <w:p>
                  <w:pPr>
                    <w:widowControl/>
                    <w:jc w:val="left"/>
                    <w:rPr>
                      <w:szCs w:val="21"/>
                    </w:rPr>
                  </w:pPr>
                </w:p>
              </w:tc>
            </w:tr>
          </w:tbl>
          <w:p>
            <w:pPr>
              <w:spacing w:line="520" w:lineRule="exact"/>
              <w:ind w:firstLine="480" w:firstLineChars="200"/>
              <w:rPr>
                <w:sz w:val="24"/>
              </w:rPr>
            </w:pPr>
            <w:r>
              <w:rPr>
                <w:sz w:val="24"/>
              </w:rPr>
              <w:t>由上表可知，项目厂区四周各厂界噪声贡献值均能满足《工业企业厂界环境噪声排放标准》（GB12348-2008）2类标准</w:t>
            </w:r>
            <w:bookmarkStart w:id="1" w:name="OLE_LINK26"/>
            <w:r>
              <w:rPr>
                <w:sz w:val="24"/>
              </w:rPr>
              <w:t>昼间60dB（A）</w:t>
            </w:r>
            <w:bookmarkEnd w:id="1"/>
            <w:r>
              <w:rPr>
                <w:sz w:val="24"/>
              </w:rPr>
              <w:t>的要求。因此项目在采取适当的厂房隔声、距离衰减等降噪防治措施及距离衰减后噪声不会对周围环境造成影响。</w:t>
            </w:r>
          </w:p>
          <w:p>
            <w:pPr>
              <w:pStyle w:val="2"/>
              <w:ind w:firstLine="480"/>
              <w:rPr>
                <w:rFonts w:ascii="黑体" w:hAnsi="黑体" w:eastAsia="黑体"/>
                <w:sz w:val="24"/>
              </w:rPr>
            </w:pPr>
            <w:r>
              <w:rPr>
                <w:rFonts w:hint="eastAsia" w:ascii="黑体" w:hAnsi="黑体" w:eastAsia="黑体"/>
                <w:sz w:val="24"/>
              </w:rPr>
              <w:t>三、废气</w:t>
            </w:r>
          </w:p>
          <w:p>
            <w:pPr>
              <w:pStyle w:val="2"/>
              <w:spacing w:line="440" w:lineRule="exact"/>
              <w:ind w:firstLine="480"/>
              <w:rPr>
                <w:rFonts w:ascii="黑体" w:hAnsi="黑体" w:eastAsia="黑体"/>
                <w:sz w:val="24"/>
                <w:szCs w:val="22"/>
              </w:rPr>
            </w:pPr>
            <w:r>
              <w:rPr>
                <w:rFonts w:ascii="黑体" w:hAnsi="黑体" w:eastAsia="黑体"/>
                <w:sz w:val="24"/>
                <w:szCs w:val="22"/>
              </w:rPr>
              <w:t>1、本项目产生废气的工段有切割和焊接打磨两个工段，废气产排情况如下：</w:t>
            </w:r>
          </w:p>
          <w:p>
            <w:pPr>
              <w:spacing w:line="440" w:lineRule="exact"/>
              <w:ind w:firstLine="480" w:firstLineChars="200"/>
              <w:jc w:val="left"/>
              <w:rPr>
                <w:bCs/>
                <w:sz w:val="24"/>
              </w:rPr>
            </w:pPr>
            <w:r>
              <w:rPr>
                <w:rFonts w:hint="eastAsia"/>
                <w:bCs/>
                <w:sz w:val="24"/>
              </w:rPr>
              <w:t>1</w:t>
            </w:r>
            <w:r>
              <w:rPr>
                <w:bCs/>
                <w:sz w:val="24"/>
              </w:rPr>
              <w:t>）本项目在焊接过程中有烟尘产生，焊接烟尘主要成分为氧化铁、氧化锰、二氧化硅、硅酸盐等。根据《焊接技术手册》及有关资料推荐的经验排放系数，焊接废气中焊接烟尘排放量为5～8g/kg焊丝，结合本项目的焊接工艺，项目焊接烟尘的产生系数以8g/kg焊条（丝）计，项目运营后，消耗焊条约</w:t>
            </w:r>
            <w:r>
              <w:rPr>
                <w:rFonts w:hint="eastAsia"/>
                <w:bCs/>
                <w:sz w:val="24"/>
              </w:rPr>
              <w:t>2</w:t>
            </w:r>
            <w:r>
              <w:rPr>
                <w:bCs/>
                <w:sz w:val="24"/>
              </w:rPr>
              <w:t>t/a，则项目焊接烟尘的产生量为0.0</w:t>
            </w:r>
            <w:r>
              <w:rPr>
                <w:rFonts w:hint="eastAsia"/>
                <w:bCs/>
                <w:sz w:val="24"/>
              </w:rPr>
              <w:t>16</w:t>
            </w:r>
            <w:r>
              <w:rPr>
                <w:bCs/>
                <w:sz w:val="24"/>
              </w:rPr>
              <w:t>t/a，</w:t>
            </w:r>
            <w:r>
              <w:rPr>
                <w:rFonts w:hint="eastAsia"/>
                <w:bCs/>
                <w:sz w:val="24"/>
              </w:rPr>
              <w:t>焊接时间为1h/d、270d/a，则产生速率为0.059kg/h；</w:t>
            </w:r>
          </w:p>
          <w:p>
            <w:pPr>
              <w:spacing w:line="440" w:lineRule="exact"/>
              <w:ind w:firstLine="480" w:firstLineChars="200"/>
              <w:jc w:val="left"/>
              <w:rPr>
                <w:bCs/>
                <w:sz w:val="24"/>
              </w:rPr>
            </w:pPr>
            <w:r>
              <w:rPr>
                <w:rFonts w:hint="eastAsia"/>
                <w:bCs/>
                <w:sz w:val="24"/>
              </w:rPr>
              <w:t>本项目型材、钢材焊接后的焊缝需要进行打磨，打磨过程会有一定量的粉尘产生，粉尘的产生量较小，约占原材料的0.</w:t>
            </w:r>
            <w:r>
              <w:rPr>
                <w:bCs/>
                <w:sz w:val="24"/>
              </w:rPr>
              <w:t>1%</w:t>
            </w:r>
            <w:r>
              <w:rPr>
                <w:rFonts w:hint="eastAsia"/>
                <w:bCs/>
                <w:sz w:val="24"/>
              </w:rPr>
              <w:t>左右，根据企业提供资料，本项目打磨工序年用型材及钢材为90</w:t>
            </w:r>
            <w:r>
              <w:rPr>
                <w:bCs/>
                <w:sz w:val="24"/>
              </w:rPr>
              <w:t>t</w:t>
            </w:r>
            <w:r>
              <w:rPr>
                <w:rFonts w:hint="eastAsia"/>
                <w:bCs/>
                <w:sz w:val="24"/>
              </w:rPr>
              <w:t>，则粉尘的产生量为</w:t>
            </w:r>
            <w:r>
              <w:rPr>
                <w:bCs/>
                <w:sz w:val="24"/>
              </w:rPr>
              <w:t>0.</w:t>
            </w:r>
            <w:r>
              <w:rPr>
                <w:rFonts w:hint="eastAsia"/>
                <w:bCs/>
                <w:sz w:val="24"/>
              </w:rPr>
              <w:t>09</w:t>
            </w:r>
            <w:r>
              <w:rPr>
                <w:bCs/>
                <w:sz w:val="24"/>
              </w:rPr>
              <w:t>t/a</w:t>
            </w:r>
            <w:r>
              <w:rPr>
                <w:rFonts w:hint="eastAsia"/>
                <w:bCs/>
                <w:sz w:val="24"/>
              </w:rPr>
              <w:t>。企业打磨时间1h/d、270d/a，则产生速率为0.33kg/h。</w:t>
            </w:r>
          </w:p>
          <w:p>
            <w:pPr>
              <w:spacing w:line="440" w:lineRule="exact"/>
              <w:ind w:firstLine="525" w:firstLineChars="250"/>
              <w:jc w:val="left"/>
              <w:rPr>
                <w:rFonts w:ascii="Calibri" w:hAnsi="宋体" w:cs="Calibri"/>
                <w:sz w:val="24"/>
              </w:rPr>
            </w:pPr>
            <w:r>
              <w:rPr>
                <w:rFonts w:hint="eastAsia"/>
              </w:rPr>
              <w:t>2）</w:t>
            </w:r>
            <w:r>
              <w:rPr>
                <w:sz w:val="24"/>
              </w:rPr>
              <w:t>切</w:t>
            </w:r>
            <w:r>
              <w:rPr>
                <w:rFonts w:hint="eastAsia" w:ascii="Calibri" w:hAnsi="宋体" w:cs="Calibri"/>
                <w:sz w:val="24"/>
              </w:rPr>
              <w:t>割烟尘</w:t>
            </w:r>
          </w:p>
          <w:p>
            <w:pPr>
              <w:spacing w:line="460" w:lineRule="exact"/>
              <w:ind w:firstLine="480" w:firstLineChars="200"/>
              <w:rPr>
                <w:rFonts w:hAnsi="Calibri"/>
                <w:bCs/>
                <w:sz w:val="24"/>
                <w:szCs w:val="20"/>
              </w:rPr>
            </w:pPr>
            <w:r>
              <w:rPr>
                <w:rFonts w:hAnsi="Calibri"/>
                <w:sz w:val="24"/>
                <w:szCs w:val="20"/>
              </w:rPr>
              <w:t>本项目切割过程中会有少量的</w:t>
            </w:r>
            <w:r>
              <w:rPr>
                <w:rFonts w:hint="eastAsia" w:hAnsi="Calibri"/>
                <w:sz w:val="24"/>
                <w:szCs w:val="20"/>
              </w:rPr>
              <w:t>烟尘</w:t>
            </w:r>
            <w:r>
              <w:rPr>
                <w:rFonts w:hAnsi="Calibri"/>
                <w:sz w:val="24"/>
                <w:szCs w:val="20"/>
              </w:rPr>
              <w:t>产生，类比同行业</w:t>
            </w:r>
            <w:r>
              <w:rPr>
                <w:rFonts w:hint="eastAsia" w:hAnsi="Calibri"/>
                <w:sz w:val="24"/>
                <w:szCs w:val="20"/>
              </w:rPr>
              <w:t>烟尘</w:t>
            </w:r>
            <w:r>
              <w:rPr>
                <w:rFonts w:hAnsi="Calibri"/>
                <w:sz w:val="24"/>
                <w:szCs w:val="20"/>
              </w:rPr>
              <w:t>产生量为</w:t>
            </w:r>
            <w:r>
              <w:rPr>
                <w:sz w:val="24"/>
                <w:szCs w:val="20"/>
              </w:rPr>
              <w:t>0.5kg/t</w:t>
            </w:r>
            <w:r>
              <w:rPr>
                <w:rFonts w:hAnsi="Calibri"/>
                <w:sz w:val="24"/>
                <w:szCs w:val="20"/>
              </w:rPr>
              <w:t>钢材，本项目原料用量为</w:t>
            </w:r>
            <w:r>
              <w:rPr>
                <w:rFonts w:hint="eastAsia"/>
                <w:sz w:val="24"/>
                <w:szCs w:val="20"/>
              </w:rPr>
              <w:t>90</w:t>
            </w:r>
            <w:r>
              <w:rPr>
                <w:sz w:val="24"/>
                <w:szCs w:val="20"/>
              </w:rPr>
              <w:t>t/a</w:t>
            </w:r>
            <w:r>
              <w:rPr>
                <w:rFonts w:hAnsi="Calibri"/>
                <w:sz w:val="24"/>
                <w:szCs w:val="20"/>
              </w:rPr>
              <w:t>，则</w:t>
            </w:r>
            <w:r>
              <w:rPr>
                <w:rFonts w:hint="eastAsia" w:hAnsi="Calibri"/>
                <w:sz w:val="24"/>
                <w:szCs w:val="20"/>
              </w:rPr>
              <w:t>烟尘</w:t>
            </w:r>
            <w:r>
              <w:rPr>
                <w:rFonts w:hAnsi="Calibri"/>
                <w:sz w:val="24"/>
                <w:szCs w:val="20"/>
              </w:rPr>
              <w:t>产生量为</w:t>
            </w:r>
            <w:r>
              <w:rPr>
                <w:rFonts w:hint="eastAsia"/>
                <w:sz w:val="24"/>
                <w:szCs w:val="20"/>
              </w:rPr>
              <w:t>0.045t</w:t>
            </w:r>
            <w:r>
              <w:rPr>
                <w:sz w:val="24"/>
                <w:szCs w:val="20"/>
              </w:rPr>
              <w:t>/a</w:t>
            </w:r>
            <w:r>
              <w:rPr>
                <w:rFonts w:hAnsi="Calibri"/>
                <w:sz w:val="24"/>
                <w:szCs w:val="20"/>
              </w:rPr>
              <w:t>，</w:t>
            </w:r>
            <w:r>
              <w:rPr>
                <w:rFonts w:hint="eastAsia" w:hAnsi="Calibri"/>
                <w:bCs/>
                <w:sz w:val="24"/>
                <w:szCs w:val="20"/>
              </w:rPr>
              <w:t>切割时间1h</w:t>
            </w:r>
            <w:r>
              <w:rPr>
                <w:rFonts w:hint="eastAsia"/>
                <w:bCs/>
                <w:sz w:val="24"/>
              </w:rPr>
              <w:t>/d、270d/a</w:t>
            </w:r>
            <w:r>
              <w:rPr>
                <w:rFonts w:hint="eastAsia" w:hAnsi="Calibri"/>
                <w:bCs/>
                <w:sz w:val="24"/>
                <w:szCs w:val="20"/>
              </w:rPr>
              <w:t>，则产生速率为0.17kg/h。</w:t>
            </w:r>
          </w:p>
          <w:p>
            <w:pPr>
              <w:spacing w:line="460" w:lineRule="exact"/>
              <w:ind w:firstLine="480" w:firstLineChars="200"/>
              <w:rPr>
                <w:rFonts w:hAnsi="Calibri"/>
                <w:bCs/>
                <w:sz w:val="24"/>
                <w:szCs w:val="20"/>
                <w:u w:val="single"/>
              </w:rPr>
            </w:pPr>
            <w:r>
              <w:rPr>
                <w:rFonts w:hint="eastAsia" w:hAnsi="Calibri"/>
                <w:bCs/>
                <w:sz w:val="24"/>
                <w:szCs w:val="20"/>
                <w:u w:val="single"/>
              </w:rPr>
              <w:t>评价提出，本项目焊接打磨工段和切割工段两个产尘工段需在密闭室内进行作业，密闭室采用负压抽风将含尘废气引入袋式除尘器中，经袋式除尘器处理后由15m高排气筒排放。密闭室含尘废气经负压收集后无无组织排放。</w:t>
            </w:r>
          </w:p>
          <w:p>
            <w:pPr>
              <w:spacing w:line="460" w:lineRule="exact"/>
              <w:ind w:firstLine="480" w:firstLineChars="200"/>
              <w:rPr>
                <w:rFonts w:hAnsi="Calibri"/>
                <w:bCs/>
                <w:sz w:val="24"/>
                <w:szCs w:val="20"/>
                <w:u w:val="single"/>
              </w:rPr>
            </w:pPr>
            <w:r>
              <w:rPr>
                <w:rFonts w:hint="eastAsia" w:hAnsi="Calibri"/>
                <w:bCs/>
                <w:sz w:val="24"/>
                <w:szCs w:val="20"/>
                <w:u w:val="single"/>
              </w:rPr>
              <w:t>本项目最大工件规格约为4m×2m×2m，密闭室体积为72m</w:t>
            </w:r>
            <w:r>
              <w:rPr>
                <w:rFonts w:hint="eastAsia" w:hAnsi="Calibri"/>
                <w:bCs/>
                <w:sz w:val="24"/>
                <w:szCs w:val="20"/>
                <w:u w:val="single"/>
                <w:vertAlign w:val="superscript"/>
              </w:rPr>
              <w:t>3</w:t>
            </w:r>
            <w:r>
              <w:rPr>
                <w:rFonts w:hint="eastAsia" w:hAnsi="Calibri"/>
                <w:bCs/>
                <w:sz w:val="24"/>
                <w:szCs w:val="20"/>
                <w:u w:val="single"/>
              </w:rPr>
              <w:t>（6m×4m×3m），</w:t>
            </w:r>
            <w:r>
              <w:rPr>
                <w:rFonts w:hAnsi="Calibri"/>
                <w:bCs/>
                <w:sz w:val="24"/>
                <w:szCs w:val="20"/>
                <w:u w:val="single"/>
              </w:rPr>
              <w:t>设计换风次数为60次/小时，</w:t>
            </w:r>
            <w:r>
              <w:rPr>
                <w:rFonts w:hint="eastAsia" w:hAnsi="Calibri"/>
                <w:bCs/>
                <w:sz w:val="24"/>
                <w:szCs w:val="20"/>
                <w:u w:val="single"/>
              </w:rPr>
              <w:t>则所需最小风量为4320</w:t>
            </w:r>
            <w:r>
              <w:rPr>
                <w:rFonts w:hAnsi="Calibri"/>
                <w:bCs/>
                <w:sz w:val="24"/>
                <w:szCs w:val="20"/>
                <w:u w:val="single"/>
              </w:rPr>
              <w:t>m</w:t>
            </w:r>
            <w:r>
              <w:rPr>
                <w:rFonts w:hAnsi="Calibri"/>
                <w:bCs/>
                <w:sz w:val="24"/>
                <w:szCs w:val="20"/>
                <w:u w:val="single"/>
                <w:vertAlign w:val="superscript"/>
              </w:rPr>
              <w:t>3</w:t>
            </w:r>
            <w:r>
              <w:rPr>
                <w:rFonts w:hAnsi="Calibri"/>
                <w:bCs/>
                <w:sz w:val="24"/>
                <w:szCs w:val="20"/>
                <w:u w:val="single"/>
              </w:rPr>
              <w:t>/h，本次风机设计风量以</w:t>
            </w:r>
            <w:r>
              <w:rPr>
                <w:rFonts w:hint="eastAsia" w:hAnsi="Calibri"/>
                <w:bCs/>
                <w:sz w:val="24"/>
                <w:szCs w:val="20"/>
                <w:u w:val="single"/>
              </w:rPr>
              <w:t>5000</w:t>
            </w:r>
            <w:r>
              <w:rPr>
                <w:rFonts w:hAnsi="Calibri"/>
                <w:bCs/>
                <w:sz w:val="24"/>
                <w:szCs w:val="20"/>
                <w:u w:val="single"/>
              </w:rPr>
              <w:t>m</w:t>
            </w:r>
            <w:r>
              <w:rPr>
                <w:rFonts w:hAnsi="Calibri"/>
                <w:bCs/>
                <w:sz w:val="24"/>
                <w:szCs w:val="20"/>
                <w:u w:val="single"/>
                <w:vertAlign w:val="superscript"/>
              </w:rPr>
              <w:t>3</w:t>
            </w:r>
            <w:r>
              <w:rPr>
                <w:rFonts w:hAnsi="Calibri"/>
                <w:bCs/>
                <w:sz w:val="24"/>
                <w:szCs w:val="20"/>
                <w:u w:val="single"/>
              </w:rPr>
              <w:t>/h计算</w:t>
            </w:r>
            <w:r>
              <w:rPr>
                <w:rFonts w:hint="eastAsia" w:hAnsi="Calibri"/>
                <w:bCs/>
                <w:sz w:val="24"/>
                <w:szCs w:val="20"/>
                <w:u w:val="single"/>
              </w:rPr>
              <w:t>。</w:t>
            </w:r>
          </w:p>
          <w:p>
            <w:pPr>
              <w:spacing w:line="460" w:lineRule="exact"/>
              <w:ind w:firstLine="480" w:firstLineChars="200"/>
              <w:rPr>
                <w:rFonts w:hAnsi="Calibri"/>
                <w:bCs/>
                <w:sz w:val="24"/>
                <w:szCs w:val="20"/>
              </w:rPr>
            </w:pPr>
            <w:r>
              <w:rPr>
                <w:rFonts w:hint="eastAsia" w:hAnsi="Calibri"/>
                <w:bCs/>
                <w:sz w:val="24"/>
                <w:szCs w:val="20"/>
              </w:rPr>
              <w:t>风机风量为5000</w:t>
            </w:r>
            <w:r>
              <w:rPr>
                <w:rFonts w:hAnsi="Calibri"/>
                <w:bCs/>
                <w:sz w:val="24"/>
                <w:szCs w:val="20"/>
              </w:rPr>
              <w:t>m</w:t>
            </w:r>
            <w:r>
              <w:rPr>
                <w:rFonts w:hAnsi="Calibri"/>
                <w:bCs/>
                <w:sz w:val="24"/>
                <w:szCs w:val="20"/>
                <w:vertAlign w:val="superscript"/>
              </w:rPr>
              <w:t>3</w:t>
            </w:r>
            <w:r>
              <w:rPr>
                <w:rFonts w:hAnsi="Calibri"/>
                <w:bCs/>
                <w:sz w:val="24"/>
                <w:szCs w:val="20"/>
              </w:rPr>
              <w:t>/h</w:t>
            </w:r>
            <w:r>
              <w:rPr>
                <w:rFonts w:hint="eastAsia" w:hAnsi="Calibri"/>
                <w:bCs/>
                <w:sz w:val="24"/>
              </w:rPr>
              <w:t>，袋式除尘器处理效率为90%</w:t>
            </w:r>
            <w:r>
              <w:rPr>
                <w:rFonts w:hint="eastAsia" w:hAnsi="Calibri"/>
                <w:bCs/>
                <w:sz w:val="24"/>
                <w:szCs w:val="20"/>
              </w:rPr>
              <w:t>。</w:t>
            </w:r>
          </w:p>
          <w:p>
            <w:pPr>
              <w:spacing w:line="460" w:lineRule="exact"/>
              <w:ind w:firstLine="480" w:firstLineChars="200"/>
              <w:rPr>
                <w:rFonts w:hAnsi="Calibri"/>
                <w:bCs/>
                <w:sz w:val="24"/>
                <w:szCs w:val="20"/>
              </w:rPr>
            </w:pPr>
            <w:r>
              <w:rPr>
                <w:rFonts w:hint="eastAsia" w:hAnsi="Calibri"/>
                <w:bCs/>
                <w:sz w:val="24"/>
                <w:szCs w:val="20"/>
              </w:rPr>
              <w:t>本次按最不利因素进行评价，即焊接打磨和切割工段同时工作，</w:t>
            </w:r>
            <w:r>
              <w:rPr>
                <w:rFonts w:hint="eastAsia" w:hAnsi="Calibri"/>
                <w:bCs/>
                <w:sz w:val="24"/>
              </w:rPr>
              <w:t>则本项目粉尘产生量为0.151t/a，最大产生速率为0.559kg/h，最大产生浓度为111.85</w:t>
            </w:r>
            <w:r>
              <w:rPr>
                <w:rFonts w:hAnsi="Calibri"/>
                <w:bCs/>
                <w:sz w:val="24"/>
              </w:rPr>
              <w:t>mg/m</w:t>
            </w:r>
            <w:r>
              <w:rPr>
                <w:rFonts w:hAnsi="Calibri"/>
                <w:bCs/>
                <w:sz w:val="24"/>
                <w:vertAlign w:val="superscript"/>
              </w:rPr>
              <w:t>3</w:t>
            </w:r>
            <w:r>
              <w:rPr>
                <w:rFonts w:hint="eastAsia" w:hAnsi="Calibri"/>
                <w:bCs/>
                <w:sz w:val="24"/>
              </w:rPr>
              <w:t>，经袋式除尘器处理后排放量为0.0151</w:t>
            </w:r>
            <w:r>
              <w:rPr>
                <w:rFonts w:hAnsi="Calibri"/>
                <w:bCs/>
                <w:sz w:val="24"/>
              </w:rPr>
              <w:t>t/a</w:t>
            </w:r>
            <w:r>
              <w:rPr>
                <w:rFonts w:hint="eastAsia" w:hAnsi="Calibri"/>
                <w:bCs/>
                <w:sz w:val="24"/>
              </w:rPr>
              <w:t>，最大排放速率为0.0559</w:t>
            </w:r>
            <w:r>
              <w:rPr>
                <w:rFonts w:hAnsi="Calibri"/>
                <w:bCs/>
                <w:sz w:val="24"/>
              </w:rPr>
              <w:t>kg/h</w:t>
            </w:r>
            <w:r>
              <w:rPr>
                <w:rFonts w:hint="eastAsia" w:hAnsi="Calibri"/>
                <w:bCs/>
                <w:sz w:val="24"/>
              </w:rPr>
              <w:t>，最大排放浓度为11.185</w:t>
            </w:r>
            <w:r>
              <w:rPr>
                <w:rFonts w:hAnsi="Calibri"/>
                <w:bCs/>
                <w:sz w:val="24"/>
              </w:rPr>
              <w:t>mg/m</w:t>
            </w:r>
            <w:r>
              <w:rPr>
                <w:rFonts w:hAnsi="Calibri"/>
                <w:bCs/>
                <w:sz w:val="24"/>
                <w:vertAlign w:val="superscript"/>
              </w:rPr>
              <w:t>3</w:t>
            </w:r>
            <w:r>
              <w:rPr>
                <w:rFonts w:hint="eastAsia" w:hAnsi="Calibri"/>
                <w:bCs/>
                <w:sz w:val="24"/>
              </w:rPr>
              <w:t>，能够满足《大气污染物综合排放标准》（</w:t>
            </w:r>
            <w:r>
              <w:rPr>
                <w:rFonts w:hAnsi="Calibri"/>
                <w:bCs/>
                <w:sz w:val="24"/>
              </w:rPr>
              <w:t>GB16297-1996</w:t>
            </w:r>
            <w:r>
              <w:rPr>
                <w:rFonts w:hint="eastAsia" w:hAnsi="Calibri"/>
                <w:bCs/>
                <w:sz w:val="24"/>
              </w:rPr>
              <w:t>）二级（</w:t>
            </w:r>
            <w:r>
              <w:rPr>
                <w:rFonts w:hAnsi="Calibri"/>
                <w:bCs/>
                <w:sz w:val="24"/>
              </w:rPr>
              <w:t>15m</w:t>
            </w:r>
            <w:r>
              <w:rPr>
                <w:rFonts w:hint="eastAsia" w:hAnsi="Calibri"/>
                <w:bCs/>
                <w:sz w:val="24"/>
              </w:rPr>
              <w:t>高排气筒）颗粒物排放浓度</w:t>
            </w:r>
            <w:r>
              <w:rPr>
                <w:rFonts w:hAnsi="Calibri"/>
                <w:bCs/>
                <w:sz w:val="24"/>
              </w:rPr>
              <w:t>120mg/m</w:t>
            </w:r>
            <w:r>
              <w:rPr>
                <w:rFonts w:hAnsi="Calibri"/>
                <w:bCs/>
                <w:sz w:val="24"/>
                <w:vertAlign w:val="superscript"/>
              </w:rPr>
              <w:t>3</w:t>
            </w:r>
            <w:r>
              <w:rPr>
                <w:rFonts w:hint="eastAsia" w:hAnsi="Calibri"/>
                <w:bCs/>
                <w:sz w:val="24"/>
              </w:rPr>
              <w:t>，排放速率</w:t>
            </w:r>
            <w:r>
              <w:rPr>
                <w:rFonts w:hAnsi="Calibri"/>
                <w:bCs/>
                <w:sz w:val="24"/>
              </w:rPr>
              <w:t>3.5kg/h</w:t>
            </w:r>
            <w:r>
              <w:rPr>
                <w:rFonts w:hint="eastAsia" w:hAnsi="Calibri"/>
                <w:bCs/>
                <w:sz w:val="24"/>
              </w:rPr>
              <w:t>的限值要求。</w:t>
            </w:r>
            <w:r>
              <w:rPr>
                <w:rFonts w:hAnsi="Calibri"/>
                <w:bCs/>
                <w:sz w:val="24"/>
                <w:szCs w:val="20"/>
              </w:rPr>
              <w:t>本项目各个产尘工段的颗粒物排放情况见下表：</w:t>
            </w:r>
          </w:p>
          <w:p>
            <w:pPr>
              <w:spacing w:line="440" w:lineRule="exact"/>
              <w:ind w:firstLine="556" w:firstLineChars="232"/>
              <w:rPr>
                <w:rFonts w:eastAsia="黑体"/>
                <w:sz w:val="24"/>
              </w:rPr>
            </w:pPr>
            <w:r>
              <w:rPr>
                <w:rFonts w:eastAsia="黑体"/>
                <w:sz w:val="24"/>
              </w:rPr>
              <w:t>表</w:t>
            </w:r>
            <w:r>
              <w:rPr>
                <w:rFonts w:hint="eastAsia" w:eastAsia="黑体"/>
                <w:sz w:val="24"/>
              </w:rPr>
              <w:t>18</w:t>
            </w:r>
            <w:r>
              <w:rPr>
                <w:rFonts w:eastAsia="黑体"/>
                <w:sz w:val="24"/>
              </w:rPr>
              <w:t xml:space="preserve">             本项目颗粒物有组织排放及治理情况一览表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90"/>
              <w:gridCol w:w="887"/>
              <w:gridCol w:w="1181"/>
              <w:gridCol w:w="1181"/>
              <w:gridCol w:w="886"/>
              <w:gridCol w:w="1181"/>
              <w:gridCol w:w="1166"/>
              <w:gridCol w:w="116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85" w:type="dxa"/>
                  <w:vAlign w:val="center"/>
                </w:tcPr>
                <w:p>
                  <w:pPr>
                    <w:pStyle w:val="15"/>
                    <w:jc w:val="center"/>
                    <w:rPr>
                      <w:b/>
                    </w:rPr>
                  </w:pPr>
                  <w:r>
                    <w:rPr>
                      <w:b/>
                    </w:rPr>
                    <w:t>污染源</w:t>
                  </w:r>
                </w:p>
              </w:tc>
              <w:tc>
                <w:tcPr>
                  <w:tcW w:w="890" w:type="dxa"/>
                  <w:vAlign w:val="center"/>
                </w:tcPr>
                <w:p>
                  <w:pPr>
                    <w:pStyle w:val="15"/>
                    <w:jc w:val="center"/>
                    <w:rPr>
                      <w:b/>
                    </w:rPr>
                  </w:pPr>
                  <w:r>
                    <w:rPr>
                      <w:b/>
                    </w:rPr>
                    <w:t>污染</w:t>
                  </w:r>
                </w:p>
                <w:p>
                  <w:pPr>
                    <w:pStyle w:val="15"/>
                    <w:jc w:val="center"/>
                    <w:rPr>
                      <w:b/>
                      <w:szCs w:val="21"/>
                    </w:rPr>
                  </w:pPr>
                  <w:r>
                    <w:rPr>
                      <w:b/>
                    </w:rPr>
                    <w:t>工序</w:t>
                  </w:r>
                </w:p>
              </w:tc>
              <w:tc>
                <w:tcPr>
                  <w:tcW w:w="887" w:type="dxa"/>
                  <w:vAlign w:val="center"/>
                </w:tcPr>
                <w:p>
                  <w:pPr>
                    <w:jc w:val="center"/>
                    <w:textAlignment w:val="baseline"/>
                    <w:rPr>
                      <w:b/>
                      <w:szCs w:val="21"/>
                    </w:rPr>
                  </w:pPr>
                  <w:r>
                    <w:rPr>
                      <w:b/>
                      <w:szCs w:val="21"/>
                    </w:rPr>
                    <w:t>产生量（t/a）</w:t>
                  </w:r>
                </w:p>
              </w:tc>
              <w:tc>
                <w:tcPr>
                  <w:tcW w:w="1181" w:type="dxa"/>
                  <w:vAlign w:val="center"/>
                </w:tcPr>
                <w:p>
                  <w:pPr>
                    <w:jc w:val="center"/>
                    <w:textAlignment w:val="baseline"/>
                    <w:rPr>
                      <w:b/>
                      <w:szCs w:val="21"/>
                    </w:rPr>
                  </w:pPr>
                  <w:r>
                    <w:rPr>
                      <w:b/>
                      <w:szCs w:val="21"/>
                    </w:rPr>
                    <w:t>产生速率</w:t>
                  </w:r>
                </w:p>
                <w:p>
                  <w:pPr>
                    <w:jc w:val="center"/>
                    <w:textAlignment w:val="baseline"/>
                    <w:rPr>
                      <w:b/>
                      <w:szCs w:val="21"/>
                    </w:rPr>
                  </w:pPr>
                  <w:r>
                    <w:rPr>
                      <w:b/>
                      <w:szCs w:val="21"/>
                    </w:rPr>
                    <w:t>（kg/h）</w:t>
                  </w:r>
                </w:p>
              </w:tc>
              <w:tc>
                <w:tcPr>
                  <w:tcW w:w="1181" w:type="dxa"/>
                  <w:vAlign w:val="center"/>
                </w:tcPr>
                <w:p>
                  <w:pPr>
                    <w:jc w:val="center"/>
                    <w:textAlignment w:val="baseline"/>
                    <w:rPr>
                      <w:b/>
                      <w:szCs w:val="21"/>
                    </w:rPr>
                  </w:pPr>
                  <w:r>
                    <w:rPr>
                      <w:b/>
                      <w:szCs w:val="21"/>
                    </w:rPr>
                    <w:t>产生浓度</w:t>
                  </w:r>
                </w:p>
                <w:p>
                  <w:pPr>
                    <w:jc w:val="center"/>
                    <w:textAlignment w:val="baseline"/>
                    <w:rPr>
                      <w:b/>
                      <w:szCs w:val="21"/>
                    </w:rPr>
                  </w:pPr>
                  <w:r>
                    <w:rPr>
                      <w:b/>
                      <w:szCs w:val="21"/>
                    </w:rPr>
                    <w:t>（mg/m</w:t>
                  </w:r>
                  <w:r>
                    <w:rPr>
                      <w:b/>
                      <w:szCs w:val="21"/>
                      <w:vertAlign w:val="superscript"/>
                    </w:rPr>
                    <w:t>3</w:t>
                  </w:r>
                  <w:r>
                    <w:rPr>
                      <w:b/>
                      <w:szCs w:val="21"/>
                    </w:rPr>
                    <w:t>）</w:t>
                  </w:r>
                </w:p>
              </w:tc>
              <w:tc>
                <w:tcPr>
                  <w:tcW w:w="886" w:type="dxa"/>
                  <w:vAlign w:val="center"/>
                </w:tcPr>
                <w:p>
                  <w:pPr>
                    <w:jc w:val="center"/>
                    <w:textAlignment w:val="baseline"/>
                    <w:rPr>
                      <w:b/>
                      <w:szCs w:val="21"/>
                    </w:rPr>
                  </w:pPr>
                  <w:r>
                    <w:rPr>
                      <w:b/>
                      <w:szCs w:val="21"/>
                    </w:rPr>
                    <w:t>排放量（t/a）</w:t>
                  </w:r>
                </w:p>
              </w:tc>
              <w:tc>
                <w:tcPr>
                  <w:tcW w:w="1181" w:type="dxa"/>
                  <w:vAlign w:val="center"/>
                </w:tcPr>
                <w:p>
                  <w:pPr>
                    <w:jc w:val="center"/>
                    <w:textAlignment w:val="baseline"/>
                    <w:rPr>
                      <w:b/>
                      <w:szCs w:val="21"/>
                    </w:rPr>
                  </w:pPr>
                  <w:r>
                    <w:rPr>
                      <w:b/>
                      <w:szCs w:val="21"/>
                    </w:rPr>
                    <w:t>排放速率</w:t>
                  </w:r>
                </w:p>
                <w:p>
                  <w:pPr>
                    <w:jc w:val="center"/>
                    <w:textAlignment w:val="baseline"/>
                    <w:rPr>
                      <w:b/>
                      <w:szCs w:val="21"/>
                    </w:rPr>
                  </w:pPr>
                  <w:r>
                    <w:rPr>
                      <w:b/>
                      <w:szCs w:val="21"/>
                    </w:rPr>
                    <w:t>（kg/h）</w:t>
                  </w:r>
                </w:p>
              </w:tc>
              <w:tc>
                <w:tcPr>
                  <w:tcW w:w="1166" w:type="dxa"/>
                  <w:vAlign w:val="center"/>
                </w:tcPr>
                <w:p>
                  <w:pPr>
                    <w:jc w:val="center"/>
                    <w:textAlignment w:val="baseline"/>
                    <w:rPr>
                      <w:b/>
                      <w:szCs w:val="21"/>
                    </w:rPr>
                  </w:pPr>
                  <w:r>
                    <w:rPr>
                      <w:b/>
                      <w:szCs w:val="21"/>
                    </w:rPr>
                    <w:t>排放浓度</w:t>
                  </w:r>
                </w:p>
                <w:p>
                  <w:pPr>
                    <w:jc w:val="center"/>
                    <w:textAlignment w:val="baseline"/>
                    <w:rPr>
                      <w:b/>
                      <w:szCs w:val="21"/>
                    </w:rPr>
                  </w:pPr>
                  <w:r>
                    <w:rPr>
                      <w:b/>
                      <w:szCs w:val="21"/>
                    </w:rPr>
                    <w:t>（mg/m</w:t>
                  </w:r>
                  <w:r>
                    <w:rPr>
                      <w:b/>
                      <w:szCs w:val="21"/>
                      <w:vertAlign w:val="superscript"/>
                    </w:rPr>
                    <w:t>3</w:t>
                  </w:r>
                  <w:r>
                    <w:rPr>
                      <w:b/>
                      <w:szCs w:val="21"/>
                    </w:rPr>
                    <w:t>）</w:t>
                  </w:r>
                </w:p>
              </w:tc>
              <w:tc>
                <w:tcPr>
                  <w:tcW w:w="1165" w:type="dxa"/>
                  <w:vAlign w:val="center"/>
                </w:tcPr>
                <w:p>
                  <w:pPr>
                    <w:jc w:val="center"/>
                    <w:textAlignment w:val="baseline"/>
                    <w:rPr>
                      <w:b/>
                      <w:szCs w:val="21"/>
                    </w:rPr>
                  </w:pPr>
                  <w:r>
                    <w:rPr>
                      <w:b/>
                      <w:szCs w:val="21"/>
                    </w:rPr>
                    <w:t>处理方式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885" w:type="dxa"/>
                  <w:vMerge w:val="restart"/>
                  <w:vAlign w:val="center"/>
                </w:tcPr>
                <w:p>
                  <w:pPr>
                    <w:jc w:val="center"/>
                    <w:textAlignment w:val="baseline"/>
                    <w:rPr>
                      <w:szCs w:val="21"/>
                      <w:vertAlign w:val="subscript"/>
                    </w:rPr>
                  </w:pPr>
                  <w:r>
                    <w:rPr>
                      <w:szCs w:val="21"/>
                    </w:rPr>
                    <w:t>P</w:t>
                  </w:r>
                  <w:r>
                    <w:rPr>
                      <w:szCs w:val="21"/>
                      <w:vertAlign w:val="subscript"/>
                    </w:rPr>
                    <w:t>1</w:t>
                  </w:r>
                </w:p>
              </w:tc>
              <w:tc>
                <w:tcPr>
                  <w:tcW w:w="890" w:type="dxa"/>
                  <w:vAlign w:val="center"/>
                </w:tcPr>
                <w:p>
                  <w:pPr>
                    <w:jc w:val="center"/>
                    <w:textAlignment w:val="baseline"/>
                    <w:rPr>
                      <w:szCs w:val="21"/>
                    </w:rPr>
                  </w:pPr>
                  <w:r>
                    <w:rPr>
                      <w:szCs w:val="21"/>
                    </w:rPr>
                    <w:t>切割</w:t>
                  </w:r>
                </w:p>
              </w:tc>
              <w:tc>
                <w:tcPr>
                  <w:tcW w:w="887" w:type="dxa"/>
                  <w:vAlign w:val="center"/>
                </w:tcPr>
                <w:p>
                  <w:pPr>
                    <w:jc w:val="center"/>
                    <w:textAlignment w:val="baseline"/>
                    <w:rPr>
                      <w:szCs w:val="21"/>
                    </w:rPr>
                  </w:pPr>
                  <w:r>
                    <w:rPr>
                      <w:rFonts w:hint="eastAsia"/>
                      <w:szCs w:val="21"/>
                    </w:rPr>
                    <w:t>0.045</w:t>
                  </w:r>
                </w:p>
              </w:tc>
              <w:tc>
                <w:tcPr>
                  <w:tcW w:w="1181" w:type="dxa"/>
                  <w:vAlign w:val="center"/>
                </w:tcPr>
                <w:p>
                  <w:pPr>
                    <w:jc w:val="center"/>
                    <w:textAlignment w:val="baseline"/>
                    <w:rPr>
                      <w:szCs w:val="21"/>
                    </w:rPr>
                  </w:pPr>
                  <w:r>
                    <w:rPr>
                      <w:rFonts w:hint="eastAsia"/>
                      <w:szCs w:val="21"/>
                    </w:rPr>
                    <w:t>0.17</w:t>
                  </w:r>
                </w:p>
              </w:tc>
              <w:tc>
                <w:tcPr>
                  <w:tcW w:w="1181" w:type="dxa"/>
                  <w:vMerge w:val="restart"/>
                  <w:vAlign w:val="center"/>
                </w:tcPr>
                <w:p>
                  <w:pPr>
                    <w:jc w:val="center"/>
                    <w:textAlignment w:val="baseline"/>
                    <w:rPr>
                      <w:szCs w:val="21"/>
                    </w:rPr>
                  </w:pPr>
                  <w:r>
                    <w:rPr>
                      <w:rFonts w:hint="eastAsia"/>
                      <w:szCs w:val="21"/>
                    </w:rPr>
                    <w:t>111.85</w:t>
                  </w:r>
                </w:p>
              </w:tc>
              <w:tc>
                <w:tcPr>
                  <w:tcW w:w="886" w:type="dxa"/>
                  <w:vMerge w:val="restart"/>
                  <w:vAlign w:val="center"/>
                </w:tcPr>
                <w:p>
                  <w:pPr>
                    <w:jc w:val="center"/>
                    <w:textAlignment w:val="baseline"/>
                    <w:rPr>
                      <w:szCs w:val="21"/>
                    </w:rPr>
                  </w:pPr>
                  <w:r>
                    <w:rPr>
                      <w:rFonts w:hint="eastAsia"/>
                      <w:bCs/>
                      <w:szCs w:val="21"/>
                    </w:rPr>
                    <w:t>0.0151</w:t>
                  </w:r>
                </w:p>
              </w:tc>
              <w:tc>
                <w:tcPr>
                  <w:tcW w:w="1181" w:type="dxa"/>
                  <w:vMerge w:val="restart"/>
                  <w:vAlign w:val="center"/>
                </w:tcPr>
                <w:p>
                  <w:pPr>
                    <w:jc w:val="center"/>
                    <w:textAlignment w:val="baseline"/>
                    <w:rPr>
                      <w:szCs w:val="21"/>
                    </w:rPr>
                  </w:pPr>
                  <w:r>
                    <w:rPr>
                      <w:rFonts w:hint="eastAsia"/>
                      <w:bCs/>
                      <w:szCs w:val="21"/>
                    </w:rPr>
                    <w:t>0.0559</w:t>
                  </w:r>
                </w:p>
              </w:tc>
              <w:tc>
                <w:tcPr>
                  <w:tcW w:w="1166" w:type="dxa"/>
                  <w:vMerge w:val="restart"/>
                  <w:vAlign w:val="center"/>
                </w:tcPr>
                <w:p>
                  <w:pPr>
                    <w:jc w:val="center"/>
                    <w:textAlignment w:val="baseline"/>
                    <w:rPr>
                      <w:szCs w:val="21"/>
                    </w:rPr>
                  </w:pPr>
                  <w:r>
                    <w:rPr>
                      <w:rFonts w:hint="eastAsia"/>
                      <w:szCs w:val="21"/>
                    </w:rPr>
                    <w:t>11.185</w:t>
                  </w:r>
                </w:p>
              </w:tc>
              <w:tc>
                <w:tcPr>
                  <w:tcW w:w="1165" w:type="dxa"/>
                  <w:vMerge w:val="restart"/>
                  <w:vAlign w:val="center"/>
                </w:tcPr>
                <w:p>
                  <w:pPr>
                    <w:jc w:val="center"/>
                    <w:textAlignment w:val="baseline"/>
                    <w:rPr>
                      <w:szCs w:val="21"/>
                    </w:rPr>
                  </w:pPr>
                  <w:r>
                    <w:rPr>
                      <w:szCs w:val="21"/>
                    </w:rPr>
                    <w:t>负压式密闭室+袋式除尘器+15m高排气筒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5" w:type="dxa"/>
                  <w:vMerge w:val="continue"/>
                  <w:vAlign w:val="center"/>
                </w:tcPr>
                <w:p>
                  <w:pPr>
                    <w:jc w:val="center"/>
                    <w:textAlignment w:val="baseline"/>
                    <w:rPr>
                      <w:szCs w:val="21"/>
                      <w:vertAlign w:val="subscript"/>
                    </w:rPr>
                  </w:pPr>
                </w:p>
              </w:tc>
              <w:tc>
                <w:tcPr>
                  <w:tcW w:w="890" w:type="dxa"/>
                  <w:vAlign w:val="center"/>
                </w:tcPr>
                <w:p>
                  <w:pPr>
                    <w:jc w:val="center"/>
                    <w:textAlignment w:val="baseline"/>
                    <w:rPr>
                      <w:szCs w:val="21"/>
                    </w:rPr>
                  </w:pPr>
                  <w:r>
                    <w:rPr>
                      <w:szCs w:val="21"/>
                    </w:rPr>
                    <w:t>焊接</w:t>
                  </w:r>
                </w:p>
              </w:tc>
              <w:tc>
                <w:tcPr>
                  <w:tcW w:w="887" w:type="dxa"/>
                  <w:vAlign w:val="center"/>
                </w:tcPr>
                <w:p>
                  <w:pPr>
                    <w:jc w:val="center"/>
                    <w:textAlignment w:val="baseline"/>
                    <w:rPr>
                      <w:szCs w:val="21"/>
                    </w:rPr>
                  </w:pPr>
                  <w:r>
                    <w:rPr>
                      <w:rFonts w:hint="eastAsia"/>
                      <w:szCs w:val="21"/>
                    </w:rPr>
                    <w:t>0.016</w:t>
                  </w:r>
                </w:p>
              </w:tc>
              <w:tc>
                <w:tcPr>
                  <w:tcW w:w="1181" w:type="dxa"/>
                  <w:vAlign w:val="center"/>
                </w:tcPr>
                <w:p>
                  <w:pPr>
                    <w:jc w:val="center"/>
                    <w:textAlignment w:val="baseline"/>
                    <w:rPr>
                      <w:szCs w:val="21"/>
                    </w:rPr>
                  </w:pPr>
                  <w:r>
                    <w:rPr>
                      <w:rFonts w:hint="eastAsia"/>
                      <w:szCs w:val="21"/>
                    </w:rPr>
                    <w:t>0.059</w:t>
                  </w:r>
                </w:p>
              </w:tc>
              <w:tc>
                <w:tcPr>
                  <w:tcW w:w="1181" w:type="dxa"/>
                  <w:vMerge w:val="continue"/>
                  <w:vAlign w:val="center"/>
                </w:tcPr>
                <w:p>
                  <w:pPr>
                    <w:jc w:val="center"/>
                    <w:textAlignment w:val="baseline"/>
                    <w:rPr>
                      <w:szCs w:val="21"/>
                    </w:rPr>
                  </w:pPr>
                </w:p>
              </w:tc>
              <w:tc>
                <w:tcPr>
                  <w:tcW w:w="886" w:type="dxa"/>
                  <w:vMerge w:val="continue"/>
                  <w:vAlign w:val="center"/>
                </w:tcPr>
                <w:p>
                  <w:pPr>
                    <w:jc w:val="center"/>
                    <w:textAlignment w:val="baseline"/>
                    <w:rPr>
                      <w:szCs w:val="21"/>
                    </w:rPr>
                  </w:pPr>
                </w:p>
              </w:tc>
              <w:tc>
                <w:tcPr>
                  <w:tcW w:w="1181" w:type="dxa"/>
                  <w:vMerge w:val="continue"/>
                  <w:vAlign w:val="center"/>
                </w:tcPr>
                <w:p>
                  <w:pPr>
                    <w:jc w:val="center"/>
                    <w:textAlignment w:val="baseline"/>
                    <w:rPr>
                      <w:szCs w:val="21"/>
                    </w:rPr>
                  </w:pPr>
                </w:p>
              </w:tc>
              <w:tc>
                <w:tcPr>
                  <w:tcW w:w="1166" w:type="dxa"/>
                  <w:vMerge w:val="continue"/>
                  <w:vAlign w:val="center"/>
                </w:tcPr>
                <w:p>
                  <w:pPr>
                    <w:jc w:val="center"/>
                    <w:textAlignment w:val="baseline"/>
                    <w:rPr>
                      <w:szCs w:val="21"/>
                    </w:rPr>
                  </w:pPr>
                </w:p>
              </w:tc>
              <w:tc>
                <w:tcPr>
                  <w:tcW w:w="1165" w:type="dxa"/>
                  <w:vMerge w:val="continue"/>
                  <w:vAlign w:val="center"/>
                </w:tcPr>
                <w:p>
                  <w:pPr>
                    <w:jc w:val="center"/>
                    <w:textAlignment w:val="baseline"/>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885" w:type="dxa"/>
                  <w:vMerge w:val="continue"/>
                  <w:vAlign w:val="center"/>
                </w:tcPr>
                <w:p>
                  <w:pPr>
                    <w:jc w:val="center"/>
                    <w:textAlignment w:val="baseline"/>
                    <w:rPr>
                      <w:szCs w:val="21"/>
                      <w:vertAlign w:val="subscript"/>
                    </w:rPr>
                  </w:pPr>
                </w:p>
              </w:tc>
              <w:tc>
                <w:tcPr>
                  <w:tcW w:w="890" w:type="dxa"/>
                  <w:vAlign w:val="center"/>
                </w:tcPr>
                <w:p>
                  <w:pPr>
                    <w:jc w:val="center"/>
                    <w:textAlignment w:val="baseline"/>
                    <w:rPr>
                      <w:szCs w:val="21"/>
                    </w:rPr>
                  </w:pPr>
                  <w:r>
                    <w:rPr>
                      <w:szCs w:val="21"/>
                    </w:rPr>
                    <w:t>打磨</w:t>
                  </w:r>
                </w:p>
              </w:tc>
              <w:tc>
                <w:tcPr>
                  <w:tcW w:w="887" w:type="dxa"/>
                  <w:vAlign w:val="center"/>
                </w:tcPr>
                <w:p>
                  <w:pPr>
                    <w:jc w:val="center"/>
                    <w:textAlignment w:val="baseline"/>
                    <w:rPr>
                      <w:szCs w:val="21"/>
                    </w:rPr>
                  </w:pPr>
                  <w:r>
                    <w:rPr>
                      <w:rFonts w:hint="eastAsia"/>
                      <w:szCs w:val="21"/>
                    </w:rPr>
                    <w:t>0.09</w:t>
                  </w:r>
                </w:p>
              </w:tc>
              <w:tc>
                <w:tcPr>
                  <w:tcW w:w="1181" w:type="dxa"/>
                  <w:vAlign w:val="center"/>
                </w:tcPr>
                <w:p>
                  <w:pPr>
                    <w:jc w:val="center"/>
                    <w:textAlignment w:val="baseline"/>
                    <w:rPr>
                      <w:szCs w:val="21"/>
                    </w:rPr>
                  </w:pPr>
                  <w:r>
                    <w:rPr>
                      <w:rFonts w:hint="eastAsia"/>
                      <w:szCs w:val="21"/>
                    </w:rPr>
                    <w:t>0.33</w:t>
                  </w:r>
                </w:p>
              </w:tc>
              <w:tc>
                <w:tcPr>
                  <w:tcW w:w="1181" w:type="dxa"/>
                  <w:vMerge w:val="continue"/>
                  <w:vAlign w:val="center"/>
                </w:tcPr>
                <w:p>
                  <w:pPr>
                    <w:jc w:val="center"/>
                    <w:textAlignment w:val="baseline"/>
                    <w:rPr>
                      <w:szCs w:val="21"/>
                    </w:rPr>
                  </w:pPr>
                </w:p>
              </w:tc>
              <w:tc>
                <w:tcPr>
                  <w:tcW w:w="886" w:type="dxa"/>
                  <w:vMerge w:val="continue"/>
                  <w:vAlign w:val="center"/>
                </w:tcPr>
                <w:p>
                  <w:pPr>
                    <w:jc w:val="center"/>
                    <w:textAlignment w:val="baseline"/>
                    <w:rPr>
                      <w:szCs w:val="21"/>
                    </w:rPr>
                  </w:pPr>
                </w:p>
              </w:tc>
              <w:tc>
                <w:tcPr>
                  <w:tcW w:w="1181" w:type="dxa"/>
                  <w:vMerge w:val="continue"/>
                  <w:vAlign w:val="center"/>
                </w:tcPr>
                <w:p>
                  <w:pPr>
                    <w:jc w:val="center"/>
                    <w:textAlignment w:val="baseline"/>
                    <w:rPr>
                      <w:szCs w:val="21"/>
                    </w:rPr>
                  </w:pPr>
                </w:p>
              </w:tc>
              <w:tc>
                <w:tcPr>
                  <w:tcW w:w="1166" w:type="dxa"/>
                  <w:vMerge w:val="continue"/>
                  <w:vAlign w:val="center"/>
                </w:tcPr>
                <w:p>
                  <w:pPr>
                    <w:jc w:val="center"/>
                    <w:textAlignment w:val="baseline"/>
                    <w:rPr>
                      <w:szCs w:val="21"/>
                    </w:rPr>
                  </w:pPr>
                </w:p>
              </w:tc>
              <w:tc>
                <w:tcPr>
                  <w:tcW w:w="1165" w:type="dxa"/>
                  <w:vMerge w:val="continue"/>
                  <w:vAlign w:val="center"/>
                </w:tcPr>
                <w:p>
                  <w:pPr>
                    <w:jc w:val="center"/>
                    <w:textAlignment w:val="baseline"/>
                    <w:rPr>
                      <w:szCs w:val="21"/>
                    </w:rPr>
                  </w:pPr>
                </w:p>
              </w:tc>
            </w:tr>
          </w:tbl>
          <w:p>
            <w:pPr>
              <w:pStyle w:val="2"/>
              <w:spacing w:line="440" w:lineRule="exact"/>
              <w:ind w:firstLine="480"/>
              <w:rPr>
                <w:rFonts w:hAnsi="Calibri"/>
                <w:bCs/>
                <w:sz w:val="24"/>
              </w:rPr>
            </w:pPr>
            <w:r>
              <w:rPr>
                <w:rFonts w:hAnsi="Calibri"/>
                <w:bCs/>
                <w:sz w:val="24"/>
              </w:rPr>
              <w:t>由上表可知，本项目切割、焊接打磨废气经过袋式除尘器处理后，颗粒物排放浓度均能够满足《</w:t>
            </w:r>
            <w:r>
              <w:rPr>
                <w:rFonts w:hint="eastAsia" w:hAnsi="Calibri"/>
                <w:bCs/>
                <w:sz w:val="24"/>
              </w:rPr>
              <w:t>大气污染物综合排放标准》（</w:t>
            </w:r>
            <w:r>
              <w:rPr>
                <w:rFonts w:hAnsi="Calibri"/>
                <w:bCs/>
                <w:sz w:val="24"/>
              </w:rPr>
              <w:t>GB16297-1996</w:t>
            </w:r>
            <w:r>
              <w:rPr>
                <w:rFonts w:hint="eastAsia" w:hAnsi="Calibri"/>
                <w:bCs/>
                <w:sz w:val="24"/>
              </w:rPr>
              <w:t>）二级（</w:t>
            </w:r>
            <w:r>
              <w:rPr>
                <w:rFonts w:hAnsi="Calibri"/>
                <w:bCs/>
                <w:sz w:val="24"/>
              </w:rPr>
              <w:t>15m</w:t>
            </w:r>
            <w:r>
              <w:rPr>
                <w:rFonts w:hint="eastAsia" w:hAnsi="Calibri"/>
                <w:bCs/>
                <w:sz w:val="24"/>
              </w:rPr>
              <w:t>高排气筒）颗粒物排放浓度</w:t>
            </w:r>
            <w:r>
              <w:rPr>
                <w:rFonts w:hAnsi="Calibri"/>
                <w:bCs/>
                <w:sz w:val="24"/>
              </w:rPr>
              <w:t>120mg/m</w:t>
            </w:r>
            <w:r>
              <w:rPr>
                <w:rFonts w:hAnsi="Calibri"/>
                <w:bCs/>
                <w:sz w:val="24"/>
                <w:vertAlign w:val="superscript"/>
              </w:rPr>
              <w:t>3</w:t>
            </w:r>
            <w:r>
              <w:rPr>
                <w:rFonts w:hint="eastAsia" w:hAnsi="Calibri"/>
                <w:bCs/>
                <w:sz w:val="24"/>
              </w:rPr>
              <w:t>，排放速率</w:t>
            </w:r>
            <w:r>
              <w:rPr>
                <w:rFonts w:hAnsi="Calibri"/>
                <w:bCs/>
                <w:sz w:val="24"/>
              </w:rPr>
              <w:t>3.5kg/h</w:t>
            </w:r>
            <w:r>
              <w:rPr>
                <w:rFonts w:hint="eastAsia" w:hAnsi="Calibri"/>
                <w:bCs/>
                <w:sz w:val="24"/>
              </w:rPr>
              <w:t>的限值要求。</w:t>
            </w:r>
          </w:p>
          <w:p>
            <w:pPr>
              <w:spacing w:line="460" w:lineRule="exact"/>
              <w:ind w:firstLine="480" w:firstLineChars="200"/>
              <w:jc w:val="left"/>
              <w:rPr>
                <w:rFonts w:ascii="黑体" w:hAnsi="黑体" w:eastAsia="黑体"/>
                <w:sz w:val="24"/>
              </w:rPr>
            </w:pPr>
            <w:r>
              <w:rPr>
                <w:rFonts w:hint="eastAsia" w:ascii="黑体" w:hAnsi="黑体" w:eastAsia="黑体"/>
                <w:sz w:val="24"/>
              </w:rPr>
              <w:t>2</w:t>
            </w:r>
            <w:r>
              <w:rPr>
                <w:rFonts w:ascii="黑体" w:hAnsi="黑体" w:eastAsia="黑体"/>
                <w:sz w:val="24"/>
              </w:rPr>
              <w:t>、环境空气质量影响分析</w:t>
            </w:r>
          </w:p>
          <w:p>
            <w:pPr>
              <w:widowControl/>
              <w:spacing w:line="440" w:lineRule="exact"/>
              <w:ind w:firstLine="480" w:firstLineChars="200"/>
              <w:rPr>
                <w:rFonts w:eastAsia="黑体"/>
                <w:kern w:val="0"/>
                <w:sz w:val="24"/>
              </w:rPr>
            </w:pPr>
            <w:r>
              <w:rPr>
                <w:rFonts w:eastAsia="黑体"/>
                <w:kern w:val="0"/>
                <w:sz w:val="24"/>
              </w:rPr>
              <w:t>a、预测因子</w:t>
            </w:r>
          </w:p>
          <w:p>
            <w:pPr>
              <w:widowControl/>
              <w:spacing w:line="440" w:lineRule="exact"/>
              <w:ind w:firstLine="480" w:firstLineChars="200"/>
              <w:rPr>
                <w:rFonts w:hAnsi="宋体"/>
                <w:kern w:val="0"/>
                <w:sz w:val="24"/>
              </w:rPr>
            </w:pPr>
            <w:r>
              <w:rPr>
                <w:rFonts w:hAnsi="宋体"/>
                <w:kern w:val="0"/>
                <w:sz w:val="24"/>
              </w:rPr>
              <w:t>根据项目工程特点，选取</w:t>
            </w:r>
            <w:r>
              <w:rPr>
                <w:rFonts w:hint="eastAsia" w:hAnsi="宋体"/>
                <w:kern w:val="0"/>
                <w:sz w:val="24"/>
              </w:rPr>
              <w:t>颗粒物（PM</w:t>
            </w:r>
            <w:r>
              <w:rPr>
                <w:rFonts w:hint="eastAsia" w:hAnsi="宋体"/>
                <w:kern w:val="0"/>
                <w:sz w:val="24"/>
                <w:vertAlign w:val="subscript"/>
              </w:rPr>
              <w:t>10</w:t>
            </w:r>
            <w:r>
              <w:rPr>
                <w:rFonts w:hint="eastAsia" w:hAnsi="宋体"/>
                <w:kern w:val="0"/>
                <w:sz w:val="24"/>
              </w:rPr>
              <w:t>）</w:t>
            </w:r>
            <w:r>
              <w:rPr>
                <w:rFonts w:hAnsi="宋体"/>
                <w:kern w:val="0"/>
                <w:sz w:val="24"/>
              </w:rPr>
              <w:t>作为预测因子。</w:t>
            </w:r>
          </w:p>
          <w:p>
            <w:pPr>
              <w:adjustRightInd w:val="0"/>
              <w:snapToGrid w:val="0"/>
              <w:spacing w:line="520" w:lineRule="exact"/>
              <w:ind w:firstLine="480" w:firstLineChars="200"/>
              <w:rPr>
                <w:rFonts w:eastAsia="黑体"/>
                <w:color w:val="000000"/>
                <w:sz w:val="24"/>
                <w:szCs w:val="22"/>
              </w:rPr>
            </w:pPr>
            <w:r>
              <w:rPr>
                <w:rFonts w:eastAsia="黑体"/>
                <w:color w:val="000000"/>
                <w:sz w:val="24"/>
                <w:szCs w:val="22"/>
              </w:rPr>
              <w:t>b、评价标准</w:t>
            </w:r>
          </w:p>
          <w:p>
            <w:pPr>
              <w:pStyle w:val="141"/>
              <w:ind w:firstLine="480"/>
              <w:rPr>
                <w:color w:val="auto"/>
              </w:rPr>
            </w:pPr>
            <w:r>
              <w:rPr>
                <w:color w:val="auto"/>
              </w:rPr>
              <w:t>表</w:t>
            </w:r>
            <w:r>
              <w:rPr>
                <w:rFonts w:hint="eastAsia"/>
                <w:color w:val="auto"/>
              </w:rPr>
              <w:t>19</w:t>
            </w:r>
            <w:r>
              <w:rPr>
                <w:color w:val="auto"/>
              </w:rPr>
              <w:t xml:space="preserve">               评价因子和评价标准表</w:t>
            </w:r>
          </w:p>
          <w:tbl>
            <w:tblPr>
              <w:tblStyle w:val="30"/>
              <w:tblW w:w="94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578"/>
              <w:gridCol w:w="2616"/>
              <w:gridCol w:w="1465"/>
              <w:gridCol w:w="376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578" w:type="dxa"/>
                  <w:vAlign w:val="center"/>
                </w:tcPr>
                <w:p>
                  <w:pPr>
                    <w:pStyle w:val="140"/>
                    <w:rPr>
                      <w:b/>
                      <w:color w:val="auto"/>
                      <w:kern w:val="2"/>
                    </w:rPr>
                  </w:pPr>
                  <w:r>
                    <w:rPr>
                      <w:b/>
                      <w:color w:val="auto"/>
                      <w:kern w:val="2"/>
                    </w:rPr>
                    <w:t>评价因子</w:t>
                  </w:r>
                </w:p>
              </w:tc>
              <w:tc>
                <w:tcPr>
                  <w:tcW w:w="2616" w:type="dxa"/>
                  <w:vAlign w:val="center"/>
                </w:tcPr>
                <w:p>
                  <w:pPr>
                    <w:pStyle w:val="140"/>
                    <w:rPr>
                      <w:b/>
                      <w:color w:val="auto"/>
                      <w:kern w:val="2"/>
                    </w:rPr>
                  </w:pPr>
                  <w:r>
                    <w:rPr>
                      <w:b/>
                      <w:color w:val="auto"/>
                      <w:kern w:val="2"/>
                    </w:rPr>
                    <w:t>平均时段</w:t>
                  </w:r>
                </w:p>
              </w:tc>
              <w:tc>
                <w:tcPr>
                  <w:tcW w:w="1465" w:type="dxa"/>
                  <w:vAlign w:val="center"/>
                </w:tcPr>
                <w:p>
                  <w:pPr>
                    <w:pStyle w:val="140"/>
                    <w:rPr>
                      <w:b/>
                      <w:color w:val="auto"/>
                      <w:kern w:val="2"/>
                    </w:rPr>
                  </w:pPr>
                  <w:r>
                    <w:rPr>
                      <w:b/>
                      <w:color w:val="auto"/>
                      <w:kern w:val="2"/>
                    </w:rPr>
                    <w:t>标准值</w:t>
                  </w:r>
                </w:p>
              </w:tc>
              <w:tc>
                <w:tcPr>
                  <w:tcW w:w="3763" w:type="dxa"/>
                  <w:vAlign w:val="center"/>
                </w:tcPr>
                <w:p>
                  <w:pPr>
                    <w:pStyle w:val="140"/>
                    <w:rPr>
                      <w:b/>
                      <w:color w:val="auto"/>
                      <w:kern w:val="2"/>
                    </w:rPr>
                  </w:pPr>
                  <w:r>
                    <w:rPr>
                      <w:b/>
                      <w:color w:val="auto"/>
                      <w:kern w:val="2"/>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1578" w:type="dxa"/>
                  <w:vAlign w:val="center"/>
                </w:tcPr>
                <w:p>
                  <w:pPr>
                    <w:pStyle w:val="140"/>
                    <w:rPr>
                      <w:color w:val="auto"/>
                      <w:kern w:val="2"/>
                    </w:rPr>
                  </w:pPr>
                  <w:r>
                    <w:rPr>
                      <w:color w:val="auto"/>
                      <w:kern w:val="2"/>
                    </w:rPr>
                    <w:t>PM</w:t>
                  </w:r>
                  <w:r>
                    <w:rPr>
                      <w:color w:val="auto"/>
                      <w:kern w:val="2"/>
                      <w:vertAlign w:val="subscript"/>
                    </w:rPr>
                    <w:t>10</w:t>
                  </w:r>
                </w:p>
              </w:tc>
              <w:tc>
                <w:tcPr>
                  <w:tcW w:w="2616" w:type="dxa"/>
                  <w:vAlign w:val="center"/>
                </w:tcPr>
                <w:p>
                  <w:pPr>
                    <w:pStyle w:val="140"/>
                    <w:rPr>
                      <w:color w:val="auto"/>
                      <w:kern w:val="2"/>
                    </w:rPr>
                  </w:pPr>
                  <w:r>
                    <w:rPr>
                      <w:color w:val="auto"/>
                      <w:kern w:val="2"/>
                    </w:rPr>
                    <w:t>小时浓度值</w:t>
                  </w:r>
                </w:p>
              </w:tc>
              <w:tc>
                <w:tcPr>
                  <w:tcW w:w="1465" w:type="dxa"/>
                  <w:vAlign w:val="center"/>
                </w:tcPr>
                <w:p>
                  <w:pPr>
                    <w:pStyle w:val="140"/>
                    <w:rPr>
                      <w:color w:val="auto"/>
                      <w:kern w:val="2"/>
                    </w:rPr>
                  </w:pPr>
                  <w:r>
                    <w:rPr>
                      <w:color w:val="auto"/>
                      <w:kern w:val="2"/>
                    </w:rPr>
                    <w:t>0.45mg/m</w:t>
                  </w:r>
                  <w:r>
                    <w:rPr>
                      <w:color w:val="auto"/>
                      <w:kern w:val="2"/>
                      <w:vertAlign w:val="superscript"/>
                    </w:rPr>
                    <w:t>3</w:t>
                  </w:r>
                </w:p>
              </w:tc>
              <w:tc>
                <w:tcPr>
                  <w:tcW w:w="3763" w:type="dxa"/>
                  <w:vAlign w:val="center"/>
                </w:tcPr>
                <w:p>
                  <w:pPr>
                    <w:pStyle w:val="140"/>
                    <w:rPr>
                      <w:color w:val="auto"/>
                      <w:spacing w:val="-4"/>
                      <w:kern w:val="2"/>
                    </w:rPr>
                  </w:pPr>
                  <w:r>
                    <w:rPr>
                      <w:color w:val="auto"/>
                      <w:kern w:val="2"/>
                    </w:rPr>
                    <w:t>《环境空气质量标准》（GB3095-2012）二级</w:t>
                  </w:r>
                </w:p>
              </w:tc>
            </w:tr>
          </w:tbl>
          <w:p>
            <w:pPr>
              <w:pStyle w:val="64"/>
              <w:spacing w:line="440" w:lineRule="exact"/>
              <w:ind w:firstLine="600" w:firstLineChars="250"/>
              <w:rPr>
                <w:rFonts w:ascii="Times New Roman" w:hAnsi="Times New Roman" w:eastAsia="黑体"/>
                <w:sz w:val="24"/>
              </w:rPr>
            </w:pPr>
            <w:r>
              <w:rPr>
                <w:rFonts w:ascii="Times New Roman" w:hAnsi="Times New Roman" w:eastAsia="黑体"/>
                <w:sz w:val="24"/>
              </w:rPr>
              <w:t>c、污染源排放参数</w:t>
            </w:r>
          </w:p>
          <w:p>
            <w:pPr>
              <w:pStyle w:val="64"/>
              <w:spacing w:line="440" w:lineRule="exact"/>
              <w:ind w:firstLine="360" w:firstLineChars="150"/>
              <w:rPr>
                <w:sz w:val="24"/>
              </w:rPr>
            </w:pPr>
          </w:p>
          <w:p>
            <w:pPr>
              <w:pStyle w:val="64"/>
              <w:spacing w:line="440" w:lineRule="exact"/>
              <w:ind w:firstLine="0"/>
              <w:rPr>
                <w:sz w:val="24"/>
              </w:rPr>
            </w:pPr>
          </w:p>
          <w:p>
            <w:pPr>
              <w:spacing w:line="440" w:lineRule="exact"/>
              <w:ind w:firstLine="360" w:firstLineChars="150"/>
              <w:rPr>
                <w:b/>
                <w:sz w:val="24"/>
              </w:rPr>
            </w:pPr>
            <w:r>
              <w:rPr>
                <w:rFonts w:eastAsia="黑体"/>
                <w:sz w:val="24"/>
              </w:rPr>
              <w:t>表</w:t>
            </w:r>
            <w:r>
              <w:rPr>
                <w:rFonts w:hint="eastAsia" w:eastAsia="黑体"/>
                <w:sz w:val="24"/>
              </w:rPr>
              <w:t>20</w:t>
            </w:r>
            <w:r>
              <w:rPr>
                <w:rFonts w:eastAsia="黑体"/>
                <w:sz w:val="24"/>
              </w:rPr>
              <w:t xml:space="preserve">                     点源污染源参数表</w:t>
            </w:r>
          </w:p>
          <w:tbl>
            <w:tblPr>
              <w:tblStyle w:val="30"/>
              <w:tblW w:w="9422" w:type="dxa"/>
              <w:jc w:val="center"/>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1222"/>
              <w:gridCol w:w="807"/>
              <w:gridCol w:w="674"/>
              <w:gridCol w:w="675"/>
              <w:gridCol w:w="877"/>
              <w:gridCol w:w="787"/>
              <w:gridCol w:w="898"/>
              <w:gridCol w:w="787"/>
              <w:gridCol w:w="898"/>
              <w:gridCol w:w="930"/>
              <w:gridCol w:w="857"/>
              <w:gridCol w:w="10"/>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1222" w:type="dxa"/>
                  <w:vAlign w:val="center"/>
                </w:tcPr>
                <w:p>
                  <w:pPr>
                    <w:jc w:val="center"/>
                    <w:rPr>
                      <w:b/>
                      <w:szCs w:val="21"/>
                    </w:rPr>
                  </w:pPr>
                  <w:r>
                    <w:rPr>
                      <w:b/>
                      <w:szCs w:val="21"/>
                    </w:rPr>
                    <w:t>点源</w:t>
                  </w:r>
                </w:p>
                <w:p>
                  <w:pPr>
                    <w:jc w:val="center"/>
                    <w:rPr>
                      <w:b/>
                      <w:szCs w:val="21"/>
                    </w:rPr>
                  </w:pPr>
                  <w:r>
                    <w:rPr>
                      <w:b/>
                      <w:szCs w:val="21"/>
                    </w:rPr>
                    <w:t>名称</w:t>
                  </w:r>
                </w:p>
              </w:tc>
              <w:tc>
                <w:tcPr>
                  <w:tcW w:w="807" w:type="dxa"/>
                  <w:vAlign w:val="center"/>
                </w:tcPr>
                <w:p>
                  <w:pPr>
                    <w:jc w:val="center"/>
                    <w:rPr>
                      <w:b/>
                      <w:szCs w:val="21"/>
                    </w:rPr>
                  </w:pPr>
                  <w:r>
                    <w:rPr>
                      <w:b/>
                      <w:szCs w:val="21"/>
                    </w:rPr>
                    <w:t>污染物</w:t>
                  </w:r>
                </w:p>
              </w:tc>
              <w:tc>
                <w:tcPr>
                  <w:tcW w:w="674" w:type="dxa"/>
                  <w:vAlign w:val="center"/>
                </w:tcPr>
                <w:p>
                  <w:pPr>
                    <w:jc w:val="center"/>
                    <w:rPr>
                      <w:b/>
                      <w:szCs w:val="21"/>
                    </w:rPr>
                  </w:pPr>
                  <w:r>
                    <w:rPr>
                      <w:b/>
                      <w:szCs w:val="21"/>
                    </w:rPr>
                    <w:t>X</w:t>
                  </w:r>
                </w:p>
                <w:p>
                  <w:pPr>
                    <w:jc w:val="center"/>
                    <w:rPr>
                      <w:b/>
                      <w:szCs w:val="21"/>
                    </w:rPr>
                  </w:pPr>
                  <w:r>
                    <w:rPr>
                      <w:b/>
                      <w:szCs w:val="21"/>
                    </w:rPr>
                    <w:t>坐标</w:t>
                  </w:r>
                </w:p>
              </w:tc>
              <w:tc>
                <w:tcPr>
                  <w:tcW w:w="675" w:type="dxa"/>
                  <w:vAlign w:val="center"/>
                </w:tcPr>
                <w:p>
                  <w:pPr>
                    <w:jc w:val="center"/>
                    <w:rPr>
                      <w:b/>
                      <w:szCs w:val="21"/>
                    </w:rPr>
                  </w:pPr>
                  <w:r>
                    <w:rPr>
                      <w:b/>
                      <w:szCs w:val="21"/>
                    </w:rPr>
                    <w:t>Y</w:t>
                  </w:r>
                </w:p>
                <w:p>
                  <w:pPr>
                    <w:jc w:val="center"/>
                    <w:rPr>
                      <w:b/>
                      <w:szCs w:val="21"/>
                    </w:rPr>
                  </w:pPr>
                  <w:r>
                    <w:rPr>
                      <w:b/>
                      <w:szCs w:val="21"/>
                    </w:rPr>
                    <w:t>坐标</w:t>
                  </w:r>
                </w:p>
              </w:tc>
              <w:tc>
                <w:tcPr>
                  <w:tcW w:w="877" w:type="dxa"/>
                  <w:vAlign w:val="center"/>
                </w:tcPr>
                <w:p>
                  <w:pPr>
                    <w:jc w:val="center"/>
                    <w:rPr>
                      <w:b/>
                      <w:szCs w:val="21"/>
                    </w:rPr>
                  </w:pPr>
                  <w:r>
                    <w:rPr>
                      <w:b/>
                      <w:szCs w:val="21"/>
                    </w:rPr>
                    <w:t>排气筒底部海拔高度</w:t>
                  </w:r>
                </w:p>
              </w:tc>
              <w:tc>
                <w:tcPr>
                  <w:tcW w:w="787" w:type="dxa"/>
                  <w:vAlign w:val="center"/>
                </w:tcPr>
                <w:p>
                  <w:pPr>
                    <w:jc w:val="center"/>
                    <w:rPr>
                      <w:b/>
                      <w:szCs w:val="21"/>
                    </w:rPr>
                  </w:pPr>
                  <w:r>
                    <w:rPr>
                      <w:b/>
                      <w:szCs w:val="21"/>
                    </w:rPr>
                    <w:t>排气筒高度</w:t>
                  </w:r>
                </w:p>
              </w:tc>
              <w:tc>
                <w:tcPr>
                  <w:tcW w:w="898" w:type="dxa"/>
                  <w:vAlign w:val="center"/>
                </w:tcPr>
                <w:p>
                  <w:pPr>
                    <w:jc w:val="center"/>
                    <w:rPr>
                      <w:b/>
                      <w:szCs w:val="21"/>
                    </w:rPr>
                  </w:pPr>
                  <w:r>
                    <w:rPr>
                      <w:b/>
                      <w:szCs w:val="21"/>
                    </w:rPr>
                    <w:t>排气筒内径</w:t>
                  </w:r>
                </w:p>
              </w:tc>
              <w:tc>
                <w:tcPr>
                  <w:tcW w:w="787" w:type="dxa"/>
                  <w:vAlign w:val="center"/>
                </w:tcPr>
                <w:p>
                  <w:pPr>
                    <w:jc w:val="center"/>
                    <w:rPr>
                      <w:b/>
                      <w:szCs w:val="21"/>
                    </w:rPr>
                  </w:pPr>
                  <w:r>
                    <w:rPr>
                      <w:b/>
                      <w:szCs w:val="21"/>
                    </w:rPr>
                    <w:t>烟气出口速度</w:t>
                  </w:r>
                </w:p>
              </w:tc>
              <w:tc>
                <w:tcPr>
                  <w:tcW w:w="898" w:type="dxa"/>
                  <w:vAlign w:val="center"/>
                </w:tcPr>
                <w:p>
                  <w:pPr>
                    <w:jc w:val="center"/>
                    <w:rPr>
                      <w:b/>
                      <w:szCs w:val="21"/>
                    </w:rPr>
                  </w:pPr>
                  <w:r>
                    <w:rPr>
                      <w:b/>
                      <w:szCs w:val="21"/>
                    </w:rPr>
                    <w:t>烟气出口温度</w:t>
                  </w:r>
                </w:p>
              </w:tc>
              <w:tc>
                <w:tcPr>
                  <w:tcW w:w="930" w:type="dxa"/>
                  <w:vAlign w:val="center"/>
                </w:tcPr>
                <w:p>
                  <w:pPr>
                    <w:jc w:val="center"/>
                    <w:rPr>
                      <w:b/>
                      <w:szCs w:val="21"/>
                    </w:rPr>
                  </w:pPr>
                  <w:r>
                    <w:rPr>
                      <w:b/>
                      <w:szCs w:val="21"/>
                    </w:rPr>
                    <w:t>年排放小时数</w:t>
                  </w:r>
                </w:p>
              </w:tc>
              <w:tc>
                <w:tcPr>
                  <w:tcW w:w="867" w:type="dxa"/>
                  <w:gridSpan w:val="2"/>
                  <w:vAlign w:val="center"/>
                </w:tcPr>
                <w:p>
                  <w:pPr>
                    <w:spacing w:before="78" w:beforeLines="25"/>
                    <w:jc w:val="center"/>
                    <w:rPr>
                      <w:b/>
                      <w:szCs w:val="21"/>
                    </w:rPr>
                  </w:pPr>
                  <w:r>
                    <w:rPr>
                      <w:b/>
                      <w:szCs w:val="21"/>
                    </w:rPr>
                    <w:t>源强</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jc w:val="center"/>
              </w:trPr>
              <w:tc>
                <w:tcPr>
                  <w:tcW w:w="1222" w:type="dxa"/>
                  <w:vAlign w:val="center"/>
                </w:tcPr>
                <w:p>
                  <w:pPr>
                    <w:jc w:val="center"/>
                    <w:rPr>
                      <w:szCs w:val="21"/>
                    </w:rPr>
                  </w:pPr>
                  <w:r>
                    <w:rPr>
                      <w:szCs w:val="21"/>
                    </w:rPr>
                    <w:t>单位</w:t>
                  </w:r>
                </w:p>
              </w:tc>
              <w:tc>
                <w:tcPr>
                  <w:tcW w:w="807" w:type="dxa"/>
                  <w:vAlign w:val="center"/>
                </w:tcPr>
                <w:p>
                  <w:pPr>
                    <w:jc w:val="center"/>
                    <w:rPr>
                      <w:szCs w:val="21"/>
                    </w:rPr>
                  </w:pPr>
                  <w:r>
                    <w:rPr>
                      <w:szCs w:val="21"/>
                    </w:rPr>
                    <w:t>/</w:t>
                  </w:r>
                </w:p>
              </w:tc>
              <w:tc>
                <w:tcPr>
                  <w:tcW w:w="674" w:type="dxa"/>
                  <w:vAlign w:val="center"/>
                </w:tcPr>
                <w:p>
                  <w:pPr>
                    <w:jc w:val="center"/>
                    <w:rPr>
                      <w:szCs w:val="21"/>
                    </w:rPr>
                  </w:pPr>
                  <w:r>
                    <w:rPr>
                      <w:szCs w:val="21"/>
                    </w:rPr>
                    <w:t>m</w:t>
                  </w:r>
                </w:p>
              </w:tc>
              <w:tc>
                <w:tcPr>
                  <w:tcW w:w="675" w:type="dxa"/>
                  <w:vAlign w:val="center"/>
                </w:tcPr>
                <w:p>
                  <w:pPr>
                    <w:jc w:val="center"/>
                    <w:rPr>
                      <w:szCs w:val="21"/>
                    </w:rPr>
                  </w:pPr>
                  <w:r>
                    <w:rPr>
                      <w:szCs w:val="21"/>
                    </w:rPr>
                    <w:t>m</w:t>
                  </w:r>
                </w:p>
              </w:tc>
              <w:tc>
                <w:tcPr>
                  <w:tcW w:w="877" w:type="dxa"/>
                  <w:vAlign w:val="center"/>
                </w:tcPr>
                <w:p>
                  <w:pPr>
                    <w:jc w:val="center"/>
                    <w:rPr>
                      <w:szCs w:val="21"/>
                    </w:rPr>
                  </w:pPr>
                  <w:r>
                    <w:rPr>
                      <w:szCs w:val="21"/>
                    </w:rPr>
                    <w:t>m</w:t>
                  </w:r>
                </w:p>
              </w:tc>
              <w:tc>
                <w:tcPr>
                  <w:tcW w:w="787" w:type="dxa"/>
                  <w:vAlign w:val="center"/>
                </w:tcPr>
                <w:p>
                  <w:pPr>
                    <w:jc w:val="center"/>
                    <w:rPr>
                      <w:szCs w:val="21"/>
                    </w:rPr>
                  </w:pPr>
                  <w:r>
                    <w:rPr>
                      <w:szCs w:val="21"/>
                    </w:rPr>
                    <w:t>m</w:t>
                  </w:r>
                </w:p>
              </w:tc>
              <w:tc>
                <w:tcPr>
                  <w:tcW w:w="898" w:type="dxa"/>
                  <w:vAlign w:val="center"/>
                </w:tcPr>
                <w:p>
                  <w:pPr>
                    <w:jc w:val="center"/>
                    <w:rPr>
                      <w:szCs w:val="21"/>
                    </w:rPr>
                  </w:pPr>
                  <w:r>
                    <w:rPr>
                      <w:szCs w:val="21"/>
                    </w:rPr>
                    <w:t>m</w:t>
                  </w:r>
                </w:p>
              </w:tc>
              <w:tc>
                <w:tcPr>
                  <w:tcW w:w="787" w:type="dxa"/>
                  <w:vAlign w:val="center"/>
                </w:tcPr>
                <w:p>
                  <w:pPr>
                    <w:jc w:val="center"/>
                    <w:rPr>
                      <w:szCs w:val="21"/>
                    </w:rPr>
                  </w:pPr>
                  <w:r>
                    <w:rPr>
                      <w:szCs w:val="21"/>
                    </w:rPr>
                    <w:t>m/s</w:t>
                  </w:r>
                </w:p>
              </w:tc>
              <w:tc>
                <w:tcPr>
                  <w:tcW w:w="898" w:type="dxa"/>
                  <w:vAlign w:val="center"/>
                </w:tcPr>
                <w:p>
                  <w:pPr>
                    <w:jc w:val="center"/>
                    <w:rPr>
                      <w:szCs w:val="21"/>
                    </w:rPr>
                  </w:pPr>
                  <w:r>
                    <w:rPr>
                      <w:szCs w:val="21"/>
                    </w:rPr>
                    <w:t>k</w:t>
                  </w:r>
                </w:p>
              </w:tc>
              <w:tc>
                <w:tcPr>
                  <w:tcW w:w="930" w:type="dxa"/>
                  <w:vAlign w:val="center"/>
                </w:tcPr>
                <w:p>
                  <w:pPr>
                    <w:jc w:val="center"/>
                    <w:rPr>
                      <w:szCs w:val="21"/>
                    </w:rPr>
                  </w:pPr>
                  <w:r>
                    <w:rPr>
                      <w:szCs w:val="21"/>
                    </w:rPr>
                    <w:t>h</w:t>
                  </w:r>
                </w:p>
              </w:tc>
              <w:tc>
                <w:tcPr>
                  <w:tcW w:w="867" w:type="dxa"/>
                  <w:gridSpan w:val="2"/>
                  <w:vAlign w:val="center"/>
                </w:tcPr>
                <w:p>
                  <w:pPr>
                    <w:spacing w:before="78" w:beforeLines="25"/>
                    <w:jc w:val="center"/>
                    <w:rPr>
                      <w:szCs w:val="21"/>
                    </w:rPr>
                  </w:pPr>
                  <w:r>
                    <w:rPr>
                      <w:rFonts w:hint="eastAsia"/>
                      <w:szCs w:val="21"/>
                    </w:rPr>
                    <w:t>k</w:t>
                  </w:r>
                  <w:r>
                    <w:rPr>
                      <w:szCs w:val="21"/>
                    </w:rPr>
                    <w:t>g/</w:t>
                  </w:r>
                  <w:r>
                    <w:rPr>
                      <w:rFonts w:hint="eastAsia"/>
                      <w:szCs w:val="21"/>
                    </w:rPr>
                    <w:t>h</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gridAfter w:val="1"/>
                <w:wAfter w:w="10" w:type="dxa"/>
                <w:trHeight w:val="397" w:hRule="atLeast"/>
                <w:jc w:val="center"/>
              </w:trPr>
              <w:tc>
                <w:tcPr>
                  <w:tcW w:w="1222" w:type="dxa"/>
                  <w:vAlign w:val="center"/>
                </w:tcPr>
                <w:p>
                  <w:pPr>
                    <w:jc w:val="center"/>
                    <w:rPr>
                      <w:rFonts w:ascii="宋体" w:hAnsi="宋体"/>
                      <w:szCs w:val="21"/>
                    </w:rPr>
                  </w:pPr>
                  <w:r>
                    <w:rPr>
                      <w:rFonts w:hint="eastAsia"/>
                      <w:szCs w:val="21"/>
                    </w:rPr>
                    <w:t>P</w:t>
                  </w:r>
                  <w:r>
                    <w:rPr>
                      <w:rFonts w:hint="eastAsia"/>
                      <w:szCs w:val="21"/>
                      <w:vertAlign w:val="subscript"/>
                    </w:rPr>
                    <w:t>1</w:t>
                  </w:r>
                </w:p>
              </w:tc>
              <w:tc>
                <w:tcPr>
                  <w:tcW w:w="807" w:type="dxa"/>
                  <w:vAlign w:val="center"/>
                </w:tcPr>
                <w:p>
                  <w:pPr>
                    <w:jc w:val="center"/>
                    <w:rPr>
                      <w:szCs w:val="21"/>
                    </w:rPr>
                  </w:pPr>
                  <w:r>
                    <w:rPr>
                      <w:szCs w:val="21"/>
                    </w:rPr>
                    <w:t>PM</w:t>
                  </w:r>
                  <w:r>
                    <w:rPr>
                      <w:szCs w:val="21"/>
                      <w:vertAlign w:val="subscript"/>
                    </w:rPr>
                    <w:t>10</w:t>
                  </w:r>
                </w:p>
              </w:tc>
              <w:tc>
                <w:tcPr>
                  <w:tcW w:w="674" w:type="dxa"/>
                  <w:vAlign w:val="center"/>
                </w:tcPr>
                <w:p>
                  <w:pPr>
                    <w:jc w:val="center"/>
                    <w:rPr>
                      <w:szCs w:val="21"/>
                    </w:rPr>
                  </w:pPr>
                  <w:r>
                    <w:rPr>
                      <w:rFonts w:hint="eastAsia"/>
                      <w:szCs w:val="21"/>
                    </w:rPr>
                    <w:t>82</w:t>
                  </w:r>
                </w:p>
              </w:tc>
              <w:tc>
                <w:tcPr>
                  <w:tcW w:w="675" w:type="dxa"/>
                  <w:vAlign w:val="center"/>
                </w:tcPr>
                <w:p>
                  <w:pPr>
                    <w:jc w:val="center"/>
                    <w:rPr>
                      <w:szCs w:val="21"/>
                    </w:rPr>
                  </w:pPr>
                  <w:r>
                    <w:rPr>
                      <w:szCs w:val="21"/>
                    </w:rPr>
                    <w:t>-</w:t>
                  </w:r>
                  <w:r>
                    <w:rPr>
                      <w:rFonts w:hint="eastAsia"/>
                      <w:szCs w:val="21"/>
                    </w:rPr>
                    <w:t>44</w:t>
                  </w:r>
                </w:p>
              </w:tc>
              <w:tc>
                <w:tcPr>
                  <w:tcW w:w="877" w:type="dxa"/>
                  <w:vAlign w:val="center"/>
                </w:tcPr>
                <w:p>
                  <w:pPr>
                    <w:jc w:val="center"/>
                    <w:rPr>
                      <w:szCs w:val="21"/>
                    </w:rPr>
                  </w:pPr>
                  <w:r>
                    <w:rPr>
                      <w:rFonts w:hint="eastAsia"/>
                      <w:szCs w:val="21"/>
                    </w:rPr>
                    <w:t>82</w:t>
                  </w:r>
                </w:p>
              </w:tc>
              <w:tc>
                <w:tcPr>
                  <w:tcW w:w="787" w:type="dxa"/>
                  <w:vAlign w:val="center"/>
                </w:tcPr>
                <w:p>
                  <w:pPr>
                    <w:jc w:val="center"/>
                    <w:rPr>
                      <w:szCs w:val="21"/>
                    </w:rPr>
                  </w:pPr>
                  <w:r>
                    <w:rPr>
                      <w:rFonts w:hint="eastAsia"/>
                      <w:szCs w:val="21"/>
                    </w:rPr>
                    <w:t>15m</w:t>
                  </w:r>
                </w:p>
              </w:tc>
              <w:tc>
                <w:tcPr>
                  <w:tcW w:w="898" w:type="dxa"/>
                  <w:vAlign w:val="center"/>
                </w:tcPr>
                <w:p>
                  <w:pPr>
                    <w:jc w:val="center"/>
                    <w:rPr>
                      <w:szCs w:val="21"/>
                    </w:rPr>
                  </w:pPr>
                  <w:r>
                    <w:rPr>
                      <w:szCs w:val="21"/>
                    </w:rPr>
                    <w:t>0.</w:t>
                  </w:r>
                  <w:r>
                    <w:rPr>
                      <w:rFonts w:hint="eastAsia"/>
                      <w:szCs w:val="21"/>
                    </w:rPr>
                    <w:t>2</w:t>
                  </w:r>
                </w:p>
              </w:tc>
              <w:tc>
                <w:tcPr>
                  <w:tcW w:w="787" w:type="dxa"/>
                  <w:vAlign w:val="center"/>
                </w:tcPr>
                <w:p>
                  <w:pPr>
                    <w:jc w:val="center"/>
                    <w:rPr>
                      <w:szCs w:val="21"/>
                    </w:rPr>
                  </w:pPr>
                  <w:r>
                    <w:rPr>
                      <w:rFonts w:hint="eastAsia"/>
                      <w:szCs w:val="21"/>
                    </w:rPr>
                    <w:t>17.68</w:t>
                  </w:r>
                </w:p>
              </w:tc>
              <w:tc>
                <w:tcPr>
                  <w:tcW w:w="898" w:type="dxa"/>
                  <w:vAlign w:val="center"/>
                </w:tcPr>
                <w:p>
                  <w:pPr>
                    <w:jc w:val="center"/>
                    <w:rPr>
                      <w:szCs w:val="21"/>
                    </w:rPr>
                  </w:pPr>
                  <w:r>
                    <w:rPr>
                      <w:szCs w:val="21"/>
                    </w:rPr>
                    <w:t>293</w:t>
                  </w:r>
                </w:p>
              </w:tc>
              <w:tc>
                <w:tcPr>
                  <w:tcW w:w="930" w:type="dxa"/>
                  <w:vAlign w:val="center"/>
                </w:tcPr>
                <w:p>
                  <w:pPr>
                    <w:jc w:val="center"/>
                    <w:rPr>
                      <w:szCs w:val="21"/>
                    </w:rPr>
                  </w:pPr>
                  <w:r>
                    <w:rPr>
                      <w:rFonts w:hint="eastAsia"/>
                      <w:szCs w:val="21"/>
                    </w:rPr>
                    <w:t>270</w:t>
                  </w:r>
                </w:p>
              </w:tc>
              <w:tc>
                <w:tcPr>
                  <w:tcW w:w="857" w:type="dxa"/>
                  <w:vAlign w:val="center"/>
                </w:tcPr>
                <w:p>
                  <w:pPr>
                    <w:spacing w:before="78" w:beforeLines="25"/>
                    <w:jc w:val="center"/>
                    <w:rPr>
                      <w:szCs w:val="21"/>
                    </w:rPr>
                  </w:pPr>
                  <w:r>
                    <w:rPr>
                      <w:rFonts w:hint="eastAsia"/>
                      <w:bCs/>
                      <w:szCs w:val="21"/>
                    </w:rPr>
                    <w:t>0.0559</w:t>
                  </w:r>
                </w:p>
              </w:tc>
            </w:tr>
          </w:tbl>
          <w:p>
            <w:pPr>
              <w:pStyle w:val="64"/>
              <w:spacing w:line="440" w:lineRule="exact"/>
              <w:ind w:firstLine="360" w:firstLineChars="150"/>
              <w:rPr>
                <w:rFonts w:ascii="Times New Roman" w:hAnsi="Times New Roman" w:eastAsia="黑体"/>
                <w:sz w:val="24"/>
              </w:rPr>
            </w:pPr>
            <w:r>
              <w:rPr>
                <w:rFonts w:ascii="Times New Roman" w:hAnsi="Times New Roman" w:eastAsia="黑体"/>
                <w:sz w:val="24"/>
              </w:rPr>
              <w:t>d、评价方法</w:t>
            </w:r>
          </w:p>
          <w:p>
            <w:pPr>
              <w:spacing w:line="440" w:lineRule="exact"/>
              <w:ind w:firstLine="436" w:firstLineChars="182"/>
              <w:rPr>
                <w:sz w:val="24"/>
              </w:rPr>
            </w:pPr>
            <w:r>
              <w:rPr>
                <w:sz w:val="24"/>
              </w:rPr>
              <w:t>采用</w:t>
            </w:r>
            <w:r>
              <w:rPr>
                <w:bCs/>
                <w:sz w:val="24"/>
              </w:rPr>
              <w:t>《环境影响评价技术导则  大气环境》(HJ2.2-2018)推荐的估算模式AERSCREEN</w:t>
            </w:r>
            <w:r>
              <w:rPr>
                <w:sz w:val="24"/>
              </w:rPr>
              <w:t>计算工程主要污染源污染物的最大落地浓度及其出现距离，估算模型参数见下表。</w:t>
            </w:r>
          </w:p>
          <w:p>
            <w:pPr>
              <w:pStyle w:val="141"/>
              <w:ind w:firstLine="480"/>
              <w:rPr>
                <w:color w:val="auto"/>
              </w:rPr>
            </w:pPr>
            <w:r>
              <w:rPr>
                <w:color w:val="auto"/>
              </w:rPr>
              <w:t>表</w:t>
            </w:r>
            <w:r>
              <w:rPr>
                <w:rFonts w:hint="eastAsia"/>
                <w:color w:val="auto"/>
              </w:rPr>
              <w:t>21</w:t>
            </w:r>
            <w:r>
              <w:rPr>
                <w:color w:val="auto"/>
              </w:rPr>
              <w:t xml:space="preserve">                    </w:t>
            </w:r>
            <w:r>
              <w:rPr>
                <w:rFonts w:hint="eastAsia"/>
                <w:color w:val="auto"/>
              </w:rPr>
              <w:t xml:space="preserve"> </w:t>
            </w:r>
            <w:r>
              <w:rPr>
                <w:color w:val="auto"/>
              </w:rPr>
              <w:t>估算模型参数表</w:t>
            </w:r>
          </w:p>
          <w:tbl>
            <w:tblPr>
              <w:tblStyle w:val="30"/>
              <w:tblW w:w="94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473"/>
              <w:gridCol w:w="3818"/>
              <w:gridCol w:w="313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1" w:type="dxa"/>
                  <w:gridSpan w:val="2"/>
                  <w:vAlign w:val="center"/>
                </w:tcPr>
                <w:p>
                  <w:pPr>
                    <w:pStyle w:val="140"/>
                    <w:ind w:firstLine="480"/>
                    <w:rPr>
                      <w:b/>
                      <w:bCs/>
                      <w:color w:val="auto"/>
                      <w:kern w:val="2"/>
                    </w:rPr>
                  </w:pPr>
                  <w:r>
                    <w:rPr>
                      <w:b/>
                      <w:bCs/>
                      <w:color w:val="auto"/>
                      <w:kern w:val="2"/>
                    </w:rPr>
                    <w:t>参数</w:t>
                  </w:r>
                </w:p>
              </w:tc>
              <w:tc>
                <w:tcPr>
                  <w:tcW w:w="3131" w:type="dxa"/>
                  <w:vAlign w:val="center"/>
                </w:tcPr>
                <w:p>
                  <w:pPr>
                    <w:pStyle w:val="140"/>
                    <w:ind w:firstLine="480"/>
                    <w:rPr>
                      <w:b/>
                      <w:bCs/>
                      <w:color w:val="auto"/>
                      <w:kern w:val="2"/>
                    </w:rPr>
                  </w:pPr>
                  <w:r>
                    <w:rPr>
                      <w:b/>
                      <w:bCs/>
                      <w:color w:val="auto"/>
                      <w:kern w:val="2"/>
                    </w:rPr>
                    <w:t>取值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restart"/>
                  <w:vAlign w:val="center"/>
                </w:tcPr>
                <w:p>
                  <w:pPr>
                    <w:pStyle w:val="140"/>
                    <w:ind w:firstLine="480"/>
                    <w:rPr>
                      <w:bCs/>
                      <w:color w:val="auto"/>
                      <w:kern w:val="2"/>
                    </w:rPr>
                  </w:pPr>
                  <w:r>
                    <w:rPr>
                      <w:bCs/>
                      <w:color w:val="auto"/>
                      <w:kern w:val="2"/>
                    </w:rPr>
                    <w:t>城市/农村选项</w:t>
                  </w:r>
                </w:p>
              </w:tc>
              <w:tc>
                <w:tcPr>
                  <w:tcW w:w="3818" w:type="dxa"/>
                  <w:vAlign w:val="center"/>
                </w:tcPr>
                <w:p>
                  <w:pPr>
                    <w:pStyle w:val="140"/>
                    <w:ind w:firstLine="480"/>
                    <w:rPr>
                      <w:bCs/>
                      <w:color w:val="auto"/>
                      <w:kern w:val="2"/>
                    </w:rPr>
                  </w:pPr>
                  <w:r>
                    <w:rPr>
                      <w:bCs/>
                      <w:color w:val="auto"/>
                      <w:kern w:val="2"/>
                    </w:rPr>
                    <w:t>城市/农村</w:t>
                  </w:r>
                </w:p>
              </w:tc>
              <w:tc>
                <w:tcPr>
                  <w:tcW w:w="3131" w:type="dxa"/>
                  <w:vAlign w:val="center"/>
                </w:tcPr>
                <w:p>
                  <w:pPr>
                    <w:pStyle w:val="140"/>
                    <w:ind w:firstLine="464"/>
                    <w:rPr>
                      <w:bCs/>
                      <w:color w:val="auto"/>
                      <w:spacing w:val="-4"/>
                      <w:kern w:val="2"/>
                    </w:rPr>
                  </w:pPr>
                  <w:r>
                    <w:rPr>
                      <w:bCs/>
                      <w:color w:val="auto"/>
                      <w:spacing w:val="-4"/>
                      <w:kern w:val="2"/>
                    </w:rPr>
                    <w:t>农村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continue"/>
                  <w:vAlign w:val="center"/>
                </w:tcPr>
                <w:p>
                  <w:pPr>
                    <w:rPr>
                      <w:bCs/>
                      <w:szCs w:val="21"/>
                    </w:rPr>
                  </w:pPr>
                </w:p>
              </w:tc>
              <w:tc>
                <w:tcPr>
                  <w:tcW w:w="3818" w:type="dxa"/>
                  <w:vAlign w:val="center"/>
                </w:tcPr>
                <w:p>
                  <w:pPr>
                    <w:pStyle w:val="140"/>
                    <w:ind w:firstLine="480"/>
                    <w:rPr>
                      <w:bCs/>
                      <w:color w:val="auto"/>
                      <w:kern w:val="2"/>
                    </w:rPr>
                  </w:pPr>
                  <w:r>
                    <w:rPr>
                      <w:bCs/>
                      <w:color w:val="auto"/>
                      <w:kern w:val="2"/>
                    </w:rPr>
                    <w:t>人口数（城市选项时）</w:t>
                  </w:r>
                </w:p>
              </w:tc>
              <w:tc>
                <w:tcPr>
                  <w:tcW w:w="3131" w:type="dxa"/>
                  <w:vAlign w:val="center"/>
                </w:tcPr>
                <w:p>
                  <w:pPr>
                    <w:pStyle w:val="140"/>
                    <w:ind w:firstLine="480"/>
                    <w:rPr>
                      <w:bCs/>
                      <w:color w:val="auto"/>
                      <w:kern w:val="2"/>
                    </w:rPr>
                  </w:pPr>
                  <w:r>
                    <w:rPr>
                      <w:bCs/>
                      <w:color w:val="auto"/>
                      <w:kern w:val="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1" w:type="dxa"/>
                  <w:gridSpan w:val="2"/>
                  <w:vAlign w:val="center"/>
                </w:tcPr>
                <w:p>
                  <w:pPr>
                    <w:pStyle w:val="140"/>
                    <w:ind w:firstLine="480"/>
                    <w:rPr>
                      <w:bCs/>
                      <w:color w:val="auto"/>
                      <w:kern w:val="2"/>
                    </w:rPr>
                  </w:pPr>
                  <w:r>
                    <w:rPr>
                      <w:bCs/>
                      <w:color w:val="auto"/>
                      <w:kern w:val="2"/>
                    </w:rPr>
                    <w:t>最高环境温度/℃</w:t>
                  </w:r>
                </w:p>
              </w:tc>
              <w:tc>
                <w:tcPr>
                  <w:tcW w:w="3131" w:type="dxa"/>
                  <w:vAlign w:val="center"/>
                </w:tcPr>
                <w:p>
                  <w:pPr>
                    <w:pStyle w:val="140"/>
                    <w:ind w:firstLine="464"/>
                    <w:rPr>
                      <w:bCs/>
                      <w:color w:val="auto"/>
                      <w:spacing w:val="-4"/>
                      <w:kern w:val="2"/>
                    </w:rPr>
                  </w:pPr>
                  <w:r>
                    <w:rPr>
                      <w:bCs/>
                      <w:color w:val="auto"/>
                      <w:spacing w:val="-4"/>
                      <w:kern w:val="2"/>
                    </w:rPr>
                    <w:t>3</w:t>
                  </w:r>
                  <w:r>
                    <w:rPr>
                      <w:rFonts w:hint="eastAsia"/>
                      <w:bCs/>
                      <w:color w:val="auto"/>
                      <w:spacing w:val="-4"/>
                      <w:kern w:val="2"/>
                    </w:rPr>
                    <w:t>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1" w:type="dxa"/>
                  <w:gridSpan w:val="2"/>
                  <w:vAlign w:val="center"/>
                </w:tcPr>
                <w:p>
                  <w:pPr>
                    <w:pStyle w:val="140"/>
                    <w:ind w:firstLine="480"/>
                    <w:rPr>
                      <w:bCs/>
                      <w:color w:val="auto"/>
                      <w:kern w:val="2"/>
                    </w:rPr>
                  </w:pPr>
                  <w:r>
                    <w:rPr>
                      <w:bCs/>
                      <w:color w:val="auto"/>
                      <w:kern w:val="2"/>
                    </w:rPr>
                    <w:t>最低环境温度/℃</w:t>
                  </w:r>
                </w:p>
              </w:tc>
              <w:tc>
                <w:tcPr>
                  <w:tcW w:w="3131" w:type="dxa"/>
                  <w:vAlign w:val="center"/>
                </w:tcPr>
                <w:p>
                  <w:pPr>
                    <w:pStyle w:val="140"/>
                    <w:ind w:firstLine="464"/>
                    <w:rPr>
                      <w:bCs/>
                      <w:color w:val="auto"/>
                      <w:spacing w:val="-4"/>
                      <w:kern w:val="2"/>
                    </w:rPr>
                  </w:pPr>
                  <w:r>
                    <w:rPr>
                      <w:bCs/>
                      <w:color w:val="auto"/>
                      <w:spacing w:val="-4"/>
                      <w:kern w:val="2"/>
                    </w:rPr>
                    <w:t>-</w:t>
                  </w:r>
                  <w:r>
                    <w:rPr>
                      <w:rFonts w:hint="eastAsia"/>
                      <w:bCs/>
                      <w:color w:val="auto"/>
                      <w:spacing w:val="-4"/>
                      <w:kern w:val="2"/>
                    </w:rPr>
                    <w:t>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1" w:type="dxa"/>
                  <w:gridSpan w:val="2"/>
                  <w:vAlign w:val="center"/>
                </w:tcPr>
                <w:p>
                  <w:pPr>
                    <w:pStyle w:val="140"/>
                    <w:ind w:firstLine="480"/>
                    <w:rPr>
                      <w:bCs/>
                      <w:color w:val="auto"/>
                      <w:kern w:val="2"/>
                    </w:rPr>
                  </w:pPr>
                  <w:r>
                    <w:rPr>
                      <w:bCs/>
                      <w:color w:val="auto"/>
                      <w:kern w:val="2"/>
                    </w:rPr>
                    <w:t>土地利用类型</w:t>
                  </w:r>
                </w:p>
              </w:tc>
              <w:tc>
                <w:tcPr>
                  <w:tcW w:w="3131" w:type="dxa"/>
                  <w:vAlign w:val="center"/>
                </w:tcPr>
                <w:p>
                  <w:pPr>
                    <w:pStyle w:val="140"/>
                    <w:ind w:firstLine="464"/>
                    <w:rPr>
                      <w:bCs/>
                      <w:color w:val="auto"/>
                      <w:spacing w:val="-4"/>
                      <w:kern w:val="2"/>
                    </w:rPr>
                  </w:pPr>
                  <w:r>
                    <w:rPr>
                      <w:bCs/>
                      <w:color w:val="auto"/>
                      <w:spacing w:val="-4"/>
                      <w:kern w:val="2"/>
                    </w:rPr>
                    <w:t>农作地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6291" w:type="dxa"/>
                  <w:gridSpan w:val="2"/>
                  <w:vAlign w:val="center"/>
                </w:tcPr>
                <w:p>
                  <w:pPr>
                    <w:pStyle w:val="140"/>
                    <w:ind w:firstLine="480"/>
                    <w:rPr>
                      <w:bCs/>
                      <w:color w:val="auto"/>
                      <w:kern w:val="2"/>
                    </w:rPr>
                  </w:pPr>
                  <w:r>
                    <w:rPr>
                      <w:bCs/>
                      <w:color w:val="auto"/>
                      <w:kern w:val="2"/>
                    </w:rPr>
                    <w:t>区域湿度条件</w:t>
                  </w:r>
                </w:p>
              </w:tc>
              <w:tc>
                <w:tcPr>
                  <w:tcW w:w="3131" w:type="dxa"/>
                  <w:vAlign w:val="center"/>
                </w:tcPr>
                <w:p>
                  <w:pPr>
                    <w:pStyle w:val="140"/>
                    <w:ind w:firstLine="464"/>
                    <w:rPr>
                      <w:bCs/>
                      <w:color w:val="auto"/>
                      <w:spacing w:val="-4"/>
                      <w:kern w:val="2"/>
                    </w:rPr>
                  </w:pPr>
                  <w:r>
                    <w:rPr>
                      <w:bCs/>
                      <w:color w:val="auto"/>
                      <w:spacing w:val="-4"/>
                      <w:kern w:val="2"/>
                    </w:rPr>
                    <w:t>中等湿度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restart"/>
                  <w:vAlign w:val="center"/>
                </w:tcPr>
                <w:p>
                  <w:pPr>
                    <w:pStyle w:val="140"/>
                    <w:ind w:firstLine="464"/>
                    <w:rPr>
                      <w:bCs/>
                      <w:color w:val="auto"/>
                      <w:spacing w:val="-4"/>
                      <w:kern w:val="2"/>
                    </w:rPr>
                  </w:pPr>
                  <w:r>
                    <w:rPr>
                      <w:bCs/>
                      <w:color w:val="auto"/>
                      <w:spacing w:val="-4"/>
                      <w:kern w:val="2"/>
                    </w:rPr>
                    <w:t>是否考虑地形</w:t>
                  </w:r>
                </w:p>
              </w:tc>
              <w:tc>
                <w:tcPr>
                  <w:tcW w:w="3818" w:type="dxa"/>
                  <w:vAlign w:val="center"/>
                </w:tcPr>
                <w:p>
                  <w:pPr>
                    <w:pStyle w:val="140"/>
                    <w:ind w:firstLine="480"/>
                    <w:rPr>
                      <w:bCs/>
                      <w:color w:val="auto"/>
                      <w:kern w:val="2"/>
                    </w:rPr>
                  </w:pPr>
                  <w:r>
                    <w:rPr>
                      <w:bCs/>
                      <w:color w:val="auto"/>
                      <w:kern w:val="2"/>
                    </w:rPr>
                    <w:t>考虑地形</w:t>
                  </w:r>
                </w:p>
              </w:tc>
              <w:tc>
                <w:tcPr>
                  <w:tcW w:w="3131" w:type="dxa"/>
                  <w:vAlign w:val="center"/>
                </w:tcPr>
                <w:p>
                  <w:pPr>
                    <w:pStyle w:val="140"/>
                    <w:ind w:firstLine="464"/>
                    <w:rPr>
                      <w:bCs/>
                      <w:color w:val="auto"/>
                      <w:spacing w:val="-4"/>
                      <w:kern w:val="2"/>
                    </w:rPr>
                  </w:pPr>
                  <w:r>
                    <w:rPr>
                      <w:bCs/>
                      <w:color w:val="auto"/>
                      <w:spacing w:val="-4"/>
                      <w:kern w:val="2"/>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continue"/>
                  <w:vAlign w:val="center"/>
                </w:tcPr>
                <w:p>
                  <w:pPr>
                    <w:rPr>
                      <w:bCs/>
                      <w:spacing w:val="-4"/>
                      <w:szCs w:val="21"/>
                    </w:rPr>
                  </w:pPr>
                </w:p>
              </w:tc>
              <w:tc>
                <w:tcPr>
                  <w:tcW w:w="3818" w:type="dxa"/>
                  <w:vAlign w:val="center"/>
                </w:tcPr>
                <w:p>
                  <w:pPr>
                    <w:pStyle w:val="140"/>
                    <w:ind w:firstLine="480"/>
                    <w:rPr>
                      <w:bCs/>
                      <w:color w:val="auto"/>
                      <w:kern w:val="2"/>
                    </w:rPr>
                  </w:pPr>
                  <w:r>
                    <w:rPr>
                      <w:bCs/>
                      <w:color w:val="auto"/>
                      <w:kern w:val="2"/>
                    </w:rPr>
                    <w:t>地形数据分辨率/m</w:t>
                  </w:r>
                </w:p>
              </w:tc>
              <w:tc>
                <w:tcPr>
                  <w:tcW w:w="3131" w:type="dxa"/>
                  <w:vAlign w:val="center"/>
                </w:tcPr>
                <w:p>
                  <w:pPr>
                    <w:pStyle w:val="140"/>
                    <w:ind w:firstLine="464"/>
                    <w:rPr>
                      <w:bCs/>
                      <w:color w:val="auto"/>
                      <w:spacing w:val="-4"/>
                      <w:kern w:val="2"/>
                    </w:rPr>
                  </w:pPr>
                  <w:r>
                    <w:rPr>
                      <w:rFonts w:hint="eastAsia"/>
                      <w:bCs/>
                      <w:color w:val="auto"/>
                      <w:spacing w:val="-4"/>
                      <w:kern w:val="2"/>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restart"/>
                  <w:vAlign w:val="center"/>
                </w:tcPr>
                <w:p>
                  <w:pPr>
                    <w:pStyle w:val="140"/>
                    <w:ind w:firstLine="464"/>
                    <w:rPr>
                      <w:bCs/>
                      <w:color w:val="auto"/>
                      <w:spacing w:val="-4"/>
                      <w:kern w:val="2"/>
                    </w:rPr>
                  </w:pPr>
                  <w:r>
                    <w:rPr>
                      <w:bCs/>
                      <w:color w:val="auto"/>
                      <w:spacing w:val="-4"/>
                      <w:kern w:val="2"/>
                    </w:rPr>
                    <w:t>是否考虑岸线熏烟</w:t>
                  </w:r>
                </w:p>
              </w:tc>
              <w:tc>
                <w:tcPr>
                  <w:tcW w:w="3818" w:type="dxa"/>
                  <w:vAlign w:val="center"/>
                </w:tcPr>
                <w:p>
                  <w:pPr>
                    <w:pStyle w:val="140"/>
                    <w:ind w:firstLine="464"/>
                    <w:rPr>
                      <w:bCs/>
                      <w:color w:val="auto"/>
                      <w:kern w:val="2"/>
                    </w:rPr>
                  </w:pPr>
                  <w:r>
                    <w:rPr>
                      <w:bCs/>
                      <w:color w:val="auto"/>
                      <w:spacing w:val="-4"/>
                      <w:kern w:val="2"/>
                    </w:rPr>
                    <w:t>考虑岸线熏烟</w:t>
                  </w:r>
                </w:p>
              </w:tc>
              <w:tc>
                <w:tcPr>
                  <w:tcW w:w="3131" w:type="dxa"/>
                  <w:vAlign w:val="center"/>
                </w:tcPr>
                <w:p>
                  <w:pPr>
                    <w:pStyle w:val="140"/>
                    <w:ind w:firstLine="464"/>
                    <w:rPr>
                      <w:bCs/>
                      <w:color w:val="auto"/>
                      <w:spacing w:val="-4"/>
                      <w:kern w:val="2"/>
                    </w:rPr>
                  </w:pPr>
                  <w:r>
                    <w:rPr>
                      <w:bCs/>
                      <w:color w:val="auto"/>
                      <w:spacing w:val="-4"/>
                      <w:kern w:val="2"/>
                    </w:rPr>
                    <w:t>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continue"/>
                  <w:vAlign w:val="center"/>
                </w:tcPr>
                <w:p>
                  <w:pPr>
                    <w:rPr>
                      <w:bCs/>
                      <w:spacing w:val="-4"/>
                      <w:szCs w:val="21"/>
                    </w:rPr>
                  </w:pPr>
                </w:p>
              </w:tc>
              <w:tc>
                <w:tcPr>
                  <w:tcW w:w="3818" w:type="dxa"/>
                  <w:vAlign w:val="center"/>
                </w:tcPr>
                <w:p>
                  <w:pPr>
                    <w:pStyle w:val="140"/>
                    <w:ind w:firstLine="464"/>
                    <w:rPr>
                      <w:bCs/>
                      <w:color w:val="auto"/>
                      <w:kern w:val="2"/>
                    </w:rPr>
                  </w:pPr>
                  <w:r>
                    <w:rPr>
                      <w:bCs/>
                      <w:color w:val="auto"/>
                      <w:spacing w:val="-4"/>
                      <w:kern w:val="2"/>
                    </w:rPr>
                    <w:t>岸线距离/km</w:t>
                  </w:r>
                </w:p>
              </w:tc>
              <w:tc>
                <w:tcPr>
                  <w:tcW w:w="3131" w:type="dxa"/>
                  <w:vAlign w:val="center"/>
                </w:tcPr>
                <w:p>
                  <w:pPr>
                    <w:pStyle w:val="140"/>
                    <w:ind w:firstLine="464"/>
                    <w:rPr>
                      <w:bCs/>
                      <w:color w:val="auto"/>
                      <w:spacing w:val="-4"/>
                      <w:kern w:val="2"/>
                    </w:rPr>
                  </w:pPr>
                  <w:r>
                    <w:rPr>
                      <w:bCs/>
                      <w:color w:val="auto"/>
                      <w:spacing w:val="-4"/>
                      <w:kern w:val="2"/>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2473" w:type="dxa"/>
                  <w:vMerge w:val="continue"/>
                  <w:vAlign w:val="center"/>
                </w:tcPr>
                <w:p>
                  <w:pPr>
                    <w:rPr>
                      <w:bCs/>
                      <w:spacing w:val="-4"/>
                      <w:szCs w:val="21"/>
                    </w:rPr>
                  </w:pPr>
                </w:p>
              </w:tc>
              <w:tc>
                <w:tcPr>
                  <w:tcW w:w="3818" w:type="dxa"/>
                  <w:vAlign w:val="center"/>
                </w:tcPr>
                <w:p>
                  <w:pPr>
                    <w:pStyle w:val="140"/>
                    <w:ind w:firstLine="464"/>
                    <w:rPr>
                      <w:bCs/>
                      <w:color w:val="auto"/>
                      <w:kern w:val="2"/>
                    </w:rPr>
                  </w:pPr>
                  <w:r>
                    <w:rPr>
                      <w:bCs/>
                      <w:color w:val="auto"/>
                      <w:spacing w:val="-4"/>
                      <w:kern w:val="2"/>
                    </w:rPr>
                    <w:t>岸线方向/ º</w:t>
                  </w:r>
                </w:p>
              </w:tc>
              <w:tc>
                <w:tcPr>
                  <w:tcW w:w="3131" w:type="dxa"/>
                  <w:vAlign w:val="center"/>
                </w:tcPr>
                <w:p>
                  <w:pPr>
                    <w:pStyle w:val="140"/>
                    <w:ind w:firstLine="464"/>
                    <w:rPr>
                      <w:bCs/>
                      <w:color w:val="auto"/>
                      <w:spacing w:val="-4"/>
                      <w:kern w:val="2"/>
                    </w:rPr>
                  </w:pPr>
                  <w:r>
                    <w:rPr>
                      <w:bCs/>
                      <w:color w:val="auto"/>
                      <w:spacing w:val="-4"/>
                      <w:kern w:val="2"/>
                    </w:rPr>
                    <w:t>/</w:t>
                  </w:r>
                </w:p>
              </w:tc>
            </w:tr>
          </w:tbl>
          <w:p>
            <w:pPr>
              <w:pStyle w:val="64"/>
              <w:spacing w:line="440" w:lineRule="exact"/>
              <w:ind w:firstLine="480" w:firstLineChars="200"/>
              <w:rPr>
                <w:rFonts w:ascii="Times New Roman" w:hAnsi="Times New Roman" w:eastAsia="黑体"/>
                <w:sz w:val="24"/>
              </w:rPr>
            </w:pPr>
            <w:r>
              <w:rPr>
                <w:rFonts w:ascii="Times New Roman" w:hAnsi="Times New Roman" w:eastAsia="黑体"/>
                <w:sz w:val="24"/>
              </w:rPr>
              <w:t>e、预测模式</w:t>
            </w:r>
          </w:p>
          <w:p>
            <w:pPr>
              <w:tabs>
                <w:tab w:val="left" w:pos="0"/>
              </w:tabs>
              <w:spacing w:line="520" w:lineRule="exact"/>
              <w:ind w:firstLine="487" w:firstLineChars="203"/>
              <w:rPr>
                <w:sz w:val="24"/>
              </w:rPr>
            </w:pPr>
            <w:r>
              <w:rPr>
                <w:sz w:val="24"/>
              </w:rPr>
              <w:t>采用估算模式计算污染物的最大地面浓度及其占标率P</w:t>
            </w:r>
            <w:r>
              <w:rPr>
                <w:sz w:val="24"/>
                <w:vertAlign w:val="subscript"/>
              </w:rPr>
              <w:t>i</w:t>
            </w:r>
            <w:r>
              <w:rPr>
                <w:sz w:val="24"/>
              </w:rPr>
              <w:t>。计算公式采用：</w:t>
            </w:r>
          </w:p>
          <w:p>
            <w:pPr>
              <w:spacing w:line="520" w:lineRule="exact"/>
              <w:jc w:val="center"/>
              <w:rPr>
                <w:sz w:val="24"/>
              </w:rPr>
            </w:pPr>
            <w:r>
              <w:rPr>
                <w:sz w:val="24"/>
              </w:rPr>
              <w:t>P</w:t>
            </w:r>
            <w:r>
              <w:rPr>
                <w:sz w:val="24"/>
                <w:vertAlign w:val="subscript"/>
              </w:rPr>
              <w:t>i</w:t>
            </w:r>
            <w:r>
              <w:rPr>
                <w:sz w:val="24"/>
              </w:rPr>
              <w:t>＝C</w:t>
            </w:r>
            <w:r>
              <w:rPr>
                <w:sz w:val="24"/>
                <w:vertAlign w:val="subscript"/>
              </w:rPr>
              <w:t>i</w:t>
            </w:r>
            <w:r>
              <w:rPr>
                <w:sz w:val="24"/>
              </w:rPr>
              <w:t>/C</w:t>
            </w:r>
            <w:r>
              <w:rPr>
                <w:sz w:val="24"/>
                <w:vertAlign w:val="subscript"/>
              </w:rPr>
              <w:t>oi</w:t>
            </w:r>
            <w:r>
              <w:rPr>
                <w:sz w:val="24"/>
              </w:rPr>
              <w:t>×100％</w:t>
            </w:r>
          </w:p>
          <w:p>
            <w:pPr>
              <w:spacing w:line="520" w:lineRule="exact"/>
              <w:ind w:firstLine="480" w:firstLineChars="200"/>
              <w:rPr>
                <w:sz w:val="24"/>
              </w:rPr>
            </w:pPr>
            <w:r>
              <w:rPr>
                <w:sz w:val="24"/>
              </w:rPr>
              <w:t>式中： P</w:t>
            </w:r>
            <w:r>
              <w:rPr>
                <w:sz w:val="24"/>
                <w:vertAlign w:val="subscript"/>
              </w:rPr>
              <w:t>i</w:t>
            </w:r>
            <w:r>
              <w:rPr>
                <w:sz w:val="24"/>
              </w:rPr>
              <w:t>－第i个污染物的最大地面浓度占标率，％；</w:t>
            </w:r>
          </w:p>
          <w:p>
            <w:pPr>
              <w:spacing w:line="520" w:lineRule="exact"/>
              <w:ind w:firstLine="1320" w:firstLineChars="550"/>
              <w:rPr>
                <w:sz w:val="24"/>
              </w:rPr>
            </w:pPr>
            <w:r>
              <w:rPr>
                <w:sz w:val="24"/>
              </w:rPr>
              <w:t>C</w:t>
            </w:r>
            <w:r>
              <w:rPr>
                <w:sz w:val="24"/>
                <w:vertAlign w:val="subscript"/>
              </w:rPr>
              <w:t>i</w:t>
            </w:r>
            <w:r>
              <w:rPr>
                <w:sz w:val="24"/>
              </w:rPr>
              <w:t>－估算模式计算出的第i个污染物的最大地面浓度，mg/m</w:t>
            </w:r>
            <w:r>
              <w:rPr>
                <w:sz w:val="24"/>
                <w:vertAlign w:val="superscript"/>
              </w:rPr>
              <w:t>3</w:t>
            </w:r>
            <w:r>
              <w:rPr>
                <w:sz w:val="24"/>
              </w:rPr>
              <w:t>；</w:t>
            </w:r>
          </w:p>
          <w:p>
            <w:pPr>
              <w:spacing w:line="520" w:lineRule="exact"/>
              <w:ind w:firstLine="1320" w:firstLineChars="550"/>
              <w:rPr>
                <w:sz w:val="24"/>
              </w:rPr>
            </w:pPr>
            <w:r>
              <w:rPr>
                <w:sz w:val="24"/>
              </w:rPr>
              <w:t>C</w:t>
            </w:r>
            <w:r>
              <w:rPr>
                <w:sz w:val="24"/>
                <w:vertAlign w:val="subscript"/>
              </w:rPr>
              <w:t>oi</w:t>
            </w:r>
            <w:r>
              <w:rPr>
                <w:sz w:val="24"/>
              </w:rPr>
              <w:t>－第i个污染物的环境空气质量标准，mg/m</w:t>
            </w:r>
            <w:r>
              <w:rPr>
                <w:sz w:val="24"/>
                <w:vertAlign w:val="superscript"/>
              </w:rPr>
              <w:t>3</w:t>
            </w:r>
            <w:r>
              <w:rPr>
                <w:sz w:val="24"/>
              </w:rPr>
              <w:t>；</w:t>
            </w:r>
          </w:p>
          <w:p>
            <w:pPr>
              <w:pStyle w:val="64"/>
              <w:spacing w:line="440" w:lineRule="exact"/>
              <w:ind w:firstLine="480" w:firstLineChars="200"/>
              <w:rPr>
                <w:rFonts w:ascii="Times New Roman" w:hAnsi="Times New Roman" w:eastAsia="黑体"/>
                <w:sz w:val="24"/>
              </w:rPr>
            </w:pPr>
            <w:r>
              <w:rPr>
                <w:rFonts w:ascii="Times New Roman" w:hAnsi="Times New Roman" w:eastAsia="黑体"/>
                <w:sz w:val="24"/>
              </w:rPr>
              <w:t>f、预测结果</w:t>
            </w:r>
          </w:p>
          <w:p>
            <w:pPr>
              <w:pStyle w:val="64"/>
              <w:spacing w:line="440" w:lineRule="exact"/>
              <w:ind w:firstLine="480" w:firstLineChars="200"/>
              <w:rPr>
                <w:sz w:val="24"/>
              </w:rPr>
            </w:pPr>
          </w:p>
          <w:p>
            <w:pPr>
              <w:pStyle w:val="64"/>
              <w:spacing w:line="440" w:lineRule="exact"/>
              <w:ind w:firstLine="480" w:firstLineChars="200"/>
              <w:rPr>
                <w:sz w:val="24"/>
              </w:rPr>
            </w:pPr>
          </w:p>
          <w:p>
            <w:pPr>
              <w:spacing w:line="440" w:lineRule="exact"/>
              <w:ind w:firstLine="360" w:firstLineChars="150"/>
              <w:rPr>
                <w:rFonts w:eastAsia="黑体"/>
                <w:b/>
                <w:sz w:val="24"/>
              </w:rPr>
            </w:pPr>
            <w:r>
              <w:rPr>
                <w:rFonts w:eastAsia="黑体"/>
                <w:sz w:val="24"/>
              </w:rPr>
              <w:t>表</w:t>
            </w:r>
            <w:r>
              <w:rPr>
                <w:rFonts w:hint="eastAsia" w:eastAsia="黑体"/>
                <w:sz w:val="24"/>
              </w:rPr>
              <w:t>22</w:t>
            </w:r>
            <w:r>
              <w:rPr>
                <w:rFonts w:eastAsia="黑体"/>
                <w:sz w:val="24"/>
              </w:rPr>
              <w:t xml:space="preserve">                      估算结果表（点源）</w:t>
            </w:r>
          </w:p>
          <w:tbl>
            <w:tblPr>
              <w:tblStyle w:val="30"/>
              <w:tblW w:w="9422" w:type="dxa"/>
              <w:jc w:val="center"/>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1192"/>
              <w:gridCol w:w="1598"/>
              <w:gridCol w:w="1897"/>
              <w:gridCol w:w="1917"/>
              <w:gridCol w:w="1454"/>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64" w:type="dxa"/>
                  <w:vAlign w:val="center"/>
                </w:tcPr>
                <w:p>
                  <w:pPr>
                    <w:jc w:val="center"/>
                    <w:rPr>
                      <w:b/>
                      <w:szCs w:val="21"/>
                    </w:rPr>
                  </w:pPr>
                  <w:r>
                    <w:rPr>
                      <w:b/>
                      <w:szCs w:val="21"/>
                    </w:rPr>
                    <w:t>点源名称</w:t>
                  </w:r>
                </w:p>
              </w:tc>
              <w:tc>
                <w:tcPr>
                  <w:tcW w:w="1192" w:type="dxa"/>
                  <w:vAlign w:val="center"/>
                </w:tcPr>
                <w:p>
                  <w:pPr>
                    <w:jc w:val="center"/>
                    <w:rPr>
                      <w:b/>
                      <w:szCs w:val="21"/>
                    </w:rPr>
                  </w:pPr>
                  <w:r>
                    <w:rPr>
                      <w:b/>
                      <w:szCs w:val="21"/>
                    </w:rPr>
                    <w:t>污染物</w:t>
                  </w:r>
                </w:p>
              </w:tc>
              <w:tc>
                <w:tcPr>
                  <w:tcW w:w="1598" w:type="dxa"/>
                  <w:vAlign w:val="center"/>
                </w:tcPr>
                <w:p>
                  <w:pPr>
                    <w:jc w:val="center"/>
                    <w:rPr>
                      <w:b/>
                      <w:szCs w:val="21"/>
                    </w:rPr>
                  </w:pPr>
                  <w:r>
                    <w:rPr>
                      <w:b/>
                      <w:szCs w:val="21"/>
                    </w:rPr>
                    <w:t>距源中心下风向距离（m）</w:t>
                  </w:r>
                </w:p>
              </w:tc>
              <w:tc>
                <w:tcPr>
                  <w:tcW w:w="1897" w:type="dxa"/>
                  <w:vAlign w:val="center"/>
                </w:tcPr>
                <w:p>
                  <w:pPr>
                    <w:jc w:val="center"/>
                    <w:rPr>
                      <w:b/>
                      <w:szCs w:val="21"/>
                    </w:rPr>
                  </w:pPr>
                  <w:r>
                    <w:rPr>
                      <w:b/>
                      <w:szCs w:val="21"/>
                    </w:rPr>
                    <w:t>最大地面浓度（mg/m</w:t>
                  </w:r>
                  <w:r>
                    <w:rPr>
                      <w:b/>
                      <w:szCs w:val="21"/>
                      <w:vertAlign w:val="superscript"/>
                    </w:rPr>
                    <w:t>3</w:t>
                  </w:r>
                  <w:r>
                    <w:rPr>
                      <w:b/>
                      <w:szCs w:val="21"/>
                    </w:rPr>
                    <w:t>）</w:t>
                  </w:r>
                </w:p>
              </w:tc>
              <w:tc>
                <w:tcPr>
                  <w:tcW w:w="1917" w:type="dxa"/>
                  <w:vAlign w:val="center"/>
                </w:tcPr>
                <w:p>
                  <w:pPr>
                    <w:jc w:val="center"/>
                    <w:rPr>
                      <w:b/>
                      <w:szCs w:val="21"/>
                    </w:rPr>
                  </w:pPr>
                  <w:r>
                    <w:rPr>
                      <w:b/>
                      <w:szCs w:val="21"/>
                    </w:rPr>
                    <w:t>最大落地浓度占标率（％）</w:t>
                  </w:r>
                </w:p>
              </w:tc>
              <w:tc>
                <w:tcPr>
                  <w:tcW w:w="1454" w:type="dxa"/>
                  <w:vAlign w:val="center"/>
                </w:tcPr>
                <w:p>
                  <w:pPr>
                    <w:jc w:val="center"/>
                    <w:rPr>
                      <w:b/>
                      <w:szCs w:val="21"/>
                    </w:rPr>
                  </w:pPr>
                  <w:r>
                    <w:rPr>
                      <w:b/>
                      <w:szCs w:val="21"/>
                    </w:rPr>
                    <w:t>标准</w:t>
                  </w:r>
                </w:p>
                <w:p>
                  <w:pPr>
                    <w:jc w:val="center"/>
                    <w:rPr>
                      <w:b/>
                      <w:szCs w:val="21"/>
                    </w:rPr>
                  </w:pPr>
                  <w:r>
                    <w:rPr>
                      <w:b/>
                      <w:szCs w:val="21"/>
                    </w:rPr>
                    <w:t>（mg/m</w:t>
                  </w:r>
                  <w:r>
                    <w:rPr>
                      <w:b/>
                      <w:szCs w:val="21"/>
                      <w:vertAlign w:val="superscript"/>
                    </w:rPr>
                    <w:t>3</w:t>
                  </w:r>
                  <w:r>
                    <w:rPr>
                      <w:b/>
                      <w:szCs w:val="21"/>
                    </w:rPr>
                    <w:t>）</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364" w:type="dxa"/>
                  <w:vAlign w:val="center"/>
                </w:tcPr>
                <w:p>
                  <w:pPr>
                    <w:jc w:val="center"/>
                    <w:rPr>
                      <w:rFonts w:ascii="宋体" w:hAnsi="宋体"/>
                      <w:szCs w:val="21"/>
                      <w:vertAlign w:val="subscript"/>
                    </w:rPr>
                  </w:pPr>
                  <w:r>
                    <w:rPr>
                      <w:rFonts w:hint="eastAsia"/>
                      <w:szCs w:val="21"/>
                    </w:rPr>
                    <w:t>P</w:t>
                  </w:r>
                  <w:r>
                    <w:rPr>
                      <w:rFonts w:hint="eastAsia"/>
                      <w:szCs w:val="21"/>
                      <w:vertAlign w:val="subscript"/>
                    </w:rPr>
                    <w:t>1</w:t>
                  </w:r>
                </w:p>
              </w:tc>
              <w:tc>
                <w:tcPr>
                  <w:tcW w:w="1192" w:type="dxa"/>
                  <w:vAlign w:val="center"/>
                </w:tcPr>
                <w:p>
                  <w:pPr>
                    <w:jc w:val="center"/>
                    <w:rPr>
                      <w:szCs w:val="21"/>
                    </w:rPr>
                  </w:pPr>
                  <w:r>
                    <w:rPr>
                      <w:szCs w:val="21"/>
                    </w:rPr>
                    <w:t>PM</w:t>
                  </w:r>
                  <w:r>
                    <w:rPr>
                      <w:szCs w:val="21"/>
                      <w:vertAlign w:val="subscript"/>
                    </w:rPr>
                    <w:t>10</w:t>
                  </w:r>
                </w:p>
              </w:tc>
              <w:tc>
                <w:tcPr>
                  <w:tcW w:w="1598" w:type="dxa"/>
                  <w:vAlign w:val="center"/>
                </w:tcPr>
                <w:p>
                  <w:pPr>
                    <w:jc w:val="center"/>
                    <w:rPr>
                      <w:szCs w:val="21"/>
                    </w:rPr>
                  </w:pPr>
                  <w:r>
                    <w:rPr>
                      <w:rFonts w:hint="eastAsia"/>
                      <w:szCs w:val="21"/>
                    </w:rPr>
                    <w:t>191</w:t>
                  </w:r>
                </w:p>
              </w:tc>
              <w:tc>
                <w:tcPr>
                  <w:tcW w:w="1897" w:type="dxa"/>
                  <w:vAlign w:val="center"/>
                </w:tcPr>
                <w:p>
                  <w:pPr>
                    <w:jc w:val="center"/>
                    <w:rPr>
                      <w:szCs w:val="21"/>
                    </w:rPr>
                  </w:pPr>
                  <w:r>
                    <w:rPr>
                      <w:szCs w:val="21"/>
                    </w:rPr>
                    <w:t>0.00</w:t>
                  </w:r>
                  <w:r>
                    <w:rPr>
                      <w:rFonts w:hint="eastAsia"/>
                      <w:szCs w:val="21"/>
                    </w:rPr>
                    <w:t>2543</w:t>
                  </w:r>
                </w:p>
              </w:tc>
              <w:tc>
                <w:tcPr>
                  <w:tcW w:w="1917" w:type="dxa"/>
                  <w:vAlign w:val="center"/>
                </w:tcPr>
                <w:p>
                  <w:pPr>
                    <w:jc w:val="center"/>
                    <w:rPr>
                      <w:szCs w:val="21"/>
                    </w:rPr>
                  </w:pPr>
                  <w:r>
                    <w:rPr>
                      <w:rFonts w:hint="eastAsia"/>
                      <w:szCs w:val="21"/>
                    </w:rPr>
                    <w:t>0.57</w:t>
                  </w:r>
                </w:p>
              </w:tc>
              <w:tc>
                <w:tcPr>
                  <w:tcW w:w="1454" w:type="dxa"/>
                  <w:vAlign w:val="center"/>
                </w:tcPr>
                <w:p>
                  <w:pPr>
                    <w:jc w:val="center"/>
                    <w:rPr>
                      <w:szCs w:val="21"/>
                    </w:rPr>
                  </w:pPr>
                  <w:r>
                    <w:rPr>
                      <w:szCs w:val="21"/>
                    </w:rPr>
                    <w:t>0.45</w:t>
                  </w:r>
                </w:p>
              </w:tc>
            </w:tr>
          </w:tbl>
          <w:p>
            <w:pPr>
              <w:spacing w:line="440" w:lineRule="exact"/>
              <w:ind w:firstLine="480" w:firstLineChars="200"/>
              <w:rPr>
                <w:sz w:val="24"/>
              </w:rPr>
            </w:pPr>
            <w:r>
              <w:rPr>
                <w:sz w:val="24"/>
              </w:rPr>
              <w:t>由预测结果可知，本项目营运期</w:t>
            </w:r>
            <w:r>
              <w:rPr>
                <w:rFonts w:hint="eastAsia"/>
                <w:sz w:val="24"/>
              </w:rPr>
              <w:t>P</w:t>
            </w:r>
            <w:r>
              <w:rPr>
                <w:rFonts w:hint="eastAsia"/>
                <w:sz w:val="24"/>
                <w:vertAlign w:val="subscript"/>
              </w:rPr>
              <w:t>1</w:t>
            </w:r>
            <w:r>
              <w:rPr>
                <w:rFonts w:hint="eastAsia"/>
                <w:sz w:val="24"/>
              </w:rPr>
              <w:t>排气筒</w:t>
            </w:r>
            <w:r>
              <w:rPr>
                <w:sz w:val="24"/>
              </w:rPr>
              <w:t>PM</w:t>
            </w:r>
            <w:r>
              <w:rPr>
                <w:sz w:val="24"/>
                <w:vertAlign w:val="subscript"/>
              </w:rPr>
              <w:t>10</w:t>
            </w:r>
            <w:r>
              <w:rPr>
                <w:sz w:val="24"/>
              </w:rPr>
              <w:t>最大落地浓度出现在距源中心下风向</w:t>
            </w:r>
            <w:r>
              <w:rPr>
                <w:rFonts w:hint="eastAsia"/>
                <w:sz w:val="24"/>
              </w:rPr>
              <w:t>191</w:t>
            </w:r>
            <w:r>
              <w:rPr>
                <w:sz w:val="24"/>
              </w:rPr>
              <w:t>m处，最大地面浓度0.00</w:t>
            </w:r>
            <w:r>
              <w:rPr>
                <w:rFonts w:hint="eastAsia"/>
                <w:sz w:val="24"/>
              </w:rPr>
              <w:t>2543</w:t>
            </w:r>
            <w:r>
              <w:rPr>
                <w:sz w:val="24"/>
              </w:rPr>
              <w:t>mg/m</w:t>
            </w:r>
            <w:r>
              <w:rPr>
                <w:sz w:val="24"/>
                <w:vertAlign w:val="superscript"/>
              </w:rPr>
              <w:t>3</w:t>
            </w:r>
            <w:r>
              <w:rPr>
                <w:sz w:val="24"/>
              </w:rPr>
              <w:t>，占标率为</w:t>
            </w:r>
            <w:r>
              <w:rPr>
                <w:rFonts w:hint="eastAsia"/>
                <w:sz w:val="24"/>
              </w:rPr>
              <w:t>0.57</w:t>
            </w:r>
            <w:r>
              <w:rPr>
                <w:sz w:val="24"/>
              </w:rPr>
              <w:t>%，项目营运期PM</w:t>
            </w:r>
            <w:r>
              <w:rPr>
                <w:sz w:val="24"/>
                <w:vertAlign w:val="subscript"/>
              </w:rPr>
              <w:t>10</w:t>
            </w:r>
            <w:r>
              <w:rPr>
                <w:sz w:val="24"/>
              </w:rPr>
              <w:t>最大落地浓度值不超标。</w:t>
            </w:r>
          </w:p>
          <w:p>
            <w:pPr>
              <w:spacing w:line="460" w:lineRule="exact"/>
              <w:ind w:firstLine="480" w:firstLineChars="200"/>
              <w:jc w:val="left"/>
              <w:rPr>
                <w:b/>
                <w:color w:val="000000" w:themeColor="text1"/>
                <w:sz w:val="24"/>
                <w:u w:val="single"/>
              </w:rPr>
            </w:pPr>
            <w:r>
              <w:rPr>
                <w:sz w:val="24"/>
                <w:u w:val="single"/>
              </w:rPr>
              <w:t>g、</w:t>
            </w:r>
            <w:r>
              <w:rPr>
                <w:rFonts w:hint="eastAsia"/>
                <w:b/>
                <w:color w:val="000000" w:themeColor="text1"/>
                <w:sz w:val="24"/>
                <w:u w:val="single"/>
              </w:rPr>
              <w:t>评价等级确定</w:t>
            </w:r>
          </w:p>
          <w:p>
            <w:pPr>
              <w:adjustRightInd w:val="0"/>
              <w:snapToGrid w:val="0"/>
              <w:spacing w:line="520" w:lineRule="exact"/>
              <w:ind w:firstLine="482" w:firstLineChars="200"/>
              <w:rPr>
                <w:b/>
                <w:color w:val="000000" w:themeColor="text1"/>
                <w:sz w:val="24"/>
                <w:u w:val="single"/>
              </w:rPr>
            </w:pPr>
            <w:r>
              <w:rPr>
                <w:rFonts w:hint="eastAsia"/>
                <w:b/>
                <w:color w:val="000000" w:themeColor="text1"/>
                <w:sz w:val="24"/>
                <w:u w:val="single"/>
              </w:rPr>
              <w:t>根据估算模式计算结果，本项目密闭室排气筒排放的颗粒物</w:t>
            </w:r>
            <w:r>
              <w:rPr>
                <w:b/>
                <w:color w:val="000000" w:themeColor="text1"/>
                <w:sz w:val="24"/>
                <w:u w:val="single"/>
              </w:rPr>
              <w:t>最大落地浓度占标率为</w:t>
            </w:r>
            <w:r>
              <w:rPr>
                <w:rFonts w:hint="eastAsia"/>
                <w:b/>
                <w:color w:val="000000" w:themeColor="text1"/>
                <w:sz w:val="24"/>
                <w:u w:val="single"/>
              </w:rPr>
              <w:t>0.57%</w:t>
            </w:r>
            <w:r>
              <w:rPr>
                <w:rFonts w:hint="eastAsia"/>
                <w:b/>
                <w:color w:val="000000" w:themeColor="text1"/>
                <w:szCs w:val="21"/>
                <w:u w:val="single"/>
              </w:rPr>
              <w:t>＜1%，</w:t>
            </w:r>
            <w:r>
              <w:rPr>
                <w:rFonts w:hint="eastAsia"/>
                <w:b/>
                <w:color w:val="000000" w:themeColor="text1"/>
                <w:sz w:val="24"/>
                <w:u w:val="single"/>
              </w:rPr>
              <w:t>本项目大气评价等级为三级，三级评价项目不进行进一步预测与评价，只对污染物排放量进行核算见下表。</w:t>
            </w:r>
          </w:p>
          <w:p>
            <w:pPr>
              <w:adjustRightInd w:val="0"/>
              <w:snapToGrid w:val="0"/>
              <w:spacing w:line="520" w:lineRule="exact"/>
              <w:ind w:firstLine="480" w:firstLineChars="200"/>
              <w:rPr>
                <w:rFonts w:eastAsia="黑体"/>
                <w:sz w:val="24"/>
                <w:szCs w:val="22"/>
              </w:rPr>
            </w:pPr>
            <w:r>
              <w:rPr>
                <w:rFonts w:hint="eastAsia" w:eastAsia="黑体"/>
                <w:sz w:val="24"/>
                <w:szCs w:val="22"/>
              </w:rPr>
              <w:t>表23</w:t>
            </w:r>
            <w:r>
              <w:rPr>
                <w:rFonts w:eastAsia="黑体"/>
                <w:sz w:val="24"/>
                <w:szCs w:val="22"/>
              </w:rPr>
              <w:t xml:space="preserve">                  </w:t>
            </w:r>
            <w:r>
              <w:rPr>
                <w:rFonts w:hint="eastAsia" w:eastAsia="黑体"/>
                <w:sz w:val="24"/>
                <w:szCs w:val="22"/>
              </w:rPr>
              <w:t>大气污染物有组织排放量核算表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43"/>
              <w:gridCol w:w="1641"/>
              <w:gridCol w:w="1596"/>
              <w:gridCol w:w="1754"/>
              <w:gridCol w:w="1756"/>
              <w:gridCol w:w="173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43" w:type="dxa"/>
                  <w:vAlign w:val="center"/>
                </w:tcPr>
                <w:p>
                  <w:pPr>
                    <w:autoSpaceDE w:val="0"/>
                    <w:autoSpaceDN w:val="0"/>
                    <w:adjustRightInd w:val="0"/>
                    <w:snapToGrid w:val="0"/>
                    <w:jc w:val="center"/>
                    <w:rPr>
                      <w:b/>
                      <w:szCs w:val="21"/>
                    </w:rPr>
                  </w:pPr>
                  <w:r>
                    <w:rPr>
                      <w:rFonts w:hint="eastAsia"/>
                      <w:b/>
                      <w:szCs w:val="21"/>
                    </w:rPr>
                    <w:t>序号</w:t>
                  </w:r>
                </w:p>
              </w:tc>
              <w:tc>
                <w:tcPr>
                  <w:tcW w:w="1641" w:type="dxa"/>
                  <w:vAlign w:val="center"/>
                </w:tcPr>
                <w:p>
                  <w:pPr>
                    <w:autoSpaceDE w:val="0"/>
                    <w:autoSpaceDN w:val="0"/>
                    <w:adjustRightInd w:val="0"/>
                    <w:snapToGrid w:val="0"/>
                    <w:jc w:val="center"/>
                    <w:rPr>
                      <w:b/>
                      <w:szCs w:val="21"/>
                    </w:rPr>
                  </w:pPr>
                  <w:r>
                    <w:rPr>
                      <w:rFonts w:hint="eastAsia"/>
                      <w:b/>
                      <w:szCs w:val="21"/>
                    </w:rPr>
                    <w:t>排放口编号</w:t>
                  </w:r>
                </w:p>
              </w:tc>
              <w:tc>
                <w:tcPr>
                  <w:tcW w:w="1596" w:type="dxa"/>
                  <w:vAlign w:val="center"/>
                </w:tcPr>
                <w:p>
                  <w:pPr>
                    <w:autoSpaceDE w:val="0"/>
                    <w:autoSpaceDN w:val="0"/>
                    <w:adjustRightInd w:val="0"/>
                    <w:snapToGrid w:val="0"/>
                    <w:jc w:val="center"/>
                    <w:rPr>
                      <w:b/>
                      <w:szCs w:val="21"/>
                    </w:rPr>
                  </w:pPr>
                  <w:r>
                    <w:rPr>
                      <w:rFonts w:hint="eastAsia"/>
                      <w:b/>
                      <w:szCs w:val="21"/>
                    </w:rPr>
                    <w:t>污染物</w:t>
                  </w:r>
                </w:p>
              </w:tc>
              <w:tc>
                <w:tcPr>
                  <w:tcW w:w="1754" w:type="dxa"/>
                  <w:vAlign w:val="center"/>
                </w:tcPr>
                <w:p>
                  <w:pPr>
                    <w:autoSpaceDE w:val="0"/>
                    <w:autoSpaceDN w:val="0"/>
                    <w:adjustRightInd w:val="0"/>
                    <w:snapToGrid w:val="0"/>
                    <w:jc w:val="center"/>
                    <w:rPr>
                      <w:b/>
                      <w:szCs w:val="21"/>
                    </w:rPr>
                  </w:pPr>
                  <w:r>
                    <w:rPr>
                      <w:rFonts w:hint="eastAsia"/>
                      <w:b/>
                      <w:szCs w:val="21"/>
                    </w:rPr>
                    <w:t>核算排放浓度</w:t>
                  </w:r>
                  <w:r>
                    <w:rPr>
                      <w:b/>
                      <w:szCs w:val="21"/>
                    </w:rPr>
                    <w:t>/</w:t>
                  </w:r>
                </w:p>
                <w:p>
                  <w:pPr>
                    <w:autoSpaceDE w:val="0"/>
                    <w:autoSpaceDN w:val="0"/>
                    <w:adjustRightInd w:val="0"/>
                    <w:snapToGrid w:val="0"/>
                    <w:jc w:val="center"/>
                    <w:rPr>
                      <w:b/>
                      <w:szCs w:val="21"/>
                    </w:rPr>
                  </w:pPr>
                  <w:r>
                    <w:rPr>
                      <w:rFonts w:hint="eastAsia"/>
                      <w:b/>
                      <w:szCs w:val="21"/>
                    </w:rPr>
                    <w:t>（</w:t>
                  </w:r>
                  <w:r>
                    <w:rPr>
                      <w:b/>
                      <w:szCs w:val="21"/>
                    </w:rPr>
                    <w:t>mg/m</w:t>
                  </w:r>
                  <w:r>
                    <w:rPr>
                      <w:b/>
                      <w:szCs w:val="21"/>
                      <w:vertAlign w:val="superscript"/>
                    </w:rPr>
                    <w:t>3</w:t>
                  </w:r>
                  <w:r>
                    <w:rPr>
                      <w:rFonts w:hint="eastAsia"/>
                      <w:b/>
                      <w:szCs w:val="21"/>
                    </w:rPr>
                    <w:t>）</w:t>
                  </w:r>
                </w:p>
              </w:tc>
              <w:tc>
                <w:tcPr>
                  <w:tcW w:w="1756" w:type="dxa"/>
                  <w:vAlign w:val="center"/>
                </w:tcPr>
                <w:p>
                  <w:pPr>
                    <w:autoSpaceDE w:val="0"/>
                    <w:autoSpaceDN w:val="0"/>
                    <w:adjustRightInd w:val="0"/>
                    <w:snapToGrid w:val="0"/>
                    <w:jc w:val="center"/>
                    <w:rPr>
                      <w:b/>
                      <w:szCs w:val="21"/>
                    </w:rPr>
                  </w:pPr>
                  <w:r>
                    <w:rPr>
                      <w:rFonts w:hint="eastAsia"/>
                      <w:b/>
                      <w:szCs w:val="21"/>
                    </w:rPr>
                    <w:t>核算排放速率</w:t>
                  </w:r>
                  <w:r>
                    <w:rPr>
                      <w:b/>
                      <w:szCs w:val="21"/>
                    </w:rPr>
                    <w:t>/</w:t>
                  </w:r>
                </w:p>
                <w:p>
                  <w:pPr>
                    <w:autoSpaceDE w:val="0"/>
                    <w:autoSpaceDN w:val="0"/>
                    <w:adjustRightInd w:val="0"/>
                    <w:snapToGrid w:val="0"/>
                    <w:jc w:val="center"/>
                    <w:rPr>
                      <w:b/>
                      <w:szCs w:val="21"/>
                    </w:rPr>
                  </w:pPr>
                  <w:r>
                    <w:rPr>
                      <w:rFonts w:hint="eastAsia"/>
                      <w:b/>
                      <w:szCs w:val="21"/>
                    </w:rPr>
                    <w:t>（</w:t>
                  </w:r>
                  <w:r>
                    <w:rPr>
                      <w:b/>
                      <w:szCs w:val="21"/>
                    </w:rPr>
                    <w:t>kg/h</w:t>
                  </w:r>
                  <w:r>
                    <w:rPr>
                      <w:rFonts w:hint="eastAsia"/>
                      <w:b/>
                      <w:szCs w:val="21"/>
                    </w:rPr>
                    <w:t>）</w:t>
                  </w:r>
                </w:p>
              </w:tc>
              <w:tc>
                <w:tcPr>
                  <w:tcW w:w="1732" w:type="dxa"/>
                  <w:vAlign w:val="center"/>
                </w:tcPr>
                <w:p>
                  <w:pPr>
                    <w:autoSpaceDE w:val="0"/>
                    <w:autoSpaceDN w:val="0"/>
                    <w:adjustRightInd w:val="0"/>
                    <w:snapToGrid w:val="0"/>
                    <w:jc w:val="center"/>
                    <w:rPr>
                      <w:b/>
                      <w:szCs w:val="21"/>
                    </w:rPr>
                  </w:pPr>
                  <w:r>
                    <w:rPr>
                      <w:rFonts w:hint="eastAsia"/>
                      <w:b/>
                      <w:szCs w:val="21"/>
                    </w:rPr>
                    <w:t>核算年排放量</w:t>
                  </w:r>
                  <w:r>
                    <w:rPr>
                      <w:b/>
                      <w:szCs w:val="21"/>
                    </w:rPr>
                    <w:t>/</w:t>
                  </w:r>
                </w:p>
                <w:p>
                  <w:pPr>
                    <w:autoSpaceDE w:val="0"/>
                    <w:autoSpaceDN w:val="0"/>
                    <w:adjustRightInd w:val="0"/>
                    <w:snapToGrid w:val="0"/>
                    <w:jc w:val="center"/>
                    <w:rPr>
                      <w:b/>
                      <w:szCs w:val="21"/>
                    </w:rPr>
                  </w:pPr>
                  <w:r>
                    <w:rPr>
                      <w:rFonts w:hint="eastAsia"/>
                      <w:b/>
                      <w:szCs w:val="21"/>
                    </w:rPr>
                    <w:t>（</w:t>
                  </w:r>
                  <w:r>
                    <w:rPr>
                      <w:b/>
                      <w:szCs w:val="21"/>
                    </w:rPr>
                    <w:t>t/a</w:t>
                  </w:r>
                  <w:r>
                    <w:rPr>
                      <w:rFonts w:hint="eastAsia"/>
                      <w:b/>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7" w:hRule="atLeast"/>
                <w:jc w:val="center"/>
              </w:trPr>
              <w:tc>
                <w:tcPr>
                  <w:tcW w:w="943" w:type="dxa"/>
                  <w:vAlign w:val="center"/>
                </w:tcPr>
                <w:p>
                  <w:pPr>
                    <w:autoSpaceDE w:val="0"/>
                    <w:autoSpaceDN w:val="0"/>
                    <w:adjustRightInd w:val="0"/>
                    <w:snapToGrid w:val="0"/>
                    <w:jc w:val="center"/>
                    <w:rPr>
                      <w:szCs w:val="21"/>
                    </w:rPr>
                  </w:pPr>
                  <w:r>
                    <w:rPr>
                      <w:szCs w:val="21"/>
                    </w:rPr>
                    <w:t>1</w:t>
                  </w:r>
                </w:p>
              </w:tc>
              <w:tc>
                <w:tcPr>
                  <w:tcW w:w="1641" w:type="dxa"/>
                  <w:vAlign w:val="center"/>
                </w:tcPr>
                <w:p>
                  <w:pPr>
                    <w:autoSpaceDE w:val="0"/>
                    <w:autoSpaceDN w:val="0"/>
                    <w:adjustRightInd w:val="0"/>
                    <w:snapToGrid w:val="0"/>
                    <w:jc w:val="center"/>
                    <w:rPr>
                      <w:szCs w:val="21"/>
                    </w:rPr>
                  </w:pPr>
                  <w:r>
                    <w:rPr>
                      <w:szCs w:val="21"/>
                    </w:rPr>
                    <w:t>P1</w:t>
                  </w:r>
                </w:p>
              </w:tc>
              <w:tc>
                <w:tcPr>
                  <w:tcW w:w="1596" w:type="dxa"/>
                  <w:vAlign w:val="center"/>
                </w:tcPr>
                <w:p>
                  <w:pPr>
                    <w:autoSpaceDE w:val="0"/>
                    <w:autoSpaceDN w:val="0"/>
                    <w:adjustRightInd w:val="0"/>
                    <w:snapToGrid w:val="0"/>
                    <w:jc w:val="center"/>
                    <w:rPr>
                      <w:szCs w:val="21"/>
                      <w:lang w:val="fr-FR"/>
                    </w:rPr>
                  </w:pPr>
                  <w:r>
                    <w:rPr>
                      <w:szCs w:val="21"/>
                    </w:rPr>
                    <w:t>PM</w:t>
                  </w:r>
                  <w:r>
                    <w:rPr>
                      <w:szCs w:val="21"/>
                      <w:vertAlign w:val="subscript"/>
                    </w:rPr>
                    <w:t>10</w:t>
                  </w:r>
                </w:p>
              </w:tc>
              <w:tc>
                <w:tcPr>
                  <w:tcW w:w="1754" w:type="dxa"/>
                  <w:vAlign w:val="center"/>
                </w:tcPr>
                <w:p>
                  <w:pPr>
                    <w:autoSpaceDE w:val="0"/>
                    <w:autoSpaceDN w:val="0"/>
                    <w:adjustRightInd w:val="0"/>
                    <w:snapToGrid w:val="0"/>
                    <w:jc w:val="center"/>
                    <w:rPr>
                      <w:szCs w:val="21"/>
                    </w:rPr>
                  </w:pPr>
                  <w:r>
                    <w:rPr>
                      <w:rFonts w:hint="eastAsia"/>
                      <w:szCs w:val="21"/>
                    </w:rPr>
                    <w:t>11.185</w:t>
                  </w:r>
                </w:p>
              </w:tc>
              <w:tc>
                <w:tcPr>
                  <w:tcW w:w="1756" w:type="dxa"/>
                  <w:vAlign w:val="center"/>
                </w:tcPr>
                <w:p>
                  <w:pPr>
                    <w:autoSpaceDE w:val="0"/>
                    <w:autoSpaceDN w:val="0"/>
                    <w:adjustRightInd w:val="0"/>
                    <w:snapToGrid w:val="0"/>
                    <w:jc w:val="center"/>
                    <w:rPr>
                      <w:szCs w:val="21"/>
                    </w:rPr>
                  </w:pPr>
                  <w:r>
                    <w:rPr>
                      <w:rFonts w:hint="eastAsia"/>
                      <w:szCs w:val="21"/>
                    </w:rPr>
                    <w:t>0.0559</w:t>
                  </w:r>
                </w:p>
              </w:tc>
              <w:tc>
                <w:tcPr>
                  <w:tcW w:w="1732" w:type="dxa"/>
                  <w:vAlign w:val="center"/>
                </w:tcPr>
                <w:p>
                  <w:pPr>
                    <w:autoSpaceDE w:val="0"/>
                    <w:autoSpaceDN w:val="0"/>
                    <w:adjustRightInd w:val="0"/>
                    <w:snapToGrid w:val="0"/>
                    <w:jc w:val="center"/>
                    <w:rPr>
                      <w:szCs w:val="21"/>
                    </w:rPr>
                  </w:pPr>
                  <w:r>
                    <w:rPr>
                      <w:rFonts w:hint="eastAsia"/>
                      <w:szCs w:val="21"/>
                    </w:rPr>
                    <w:t>0.0151</w:t>
                  </w:r>
                </w:p>
              </w:tc>
            </w:tr>
          </w:tbl>
          <w:p>
            <w:pPr>
              <w:pStyle w:val="64"/>
              <w:spacing w:line="480" w:lineRule="exact"/>
              <w:ind w:firstLine="480" w:firstLineChars="200"/>
              <w:rPr>
                <w:rFonts w:ascii="Times New Roman"/>
                <w:sz w:val="24"/>
              </w:rPr>
            </w:pPr>
            <w:r>
              <w:rPr>
                <w:rFonts w:hint="eastAsia" w:ascii="Times New Roman"/>
                <w:sz w:val="24"/>
              </w:rPr>
              <w:t>3、自行监测计划</w:t>
            </w:r>
          </w:p>
          <w:p>
            <w:pPr>
              <w:pStyle w:val="64"/>
              <w:spacing w:line="480" w:lineRule="exact"/>
              <w:ind w:firstLine="480" w:firstLineChars="200"/>
              <w:rPr>
                <w:rFonts w:ascii="Times New Roman" w:hAnsi="Times New Roman"/>
                <w:sz w:val="24"/>
              </w:rPr>
            </w:pPr>
            <w:r>
              <w:rPr>
                <w:rFonts w:hint="eastAsia" w:ascii="Times New Roman" w:hAnsi="Times New Roman"/>
                <w:sz w:val="24"/>
              </w:rPr>
              <w:t>《根据环境影响评价技术导则大气环境》</w:t>
            </w:r>
            <w:r>
              <w:rPr>
                <w:rFonts w:ascii="Times New Roman" w:hAnsi="Times New Roman"/>
                <w:sz w:val="24"/>
              </w:rPr>
              <w:t>(HJ2.2-2018)9.1.2</w:t>
            </w:r>
            <w:r>
              <w:rPr>
                <w:rFonts w:hint="eastAsia" w:ascii="Times New Roman" w:hAnsi="Times New Roman"/>
                <w:sz w:val="24"/>
              </w:rPr>
              <w:t>的规定，三级评价提出项目在生产运行阶段的污染源监测计划，具体监测计划见下表。</w:t>
            </w:r>
          </w:p>
          <w:p>
            <w:pPr>
              <w:pStyle w:val="141"/>
              <w:spacing w:line="400" w:lineRule="exact"/>
              <w:ind w:firstLine="480"/>
              <w:rPr>
                <w:color w:val="auto"/>
              </w:rPr>
            </w:pPr>
            <w:r>
              <w:rPr>
                <w:rFonts w:hint="eastAsia" w:ascii="黑体" w:hAnsi="黑体"/>
                <w:color w:val="auto"/>
              </w:rPr>
              <w:t>表</w:t>
            </w:r>
            <w:r>
              <w:rPr>
                <w:rFonts w:hint="eastAsia"/>
                <w:color w:val="auto"/>
              </w:rPr>
              <w:t>24</w:t>
            </w:r>
            <w:r>
              <w:rPr>
                <w:color w:val="auto"/>
              </w:rPr>
              <w:t xml:space="preserve">                   </w:t>
            </w:r>
            <w:r>
              <w:rPr>
                <w:rFonts w:hint="eastAsia"/>
                <w:color w:val="auto"/>
              </w:rPr>
              <w:t xml:space="preserve">   </w:t>
            </w:r>
            <w:r>
              <w:rPr>
                <w:color w:val="auto"/>
              </w:rPr>
              <w:t xml:space="preserve"> </w:t>
            </w:r>
            <w:r>
              <w:rPr>
                <w:rFonts w:hint="eastAsia" w:ascii="黑体" w:hAnsi="黑体"/>
                <w:color w:val="auto"/>
              </w:rPr>
              <w:t>废气监测方案</w:t>
            </w:r>
          </w:p>
          <w:tbl>
            <w:tblPr>
              <w:tblStyle w:val="30"/>
              <w:tblW w:w="942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423"/>
              <w:gridCol w:w="2214"/>
              <w:gridCol w:w="30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04" w:type="dxa"/>
                  <w:tcMar>
                    <w:top w:w="0" w:type="dxa"/>
                    <w:left w:w="28" w:type="dxa"/>
                    <w:bottom w:w="0" w:type="dxa"/>
                    <w:right w:w="28" w:type="dxa"/>
                  </w:tcMar>
                  <w:vAlign w:val="center"/>
                </w:tcPr>
                <w:p>
                  <w:pPr>
                    <w:jc w:val="center"/>
                    <w:rPr>
                      <w:szCs w:val="21"/>
                    </w:rPr>
                  </w:pPr>
                  <w:r>
                    <w:rPr>
                      <w:rFonts w:hint="eastAsia"/>
                      <w:szCs w:val="21"/>
                    </w:rPr>
                    <w:t>监测点位</w:t>
                  </w:r>
                </w:p>
              </w:tc>
              <w:tc>
                <w:tcPr>
                  <w:tcW w:w="2423" w:type="dxa"/>
                  <w:tcMar>
                    <w:top w:w="0" w:type="dxa"/>
                    <w:left w:w="28" w:type="dxa"/>
                    <w:bottom w:w="0" w:type="dxa"/>
                    <w:right w:w="28" w:type="dxa"/>
                  </w:tcMar>
                  <w:vAlign w:val="center"/>
                </w:tcPr>
                <w:p>
                  <w:pPr>
                    <w:jc w:val="center"/>
                    <w:rPr>
                      <w:szCs w:val="21"/>
                    </w:rPr>
                  </w:pPr>
                  <w:r>
                    <w:rPr>
                      <w:rFonts w:hint="eastAsia"/>
                      <w:szCs w:val="21"/>
                    </w:rPr>
                    <w:t>监测指标</w:t>
                  </w:r>
                </w:p>
              </w:tc>
              <w:tc>
                <w:tcPr>
                  <w:tcW w:w="2214" w:type="dxa"/>
                  <w:tcMar>
                    <w:top w:w="0" w:type="dxa"/>
                    <w:left w:w="28" w:type="dxa"/>
                    <w:bottom w:w="0" w:type="dxa"/>
                    <w:right w:w="28" w:type="dxa"/>
                  </w:tcMar>
                  <w:vAlign w:val="center"/>
                </w:tcPr>
                <w:p>
                  <w:pPr>
                    <w:jc w:val="center"/>
                    <w:rPr>
                      <w:szCs w:val="21"/>
                    </w:rPr>
                  </w:pPr>
                  <w:r>
                    <w:rPr>
                      <w:rFonts w:hint="eastAsia"/>
                      <w:szCs w:val="21"/>
                    </w:rPr>
                    <w:t>监测频次</w:t>
                  </w:r>
                </w:p>
              </w:tc>
              <w:tc>
                <w:tcPr>
                  <w:tcW w:w="3081" w:type="dxa"/>
                  <w:tcMar>
                    <w:top w:w="0" w:type="dxa"/>
                    <w:left w:w="28" w:type="dxa"/>
                    <w:bottom w:w="0" w:type="dxa"/>
                    <w:right w:w="28" w:type="dxa"/>
                  </w:tcMar>
                  <w:vAlign w:val="center"/>
                </w:tcPr>
                <w:p>
                  <w:pPr>
                    <w:jc w:val="center"/>
                    <w:rPr>
                      <w:szCs w:val="21"/>
                    </w:rPr>
                  </w:pPr>
                  <w:r>
                    <w:rPr>
                      <w:rFonts w:hint="eastAsia"/>
                      <w:szCs w:val="21"/>
                    </w:rPr>
                    <w:t>执行排放标准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22" w:type="dxa"/>
                  <w:gridSpan w:val="4"/>
                  <w:tcMar>
                    <w:top w:w="0" w:type="dxa"/>
                    <w:left w:w="28" w:type="dxa"/>
                    <w:bottom w:w="0" w:type="dxa"/>
                    <w:right w:w="28" w:type="dxa"/>
                  </w:tcMar>
                  <w:vAlign w:val="center"/>
                </w:tcPr>
                <w:p>
                  <w:pPr>
                    <w:jc w:val="center"/>
                    <w:rPr>
                      <w:szCs w:val="21"/>
                    </w:rPr>
                  </w:pPr>
                  <w:r>
                    <w:rPr>
                      <w:rFonts w:hint="eastAsia"/>
                      <w:szCs w:val="21"/>
                    </w:rPr>
                    <w:t>有组织废气监测方案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04" w:type="dxa"/>
                  <w:tcMar>
                    <w:top w:w="0" w:type="dxa"/>
                    <w:left w:w="28" w:type="dxa"/>
                    <w:bottom w:w="0" w:type="dxa"/>
                    <w:right w:w="28" w:type="dxa"/>
                  </w:tcMar>
                  <w:vAlign w:val="center"/>
                </w:tcPr>
                <w:p>
                  <w:pPr>
                    <w:jc w:val="center"/>
                    <w:rPr>
                      <w:szCs w:val="21"/>
                    </w:rPr>
                  </w:pPr>
                  <w:r>
                    <w:rPr>
                      <w:rFonts w:hint="eastAsia"/>
                      <w:szCs w:val="21"/>
                    </w:rPr>
                    <w:t>排气筒</w:t>
                  </w:r>
                  <w:r>
                    <w:rPr>
                      <w:szCs w:val="21"/>
                    </w:rPr>
                    <w:t>P1</w:t>
                  </w:r>
                </w:p>
              </w:tc>
              <w:tc>
                <w:tcPr>
                  <w:tcW w:w="2423" w:type="dxa"/>
                  <w:tcMar>
                    <w:top w:w="0" w:type="dxa"/>
                    <w:left w:w="28" w:type="dxa"/>
                    <w:bottom w:w="0" w:type="dxa"/>
                    <w:right w:w="28" w:type="dxa"/>
                  </w:tcMar>
                  <w:vAlign w:val="center"/>
                </w:tcPr>
                <w:p>
                  <w:pPr>
                    <w:jc w:val="center"/>
                    <w:rPr>
                      <w:szCs w:val="21"/>
                    </w:rPr>
                  </w:pPr>
                  <w:r>
                    <w:rPr>
                      <w:rFonts w:hint="eastAsia"/>
                      <w:szCs w:val="21"/>
                    </w:rPr>
                    <w:t>颗粒物排放浓度、排放速率、废气量</w:t>
                  </w:r>
                </w:p>
              </w:tc>
              <w:tc>
                <w:tcPr>
                  <w:tcW w:w="2214" w:type="dxa"/>
                  <w:tcMar>
                    <w:top w:w="0" w:type="dxa"/>
                    <w:left w:w="28" w:type="dxa"/>
                    <w:bottom w:w="0" w:type="dxa"/>
                    <w:right w:w="28" w:type="dxa"/>
                  </w:tcMar>
                  <w:vAlign w:val="center"/>
                </w:tcPr>
                <w:p>
                  <w:pPr>
                    <w:jc w:val="center"/>
                    <w:rPr>
                      <w:szCs w:val="21"/>
                    </w:rPr>
                  </w:pPr>
                  <w:r>
                    <w:rPr>
                      <w:szCs w:val="21"/>
                    </w:rPr>
                    <w:t>1</w:t>
                  </w:r>
                  <w:r>
                    <w:rPr>
                      <w:rFonts w:hint="eastAsia"/>
                      <w:szCs w:val="21"/>
                    </w:rPr>
                    <w:t>次</w:t>
                  </w:r>
                  <w:r>
                    <w:rPr>
                      <w:szCs w:val="21"/>
                    </w:rPr>
                    <w:t>/</w:t>
                  </w:r>
                  <w:r>
                    <w:rPr>
                      <w:rFonts w:hint="eastAsia"/>
                      <w:szCs w:val="21"/>
                    </w:rPr>
                    <w:t>半年</w:t>
                  </w:r>
                </w:p>
                <w:p>
                  <w:pPr>
                    <w:jc w:val="center"/>
                    <w:rPr>
                      <w:szCs w:val="21"/>
                    </w:rPr>
                  </w:pPr>
                  <w:r>
                    <w:rPr>
                      <w:rFonts w:hint="eastAsia"/>
                      <w:szCs w:val="21"/>
                    </w:rPr>
                    <w:t>每次两天</w:t>
                  </w:r>
                </w:p>
              </w:tc>
              <w:tc>
                <w:tcPr>
                  <w:tcW w:w="3081" w:type="dxa"/>
                  <w:vAlign w:val="center"/>
                </w:tcPr>
                <w:p>
                  <w:pPr>
                    <w:jc w:val="center"/>
                    <w:rPr>
                      <w:szCs w:val="21"/>
                    </w:rPr>
                  </w:pPr>
                  <w:r>
                    <w:rPr>
                      <w:rFonts w:hint="eastAsia"/>
                      <w:szCs w:val="21"/>
                    </w:rPr>
                    <w:t>《大气污染物综合排放标准》（</w:t>
                  </w:r>
                  <w:r>
                    <w:rPr>
                      <w:szCs w:val="21"/>
                    </w:rPr>
                    <w:t>GB16297-1996</w:t>
                  </w:r>
                  <w:r>
                    <w:rPr>
                      <w:rFonts w:hint="eastAsia"/>
                      <w:szCs w:val="21"/>
                    </w:rPr>
                    <w:t>）表</w:t>
                  </w:r>
                  <w:r>
                    <w:rPr>
                      <w:szCs w:val="21"/>
                    </w:rPr>
                    <w:t>2</w:t>
                  </w:r>
                  <w:r>
                    <w:rPr>
                      <w:rFonts w:hint="eastAsia"/>
                      <w:szCs w:val="21"/>
                    </w:rPr>
                    <w:t>二级</w:t>
                  </w:r>
                </w:p>
              </w:tc>
            </w:tr>
          </w:tbl>
          <w:p>
            <w:pPr>
              <w:spacing w:line="400" w:lineRule="exact"/>
              <w:ind w:firstLine="480" w:firstLineChars="200"/>
              <w:jc w:val="left"/>
              <w:rPr>
                <w:sz w:val="24"/>
              </w:rPr>
            </w:pPr>
            <w:r>
              <w:rPr>
                <w:rFonts w:hint="eastAsia"/>
                <w:sz w:val="24"/>
              </w:rPr>
              <w:t>4、自动监控要求</w:t>
            </w:r>
          </w:p>
          <w:p>
            <w:pPr>
              <w:pStyle w:val="2"/>
              <w:spacing w:line="400" w:lineRule="exact"/>
              <w:ind w:firstLine="480"/>
              <w:rPr>
                <w:bCs/>
                <w:sz w:val="24"/>
              </w:rPr>
            </w:pPr>
            <w:r>
              <w:rPr>
                <w:rFonts w:hint="eastAsia"/>
                <w:bCs/>
                <w:sz w:val="24"/>
              </w:rPr>
              <w:t>根据《新乡市环境污染防治攻坚指挥部办公室关于印发新乡市2019年大气污染防治攻坚战实施方案的通知》（新环攻坚办[2019]74号）的要求，在废气治理措施处安装在线监控装置。</w:t>
            </w:r>
          </w:p>
          <w:p>
            <w:pPr>
              <w:spacing w:line="360" w:lineRule="exact"/>
              <w:ind w:firstLine="480" w:firstLineChars="200"/>
              <w:textAlignment w:val="baseline"/>
              <w:rPr>
                <w:rFonts w:ascii="黑体" w:hAnsi="黑体" w:eastAsia="黑体"/>
                <w:sz w:val="24"/>
              </w:rPr>
            </w:pPr>
            <w:r>
              <w:rPr>
                <w:rFonts w:ascii="黑体" w:hAnsi="黑体" w:eastAsia="黑体"/>
                <w:sz w:val="24"/>
              </w:rPr>
              <w:t>四、固废</w:t>
            </w:r>
          </w:p>
          <w:p>
            <w:pPr>
              <w:spacing w:line="360" w:lineRule="exact"/>
              <w:ind w:firstLine="480" w:firstLineChars="200"/>
              <w:rPr>
                <w:sz w:val="24"/>
              </w:rPr>
            </w:pPr>
            <w:r>
              <w:rPr>
                <w:sz w:val="24"/>
              </w:rPr>
              <w:t>本项目营运期固废包括一般固废和危险废物。其中一般固废主要为废边角料、袋式除尘器收集的粉尘和</w:t>
            </w:r>
            <w:r>
              <w:rPr>
                <w:bCs/>
                <w:sz w:val="24"/>
              </w:rPr>
              <w:t>员工生活垃圾</w:t>
            </w:r>
            <w:r>
              <w:rPr>
                <w:sz w:val="24"/>
              </w:rPr>
              <w:t>；危险固废为废机油。</w:t>
            </w:r>
          </w:p>
          <w:p>
            <w:pPr>
              <w:spacing w:line="360" w:lineRule="exact"/>
              <w:ind w:firstLine="480" w:firstLineChars="200"/>
              <w:rPr>
                <w:sz w:val="24"/>
              </w:rPr>
            </w:pPr>
            <w:r>
              <w:rPr>
                <w:sz w:val="24"/>
              </w:rPr>
              <w:t>1、一般固废</w:t>
            </w:r>
          </w:p>
          <w:p>
            <w:pPr>
              <w:spacing w:line="360" w:lineRule="exact"/>
              <w:ind w:firstLine="480" w:firstLineChars="200"/>
              <w:rPr>
                <w:sz w:val="24"/>
              </w:rPr>
            </w:pPr>
            <w:r>
              <w:rPr>
                <w:sz w:val="24"/>
              </w:rPr>
              <w:t>（1）废边角料</w:t>
            </w:r>
          </w:p>
          <w:p>
            <w:pPr>
              <w:spacing w:line="360" w:lineRule="exact"/>
              <w:ind w:firstLine="480" w:firstLineChars="200"/>
              <w:rPr>
                <w:sz w:val="24"/>
              </w:rPr>
            </w:pPr>
            <w:r>
              <w:rPr>
                <w:sz w:val="24"/>
              </w:rPr>
              <w:t>原料在进行机加工过程中会产生废边角料，产生量为</w:t>
            </w:r>
            <w:r>
              <w:rPr>
                <w:rFonts w:hint="eastAsia"/>
                <w:sz w:val="24"/>
              </w:rPr>
              <w:t>3</w:t>
            </w:r>
            <w:r>
              <w:rPr>
                <w:sz w:val="24"/>
              </w:rPr>
              <w:t>t/a</w:t>
            </w:r>
            <w:r>
              <w:rPr>
                <w:bCs/>
                <w:sz w:val="24"/>
              </w:rPr>
              <w:t>，项目拟将其集中收集，一般固废暂存间暂存后定期</w:t>
            </w:r>
            <w:r>
              <w:rPr>
                <w:sz w:val="24"/>
              </w:rPr>
              <w:t>外售。</w:t>
            </w:r>
          </w:p>
          <w:p>
            <w:pPr>
              <w:pStyle w:val="2"/>
              <w:spacing w:line="360" w:lineRule="exact"/>
              <w:ind w:firstLine="480"/>
            </w:pPr>
            <w:r>
              <w:rPr>
                <w:sz w:val="24"/>
              </w:rPr>
              <w:t>（2）原料在切割、焊接打磨工段产生的废气经袋式除尘器处理后，除尘量为：</w:t>
            </w:r>
            <w:r>
              <w:rPr>
                <w:rFonts w:hint="eastAsia"/>
                <w:sz w:val="24"/>
              </w:rPr>
              <w:t>0.1359</w:t>
            </w:r>
            <w:r>
              <w:rPr>
                <w:sz w:val="24"/>
              </w:rPr>
              <w:t xml:space="preserve"> t/a，</w:t>
            </w:r>
            <w:r>
              <w:rPr>
                <w:bCs/>
                <w:sz w:val="24"/>
              </w:rPr>
              <w:t>项目拟将其集中收集，一般固废暂存间暂存后交由环卫部门处理</w:t>
            </w:r>
            <w:r>
              <w:rPr>
                <w:sz w:val="24"/>
              </w:rPr>
              <w:t>。</w:t>
            </w:r>
          </w:p>
          <w:p>
            <w:pPr>
              <w:spacing w:line="360" w:lineRule="exact"/>
              <w:ind w:firstLine="480" w:firstLineChars="200"/>
              <w:textAlignment w:val="baseline"/>
              <w:rPr>
                <w:bCs/>
                <w:sz w:val="24"/>
              </w:rPr>
            </w:pPr>
            <w:r>
              <w:rPr>
                <w:sz w:val="24"/>
              </w:rPr>
              <w:t>（</w:t>
            </w:r>
            <w:r>
              <w:rPr>
                <w:rFonts w:hint="eastAsia"/>
                <w:sz w:val="24"/>
              </w:rPr>
              <w:t>3</w:t>
            </w:r>
            <w:r>
              <w:rPr>
                <w:sz w:val="24"/>
              </w:rPr>
              <w:t>）</w:t>
            </w:r>
            <w:r>
              <w:rPr>
                <w:bCs/>
                <w:sz w:val="24"/>
              </w:rPr>
              <w:t>生活垃圾</w:t>
            </w:r>
          </w:p>
          <w:p>
            <w:pPr>
              <w:spacing w:line="360" w:lineRule="exact"/>
              <w:ind w:firstLine="480" w:firstLineChars="200"/>
              <w:rPr>
                <w:sz w:val="24"/>
              </w:rPr>
            </w:pPr>
            <w:r>
              <w:rPr>
                <w:sz w:val="24"/>
              </w:rPr>
              <w:t>员工办公生活会产生生活垃圾，产生量按人均0.5kg/d计算，则生活垃圾产生量为</w:t>
            </w:r>
            <w:r>
              <w:rPr>
                <w:rFonts w:hint="eastAsia"/>
                <w:sz w:val="24"/>
              </w:rPr>
              <w:t>0.405</w:t>
            </w:r>
            <w:r>
              <w:rPr>
                <w:sz w:val="24"/>
              </w:rPr>
              <w:t>t/a，集中收集后由环卫部门统一清运。</w:t>
            </w:r>
          </w:p>
          <w:p>
            <w:pPr>
              <w:spacing w:line="360" w:lineRule="exact"/>
              <w:ind w:firstLine="480" w:firstLineChars="200"/>
              <w:rPr>
                <w:sz w:val="24"/>
              </w:rPr>
            </w:pPr>
            <w:r>
              <w:rPr>
                <w:sz w:val="24"/>
              </w:rPr>
              <w:t>2、危险固废：项目机械设备需</w:t>
            </w:r>
            <w:r>
              <w:rPr>
                <w:rFonts w:hint="eastAsia"/>
                <w:sz w:val="24"/>
              </w:rPr>
              <w:t>1年</w:t>
            </w:r>
            <w:r>
              <w:rPr>
                <w:sz w:val="24"/>
              </w:rPr>
              <w:t>维护</w:t>
            </w:r>
            <w:r>
              <w:rPr>
                <w:rFonts w:hint="eastAsia"/>
                <w:sz w:val="24"/>
              </w:rPr>
              <w:t>1次，</w:t>
            </w:r>
            <w:r>
              <w:rPr>
                <w:sz w:val="24"/>
              </w:rPr>
              <w:t>本项目共四台设备需进行维护</w:t>
            </w:r>
            <w:r>
              <w:rPr>
                <w:rFonts w:hint="eastAsia"/>
                <w:sz w:val="24"/>
              </w:rPr>
              <w:t>（折弯机1台、剪板机1台、卷圆机1台、冲床1台），设备使用机油总量为0.02t/a，设备机油消耗量约80%，</w:t>
            </w:r>
            <w:r>
              <w:rPr>
                <w:sz w:val="24"/>
              </w:rPr>
              <w:t>每次维护产生</w:t>
            </w:r>
            <w:r>
              <w:rPr>
                <w:rFonts w:hint="eastAsia"/>
                <w:sz w:val="24"/>
              </w:rPr>
              <w:t>废机油</w:t>
            </w:r>
            <w:r>
              <w:rPr>
                <w:sz w:val="24"/>
              </w:rPr>
              <w:t>量为</w:t>
            </w:r>
            <w:r>
              <w:rPr>
                <w:rFonts w:hint="eastAsia"/>
                <w:sz w:val="24"/>
              </w:rPr>
              <w:t>0.004</w:t>
            </w:r>
            <w:r>
              <w:rPr>
                <w:sz w:val="24"/>
              </w:rPr>
              <w:t xml:space="preserve"> t/a</w:t>
            </w:r>
            <w:r>
              <w:rPr>
                <w:rFonts w:hint="eastAsia"/>
                <w:sz w:val="24"/>
              </w:rPr>
              <w:t>，</w:t>
            </w:r>
            <w:r>
              <w:rPr>
                <w:sz w:val="24"/>
              </w:rPr>
              <w:t>危废暂存间暂存后定期交由有相应类别危废资质单位处理。</w:t>
            </w:r>
          </w:p>
          <w:p>
            <w:pPr>
              <w:spacing w:line="360" w:lineRule="exact"/>
              <w:ind w:firstLine="480" w:firstLineChars="200"/>
              <w:rPr>
                <w:sz w:val="24"/>
              </w:rPr>
            </w:pPr>
            <w:r>
              <w:rPr>
                <w:rFonts w:hint="eastAsia"/>
                <w:sz w:val="24"/>
              </w:rPr>
              <w:t>综上，</w:t>
            </w:r>
            <w:r>
              <w:rPr>
                <w:sz w:val="24"/>
              </w:rPr>
              <w:t>产排情况如下：</w:t>
            </w:r>
          </w:p>
          <w:p>
            <w:pPr>
              <w:autoSpaceDE w:val="0"/>
              <w:autoSpaceDN w:val="0"/>
              <w:adjustRightInd w:val="0"/>
              <w:snapToGrid w:val="0"/>
              <w:spacing w:line="440" w:lineRule="exact"/>
              <w:ind w:firstLine="480" w:firstLineChars="200"/>
              <w:textAlignment w:val="baseline"/>
              <w:rPr>
                <w:rFonts w:ascii="黑体" w:hAnsi="黑体" w:eastAsia="黑体"/>
                <w:kern w:val="0"/>
                <w:sz w:val="24"/>
              </w:rPr>
            </w:pPr>
            <w:r>
              <w:rPr>
                <w:rFonts w:ascii="黑体" w:hAnsi="黑体" w:eastAsia="黑体"/>
                <w:kern w:val="0"/>
                <w:sz w:val="24"/>
              </w:rPr>
              <w:t>表</w:t>
            </w:r>
            <w:r>
              <w:rPr>
                <w:rFonts w:hint="eastAsia" w:ascii="黑体" w:hAnsi="黑体" w:eastAsia="黑体"/>
                <w:kern w:val="0"/>
                <w:sz w:val="24"/>
              </w:rPr>
              <w:t>25</w:t>
            </w:r>
            <w:r>
              <w:rPr>
                <w:rFonts w:ascii="黑体" w:hAnsi="黑体" w:eastAsia="黑体"/>
                <w:kern w:val="0"/>
                <w:sz w:val="24"/>
              </w:rPr>
              <w:t xml:space="preserve">        </w:t>
            </w:r>
            <w:r>
              <w:rPr>
                <w:rFonts w:hint="eastAsia" w:ascii="黑体" w:hAnsi="黑体" w:eastAsia="黑体"/>
                <w:kern w:val="0"/>
                <w:sz w:val="24"/>
              </w:rPr>
              <w:t xml:space="preserve">   </w:t>
            </w:r>
            <w:r>
              <w:rPr>
                <w:rFonts w:ascii="黑体" w:hAnsi="黑体" w:eastAsia="黑体"/>
                <w:kern w:val="0"/>
                <w:sz w:val="24"/>
              </w:rPr>
              <w:t xml:space="preserve"> 工程固废产生及处置情况表                 单位：t/a</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17"/>
              <w:gridCol w:w="2126"/>
              <w:gridCol w:w="993"/>
              <w:gridCol w:w="3402"/>
              <w:gridCol w:w="88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2" w:type="dxa"/>
                  <w:tcBorders>
                    <w:top w:val="single" w:color="auto" w:sz="8" w:space="0"/>
                    <w:bottom w:val="single" w:color="auto" w:sz="4" w:space="0"/>
                    <w:right w:val="single" w:color="auto" w:sz="4" w:space="0"/>
                  </w:tcBorders>
                  <w:vAlign w:val="center"/>
                </w:tcPr>
                <w:p>
                  <w:pPr>
                    <w:autoSpaceDE w:val="0"/>
                    <w:autoSpaceDN w:val="0"/>
                    <w:adjustRightInd w:val="0"/>
                    <w:snapToGrid w:val="0"/>
                    <w:jc w:val="center"/>
                    <w:textAlignment w:val="baseline"/>
                    <w:rPr>
                      <w:b/>
                      <w:bCs/>
                      <w:kern w:val="0"/>
                      <w:szCs w:val="21"/>
                    </w:rPr>
                  </w:pPr>
                  <w:r>
                    <w:rPr>
                      <w:b/>
                      <w:bCs/>
                      <w:kern w:val="0"/>
                      <w:szCs w:val="21"/>
                    </w:rPr>
                    <w:t>固废属性</w:t>
                  </w:r>
                </w:p>
              </w:tc>
              <w:tc>
                <w:tcPr>
                  <w:tcW w:w="3043" w:type="dxa"/>
                  <w:gridSpan w:val="2"/>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b/>
                      <w:bCs/>
                      <w:kern w:val="0"/>
                      <w:szCs w:val="21"/>
                    </w:rPr>
                  </w:pPr>
                  <w:r>
                    <w:rPr>
                      <w:b/>
                      <w:bCs/>
                      <w:kern w:val="0"/>
                      <w:szCs w:val="21"/>
                    </w:rPr>
                    <w:t>固废名称</w:t>
                  </w:r>
                </w:p>
              </w:tc>
              <w:tc>
                <w:tcPr>
                  <w:tcW w:w="993"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b/>
                      <w:bCs/>
                      <w:kern w:val="0"/>
                      <w:szCs w:val="21"/>
                    </w:rPr>
                  </w:pPr>
                  <w:r>
                    <w:rPr>
                      <w:b/>
                      <w:bCs/>
                      <w:kern w:val="0"/>
                      <w:szCs w:val="21"/>
                    </w:rPr>
                    <w:t>产生量（t/a）</w:t>
                  </w:r>
                </w:p>
              </w:tc>
              <w:tc>
                <w:tcPr>
                  <w:tcW w:w="3402"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b/>
                      <w:bCs/>
                      <w:kern w:val="0"/>
                      <w:szCs w:val="21"/>
                    </w:rPr>
                  </w:pPr>
                  <w:r>
                    <w:rPr>
                      <w:b/>
                      <w:bCs/>
                      <w:kern w:val="0"/>
                      <w:szCs w:val="21"/>
                    </w:rPr>
                    <w:t>处置措施</w:t>
                  </w:r>
                </w:p>
              </w:tc>
              <w:tc>
                <w:tcPr>
                  <w:tcW w:w="882" w:type="dxa"/>
                  <w:tcBorders>
                    <w:top w:val="single" w:color="auto" w:sz="8" w:space="0"/>
                    <w:left w:val="single" w:color="auto" w:sz="4" w:space="0"/>
                    <w:bottom w:val="single" w:color="auto" w:sz="4" w:space="0"/>
                  </w:tcBorders>
                  <w:vAlign w:val="center"/>
                </w:tcPr>
                <w:p>
                  <w:pPr>
                    <w:autoSpaceDE w:val="0"/>
                    <w:autoSpaceDN w:val="0"/>
                    <w:adjustRightInd w:val="0"/>
                    <w:snapToGrid w:val="0"/>
                    <w:jc w:val="center"/>
                    <w:textAlignment w:val="baseline"/>
                    <w:rPr>
                      <w:b/>
                      <w:bCs/>
                      <w:kern w:val="0"/>
                      <w:szCs w:val="21"/>
                    </w:rPr>
                  </w:pPr>
                  <w:r>
                    <w:rPr>
                      <w:b/>
                      <w:bCs/>
                      <w:kern w:val="0"/>
                      <w:szCs w:val="21"/>
                    </w:rPr>
                    <w:t>排放量（t/a）</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1102" w:type="dxa"/>
                  <w:vMerge w:val="restart"/>
                  <w:tcBorders>
                    <w:top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一般工业固废</w:t>
                  </w:r>
                </w:p>
              </w:tc>
              <w:tc>
                <w:tcPr>
                  <w:tcW w:w="3043" w:type="dxa"/>
                  <w:gridSpan w:val="2"/>
                  <w:tcBorders>
                    <w:top w:val="single" w:color="auto" w:sz="4" w:space="0"/>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lang w:val="en-GB"/>
                    </w:rPr>
                    <w:t>废边角料</w:t>
                  </w:r>
                </w:p>
              </w:tc>
              <w:tc>
                <w:tcPr>
                  <w:tcW w:w="993"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rFonts w:hint="eastAsia"/>
                      <w:kern w:val="0"/>
                      <w:szCs w:val="21"/>
                    </w:rPr>
                    <w:t>3</w:t>
                  </w:r>
                </w:p>
              </w:tc>
              <w:tc>
                <w:tcPr>
                  <w:tcW w:w="3402"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一般固废暂存间暂存，定期外售</w:t>
                  </w:r>
                </w:p>
              </w:tc>
              <w:tc>
                <w:tcPr>
                  <w:tcW w:w="882" w:type="dxa"/>
                  <w:tcBorders>
                    <w:top w:val="single" w:color="auto" w:sz="4" w:space="0"/>
                    <w:lef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2" w:type="dxa"/>
                  <w:vMerge w:val="continue"/>
                  <w:tcBorders>
                    <w:right w:val="single" w:color="auto" w:sz="4" w:space="0"/>
                  </w:tcBorders>
                  <w:vAlign w:val="center"/>
                </w:tcPr>
                <w:p>
                  <w:pPr>
                    <w:autoSpaceDE w:val="0"/>
                    <w:autoSpaceDN w:val="0"/>
                    <w:adjustRightInd w:val="0"/>
                    <w:snapToGrid w:val="0"/>
                    <w:jc w:val="center"/>
                    <w:textAlignment w:val="baseline"/>
                    <w:rPr>
                      <w:kern w:val="0"/>
                      <w:szCs w:val="21"/>
                    </w:rPr>
                  </w:pPr>
                </w:p>
              </w:tc>
              <w:tc>
                <w:tcPr>
                  <w:tcW w:w="30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除尘器除尘</w:t>
                  </w: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rFonts w:hint="eastAsia"/>
                      <w:kern w:val="0"/>
                      <w:szCs w:val="21"/>
                    </w:rPr>
                    <w:t>0.1359</w:t>
                  </w:r>
                </w:p>
              </w:tc>
              <w:tc>
                <w:tcPr>
                  <w:tcW w:w="3402" w:type="dxa"/>
                  <w:tcBorders>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一般固废暂存间暂存，交由环卫部门处理</w:t>
                  </w:r>
                </w:p>
              </w:tc>
              <w:tc>
                <w:tcPr>
                  <w:tcW w:w="882" w:type="dxa"/>
                  <w:tcBorders>
                    <w:top w:val="single" w:color="auto" w:sz="4" w:space="0"/>
                    <w:left w:val="single" w:color="auto" w:sz="4" w:space="0"/>
                    <w:bottom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0</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2" w:type="dxa"/>
                  <w:vMerge w:val="continue"/>
                  <w:tcBorders>
                    <w:bottom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p>
              </w:tc>
              <w:tc>
                <w:tcPr>
                  <w:tcW w:w="30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生活垃圾</w:t>
                  </w:r>
                </w:p>
              </w:tc>
              <w:tc>
                <w:tcPr>
                  <w:tcW w:w="9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rFonts w:hint="eastAsia"/>
                      <w:kern w:val="0"/>
                      <w:szCs w:val="21"/>
                    </w:rPr>
                    <w:t>0.405</w:t>
                  </w:r>
                </w:p>
              </w:tc>
              <w:tc>
                <w:tcPr>
                  <w:tcW w:w="3402" w:type="dxa"/>
                  <w:tcBorders>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集中收集后交由环卫部门统一清运</w:t>
                  </w:r>
                </w:p>
              </w:tc>
              <w:tc>
                <w:tcPr>
                  <w:tcW w:w="882" w:type="dxa"/>
                  <w:tcBorders>
                    <w:top w:val="single" w:color="auto" w:sz="4" w:space="0"/>
                    <w:left w:val="single" w:color="auto" w:sz="4" w:space="0"/>
                    <w:bottom w:val="single" w:color="auto" w:sz="4" w:space="0"/>
                  </w:tcBorders>
                  <w:vAlign w:val="center"/>
                </w:tcPr>
                <w:p>
                  <w:pPr>
                    <w:autoSpaceDE w:val="0"/>
                    <w:autoSpaceDN w:val="0"/>
                    <w:adjustRightInd w:val="0"/>
                    <w:snapToGrid w:val="0"/>
                    <w:jc w:val="center"/>
                    <w:textAlignment w:val="baseline"/>
                    <w:rPr>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102" w:type="dxa"/>
                  <w:tcBorders>
                    <w:bottom w:val="single" w:color="auto" w:sz="8" w:space="0"/>
                    <w:right w:val="single" w:color="auto" w:sz="4" w:space="0"/>
                  </w:tcBorders>
                  <w:vAlign w:val="center"/>
                </w:tcPr>
                <w:p>
                  <w:pPr>
                    <w:widowControl/>
                    <w:autoSpaceDE w:val="0"/>
                    <w:autoSpaceDN w:val="0"/>
                    <w:adjustRightInd w:val="0"/>
                    <w:snapToGrid w:val="0"/>
                    <w:jc w:val="center"/>
                    <w:textAlignment w:val="baseline"/>
                    <w:rPr>
                      <w:kern w:val="0"/>
                      <w:szCs w:val="21"/>
                    </w:rPr>
                  </w:pPr>
                  <w:r>
                    <w:rPr>
                      <w:kern w:val="0"/>
                      <w:szCs w:val="21"/>
                    </w:rPr>
                    <w:t>危险废物</w:t>
                  </w:r>
                </w:p>
              </w:tc>
              <w:tc>
                <w:tcPr>
                  <w:tcW w:w="917"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napToGrid w:val="0"/>
                    <w:jc w:val="center"/>
                    <w:textAlignment w:val="baseline"/>
                    <w:rPr>
                      <w:szCs w:val="21"/>
                    </w:rPr>
                  </w:pPr>
                  <w:r>
                    <w:rPr>
                      <w:szCs w:val="21"/>
                    </w:rPr>
                    <w:t>废机油</w:t>
                  </w:r>
                </w:p>
              </w:tc>
              <w:tc>
                <w:tcPr>
                  <w:tcW w:w="2126" w:type="dxa"/>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snapToGrid w:val="0"/>
                    <w:jc w:val="center"/>
                    <w:textAlignment w:val="baseline"/>
                    <w:rPr>
                      <w:szCs w:val="21"/>
                    </w:rPr>
                  </w:pPr>
                  <w:r>
                    <w:rPr>
                      <w:bCs/>
                      <w:szCs w:val="21"/>
                    </w:rPr>
                    <w:t>HW08中液压设备维护、更换和拆解过程中产生的废机油</w:t>
                  </w:r>
                </w:p>
              </w:tc>
              <w:tc>
                <w:tcPr>
                  <w:tcW w:w="993" w:type="dxa"/>
                  <w:tcBorders>
                    <w:left w:val="single" w:color="auto" w:sz="4" w:space="0"/>
                    <w:bottom w:val="single" w:color="auto" w:sz="8" w:space="0"/>
                    <w:righ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0.0</w:t>
                  </w:r>
                  <w:r>
                    <w:rPr>
                      <w:rFonts w:hint="eastAsia"/>
                      <w:kern w:val="0"/>
                      <w:szCs w:val="21"/>
                    </w:rPr>
                    <w:t>04</w:t>
                  </w:r>
                </w:p>
              </w:tc>
              <w:tc>
                <w:tcPr>
                  <w:tcW w:w="3402" w:type="dxa"/>
                  <w:tcBorders>
                    <w:left w:val="single" w:color="auto" w:sz="4" w:space="0"/>
                    <w:bottom w:val="single" w:color="auto" w:sz="8" w:space="0"/>
                    <w:right w:val="single" w:color="auto" w:sz="4" w:space="0"/>
                  </w:tcBorders>
                  <w:vAlign w:val="center"/>
                </w:tcPr>
                <w:p>
                  <w:pPr>
                    <w:pStyle w:val="139"/>
                    <w:spacing w:before="21"/>
                    <w:rPr>
                      <w:rFonts w:ascii="Times New Roman" w:hAnsi="Times New Roman" w:cs="Times New Roman"/>
                      <w:bCs/>
                    </w:rPr>
                  </w:pPr>
                  <w:r>
                    <w:rPr>
                      <w:rFonts w:ascii="Times New Roman" w:hAnsi="Times New Roman" w:cs="Times New Roman"/>
                      <w:bCs/>
                    </w:rPr>
                    <w:t>危废暂存间暂存后定期交由有相应类别危废资质单位处理</w:t>
                  </w:r>
                </w:p>
              </w:tc>
              <w:tc>
                <w:tcPr>
                  <w:tcW w:w="882" w:type="dxa"/>
                  <w:tcBorders>
                    <w:left w:val="single" w:color="auto" w:sz="4" w:space="0"/>
                    <w:bottom w:val="single" w:color="auto" w:sz="8" w:space="0"/>
                  </w:tcBorders>
                  <w:vAlign w:val="center"/>
                </w:tcPr>
                <w:p>
                  <w:pPr>
                    <w:autoSpaceDE w:val="0"/>
                    <w:autoSpaceDN w:val="0"/>
                    <w:adjustRightInd w:val="0"/>
                    <w:snapToGrid w:val="0"/>
                    <w:jc w:val="center"/>
                    <w:textAlignment w:val="baseline"/>
                    <w:rPr>
                      <w:kern w:val="0"/>
                      <w:szCs w:val="21"/>
                    </w:rPr>
                  </w:pPr>
                  <w:r>
                    <w:rPr>
                      <w:rFonts w:hint="eastAsia"/>
                      <w:kern w:val="0"/>
                      <w:szCs w:val="21"/>
                    </w:rPr>
                    <w:t>0</w:t>
                  </w:r>
                </w:p>
              </w:tc>
            </w:tr>
          </w:tbl>
          <w:p>
            <w:pPr>
              <w:spacing w:line="480" w:lineRule="exact"/>
              <w:ind w:firstLine="360" w:firstLineChars="150"/>
              <w:rPr>
                <w:rFonts w:ascii="黑体" w:hAnsi="黑体" w:eastAsia="黑体"/>
                <w:bCs/>
                <w:sz w:val="24"/>
                <w:szCs w:val="32"/>
              </w:rPr>
            </w:pPr>
            <w:r>
              <w:rPr>
                <w:rFonts w:ascii="黑体" w:hAnsi="黑体" w:eastAsia="黑体"/>
                <w:bCs/>
                <w:sz w:val="24"/>
                <w:szCs w:val="32"/>
              </w:rPr>
              <w:t>表</w:t>
            </w:r>
            <w:r>
              <w:rPr>
                <w:rFonts w:hint="eastAsia" w:ascii="黑体" w:hAnsi="黑体" w:eastAsia="黑体"/>
                <w:bCs/>
                <w:sz w:val="24"/>
                <w:szCs w:val="32"/>
              </w:rPr>
              <w:t>26</w:t>
            </w:r>
            <w:r>
              <w:rPr>
                <w:rFonts w:ascii="黑体" w:hAnsi="黑体" w:eastAsia="黑体"/>
                <w:bCs/>
                <w:sz w:val="24"/>
                <w:szCs w:val="32"/>
              </w:rPr>
              <w:t xml:space="preserve">                    </w:t>
            </w:r>
            <w:r>
              <w:rPr>
                <w:rFonts w:hint="eastAsia" w:ascii="黑体" w:hAnsi="黑体" w:eastAsia="黑体"/>
                <w:bCs/>
                <w:sz w:val="24"/>
                <w:szCs w:val="32"/>
              </w:rPr>
              <w:t xml:space="preserve">  </w:t>
            </w:r>
            <w:r>
              <w:rPr>
                <w:rFonts w:ascii="黑体" w:hAnsi="黑体" w:eastAsia="黑体"/>
                <w:bCs/>
                <w:sz w:val="24"/>
                <w:szCs w:val="32"/>
              </w:rPr>
              <w:t>危险废物汇总表</w:t>
            </w:r>
          </w:p>
          <w:tbl>
            <w:tblPr>
              <w:tblStyle w:val="30"/>
              <w:tblW w:w="94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656"/>
              <w:gridCol w:w="1006"/>
              <w:gridCol w:w="822"/>
              <w:gridCol w:w="851"/>
              <w:gridCol w:w="1037"/>
              <w:gridCol w:w="515"/>
              <w:gridCol w:w="828"/>
              <w:gridCol w:w="817"/>
              <w:gridCol w:w="683"/>
              <w:gridCol w:w="863"/>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14"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序号</w:t>
                  </w:r>
                </w:p>
              </w:tc>
              <w:tc>
                <w:tcPr>
                  <w:tcW w:w="65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危险废物名称</w:t>
                  </w:r>
                </w:p>
              </w:tc>
              <w:tc>
                <w:tcPr>
                  <w:tcW w:w="100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危险废物类别</w:t>
                  </w:r>
                </w:p>
              </w:tc>
              <w:tc>
                <w:tcPr>
                  <w:tcW w:w="822"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危险废物代码</w:t>
                  </w:r>
                </w:p>
              </w:tc>
              <w:tc>
                <w:tcPr>
                  <w:tcW w:w="851"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产生量（吨/年）</w:t>
                  </w:r>
                </w:p>
              </w:tc>
              <w:tc>
                <w:tcPr>
                  <w:tcW w:w="1037"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产生工序及装置</w:t>
                  </w:r>
                </w:p>
              </w:tc>
              <w:tc>
                <w:tcPr>
                  <w:tcW w:w="515"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形态</w:t>
                  </w:r>
                </w:p>
              </w:tc>
              <w:tc>
                <w:tcPr>
                  <w:tcW w:w="828"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主要成分</w:t>
                  </w:r>
                </w:p>
              </w:tc>
              <w:tc>
                <w:tcPr>
                  <w:tcW w:w="817"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有害成分</w:t>
                  </w:r>
                </w:p>
              </w:tc>
              <w:tc>
                <w:tcPr>
                  <w:tcW w:w="68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产废周期</w:t>
                  </w:r>
                </w:p>
              </w:tc>
              <w:tc>
                <w:tcPr>
                  <w:tcW w:w="86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szCs w:val="21"/>
                    </w:rPr>
                  </w:pPr>
                  <w:r>
                    <w:rPr>
                      <w:b/>
                      <w:szCs w:val="21"/>
                    </w:rPr>
                    <w:t>危险</w:t>
                  </w:r>
                </w:p>
                <w:p>
                  <w:pPr>
                    <w:topLinePunct/>
                    <w:adjustRightInd w:val="0"/>
                    <w:snapToGrid w:val="0"/>
                    <w:jc w:val="center"/>
                    <w:rPr>
                      <w:b/>
                      <w:szCs w:val="21"/>
                    </w:rPr>
                  </w:pPr>
                  <w:r>
                    <w:rPr>
                      <w:b/>
                      <w:szCs w:val="21"/>
                    </w:rPr>
                    <w:t>特性</w:t>
                  </w:r>
                </w:p>
              </w:tc>
              <w:tc>
                <w:tcPr>
                  <w:tcW w:w="930" w:type="dxa"/>
                  <w:tcBorders>
                    <w:top w:val="single" w:color="auto" w:sz="4" w:space="0"/>
                    <w:left w:val="nil"/>
                    <w:bottom w:val="single" w:color="auto" w:sz="4" w:space="0"/>
                    <w:right w:val="nil"/>
                  </w:tcBorders>
                  <w:vAlign w:val="center"/>
                </w:tcPr>
                <w:p>
                  <w:pPr>
                    <w:topLinePunct/>
                    <w:adjustRightInd w:val="0"/>
                    <w:snapToGrid w:val="0"/>
                    <w:jc w:val="center"/>
                    <w:rPr>
                      <w:b/>
                      <w:szCs w:val="21"/>
                    </w:rPr>
                  </w:pPr>
                  <w:r>
                    <w:rPr>
                      <w:b/>
                      <w:szCs w:val="21"/>
                    </w:rPr>
                    <w:t>污染防治措施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14" w:type="dxa"/>
                  <w:tcBorders>
                    <w:top w:val="single" w:color="auto" w:sz="4" w:space="0"/>
                    <w:left w:val="nil"/>
                    <w:bottom w:val="single" w:color="auto" w:sz="4" w:space="0"/>
                    <w:right w:val="single" w:color="auto" w:sz="4" w:space="0"/>
                  </w:tcBorders>
                  <w:vAlign w:val="center"/>
                </w:tcPr>
                <w:p>
                  <w:pPr>
                    <w:topLinePunct/>
                    <w:adjustRightInd w:val="0"/>
                    <w:snapToGrid w:val="0"/>
                    <w:jc w:val="center"/>
                    <w:rPr>
                      <w:szCs w:val="21"/>
                    </w:rPr>
                  </w:pPr>
                  <w:r>
                    <w:rPr>
                      <w:rFonts w:hint="eastAsia"/>
                      <w:szCs w:val="21"/>
                    </w:rPr>
                    <w:t>1</w:t>
                  </w:r>
                </w:p>
              </w:tc>
              <w:tc>
                <w:tcPr>
                  <w:tcW w:w="65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废机油</w:t>
                  </w:r>
                </w:p>
              </w:tc>
              <w:tc>
                <w:tcPr>
                  <w:tcW w:w="1006" w:type="dxa"/>
                  <w:tcBorders>
                    <w:top w:val="single" w:color="auto" w:sz="4" w:space="0"/>
                    <w:left w:val="nil"/>
                    <w:bottom w:val="single" w:color="auto" w:sz="4" w:space="0"/>
                    <w:right w:val="single" w:color="auto" w:sz="4" w:space="0"/>
                  </w:tcBorders>
                  <w:vAlign w:val="center"/>
                </w:tcPr>
                <w:p>
                  <w:pPr>
                    <w:rPr>
                      <w:spacing w:val="-8"/>
                      <w:szCs w:val="21"/>
                    </w:rPr>
                  </w:pPr>
                  <w:r>
                    <w:rPr>
                      <w:bCs/>
                      <w:spacing w:val="-8"/>
                      <w:szCs w:val="21"/>
                    </w:rPr>
                    <w:t>HW08中液压设备维护、更换和拆解过程中产生的废机油</w:t>
                  </w:r>
                </w:p>
              </w:tc>
              <w:tc>
                <w:tcPr>
                  <w:tcW w:w="822" w:type="dxa"/>
                  <w:tcBorders>
                    <w:top w:val="single" w:color="auto" w:sz="4" w:space="0"/>
                    <w:left w:val="nil"/>
                    <w:bottom w:val="single" w:color="auto" w:sz="4" w:space="0"/>
                    <w:right w:val="single" w:color="auto" w:sz="4" w:space="0"/>
                  </w:tcBorders>
                  <w:vAlign w:val="center"/>
                </w:tcPr>
                <w:p>
                  <w:pPr>
                    <w:pStyle w:val="139"/>
                    <w:rPr>
                      <w:rFonts w:ascii="Times New Roman" w:hAnsi="Times New Roman" w:cs="Times New Roman"/>
                      <w:sz w:val="21"/>
                      <w:szCs w:val="21"/>
                    </w:rPr>
                  </w:pPr>
                  <w:r>
                    <w:rPr>
                      <w:rFonts w:ascii="Times New Roman" w:hAnsi="Times New Roman" w:cs="Times New Roman"/>
                      <w:bCs/>
                      <w:sz w:val="21"/>
                      <w:szCs w:val="21"/>
                    </w:rPr>
                    <w:t>900-249-08</w:t>
                  </w:r>
                </w:p>
              </w:tc>
              <w:tc>
                <w:tcPr>
                  <w:tcW w:w="851"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0.0</w:t>
                  </w:r>
                  <w:r>
                    <w:rPr>
                      <w:rFonts w:hint="eastAsia"/>
                      <w:bCs/>
                      <w:szCs w:val="21"/>
                    </w:rPr>
                    <w:t>04</w:t>
                  </w:r>
                </w:p>
              </w:tc>
              <w:tc>
                <w:tcPr>
                  <w:tcW w:w="1037"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设备维护</w:t>
                  </w:r>
                </w:p>
              </w:tc>
              <w:tc>
                <w:tcPr>
                  <w:tcW w:w="515"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 w:val="24"/>
                    </w:rPr>
                  </w:pPr>
                  <w:r>
                    <w:rPr>
                      <w:bCs/>
                      <w:sz w:val="24"/>
                    </w:rPr>
                    <w:t>液态</w:t>
                  </w:r>
                </w:p>
              </w:tc>
              <w:tc>
                <w:tcPr>
                  <w:tcW w:w="828" w:type="dxa"/>
                  <w:tcBorders>
                    <w:top w:val="single" w:color="auto" w:sz="4" w:space="0"/>
                    <w:left w:val="nil"/>
                    <w:bottom w:val="single" w:color="auto" w:sz="4" w:space="0"/>
                    <w:right w:val="single" w:color="auto" w:sz="4" w:space="0"/>
                  </w:tcBorders>
                  <w:vAlign w:val="center"/>
                </w:tcPr>
                <w:p>
                  <w:pPr>
                    <w:shd w:val="clear" w:color="auto" w:fill="FFFFFF"/>
                    <w:jc w:val="center"/>
                    <w:rPr>
                      <w:bCs/>
                      <w:szCs w:val="21"/>
                    </w:rPr>
                  </w:pPr>
                  <w:r>
                    <w:rPr>
                      <w:bCs/>
                      <w:szCs w:val="21"/>
                    </w:rPr>
                    <w:t>废矿物油</w:t>
                  </w:r>
                </w:p>
              </w:tc>
              <w:tc>
                <w:tcPr>
                  <w:tcW w:w="817" w:type="dxa"/>
                  <w:tcBorders>
                    <w:top w:val="single" w:color="auto" w:sz="4" w:space="0"/>
                    <w:left w:val="nil"/>
                    <w:bottom w:val="single" w:color="auto" w:sz="4" w:space="0"/>
                    <w:right w:val="single" w:color="auto" w:sz="4" w:space="0"/>
                  </w:tcBorders>
                  <w:vAlign w:val="center"/>
                </w:tcPr>
                <w:p>
                  <w:pPr>
                    <w:shd w:val="clear" w:color="auto" w:fill="FFFFFF"/>
                    <w:jc w:val="center"/>
                    <w:rPr>
                      <w:bCs/>
                      <w:szCs w:val="21"/>
                    </w:rPr>
                  </w:pPr>
                  <w:r>
                    <w:rPr>
                      <w:bCs/>
                      <w:szCs w:val="21"/>
                    </w:rPr>
                    <w:t>油类和烃类</w:t>
                  </w:r>
                </w:p>
              </w:tc>
              <w:tc>
                <w:tcPr>
                  <w:tcW w:w="68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1年</w:t>
                  </w:r>
                </w:p>
              </w:tc>
              <w:tc>
                <w:tcPr>
                  <w:tcW w:w="86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毒性、易燃性</w:t>
                  </w:r>
                </w:p>
              </w:tc>
              <w:tc>
                <w:tcPr>
                  <w:tcW w:w="930" w:type="dxa"/>
                  <w:tcBorders>
                    <w:top w:val="nil"/>
                    <w:left w:val="nil"/>
                    <w:bottom w:val="single" w:color="auto" w:sz="4" w:space="0"/>
                    <w:right w:val="nil"/>
                  </w:tcBorders>
                  <w:vAlign w:val="center"/>
                </w:tcPr>
                <w:p>
                  <w:pPr>
                    <w:rPr>
                      <w:szCs w:val="21"/>
                    </w:rPr>
                  </w:pPr>
                  <w:r>
                    <w:rPr>
                      <w:bCs/>
                      <w:szCs w:val="21"/>
                    </w:rPr>
                    <w:t>危废暂存间暂存后定期交由有相应类别危废资质单位处理</w:t>
                  </w:r>
                </w:p>
              </w:tc>
            </w:tr>
          </w:tbl>
          <w:p>
            <w:pPr>
              <w:spacing w:line="500" w:lineRule="exact"/>
              <w:ind w:firstLine="480" w:firstLineChars="200"/>
              <w:rPr>
                <w:sz w:val="24"/>
              </w:rPr>
            </w:pPr>
            <w:r>
              <w:rPr>
                <w:sz w:val="24"/>
              </w:rPr>
              <w:t>为避免本项目的固废在储存过程中产生二次污染问题，评价建议项目建设单位需建设1个不小于5m</w:t>
            </w:r>
            <w:r>
              <w:rPr>
                <w:sz w:val="24"/>
                <w:vertAlign w:val="superscript"/>
              </w:rPr>
              <w:t>2</w:t>
            </w:r>
            <w:r>
              <w:rPr>
                <w:sz w:val="24"/>
              </w:rPr>
              <w:t>的危险废物暂存间和1个不小于5m</w:t>
            </w:r>
            <w:r>
              <w:rPr>
                <w:sz w:val="24"/>
                <w:vertAlign w:val="superscript"/>
              </w:rPr>
              <w:t>2</w:t>
            </w:r>
            <w:r>
              <w:rPr>
                <w:sz w:val="24"/>
              </w:rPr>
              <w:t>的一般固废临时堆场。一般固废堆场应满足《一般工业固体废物贮存、处置场污染控制标准》（GB18599-2001及2013修改单）；危废暂存间应满足《危险废物贮存污染控制标准》（GB18597-2001及2013修改单）的要求。评价提出以下措施：</w:t>
            </w:r>
          </w:p>
          <w:p>
            <w:pPr>
              <w:spacing w:line="500" w:lineRule="exact"/>
              <w:ind w:firstLine="480" w:firstLineChars="200"/>
              <w:rPr>
                <w:sz w:val="24"/>
              </w:rPr>
            </w:pPr>
            <w:r>
              <w:rPr>
                <w:rFonts w:hint="eastAsia" w:ascii="宋体" w:hAnsi="宋体" w:cs="宋体"/>
                <w:sz w:val="24"/>
              </w:rPr>
              <w:t>①</w:t>
            </w:r>
            <w:r>
              <w:rPr>
                <w:sz w:val="24"/>
              </w:rPr>
              <w:t>一般固废与危险废物的临时堆场的地面均应进行硬化，应有防渗漏、防风、防晒、防雨淋设施。危险废物临时堆场还应建有堵截泄漏的裙脚，地面与裙脚要用坚固防渗的材料建造，堆场内的地面应耐腐蚀、无裂隙，设专人看管。</w:t>
            </w:r>
          </w:p>
          <w:p>
            <w:pPr>
              <w:spacing w:line="500" w:lineRule="exact"/>
              <w:ind w:firstLine="480" w:firstLineChars="200"/>
              <w:rPr>
                <w:sz w:val="24"/>
              </w:rPr>
            </w:pPr>
            <w:r>
              <w:rPr>
                <w:rFonts w:ascii="宋体" w:hAnsi="宋体" w:cs="宋体"/>
                <w:sz w:val="24"/>
              </w:rPr>
              <w:t>②</w:t>
            </w:r>
            <w:r>
              <w:rPr>
                <w:sz w:val="24"/>
              </w:rPr>
              <w:t>危险废物容器内应留一定空间（液面与桶顶部应有不少于100mm的空间）。危废以桶装形式堆放于危废暂存间内。</w:t>
            </w:r>
          </w:p>
          <w:p>
            <w:pPr>
              <w:spacing w:line="500" w:lineRule="exact"/>
              <w:ind w:firstLine="480" w:firstLineChars="200"/>
              <w:rPr>
                <w:sz w:val="24"/>
              </w:rPr>
            </w:pPr>
            <w:r>
              <w:rPr>
                <w:rFonts w:ascii="宋体" w:hAnsi="宋体" w:cs="宋体"/>
                <w:sz w:val="24"/>
              </w:rPr>
              <w:t>③</w:t>
            </w:r>
            <w:r>
              <w:rPr>
                <w:sz w:val="24"/>
              </w:rPr>
              <w:t>各种盛装废物的容器必须完好无损，各个危险废物容器外侧须标明危险废物的名称，存入时间、重量、成分、特性以及发生泄漏、扩散污染事故时的应急措施和补救方法。</w:t>
            </w:r>
          </w:p>
          <w:p>
            <w:pPr>
              <w:spacing w:line="500" w:lineRule="exact"/>
              <w:ind w:firstLine="480" w:firstLineChars="200"/>
              <w:rPr>
                <w:sz w:val="24"/>
              </w:rPr>
            </w:pPr>
            <w:r>
              <w:rPr>
                <w:rFonts w:ascii="宋体" w:hAnsi="宋体" w:cs="宋体"/>
                <w:sz w:val="24"/>
              </w:rPr>
              <w:t>④</w:t>
            </w:r>
            <w:r>
              <w:rPr>
                <w:sz w:val="24"/>
              </w:rPr>
              <w:t>危险废物暂存间应设立危险废物标志。形状：等边三角形，边长40cm；颜色：背景为黄色，图形为黑色；警告标志外檐2.5cm，材料应坚固、耐用、抗风化、抗淋蚀，如出现掉色、破损等情况应及时更换。</w:t>
            </w:r>
          </w:p>
          <w:p>
            <w:pPr>
              <w:spacing w:line="500" w:lineRule="exact"/>
              <w:ind w:firstLine="480" w:firstLineChars="200"/>
              <w:rPr>
                <w:sz w:val="24"/>
              </w:rPr>
            </w:pPr>
            <w:r>
              <w:rPr>
                <w:rFonts w:ascii="宋体" w:hAnsi="宋体" w:cs="宋体"/>
                <w:sz w:val="24"/>
              </w:rPr>
              <w:t>⑤</w:t>
            </w:r>
            <w:r>
              <w:rPr>
                <w:sz w:val="24"/>
              </w:rPr>
              <w:t xml:space="preserve">各危险废物在厂区内临时堆存时间不得超过一年。 </w:t>
            </w:r>
          </w:p>
          <w:p>
            <w:pPr>
              <w:widowControl/>
              <w:spacing w:line="500" w:lineRule="exact"/>
              <w:ind w:firstLine="480" w:firstLineChars="200"/>
              <w:jc w:val="left"/>
              <w:rPr>
                <w:rFonts w:ascii="宋体" w:hAnsi="宋体" w:cs="宋体"/>
                <w:bCs/>
                <w:kern w:val="0"/>
                <w:sz w:val="24"/>
                <w:u w:val="single"/>
              </w:rPr>
            </w:pPr>
            <w:r>
              <w:rPr>
                <w:rFonts w:hint="eastAsia" w:ascii="宋体" w:hAnsi="宋体" w:cs="宋体"/>
                <w:kern w:val="0"/>
                <w:sz w:val="24"/>
              </w:rPr>
              <w:t>⑥</w:t>
            </w:r>
            <w:r>
              <w:rPr>
                <w:rFonts w:hint="eastAsia" w:ascii="宋体" w:hAnsi="宋体" w:cs="宋体"/>
                <w:bCs/>
                <w:kern w:val="0"/>
                <w:sz w:val="24"/>
                <w:u w:val="single"/>
              </w:rPr>
              <w:t>本项目危险废物产生与贮存均在厂区内，且生产区和危废暂存间紧临，运输距离短，运输路线避开了办公区和生活区，生产车间地面、运输线路和危废暂存间均采取硬化和防腐防渗措施，因此危险废物从产生工艺环节运输到贮存场所的过程中一旦产生散落、泄漏，固体泄漏物用铜铲铲起，倒入专用桶内，存于危废暂存间，可以将影响控制在厂区内，不会对周围环境产生不利影响。</w:t>
            </w:r>
          </w:p>
          <w:p>
            <w:pPr>
              <w:widowControl/>
              <w:spacing w:line="500" w:lineRule="exact"/>
              <w:ind w:firstLine="480" w:firstLineChars="200"/>
              <w:jc w:val="left"/>
              <w:rPr>
                <w:rFonts w:ascii="宋体" w:hAnsi="宋体" w:cs="宋体"/>
                <w:bCs/>
                <w:kern w:val="0"/>
                <w:sz w:val="24"/>
                <w:u w:val="single"/>
              </w:rPr>
            </w:pPr>
            <w:r>
              <w:rPr>
                <w:rFonts w:hint="eastAsia" w:ascii="宋体" w:hAnsi="宋体" w:cs="宋体"/>
                <w:bCs/>
                <w:kern w:val="0"/>
                <w:sz w:val="24"/>
                <w:u w:val="single"/>
              </w:rPr>
              <w:t>按照评价指南和《危险废物收集 贮存 运输技术规范》(HJ2025)要求，分析危险废物内部转运应采取的措施：</w:t>
            </w:r>
          </w:p>
          <w:p>
            <w:pPr>
              <w:widowControl/>
              <w:spacing w:line="500" w:lineRule="exact"/>
              <w:ind w:firstLine="480" w:firstLineChars="200"/>
              <w:jc w:val="left"/>
              <w:rPr>
                <w:rFonts w:ascii="宋体" w:hAnsi="宋体" w:cs="宋体"/>
                <w:bCs/>
                <w:kern w:val="0"/>
                <w:sz w:val="24"/>
                <w:u w:val="single"/>
              </w:rPr>
            </w:pPr>
            <w:r>
              <w:rPr>
                <w:rFonts w:hint="eastAsia" w:ascii="宋体" w:hAnsi="宋体" w:cs="宋体"/>
                <w:bCs/>
                <w:kern w:val="0"/>
                <w:sz w:val="24"/>
                <w:u w:val="single"/>
              </w:rPr>
              <w:t xml:space="preserve">①危险废物从厂区内产生工艺环节运输到危废暂存间，应有专人负责，专用桶收集、转运，避免可能引起的散落。     </w:t>
            </w:r>
          </w:p>
          <w:p>
            <w:pPr>
              <w:widowControl/>
              <w:spacing w:line="500" w:lineRule="exact"/>
              <w:ind w:firstLine="480" w:firstLineChars="200"/>
              <w:jc w:val="left"/>
              <w:rPr>
                <w:rFonts w:ascii="宋体" w:hAnsi="宋体" w:cs="宋体"/>
                <w:bCs/>
                <w:kern w:val="0"/>
                <w:sz w:val="24"/>
                <w:u w:val="single"/>
              </w:rPr>
            </w:pPr>
            <w:r>
              <w:rPr>
                <w:rFonts w:hint="eastAsia" w:ascii="宋体" w:hAnsi="宋体" w:cs="宋体"/>
                <w:bCs/>
                <w:kern w:val="0"/>
                <w:sz w:val="24"/>
                <w:u w:val="single"/>
              </w:rPr>
              <w:t>②危险废物内部转运作业应采用专用的工具，危险废物内部转运应填写《危险废物厂内转运记录表》，危险废物内部转运结束后，应对转运路线进行检查和清理，确保无危险废物遗失在转运路线上，并对转运工具进行清洗。</w:t>
            </w:r>
          </w:p>
          <w:p>
            <w:pPr>
              <w:widowControl/>
              <w:spacing w:line="500" w:lineRule="exact"/>
              <w:ind w:firstLine="480" w:firstLineChars="200"/>
              <w:jc w:val="left"/>
              <w:rPr>
                <w:bCs/>
                <w:kern w:val="0"/>
                <w:sz w:val="24"/>
                <w:u w:val="single"/>
              </w:rPr>
            </w:pPr>
            <w:r>
              <w:rPr>
                <w:rFonts w:hint="eastAsia" w:ascii="宋体" w:hAnsi="宋体" w:cs="宋体"/>
                <w:bCs/>
                <w:kern w:val="0"/>
                <w:sz w:val="24"/>
                <w:u w:val="single"/>
              </w:rPr>
              <w:t xml:space="preserve"> (2)按照评价指南的要求，列表明确了危险废物贮存场所的名称、位置、占地面积、贮存方式、贮存容积、贮存周期等，见</w:t>
            </w:r>
            <w:r>
              <w:rPr>
                <w:bCs/>
                <w:kern w:val="0"/>
                <w:sz w:val="24"/>
                <w:u w:val="single"/>
              </w:rPr>
              <w:t>表</w:t>
            </w:r>
            <w:r>
              <w:rPr>
                <w:rFonts w:hint="eastAsia"/>
                <w:bCs/>
                <w:kern w:val="0"/>
                <w:sz w:val="24"/>
                <w:u w:val="single"/>
              </w:rPr>
              <w:t>27</w:t>
            </w:r>
            <w:r>
              <w:rPr>
                <w:bCs/>
                <w:kern w:val="0"/>
                <w:sz w:val="24"/>
                <w:u w:val="single"/>
              </w:rPr>
              <w:t>。</w:t>
            </w:r>
          </w:p>
          <w:p>
            <w:pPr>
              <w:spacing w:line="440" w:lineRule="exact"/>
              <w:ind w:firstLine="360" w:firstLineChars="150"/>
              <w:rPr>
                <w:rFonts w:ascii="黑体" w:hAnsi="黑体" w:eastAsia="黑体"/>
                <w:bCs/>
                <w:sz w:val="24"/>
                <w:szCs w:val="32"/>
              </w:rPr>
            </w:pPr>
          </w:p>
          <w:p>
            <w:pPr>
              <w:spacing w:line="440" w:lineRule="exact"/>
              <w:ind w:firstLine="360" w:firstLineChars="150"/>
              <w:rPr>
                <w:rFonts w:ascii="黑体" w:hAnsi="黑体" w:eastAsia="黑体"/>
                <w:bCs/>
                <w:sz w:val="24"/>
                <w:szCs w:val="32"/>
              </w:rPr>
            </w:pPr>
            <w:r>
              <w:rPr>
                <w:rFonts w:ascii="黑体" w:hAnsi="黑体" w:eastAsia="黑体"/>
                <w:bCs/>
                <w:sz w:val="24"/>
                <w:szCs w:val="32"/>
              </w:rPr>
              <w:t>表</w:t>
            </w:r>
            <w:r>
              <w:rPr>
                <w:rFonts w:hint="eastAsia" w:ascii="黑体" w:hAnsi="黑体" w:eastAsia="黑体"/>
                <w:bCs/>
                <w:sz w:val="24"/>
                <w:szCs w:val="32"/>
              </w:rPr>
              <w:t>27</w:t>
            </w:r>
            <w:r>
              <w:rPr>
                <w:rFonts w:ascii="黑体" w:hAnsi="黑体" w:eastAsia="黑体"/>
                <w:bCs/>
                <w:sz w:val="24"/>
                <w:szCs w:val="32"/>
              </w:rPr>
              <w:t xml:space="preserve">          建设项目危险废物贮存场所（设施）基本情况表</w:t>
            </w:r>
          </w:p>
          <w:tbl>
            <w:tblPr>
              <w:tblStyle w:val="30"/>
              <w:tblW w:w="9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076"/>
              <w:gridCol w:w="1026"/>
              <w:gridCol w:w="1071"/>
              <w:gridCol w:w="783"/>
              <w:gridCol w:w="783"/>
              <w:gridCol w:w="1120"/>
              <w:gridCol w:w="1120"/>
              <w:gridCol w:w="89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9"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序号</w:t>
                  </w:r>
                </w:p>
              </w:tc>
              <w:tc>
                <w:tcPr>
                  <w:tcW w:w="107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贮存场所（设施）</w:t>
                  </w:r>
                </w:p>
                <w:p>
                  <w:pPr>
                    <w:topLinePunct/>
                    <w:adjustRightInd w:val="0"/>
                    <w:snapToGrid w:val="0"/>
                    <w:jc w:val="center"/>
                    <w:rPr>
                      <w:b/>
                      <w:bCs/>
                      <w:szCs w:val="21"/>
                    </w:rPr>
                  </w:pPr>
                  <w:r>
                    <w:rPr>
                      <w:b/>
                      <w:bCs/>
                      <w:szCs w:val="21"/>
                    </w:rPr>
                    <w:t>名称</w:t>
                  </w:r>
                </w:p>
              </w:tc>
              <w:tc>
                <w:tcPr>
                  <w:tcW w:w="102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危险废</w:t>
                  </w:r>
                </w:p>
                <w:p>
                  <w:pPr>
                    <w:topLinePunct/>
                    <w:adjustRightInd w:val="0"/>
                    <w:snapToGrid w:val="0"/>
                    <w:jc w:val="center"/>
                    <w:rPr>
                      <w:b/>
                      <w:bCs/>
                      <w:szCs w:val="21"/>
                    </w:rPr>
                  </w:pPr>
                  <w:r>
                    <w:rPr>
                      <w:b/>
                      <w:bCs/>
                      <w:szCs w:val="21"/>
                    </w:rPr>
                    <w:t>物名称</w:t>
                  </w:r>
                </w:p>
              </w:tc>
              <w:tc>
                <w:tcPr>
                  <w:tcW w:w="1071"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危险废物类别</w:t>
                  </w:r>
                </w:p>
              </w:tc>
              <w:tc>
                <w:tcPr>
                  <w:tcW w:w="78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危险废物代码</w:t>
                  </w:r>
                </w:p>
              </w:tc>
              <w:tc>
                <w:tcPr>
                  <w:tcW w:w="78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位置</w:t>
                  </w:r>
                </w:p>
              </w:tc>
              <w:tc>
                <w:tcPr>
                  <w:tcW w:w="1120"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占地面积</w:t>
                  </w:r>
                </w:p>
              </w:tc>
              <w:tc>
                <w:tcPr>
                  <w:tcW w:w="1120"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贮存方式</w:t>
                  </w:r>
                </w:p>
              </w:tc>
              <w:tc>
                <w:tcPr>
                  <w:tcW w:w="89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
                      <w:bCs/>
                      <w:szCs w:val="21"/>
                    </w:rPr>
                  </w:pPr>
                  <w:r>
                    <w:rPr>
                      <w:b/>
                      <w:bCs/>
                      <w:szCs w:val="21"/>
                    </w:rPr>
                    <w:t>贮存</w:t>
                  </w:r>
                </w:p>
                <w:p>
                  <w:pPr>
                    <w:topLinePunct/>
                    <w:adjustRightInd w:val="0"/>
                    <w:snapToGrid w:val="0"/>
                    <w:jc w:val="center"/>
                    <w:rPr>
                      <w:b/>
                      <w:bCs/>
                      <w:szCs w:val="21"/>
                    </w:rPr>
                  </w:pPr>
                  <w:r>
                    <w:rPr>
                      <w:b/>
                      <w:bCs/>
                      <w:szCs w:val="21"/>
                    </w:rPr>
                    <w:t>能力</w:t>
                  </w:r>
                </w:p>
              </w:tc>
              <w:tc>
                <w:tcPr>
                  <w:tcW w:w="1048" w:type="dxa"/>
                  <w:tcBorders>
                    <w:top w:val="single" w:color="auto" w:sz="4" w:space="0"/>
                    <w:left w:val="nil"/>
                    <w:bottom w:val="single" w:color="auto" w:sz="4" w:space="0"/>
                    <w:right w:val="nil"/>
                  </w:tcBorders>
                  <w:vAlign w:val="center"/>
                </w:tcPr>
                <w:p>
                  <w:pPr>
                    <w:topLinePunct/>
                    <w:adjustRightInd w:val="0"/>
                    <w:snapToGrid w:val="0"/>
                    <w:jc w:val="center"/>
                    <w:rPr>
                      <w:b/>
                      <w:bCs/>
                      <w:szCs w:val="21"/>
                    </w:rPr>
                  </w:pPr>
                  <w:r>
                    <w:rPr>
                      <w:b/>
                      <w:bCs/>
                      <w:szCs w:val="21"/>
                    </w:rPr>
                    <w:t>贮存</w:t>
                  </w:r>
                </w:p>
                <w:p>
                  <w:pPr>
                    <w:topLinePunct/>
                    <w:adjustRightInd w:val="0"/>
                    <w:snapToGrid w:val="0"/>
                    <w:jc w:val="center"/>
                    <w:rPr>
                      <w:b/>
                      <w:bCs/>
                      <w:szCs w:val="21"/>
                    </w:rPr>
                  </w:pPr>
                  <w:r>
                    <w:rPr>
                      <w:b/>
                      <w:bCs/>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49"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rFonts w:hint="eastAsia"/>
                      <w:bCs/>
                      <w:szCs w:val="21"/>
                    </w:rPr>
                    <w:t>1</w:t>
                  </w:r>
                </w:p>
              </w:tc>
              <w:tc>
                <w:tcPr>
                  <w:tcW w:w="1076" w:type="dxa"/>
                  <w:tcBorders>
                    <w:top w:val="nil"/>
                    <w:left w:val="nil"/>
                    <w:bottom w:val="single" w:color="auto" w:sz="4" w:space="0"/>
                    <w:right w:val="single" w:color="auto" w:sz="4" w:space="0"/>
                  </w:tcBorders>
                  <w:vAlign w:val="center"/>
                </w:tcPr>
                <w:p>
                  <w:pPr>
                    <w:rPr>
                      <w:szCs w:val="21"/>
                    </w:rPr>
                  </w:pPr>
                  <w:r>
                    <w:rPr>
                      <w:szCs w:val="21"/>
                    </w:rPr>
                    <w:t>危废暂存间</w:t>
                  </w:r>
                </w:p>
              </w:tc>
              <w:tc>
                <w:tcPr>
                  <w:tcW w:w="102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szCs w:val="21"/>
                    </w:rPr>
                  </w:pPr>
                  <w:r>
                    <w:rPr>
                      <w:bCs/>
                      <w:szCs w:val="21"/>
                    </w:rPr>
                    <w:t>废机油</w:t>
                  </w:r>
                </w:p>
              </w:tc>
              <w:tc>
                <w:tcPr>
                  <w:tcW w:w="1071" w:type="dxa"/>
                  <w:tcBorders>
                    <w:top w:val="single" w:color="auto" w:sz="4" w:space="0"/>
                    <w:left w:val="nil"/>
                    <w:bottom w:val="single" w:color="auto" w:sz="4" w:space="0"/>
                    <w:right w:val="single" w:color="auto" w:sz="4" w:space="0"/>
                  </w:tcBorders>
                  <w:vAlign w:val="center"/>
                </w:tcPr>
                <w:p>
                  <w:pPr>
                    <w:topLinePunct/>
                    <w:adjustRightInd w:val="0"/>
                    <w:snapToGrid w:val="0"/>
                    <w:jc w:val="center"/>
                    <w:rPr>
                      <w:szCs w:val="21"/>
                    </w:rPr>
                  </w:pPr>
                  <w:r>
                    <w:rPr>
                      <w:bCs/>
                      <w:spacing w:val="-8"/>
                      <w:szCs w:val="21"/>
                    </w:rPr>
                    <w:t>HW08中液压设备维护、更换和拆解过程中产生的废机油</w:t>
                  </w:r>
                </w:p>
              </w:tc>
              <w:tc>
                <w:tcPr>
                  <w:tcW w:w="783" w:type="dxa"/>
                  <w:tcBorders>
                    <w:top w:val="single" w:color="auto" w:sz="4" w:space="0"/>
                    <w:left w:val="nil"/>
                    <w:bottom w:val="single" w:color="auto" w:sz="4" w:space="0"/>
                    <w:right w:val="single" w:color="auto" w:sz="4" w:space="0"/>
                  </w:tcBorders>
                  <w:vAlign w:val="center"/>
                </w:tcPr>
                <w:p>
                  <w:pPr>
                    <w:rPr>
                      <w:szCs w:val="21"/>
                    </w:rPr>
                  </w:pPr>
                  <w:r>
                    <w:rPr>
                      <w:bCs/>
                      <w:szCs w:val="21"/>
                    </w:rPr>
                    <w:t>900-249-08</w:t>
                  </w:r>
                </w:p>
              </w:tc>
              <w:tc>
                <w:tcPr>
                  <w:tcW w:w="783"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车间内</w:t>
                  </w:r>
                </w:p>
              </w:tc>
              <w:tc>
                <w:tcPr>
                  <w:tcW w:w="1120"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不小于5m</w:t>
                  </w:r>
                  <w:r>
                    <w:rPr>
                      <w:bCs/>
                      <w:szCs w:val="21"/>
                      <w:vertAlign w:val="superscript"/>
                    </w:rPr>
                    <w:t>2</w:t>
                  </w:r>
                </w:p>
              </w:tc>
              <w:tc>
                <w:tcPr>
                  <w:tcW w:w="1120"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桶装</w:t>
                  </w:r>
                </w:p>
              </w:tc>
              <w:tc>
                <w:tcPr>
                  <w:tcW w:w="896" w:type="dxa"/>
                  <w:tcBorders>
                    <w:top w:val="single" w:color="auto" w:sz="4" w:space="0"/>
                    <w:left w:val="nil"/>
                    <w:bottom w:val="single" w:color="auto" w:sz="4" w:space="0"/>
                    <w:right w:val="single" w:color="auto" w:sz="4" w:space="0"/>
                  </w:tcBorders>
                  <w:vAlign w:val="center"/>
                </w:tcPr>
                <w:p>
                  <w:pPr>
                    <w:topLinePunct/>
                    <w:adjustRightInd w:val="0"/>
                    <w:snapToGrid w:val="0"/>
                    <w:jc w:val="center"/>
                    <w:rPr>
                      <w:bCs/>
                      <w:szCs w:val="21"/>
                    </w:rPr>
                  </w:pPr>
                  <w:r>
                    <w:rPr>
                      <w:bCs/>
                      <w:szCs w:val="21"/>
                    </w:rPr>
                    <w:t>0.</w:t>
                  </w:r>
                  <w:r>
                    <w:rPr>
                      <w:rFonts w:hint="eastAsia"/>
                      <w:bCs/>
                      <w:szCs w:val="21"/>
                    </w:rPr>
                    <w:t>05t</w:t>
                  </w:r>
                </w:p>
              </w:tc>
              <w:tc>
                <w:tcPr>
                  <w:tcW w:w="1048" w:type="dxa"/>
                  <w:tcBorders>
                    <w:top w:val="single" w:color="auto" w:sz="4" w:space="0"/>
                    <w:left w:val="nil"/>
                    <w:bottom w:val="single" w:color="auto" w:sz="4" w:space="0"/>
                    <w:right w:val="nil"/>
                  </w:tcBorders>
                  <w:vAlign w:val="center"/>
                </w:tcPr>
                <w:p>
                  <w:pPr>
                    <w:topLinePunct/>
                    <w:adjustRightInd w:val="0"/>
                    <w:snapToGrid w:val="0"/>
                    <w:jc w:val="center"/>
                    <w:rPr>
                      <w:bCs/>
                      <w:szCs w:val="21"/>
                    </w:rPr>
                  </w:pPr>
                  <w:r>
                    <w:rPr>
                      <w:bCs/>
                      <w:szCs w:val="21"/>
                    </w:rPr>
                    <w:t>1年</w:t>
                  </w:r>
                </w:p>
              </w:tc>
            </w:tr>
          </w:tbl>
          <w:p>
            <w:pPr>
              <w:spacing w:line="420" w:lineRule="exact"/>
              <w:ind w:firstLine="480" w:firstLineChars="200"/>
              <w:rPr>
                <w:sz w:val="24"/>
                <w:szCs w:val="32"/>
              </w:rPr>
            </w:pPr>
            <w:r>
              <w:rPr>
                <w:sz w:val="24"/>
                <w:szCs w:val="32"/>
              </w:rPr>
              <w:t>由上表可知，项目产生的各种固废均有合理的处置方式，评价认为，固废经过合理处理后不会对周围环境造成影响。</w:t>
            </w:r>
          </w:p>
          <w:p>
            <w:pPr>
              <w:pStyle w:val="64"/>
              <w:spacing w:line="480" w:lineRule="exact"/>
              <w:ind w:firstLine="479" w:firstLineChars="199"/>
              <w:rPr>
                <w:rFonts w:ascii="Times New Roman" w:hAnsi="Times New Roman"/>
                <w:b/>
                <w:sz w:val="24"/>
                <w:szCs w:val="24"/>
              </w:rPr>
            </w:pPr>
            <w:r>
              <w:rPr>
                <w:rFonts w:ascii="Times New Roman" w:hAnsi="Times New Roman"/>
                <w:b/>
                <w:sz w:val="24"/>
                <w:szCs w:val="24"/>
              </w:rPr>
              <w:t>五、厂址合理性分析</w:t>
            </w:r>
          </w:p>
          <w:p>
            <w:pPr>
              <w:spacing w:line="480" w:lineRule="exact"/>
              <w:ind w:firstLine="482"/>
              <w:jc w:val="left"/>
              <w:textAlignment w:val="baseline"/>
              <w:rPr>
                <w:kern w:val="36"/>
                <w:sz w:val="24"/>
              </w:rPr>
            </w:pPr>
            <w:r>
              <w:rPr>
                <w:bCs/>
                <w:sz w:val="24"/>
              </w:rPr>
              <w:t>1、</w:t>
            </w:r>
            <w:r>
              <w:rPr>
                <w:sz w:val="24"/>
              </w:rPr>
              <w:t>该项目选址位于新乡市凤泉区耿黄镇东鲁堡村北，</w:t>
            </w:r>
            <w:r>
              <w:rPr>
                <w:kern w:val="0"/>
                <w:sz w:val="24"/>
              </w:rPr>
              <w:t>租赁耿黄镇东鲁堡村北的闲置厂房</w:t>
            </w:r>
            <w:r>
              <w:rPr>
                <w:rFonts w:hint="eastAsia"/>
                <w:sz w:val="24"/>
              </w:rPr>
              <w:t>70</w:t>
            </w:r>
            <w:r>
              <w:rPr>
                <w:sz w:val="24"/>
              </w:rPr>
              <w:t>0</w:t>
            </w:r>
            <w:r>
              <w:rPr>
                <w:kern w:val="0"/>
                <w:sz w:val="24"/>
              </w:rPr>
              <w:t>m</w:t>
            </w:r>
            <w:r>
              <w:rPr>
                <w:kern w:val="0"/>
                <w:sz w:val="24"/>
                <w:vertAlign w:val="superscript"/>
              </w:rPr>
              <w:t>2</w:t>
            </w:r>
            <w:r>
              <w:rPr>
                <w:kern w:val="0"/>
                <w:sz w:val="24"/>
              </w:rPr>
              <w:t>进行生产</w:t>
            </w:r>
            <w:r>
              <w:rPr>
                <w:sz w:val="24"/>
              </w:rPr>
              <w:t>，</w:t>
            </w:r>
            <w:r>
              <w:rPr>
                <w:rFonts w:hint="eastAsia"/>
                <w:bCs/>
                <w:sz w:val="24"/>
              </w:rPr>
              <w:t>根据《凤泉区土地利用总体规划图（2010-2020）》，本项目选址属于现状建设用地</w:t>
            </w:r>
            <w:r>
              <w:rPr>
                <w:rFonts w:hint="eastAsia"/>
                <w:bCs/>
                <w:kern w:val="36"/>
                <w:sz w:val="24"/>
              </w:rPr>
              <w:t>（详见附图一）</w:t>
            </w:r>
            <w:r>
              <w:rPr>
                <w:rFonts w:hint="eastAsia"/>
                <w:bCs/>
                <w:sz w:val="24"/>
              </w:rPr>
              <w:t>；同时</w:t>
            </w:r>
            <w:r>
              <w:rPr>
                <w:bCs/>
                <w:kern w:val="36"/>
                <w:sz w:val="24"/>
              </w:rPr>
              <w:t>根据《新乡市山水林田湖草一体化生态城控制性详细规划</w:t>
            </w:r>
            <w:r>
              <w:rPr>
                <w:rFonts w:hint="eastAsia"/>
                <w:bCs/>
                <w:kern w:val="36"/>
                <w:sz w:val="24"/>
              </w:rPr>
              <w:t xml:space="preserve">- </w:t>
            </w:r>
            <w:r>
              <w:rPr>
                <w:bCs/>
                <w:kern w:val="36"/>
                <w:sz w:val="24"/>
              </w:rPr>
              <w:t>-用地规划图》，该项目选址属于公园绿地</w:t>
            </w:r>
            <w:r>
              <w:rPr>
                <w:rFonts w:hint="eastAsia"/>
                <w:bCs/>
                <w:kern w:val="36"/>
                <w:sz w:val="24"/>
              </w:rPr>
              <w:t>（详见附图二）</w:t>
            </w:r>
            <w:r>
              <w:rPr>
                <w:bCs/>
                <w:kern w:val="36"/>
                <w:sz w:val="24"/>
              </w:rPr>
              <w:t>，新乡市博昌环保设备有限公司</w:t>
            </w:r>
            <w:r>
              <w:rPr>
                <w:rFonts w:hint="eastAsia"/>
                <w:bCs/>
                <w:kern w:val="36"/>
                <w:sz w:val="24"/>
              </w:rPr>
              <w:t>已签署搬迁承诺书（见附件），待新乡市山水林田湖草一体化生态城发展规划至此时，需要我厂搬迁，本项目建设单位同意无条件搬迁。</w:t>
            </w:r>
          </w:p>
          <w:p>
            <w:pPr>
              <w:spacing w:line="400" w:lineRule="exact"/>
              <w:ind w:firstLine="480" w:firstLineChars="200"/>
              <w:jc w:val="left"/>
              <w:textAlignment w:val="baseline"/>
              <w:rPr>
                <w:sz w:val="24"/>
              </w:rPr>
            </w:pPr>
            <w:r>
              <w:rPr>
                <w:sz w:val="24"/>
              </w:rPr>
              <w:t>2、项目选址距离最近的饮用水源地为</w:t>
            </w:r>
            <w:r>
              <w:rPr>
                <w:bCs/>
                <w:sz w:val="24"/>
              </w:rPr>
              <w:t>凤泉水厂地下水饮用水源保护区(共8眼井)</w:t>
            </w:r>
            <w:r>
              <w:rPr>
                <w:sz w:val="24"/>
              </w:rPr>
              <w:t>，距离水源地二级保护区</w:t>
            </w:r>
            <w:r>
              <w:rPr>
                <w:rFonts w:hint="eastAsia"/>
                <w:sz w:val="24"/>
              </w:rPr>
              <w:t>4200m</w:t>
            </w:r>
            <w:r>
              <w:rPr>
                <w:sz w:val="24"/>
              </w:rPr>
              <w:t>，不在其保护区范围内。</w:t>
            </w:r>
          </w:p>
          <w:p>
            <w:pPr>
              <w:spacing w:line="400" w:lineRule="exact"/>
              <w:ind w:firstLine="482"/>
              <w:jc w:val="left"/>
              <w:textAlignment w:val="baseline"/>
              <w:rPr>
                <w:spacing w:val="-4"/>
                <w:sz w:val="24"/>
              </w:rPr>
            </w:pPr>
            <w:r>
              <w:rPr>
                <w:spacing w:val="-4"/>
                <w:sz w:val="24"/>
              </w:rPr>
              <w:t>3、项目废气、废水、噪声、固废等污染物在采取评价要求和建议的防治和治理措施后，各污染物均能实现达标排放或综合利用。</w:t>
            </w:r>
          </w:p>
          <w:p>
            <w:pPr>
              <w:spacing w:line="400" w:lineRule="exact"/>
              <w:ind w:firstLine="482"/>
              <w:jc w:val="left"/>
              <w:textAlignment w:val="baseline"/>
              <w:rPr>
                <w:sz w:val="24"/>
              </w:rPr>
            </w:pPr>
            <w:r>
              <w:rPr>
                <w:sz w:val="24"/>
              </w:rPr>
              <w:t>综上所述，从环保角度而言，项目选址可行。</w:t>
            </w:r>
          </w:p>
          <w:p>
            <w:pPr>
              <w:spacing w:line="400" w:lineRule="exact"/>
              <w:ind w:firstLine="482" w:firstLineChars="200"/>
              <w:rPr>
                <w:b/>
                <w:sz w:val="24"/>
              </w:rPr>
            </w:pPr>
            <w:r>
              <w:rPr>
                <w:b/>
                <w:sz w:val="24"/>
              </w:rPr>
              <w:t>六、环保治理措施及环保投资</w:t>
            </w:r>
          </w:p>
          <w:p>
            <w:pPr>
              <w:spacing w:line="400" w:lineRule="exact"/>
              <w:ind w:firstLine="480" w:firstLineChars="200"/>
              <w:rPr>
                <w:sz w:val="24"/>
              </w:rPr>
            </w:pPr>
            <w:r>
              <w:rPr>
                <w:sz w:val="24"/>
              </w:rPr>
              <w:t>本项目投资</w:t>
            </w:r>
            <w:r>
              <w:rPr>
                <w:rFonts w:hint="eastAsia"/>
                <w:sz w:val="24"/>
              </w:rPr>
              <w:t>5</w:t>
            </w:r>
            <w:r>
              <w:rPr>
                <w:sz w:val="24"/>
              </w:rPr>
              <w:t>0万元，环保投资总计</w:t>
            </w:r>
            <w:r>
              <w:rPr>
                <w:rFonts w:hint="eastAsia"/>
                <w:sz w:val="24"/>
              </w:rPr>
              <w:t>7</w:t>
            </w:r>
            <w:r>
              <w:rPr>
                <w:sz w:val="24"/>
              </w:rPr>
              <w:t>万元，占总投资的</w:t>
            </w:r>
            <w:r>
              <w:rPr>
                <w:rFonts w:hint="eastAsia"/>
                <w:sz w:val="24"/>
              </w:rPr>
              <w:t>14</w:t>
            </w:r>
            <w:r>
              <w:rPr>
                <w:sz w:val="24"/>
              </w:rPr>
              <w:t>%。环保投资概算及环保设施竣工三同时验收如下：</w:t>
            </w:r>
          </w:p>
          <w:p>
            <w:pPr>
              <w:pStyle w:val="2"/>
              <w:ind w:firstLine="560"/>
            </w:pPr>
          </w:p>
          <w:p/>
          <w:p>
            <w:pPr>
              <w:pStyle w:val="2"/>
              <w:ind w:firstLine="560"/>
            </w:pPr>
          </w:p>
          <w:p/>
          <w:p>
            <w:pPr>
              <w:spacing w:line="480" w:lineRule="exact"/>
              <w:ind w:firstLine="480" w:firstLineChars="200"/>
              <w:rPr>
                <w:rFonts w:ascii="黑体" w:hAnsi="黑体" w:eastAsia="黑体"/>
                <w:bCs/>
                <w:sz w:val="24"/>
              </w:rPr>
            </w:pPr>
          </w:p>
          <w:p>
            <w:pPr>
              <w:pStyle w:val="2"/>
              <w:ind w:firstLine="560"/>
            </w:pPr>
          </w:p>
          <w:p>
            <w:pPr>
              <w:spacing w:line="480" w:lineRule="exact"/>
              <w:ind w:firstLine="480" w:firstLineChars="200"/>
              <w:rPr>
                <w:sz w:val="24"/>
              </w:rPr>
            </w:pPr>
            <w:r>
              <w:rPr>
                <w:rFonts w:ascii="黑体" w:hAnsi="黑体" w:eastAsia="黑体"/>
                <w:bCs/>
                <w:sz w:val="24"/>
              </w:rPr>
              <w:t>表</w:t>
            </w:r>
            <w:r>
              <w:rPr>
                <w:rFonts w:hint="eastAsia" w:ascii="黑体" w:hAnsi="黑体" w:eastAsia="黑体"/>
                <w:bCs/>
                <w:sz w:val="24"/>
              </w:rPr>
              <w:t>28</w:t>
            </w:r>
            <w:r>
              <w:rPr>
                <w:rFonts w:ascii="黑体" w:hAnsi="黑体" w:eastAsia="黑体"/>
                <w:bCs/>
                <w:sz w:val="24"/>
              </w:rPr>
              <w:t xml:space="preserve">              </w:t>
            </w:r>
            <w:r>
              <w:rPr>
                <w:rFonts w:hint="eastAsia" w:ascii="黑体" w:hAnsi="黑体" w:eastAsia="黑体"/>
                <w:bCs/>
                <w:sz w:val="24"/>
              </w:rPr>
              <w:t xml:space="preserve">     </w:t>
            </w:r>
            <w:r>
              <w:rPr>
                <w:rFonts w:ascii="黑体" w:hAnsi="黑体" w:eastAsia="黑体"/>
                <w:bCs/>
                <w:sz w:val="24"/>
              </w:rPr>
              <w:t>本项目环保投资概算一览表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93"/>
              <w:gridCol w:w="2866"/>
              <w:gridCol w:w="3371"/>
              <w:gridCol w:w="144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tcBorders>
                    <w:top w:val="single" w:color="auto" w:sz="8" w:space="0"/>
                    <w:bottom w:val="single" w:color="auto" w:sz="4" w:space="0"/>
                    <w:right w:val="single" w:color="auto" w:sz="4" w:space="0"/>
                  </w:tcBorders>
                  <w:vAlign w:val="center"/>
                </w:tcPr>
                <w:p>
                  <w:pPr>
                    <w:jc w:val="center"/>
                    <w:rPr>
                      <w:b/>
                      <w:szCs w:val="21"/>
                    </w:rPr>
                  </w:pPr>
                  <w:r>
                    <w:rPr>
                      <w:b/>
                      <w:szCs w:val="21"/>
                    </w:rPr>
                    <w:t>序号</w:t>
                  </w:r>
                </w:p>
              </w:tc>
              <w:tc>
                <w:tcPr>
                  <w:tcW w:w="3859" w:type="dxa"/>
                  <w:gridSpan w:val="2"/>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治理项目</w:t>
                  </w:r>
                </w:p>
              </w:tc>
              <w:tc>
                <w:tcPr>
                  <w:tcW w:w="3371" w:type="dxa"/>
                  <w:tcBorders>
                    <w:top w:val="single" w:color="auto" w:sz="8" w:space="0"/>
                    <w:left w:val="single" w:color="auto" w:sz="4" w:space="0"/>
                    <w:bottom w:val="single" w:color="auto" w:sz="4" w:space="0"/>
                    <w:right w:val="single" w:color="auto" w:sz="4" w:space="0"/>
                  </w:tcBorders>
                  <w:vAlign w:val="center"/>
                </w:tcPr>
                <w:p>
                  <w:pPr>
                    <w:jc w:val="center"/>
                    <w:rPr>
                      <w:b/>
                      <w:szCs w:val="21"/>
                    </w:rPr>
                  </w:pPr>
                  <w:r>
                    <w:rPr>
                      <w:b/>
                      <w:szCs w:val="21"/>
                    </w:rPr>
                    <w:t>环保措施</w:t>
                  </w:r>
                </w:p>
              </w:tc>
              <w:tc>
                <w:tcPr>
                  <w:tcW w:w="1449" w:type="dxa"/>
                  <w:tcBorders>
                    <w:top w:val="single" w:color="auto" w:sz="8" w:space="0"/>
                    <w:left w:val="single" w:color="auto" w:sz="4" w:space="0"/>
                    <w:bottom w:val="single" w:color="auto" w:sz="4" w:space="0"/>
                  </w:tcBorders>
                  <w:vAlign w:val="center"/>
                </w:tcPr>
                <w:p>
                  <w:pPr>
                    <w:jc w:val="center"/>
                    <w:rPr>
                      <w:b/>
                      <w:szCs w:val="21"/>
                    </w:rPr>
                  </w:pPr>
                  <w:r>
                    <w:rPr>
                      <w:b/>
                      <w:szCs w:val="21"/>
                    </w:rPr>
                    <w:t>投资（万元）</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Merge w:val="restart"/>
                  <w:tcBorders>
                    <w:top w:val="single" w:color="auto" w:sz="4" w:space="0"/>
                    <w:right w:val="single" w:color="auto" w:sz="4" w:space="0"/>
                  </w:tcBorders>
                  <w:vAlign w:val="center"/>
                </w:tcPr>
                <w:p>
                  <w:pPr>
                    <w:jc w:val="center"/>
                    <w:rPr>
                      <w:szCs w:val="21"/>
                    </w:rPr>
                  </w:pPr>
                  <w:r>
                    <w:rPr>
                      <w:rFonts w:hint="eastAsia"/>
                      <w:szCs w:val="21"/>
                    </w:rPr>
                    <w:t>1</w:t>
                  </w:r>
                </w:p>
              </w:tc>
              <w:tc>
                <w:tcPr>
                  <w:tcW w:w="993"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固废</w:t>
                  </w:r>
                </w:p>
              </w:tc>
              <w:tc>
                <w:tcPr>
                  <w:tcW w:w="2866"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textAlignment w:val="baseline"/>
                    <w:rPr>
                      <w:kern w:val="0"/>
                      <w:szCs w:val="21"/>
                    </w:rPr>
                  </w:pPr>
                  <w:r>
                    <w:rPr>
                      <w:bCs/>
                      <w:szCs w:val="21"/>
                    </w:rPr>
                    <w:t>废边角料</w:t>
                  </w:r>
                </w:p>
              </w:tc>
              <w:tc>
                <w:tcPr>
                  <w:tcW w:w="3371" w:type="dxa"/>
                  <w:tcBorders>
                    <w:top w:val="single" w:color="auto" w:sz="4" w:space="0"/>
                    <w:left w:val="single" w:color="auto" w:sz="4" w:space="0"/>
                    <w:right w:val="single" w:color="auto" w:sz="4" w:space="0"/>
                  </w:tcBorders>
                  <w:vAlign w:val="center"/>
                </w:tcPr>
                <w:p>
                  <w:pPr>
                    <w:jc w:val="center"/>
                    <w:rPr>
                      <w:bCs/>
                      <w:szCs w:val="21"/>
                    </w:rPr>
                  </w:pPr>
                  <w:r>
                    <w:rPr>
                      <w:bCs/>
                      <w:szCs w:val="21"/>
                    </w:rPr>
                    <w:t>一般固废临时堆场1处</w:t>
                  </w:r>
                </w:p>
                <w:p>
                  <w:pPr>
                    <w:jc w:val="center"/>
                    <w:rPr>
                      <w:szCs w:val="21"/>
                    </w:rPr>
                  </w:pPr>
                  <w:r>
                    <w:rPr>
                      <w:bCs/>
                      <w:szCs w:val="21"/>
                    </w:rPr>
                    <w:t>（不小于5m</w:t>
                  </w:r>
                  <w:r>
                    <w:rPr>
                      <w:bCs/>
                      <w:szCs w:val="21"/>
                      <w:vertAlign w:val="superscript"/>
                    </w:rPr>
                    <w:t>2</w:t>
                  </w:r>
                  <w:r>
                    <w:rPr>
                      <w:bCs/>
                      <w:szCs w:val="21"/>
                    </w:rPr>
                    <w:t>）</w:t>
                  </w:r>
                </w:p>
              </w:tc>
              <w:tc>
                <w:tcPr>
                  <w:tcW w:w="1449" w:type="dxa"/>
                  <w:tcBorders>
                    <w:top w:val="single" w:color="auto" w:sz="4" w:space="0"/>
                    <w:left w:val="single" w:color="auto" w:sz="4" w:space="0"/>
                  </w:tcBorders>
                  <w:vAlign w:val="center"/>
                </w:tcPr>
                <w:p>
                  <w:pPr>
                    <w:autoSpaceDE w:val="0"/>
                    <w:autoSpaceDN w:val="0"/>
                    <w:adjustRightInd w:val="0"/>
                    <w:snapToGrid w:val="0"/>
                    <w:jc w:val="center"/>
                    <w:textAlignment w:val="baseline"/>
                    <w:rPr>
                      <w:kern w:val="0"/>
                      <w:szCs w:val="21"/>
                    </w:rPr>
                  </w:pPr>
                  <w:r>
                    <w:rPr>
                      <w:rFonts w:hint="eastAsia"/>
                      <w:kern w:val="0"/>
                      <w:szCs w:val="21"/>
                    </w:rPr>
                    <w:t>0.5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43" w:type="dxa"/>
                  <w:vMerge w:val="continue"/>
                  <w:tcBorders>
                    <w:right w:val="single" w:color="auto" w:sz="4" w:space="0"/>
                  </w:tcBorders>
                  <w:vAlign w:val="center"/>
                </w:tcPr>
                <w:p>
                  <w:pPr>
                    <w:jc w:val="center"/>
                    <w:rPr>
                      <w:szCs w:val="21"/>
                    </w:rPr>
                  </w:pPr>
                </w:p>
              </w:tc>
              <w:tc>
                <w:tcPr>
                  <w:tcW w:w="993" w:type="dxa"/>
                  <w:vMerge w:val="continue"/>
                  <w:tcBorders>
                    <w:left w:val="single" w:color="auto" w:sz="4" w:space="0"/>
                    <w:right w:val="single" w:color="auto" w:sz="4" w:space="0"/>
                  </w:tcBorders>
                  <w:vAlign w:val="center"/>
                </w:tcPr>
                <w:p>
                  <w:pPr>
                    <w:jc w:val="center"/>
                    <w:rPr>
                      <w:szCs w:val="21"/>
                    </w:rPr>
                  </w:pPr>
                </w:p>
              </w:tc>
              <w:tc>
                <w:tcPr>
                  <w:tcW w:w="2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szCs w:val="21"/>
                    </w:rPr>
                  </w:pPr>
                  <w:r>
                    <w:rPr>
                      <w:szCs w:val="21"/>
                    </w:rPr>
                    <w:t>除尘器收集颗粒物</w:t>
                  </w:r>
                </w:p>
              </w:tc>
              <w:tc>
                <w:tcPr>
                  <w:tcW w:w="3371" w:type="dxa"/>
                  <w:tcBorders>
                    <w:left w:val="single" w:color="auto" w:sz="4" w:space="0"/>
                    <w:right w:val="single" w:color="auto" w:sz="4" w:space="0"/>
                  </w:tcBorders>
                  <w:vAlign w:val="center"/>
                </w:tcPr>
                <w:p>
                  <w:pPr>
                    <w:jc w:val="center"/>
                    <w:rPr>
                      <w:szCs w:val="21"/>
                    </w:rPr>
                  </w:pPr>
                  <w:r>
                    <w:rPr>
                      <w:bCs/>
                      <w:szCs w:val="21"/>
                    </w:rPr>
                    <w:t>一般固废暂存间暂存后交由环卫部门处理</w:t>
                  </w:r>
                </w:p>
              </w:tc>
              <w:tc>
                <w:tcPr>
                  <w:tcW w:w="1449" w:type="dxa"/>
                  <w:vMerge w:val="restart"/>
                  <w:tcBorders>
                    <w:left w:val="single" w:color="auto" w:sz="4" w:space="0"/>
                  </w:tcBorders>
                  <w:vAlign w:val="center"/>
                </w:tcPr>
                <w:p>
                  <w:pPr>
                    <w:autoSpaceDE w:val="0"/>
                    <w:autoSpaceDN w:val="0"/>
                    <w:adjustRightInd w:val="0"/>
                    <w:snapToGrid w:val="0"/>
                    <w:jc w:val="center"/>
                    <w:textAlignment w:val="baseline"/>
                    <w:rPr>
                      <w:kern w:val="0"/>
                      <w:szCs w:val="21"/>
                    </w:rPr>
                  </w:pPr>
                  <w:r>
                    <w:rPr>
                      <w:kern w:val="0"/>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43" w:type="dxa"/>
                  <w:vMerge w:val="continue"/>
                  <w:tcBorders>
                    <w:right w:val="single" w:color="auto" w:sz="4" w:space="0"/>
                  </w:tcBorders>
                  <w:vAlign w:val="center"/>
                </w:tcPr>
                <w:p>
                  <w:pPr>
                    <w:jc w:val="center"/>
                    <w:rPr>
                      <w:szCs w:val="21"/>
                    </w:rPr>
                  </w:pPr>
                </w:p>
              </w:tc>
              <w:tc>
                <w:tcPr>
                  <w:tcW w:w="993" w:type="dxa"/>
                  <w:vMerge w:val="continue"/>
                  <w:tcBorders>
                    <w:left w:val="single" w:color="auto" w:sz="4" w:space="0"/>
                    <w:right w:val="single" w:color="auto" w:sz="4" w:space="0"/>
                  </w:tcBorders>
                  <w:vAlign w:val="center"/>
                </w:tcPr>
                <w:p>
                  <w:pPr>
                    <w:jc w:val="center"/>
                    <w:rPr>
                      <w:szCs w:val="21"/>
                    </w:rPr>
                  </w:pPr>
                </w:p>
              </w:tc>
              <w:tc>
                <w:tcPr>
                  <w:tcW w:w="2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szCs w:val="21"/>
                    </w:rPr>
                  </w:pPr>
                  <w:r>
                    <w:rPr>
                      <w:szCs w:val="21"/>
                    </w:rPr>
                    <w:t>生活垃圾</w:t>
                  </w:r>
                </w:p>
              </w:tc>
              <w:tc>
                <w:tcPr>
                  <w:tcW w:w="3371" w:type="dxa"/>
                  <w:tcBorders>
                    <w:left w:val="single" w:color="auto" w:sz="4" w:space="0"/>
                    <w:bottom w:val="single" w:color="auto" w:sz="4" w:space="0"/>
                    <w:right w:val="single" w:color="auto" w:sz="4" w:space="0"/>
                  </w:tcBorders>
                  <w:vAlign w:val="center"/>
                </w:tcPr>
                <w:p>
                  <w:pPr>
                    <w:jc w:val="center"/>
                    <w:rPr>
                      <w:szCs w:val="21"/>
                    </w:rPr>
                  </w:pPr>
                  <w:r>
                    <w:rPr>
                      <w:bCs/>
                      <w:szCs w:val="21"/>
                    </w:rPr>
                    <w:t>集中收集后由环卫部门统一清运</w:t>
                  </w:r>
                </w:p>
              </w:tc>
              <w:tc>
                <w:tcPr>
                  <w:tcW w:w="1449" w:type="dxa"/>
                  <w:vMerge w:val="continue"/>
                  <w:tcBorders>
                    <w:left w:val="single" w:color="auto" w:sz="4" w:space="0"/>
                    <w:bottom w:val="single" w:color="auto" w:sz="4" w:space="0"/>
                  </w:tcBorders>
                  <w:vAlign w:val="center"/>
                </w:tcPr>
                <w:p>
                  <w:pPr>
                    <w:autoSpaceDE w:val="0"/>
                    <w:autoSpaceDN w:val="0"/>
                    <w:adjustRightInd w:val="0"/>
                    <w:snapToGrid w:val="0"/>
                    <w:jc w:val="center"/>
                    <w:textAlignment w:val="baseline"/>
                    <w:rPr>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vMerge w:val="continue"/>
                  <w:tcBorders>
                    <w:bottom w:val="single" w:color="auto" w:sz="4" w:space="0"/>
                    <w:right w:val="single" w:color="auto" w:sz="4" w:space="0"/>
                  </w:tcBorders>
                  <w:vAlign w:val="center"/>
                </w:tcPr>
                <w:p>
                  <w:pPr>
                    <w:jc w:val="center"/>
                    <w:rPr>
                      <w:szCs w:val="21"/>
                    </w:rPr>
                  </w:pPr>
                </w:p>
              </w:tc>
              <w:tc>
                <w:tcPr>
                  <w:tcW w:w="993" w:type="dxa"/>
                  <w:vMerge w:val="continue"/>
                  <w:tcBorders>
                    <w:left w:val="single" w:color="auto" w:sz="4" w:space="0"/>
                    <w:bottom w:val="single" w:color="auto" w:sz="4" w:space="0"/>
                    <w:right w:val="single" w:color="auto" w:sz="4" w:space="0"/>
                  </w:tcBorders>
                  <w:vAlign w:val="center"/>
                </w:tcPr>
                <w:p>
                  <w:pPr>
                    <w:jc w:val="center"/>
                    <w:rPr>
                      <w:szCs w:val="21"/>
                    </w:rPr>
                  </w:pPr>
                </w:p>
              </w:tc>
              <w:tc>
                <w:tcPr>
                  <w:tcW w:w="286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textAlignment w:val="baseline"/>
                    <w:rPr>
                      <w:bCs/>
                      <w:szCs w:val="21"/>
                    </w:rPr>
                  </w:pPr>
                  <w:r>
                    <w:rPr>
                      <w:szCs w:val="21"/>
                    </w:rPr>
                    <w:t>废机油</w:t>
                  </w:r>
                </w:p>
              </w:tc>
              <w:tc>
                <w:tcPr>
                  <w:tcW w:w="337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危废暂存间1间（不小于</w:t>
                  </w:r>
                  <w:r>
                    <w:rPr>
                      <w:rFonts w:hint="eastAsia"/>
                      <w:szCs w:val="21"/>
                    </w:rPr>
                    <w:t>5</w:t>
                  </w:r>
                  <w:r>
                    <w:rPr>
                      <w:szCs w:val="21"/>
                    </w:rPr>
                    <w:t>m</w:t>
                  </w:r>
                  <w:r>
                    <w:rPr>
                      <w:szCs w:val="21"/>
                      <w:vertAlign w:val="superscript"/>
                    </w:rPr>
                    <w:t>2</w:t>
                  </w:r>
                  <w:r>
                    <w:rPr>
                      <w:szCs w:val="21"/>
                    </w:rPr>
                    <w:t>）</w:t>
                  </w:r>
                </w:p>
              </w:tc>
              <w:tc>
                <w:tcPr>
                  <w:tcW w:w="1449" w:type="dxa"/>
                  <w:tcBorders>
                    <w:top w:val="single" w:color="auto" w:sz="4" w:space="0"/>
                    <w:left w:val="single" w:color="auto" w:sz="4" w:space="0"/>
                    <w:bottom w:val="single" w:color="auto" w:sz="4" w:space="0"/>
                  </w:tcBorders>
                  <w:vAlign w:val="center"/>
                </w:tcPr>
                <w:p>
                  <w:pPr>
                    <w:autoSpaceDE w:val="0"/>
                    <w:autoSpaceDN w:val="0"/>
                    <w:adjustRightInd w:val="0"/>
                    <w:snapToGrid w:val="0"/>
                    <w:jc w:val="center"/>
                    <w:textAlignment w:val="baseline"/>
                    <w:rPr>
                      <w:kern w:val="0"/>
                      <w:szCs w:val="21"/>
                    </w:rPr>
                  </w:pPr>
                  <w:r>
                    <w:rPr>
                      <w:rFonts w:hint="eastAsia"/>
                      <w:kern w:val="0"/>
                      <w:szCs w:val="21"/>
                    </w:rPr>
                    <w:t>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tcBorders>
                    <w:top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噪声</w:t>
                  </w:r>
                </w:p>
              </w:tc>
              <w:tc>
                <w:tcPr>
                  <w:tcW w:w="28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机加工设备</w:t>
                  </w:r>
                </w:p>
              </w:tc>
              <w:tc>
                <w:tcPr>
                  <w:tcW w:w="337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减振、隔声</w:t>
                  </w:r>
                </w:p>
              </w:tc>
              <w:tc>
                <w:tcPr>
                  <w:tcW w:w="1449" w:type="dxa"/>
                  <w:tcBorders>
                    <w:top w:val="single" w:color="auto" w:sz="4" w:space="0"/>
                    <w:left w:val="single" w:color="auto" w:sz="4" w:space="0"/>
                    <w:bottom w:val="single" w:color="auto" w:sz="4" w:space="0"/>
                  </w:tcBorders>
                  <w:vAlign w:val="center"/>
                </w:tcPr>
                <w:p>
                  <w:pPr>
                    <w:jc w:val="center"/>
                    <w:rPr>
                      <w:szCs w:val="21"/>
                    </w:rPr>
                  </w:pPr>
                  <w:r>
                    <w:rPr>
                      <w:rFonts w:hint="eastAsia"/>
                      <w:szCs w:val="21"/>
                    </w:rPr>
                    <w:t>1</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43" w:type="dxa"/>
                  <w:vMerge w:val="restart"/>
                  <w:tcBorders>
                    <w:top w:val="single" w:color="auto" w:sz="4" w:space="0"/>
                    <w:right w:val="single" w:color="auto" w:sz="4" w:space="0"/>
                  </w:tcBorders>
                  <w:vAlign w:val="center"/>
                </w:tcPr>
                <w:p>
                  <w:pPr>
                    <w:jc w:val="center"/>
                    <w:rPr>
                      <w:szCs w:val="21"/>
                    </w:rPr>
                  </w:pPr>
                  <w:r>
                    <w:rPr>
                      <w:rFonts w:hint="eastAsia"/>
                      <w:szCs w:val="21"/>
                    </w:rPr>
                    <w:t>3</w:t>
                  </w:r>
                </w:p>
              </w:tc>
              <w:tc>
                <w:tcPr>
                  <w:tcW w:w="993"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废气</w:t>
                  </w:r>
                </w:p>
              </w:tc>
              <w:tc>
                <w:tcPr>
                  <w:tcW w:w="28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切割废气</w:t>
                  </w:r>
                </w:p>
              </w:tc>
              <w:tc>
                <w:tcPr>
                  <w:tcW w:w="3371" w:type="dxa"/>
                  <w:vMerge w:val="restart"/>
                  <w:tcBorders>
                    <w:top w:val="single" w:color="auto" w:sz="4" w:space="0"/>
                    <w:left w:val="single" w:color="auto" w:sz="4" w:space="0"/>
                    <w:right w:val="single" w:color="auto" w:sz="4" w:space="0"/>
                  </w:tcBorders>
                  <w:vAlign w:val="center"/>
                </w:tcPr>
                <w:p>
                  <w:pPr>
                    <w:jc w:val="center"/>
                    <w:rPr>
                      <w:szCs w:val="21"/>
                    </w:rPr>
                  </w:pPr>
                  <w:r>
                    <w:rPr>
                      <w:szCs w:val="21"/>
                    </w:rPr>
                    <w:t>负压式密闭室+袋式除尘器+</w:t>
                  </w:r>
                  <w:r>
                    <w:rPr>
                      <w:rFonts w:hint="eastAsia"/>
                      <w:szCs w:val="21"/>
                    </w:rPr>
                    <w:t>15高排气筒</w:t>
                  </w:r>
                </w:p>
              </w:tc>
              <w:tc>
                <w:tcPr>
                  <w:tcW w:w="1449" w:type="dxa"/>
                  <w:vMerge w:val="restart"/>
                  <w:tcBorders>
                    <w:top w:val="single" w:color="auto" w:sz="4" w:space="0"/>
                    <w:left w:val="single" w:color="auto" w:sz="4" w:space="0"/>
                  </w:tcBorders>
                  <w:vAlign w:val="center"/>
                </w:tcPr>
                <w:p>
                  <w:pPr>
                    <w:jc w:val="center"/>
                    <w:rPr>
                      <w:szCs w:val="21"/>
                    </w:rPr>
                  </w:pPr>
                  <w:r>
                    <w:rPr>
                      <w:rFonts w:hint="eastAsia"/>
                      <w:szCs w:val="21"/>
                    </w:rPr>
                    <w:t>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43" w:type="dxa"/>
                  <w:vMerge w:val="continue"/>
                  <w:tcBorders>
                    <w:bottom w:val="single" w:color="auto" w:sz="4" w:space="0"/>
                    <w:right w:val="single" w:color="auto" w:sz="4" w:space="0"/>
                  </w:tcBorders>
                  <w:vAlign w:val="center"/>
                </w:tcPr>
                <w:p>
                  <w:pPr>
                    <w:jc w:val="center"/>
                    <w:rPr>
                      <w:szCs w:val="21"/>
                    </w:rPr>
                  </w:pPr>
                </w:p>
              </w:tc>
              <w:tc>
                <w:tcPr>
                  <w:tcW w:w="993" w:type="dxa"/>
                  <w:vMerge w:val="continue"/>
                  <w:tcBorders>
                    <w:left w:val="single" w:color="auto" w:sz="4" w:space="0"/>
                    <w:bottom w:val="single" w:color="auto" w:sz="4" w:space="0"/>
                    <w:right w:val="single" w:color="auto" w:sz="4" w:space="0"/>
                  </w:tcBorders>
                  <w:vAlign w:val="center"/>
                </w:tcPr>
                <w:p>
                  <w:pPr>
                    <w:jc w:val="center"/>
                    <w:rPr>
                      <w:szCs w:val="21"/>
                    </w:rPr>
                  </w:pPr>
                </w:p>
              </w:tc>
              <w:tc>
                <w:tcPr>
                  <w:tcW w:w="28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焊接打磨废气</w:t>
                  </w:r>
                </w:p>
              </w:tc>
              <w:tc>
                <w:tcPr>
                  <w:tcW w:w="3371" w:type="dxa"/>
                  <w:vMerge w:val="continue"/>
                  <w:tcBorders>
                    <w:left w:val="single" w:color="auto" w:sz="4" w:space="0"/>
                    <w:bottom w:val="single" w:color="auto" w:sz="4" w:space="0"/>
                    <w:right w:val="single" w:color="auto" w:sz="4" w:space="0"/>
                  </w:tcBorders>
                  <w:vAlign w:val="center"/>
                </w:tcPr>
                <w:p>
                  <w:pPr>
                    <w:jc w:val="center"/>
                    <w:rPr>
                      <w:szCs w:val="21"/>
                    </w:rPr>
                  </w:pPr>
                </w:p>
              </w:tc>
              <w:tc>
                <w:tcPr>
                  <w:tcW w:w="1449" w:type="dxa"/>
                  <w:vMerge w:val="continue"/>
                  <w:tcBorders>
                    <w:left w:val="single" w:color="auto" w:sz="4" w:space="0"/>
                    <w:bottom w:val="single" w:color="auto" w:sz="4" w:space="0"/>
                  </w:tcBorders>
                  <w:vAlign w:val="center"/>
                </w:tcPr>
                <w:p>
                  <w:pPr>
                    <w:jc w:val="center"/>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tcBorders>
                    <w:top w:val="single" w:color="auto" w:sz="4" w:space="0"/>
                    <w:bottom w:val="single" w:color="auto" w:sz="4" w:space="0"/>
                    <w:right w:val="single" w:color="auto" w:sz="4" w:space="0"/>
                  </w:tcBorders>
                  <w:vAlign w:val="center"/>
                </w:tcPr>
                <w:p>
                  <w:pPr>
                    <w:jc w:val="center"/>
                    <w:rPr>
                      <w:szCs w:val="21"/>
                    </w:rPr>
                  </w:pPr>
                  <w:r>
                    <w:rPr>
                      <w:rFonts w:hint="eastAsia"/>
                      <w:szCs w:val="21"/>
                    </w:rPr>
                    <w:t>4</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废水</w:t>
                  </w:r>
                </w:p>
              </w:tc>
              <w:tc>
                <w:tcPr>
                  <w:tcW w:w="28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生活污水</w:t>
                  </w:r>
                </w:p>
              </w:tc>
              <w:tc>
                <w:tcPr>
                  <w:tcW w:w="337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化粪池</w:t>
                  </w:r>
                </w:p>
              </w:tc>
              <w:tc>
                <w:tcPr>
                  <w:tcW w:w="1449" w:type="dxa"/>
                  <w:tcBorders>
                    <w:top w:val="single" w:color="auto" w:sz="4" w:space="0"/>
                    <w:left w:val="single" w:color="auto" w:sz="4" w:space="0"/>
                    <w:bottom w:val="single" w:color="auto" w:sz="4" w:space="0"/>
                  </w:tcBorders>
                  <w:vAlign w:val="center"/>
                </w:tcPr>
                <w:p>
                  <w:pPr>
                    <w:jc w:val="center"/>
                    <w:rPr>
                      <w:szCs w:val="21"/>
                    </w:rPr>
                  </w:pPr>
                  <w:r>
                    <w:rPr>
                      <w:rFonts w:hint="eastAsia"/>
                      <w:szCs w:val="21"/>
                    </w:rPr>
                    <w:t>0.5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tcBorders>
                    <w:top w:val="single" w:color="auto" w:sz="4" w:space="0"/>
                    <w:bottom w:val="single" w:color="auto" w:sz="4" w:space="0"/>
                    <w:right w:val="single" w:color="auto" w:sz="4" w:space="0"/>
                  </w:tcBorders>
                  <w:vAlign w:val="center"/>
                </w:tcPr>
                <w:p>
                  <w:pPr>
                    <w:jc w:val="center"/>
                    <w:rPr>
                      <w:szCs w:val="21"/>
                    </w:rPr>
                  </w:pPr>
                  <w:r>
                    <w:rPr>
                      <w:rFonts w:hint="eastAsia"/>
                      <w:szCs w:val="21"/>
                    </w:rPr>
                    <w:t>4</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6237" w:type="dxa"/>
                  <w:gridSpan w:val="2"/>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根据《新乡市环境污染防治攻坚指挥部办公室关于印发新乡市2019年大气污染防治攻坚战实施方案的通知》（新环攻坚办[2019]74号）的要求，在废气治理措施处安装在线监控装置。</w:t>
                  </w:r>
                </w:p>
              </w:tc>
              <w:tc>
                <w:tcPr>
                  <w:tcW w:w="1449" w:type="dxa"/>
                  <w:tcBorders>
                    <w:top w:val="single" w:color="auto" w:sz="4" w:space="0"/>
                    <w:left w:val="single" w:color="auto" w:sz="4" w:space="0"/>
                    <w:bottom w:val="single" w:color="auto" w:sz="4" w:space="0"/>
                  </w:tcBorders>
                  <w:vAlign w:val="center"/>
                </w:tcPr>
                <w:p>
                  <w:pPr>
                    <w:jc w:val="center"/>
                    <w:rPr>
                      <w:szCs w:val="21"/>
                    </w:rPr>
                  </w:pPr>
                  <w:r>
                    <w:rPr>
                      <w:rFonts w:hint="eastAsia"/>
                      <w:szCs w:val="21"/>
                    </w:rPr>
                    <w:t>2</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43" w:type="dxa"/>
                  <w:tcBorders>
                    <w:top w:val="single" w:color="auto" w:sz="4" w:space="0"/>
                    <w:bottom w:val="single" w:color="auto" w:sz="8" w:space="0"/>
                    <w:right w:val="single" w:color="auto" w:sz="4" w:space="0"/>
                  </w:tcBorders>
                  <w:vAlign w:val="center"/>
                </w:tcPr>
                <w:p>
                  <w:pPr>
                    <w:jc w:val="center"/>
                    <w:rPr>
                      <w:szCs w:val="21"/>
                    </w:rPr>
                  </w:pPr>
                  <w:r>
                    <w:rPr>
                      <w:rFonts w:hint="eastAsia"/>
                      <w:szCs w:val="21"/>
                    </w:rPr>
                    <w:t>5</w:t>
                  </w:r>
                </w:p>
              </w:tc>
              <w:tc>
                <w:tcPr>
                  <w:tcW w:w="7230" w:type="dxa"/>
                  <w:gridSpan w:val="3"/>
                  <w:tcBorders>
                    <w:top w:val="single" w:color="auto" w:sz="4" w:space="0"/>
                    <w:left w:val="single" w:color="auto" w:sz="4" w:space="0"/>
                    <w:bottom w:val="single" w:color="auto" w:sz="8" w:space="0"/>
                    <w:right w:val="single" w:color="auto" w:sz="4" w:space="0"/>
                  </w:tcBorders>
                  <w:vAlign w:val="center"/>
                </w:tcPr>
                <w:p>
                  <w:pPr>
                    <w:jc w:val="center"/>
                    <w:rPr>
                      <w:szCs w:val="21"/>
                    </w:rPr>
                  </w:pPr>
                  <w:r>
                    <w:rPr>
                      <w:szCs w:val="21"/>
                    </w:rPr>
                    <w:t>合计</w:t>
                  </w:r>
                </w:p>
              </w:tc>
              <w:tc>
                <w:tcPr>
                  <w:tcW w:w="1449" w:type="dxa"/>
                  <w:tcBorders>
                    <w:top w:val="single" w:color="auto" w:sz="4" w:space="0"/>
                    <w:left w:val="single" w:color="auto" w:sz="4" w:space="0"/>
                    <w:bottom w:val="single" w:color="auto" w:sz="8" w:space="0"/>
                  </w:tcBorders>
                  <w:vAlign w:val="center"/>
                </w:tcPr>
                <w:p>
                  <w:pPr>
                    <w:jc w:val="center"/>
                    <w:rPr>
                      <w:szCs w:val="21"/>
                    </w:rPr>
                  </w:pPr>
                  <w:r>
                    <w:rPr>
                      <w:rFonts w:hint="eastAsia"/>
                      <w:szCs w:val="21"/>
                    </w:rPr>
                    <w:t>7</w:t>
                  </w:r>
                </w:p>
              </w:tc>
            </w:tr>
          </w:tbl>
          <w:p>
            <w:pPr>
              <w:spacing w:line="440" w:lineRule="exact"/>
              <w:ind w:firstLine="480" w:firstLineChars="200"/>
              <w:rPr>
                <w:rFonts w:ascii="黑体" w:hAnsi="黑体" w:eastAsia="黑体"/>
                <w:bCs/>
                <w:sz w:val="24"/>
              </w:rPr>
            </w:pPr>
            <w:r>
              <w:rPr>
                <w:rFonts w:ascii="黑体" w:hAnsi="黑体" w:eastAsia="黑体"/>
                <w:bCs/>
                <w:sz w:val="24"/>
              </w:rPr>
              <w:t>表</w:t>
            </w:r>
            <w:r>
              <w:rPr>
                <w:rFonts w:hint="eastAsia" w:ascii="黑体" w:hAnsi="黑体" w:eastAsia="黑体"/>
                <w:bCs/>
                <w:sz w:val="24"/>
              </w:rPr>
              <w:t>29</w:t>
            </w:r>
            <w:r>
              <w:rPr>
                <w:rFonts w:ascii="黑体" w:hAnsi="黑体" w:eastAsia="黑体"/>
                <w:bCs/>
                <w:sz w:val="24"/>
              </w:rPr>
              <w:t xml:space="preserve">         本项目达产运营后环保设施竣工验收一览表</w:t>
            </w:r>
          </w:p>
          <w:tbl>
            <w:tblPr>
              <w:tblStyle w:val="30"/>
              <w:tblW w:w="9422"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974"/>
              <w:gridCol w:w="3054"/>
              <w:gridCol w:w="345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7" w:type="dxa"/>
                  <w:vAlign w:val="center"/>
                </w:tcPr>
                <w:p>
                  <w:pPr>
                    <w:jc w:val="center"/>
                    <w:rPr>
                      <w:b/>
                      <w:szCs w:val="21"/>
                    </w:rPr>
                  </w:pPr>
                  <w:r>
                    <w:rPr>
                      <w:b/>
                      <w:szCs w:val="21"/>
                    </w:rPr>
                    <w:t>序号</w:t>
                  </w:r>
                </w:p>
              </w:tc>
              <w:tc>
                <w:tcPr>
                  <w:tcW w:w="1974" w:type="dxa"/>
                  <w:vAlign w:val="center"/>
                </w:tcPr>
                <w:p>
                  <w:pPr>
                    <w:jc w:val="center"/>
                    <w:rPr>
                      <w:b/>
                      <w:szCs w:val="21"/>
                    </w:rPr>
                  </w:pPr>
                  <w:r>
                    <w:rPr>
                      <w:b/>
                      <w:szCs w:val="21"/>
                    </w:rPr>
                    <w:t>污染因素</w:t>
                  </w:r>
                </w:p>
              </w:tc>
              <w:tc>
                <w:tcPr>
                  <w:tcW w:w="3054" w:type="dxa"/>
                  <w:vAlign w:val="center"/>
                </w:tcPr>
                <w:p>
                  <w:pPr>
                    <w:jc w:val="center"/>
                    <w:rPr>
                      <w:b/>
                      <w:szCs w:val="21"/>
                    </w:rPr>
                  </w:pPr>
                  <w:r>
                    <w:rPr>
                      <w:b/>
                      <w:szCs w:val="21"/>
                    </w:rPr>
                    <w:t>治理项目</w:t>
                  </w:r>
                </w:p>
              </w:tc>
              <w:tc>
                <w:tcPr>
                  <w:tcW w:w="3457" w:type="dxa"/>
                  <w:vAlign w:val="center"/>
                </w:tcPr>
                <w:p>
                  <w:pPr>
                    <w:jc w:val="center"/>
                    <w:rPr>
                      <w:b/>
                      <w:szCs w:val="21"/>
                    </w:rPr>
                  </w:pPr>
                  <w:r>
                    <w:rPr>
                      <w:b/>
                      <w:szCs w:val="21"/>
                    </w:rPr>
                    <w:t>环保措施</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7" w:type="dxa"/>
                  <w:vAlign w:val="center"/>
                </w:tcPr>
                <w:p>
                  <w:pPr>
                    <w:jc w:val="center"/>
                    <w:rPr>
                      <w:szCs w:val="21"/>
                    </w:rPr>
                  </w:pPr>
                  <w:r>
                    <w:rPr>
                      <w:szCs w:val="21"/>
                    </w:rPr>
                    <w:t>1</w:t>
                  </w:r>
                </w:p>
              </w:tc>
              <w:tc>
                <w:tcPr>
                  <w:tcW w:w="1974" w:type="dxa"/>
                  <w:vAlign w:val="center"/>
                </w:tcPr>
                <w:p>
                  <w:pPr>
                    <w:jc w:val="center"/>
                    <w:rPr>
                      <w:szCs w:val="21"/>
                    </w:rPr>
                  </w:pPr>
                  <w:r>
                    <w:rPr>
                      <w:szCs w:val="21"/>
                    </w:rPr>
                    <w:t>废水</w:t>
                  </w:r>
                </w:p>
              </w:tc>
              <w:tc>
                <w:tcPr>
                  <w:tcW w:w="3054" w:type="dxa"/>
                  <w:vAlign w:val="center"/>
                </w:tcPr>
                <w:p>
                  <w:pPr>
                    <w:jc w:val="center"/>
                    <w:rPr>
                      <w:szCs w:val="21"/>
                    </w:rPr>
                  </w:pPr>
                  <w:r>
                    <w:rPr>
                      <w:szCs w:val="21"/>
                    </w:rPr>
                    <w:t>生活污水</w:t>
                  </w:r>
                </w:p>
              </w:tc>
              <w:tc>
                <w:tcPr>
                  <w:tcW w:w="3457" w:type="dxa"/>
                  <w:vAlign w:val="center"/>
                </w:tcPr>
                <w:p>
                  <w:pPr>
                    <w:jc w:val="center"/>
                    <w:rPr>
                      <w:szCs w:val="21"/>
                    </w:rPr>
                  </w:pPr>
                  <w:r>
                    <w:rPr>
                      <w:szCs w:val="21"/>
                    </w:rPr>
                    <w:t>化粪池</w:t>
                  </w:r>
                  <w:r>
                    <w:rPr>
                      <w:rFonts w:hint="eastAsia"/>
                      <w:szCs w:val="21"/>
                    </w:rPr>
                    <w:t>1座</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937" w:type="dxa"/>
                  <w:vMerge w:val="restart"/>
                  <w:vAlign w:val="center"/>
                </w:tcPr>
                <w:p>
                  <w:pPr>
                    <w:jc w:val="center"/>
                    <w:rPr>
                      <w:szCs w:val="21"/>
                    </w:rPr>
                  </w:pPr>
                  <w:r>
                    <w:rPr>
                      <w:rFonts w:hint="eastAsia"/>
                      <w:szCs w:val="21"/>
                    </w:rPr>
                    <w:t>2</w:t>
                  </w:r>
                </w:p>
              </w:tc>
              <w:tc>
                <w:tcPr>
                  <w:tcW w:w="1974" w:type="dxa"/>
                  <w:vMerge w:val="restart"/>
                  <w:vAlign w:val="center"/>
                </w:tcPr>
                <w:p>
                  <w:pPr>
                    <w:jc w:val="center"/>
                    <w:rPr>
                      <w:szCs w:val="21"/>
                    </w:rPr>
                  </w:pPr>
                  <w:r>
                    <w:rPr>
                      <w:szCs w:val="21"/>
                    </w:rPr>
                    <w:t>固废</w:t>
                  </w:r>
                </w:p>
              </w:tc>
              <w:tc>
                <w:tcPr>
                  <w:tcW w:w="3054" w:type="dxa"/>
                  <w:vAlign w:val="center"/>
                </w:tcPr>
                <w:p>
                  <w:pPr>
                    <w:autoSpaceDE w:val="0"/>
                    <w:autoSpaceDN w:val="0"/>
                    <w:adjustRightInd w:val="0"/>
                    <w:snapToGrid w:val="0"/>
                    <w:jc w:val="center"/>
                    <w:textAlignment w:val="baseline"/>
                    <w:rPr>
                      <w:kern w:val="0"/>
                      <w:szCs w:val="21"/>
                    </w:rPr>
                  </w:pPr>
                  <w:r>
                    <w:rPr>
                      <w:bCs/>
                      <w:szCs w:val="21"/>
                    </w:rPr>
                    <w:t>废边角料</w:t>
                  </w:r>
                </w:p>
              </w:tc>
              <w:tc>
                <w:tcPr>
                  <w:tcW w:w="3457" w:type="dxa"/>
                  <w:vAlign w:val="center"/>
                </w:tcPr>
                <w:p>
                  <w:pPr>
                    <w:jc w:val="center"/>
                    <w:rPr>
                      <w:szCs w:val="21"/>
                    </w:rPr>
                  </w:pPr>
                  <w:r>
                    <w:rPr>
                      <w:szCs w:val="21"/>
                    </w:rPr>
                    <w:t>一般固废临时堆场1座</w:t>
                  </w:r>
                </w:p>
                <w:p>
                  <w:pPr>
                    <w:jc w:val="center"/>
                    <w:rPr>
                      <w:szCs w:val="21"/>
                    </w:rPr>
                  </w:pPr>
                  <w:r>
                    <w:rPr>
                      <w:szCs w:val="21"/>
                    </w:rPr>
                    <w:t>（不小于5m</w:t>
                  </w:r>
                  <w:r>
                    <w:rPr>
                      <w:szCs w:val="21"/>
                      <w:vertAlign w:val="superscript"/>
                    </w:rPr>
                    <w:t>2</w:t>
                  </w:r>
                  <w:r>
                    <w:rPr>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937" w:type="dxa"/>
                  <w:vMerge w:val="continue"/>
                  <w:vAlign w:val="center"/>
                </w:tcPr>
                <w:p>
                  <w:pPr>
                    <w:jc w:val="center"/>
                    <w:rPr>
                      <w:szCs w:val="21"/>
                    </w:rPr>
                  </w:pPr>
                </w:p>
              </w:tc>
              <w:tc>
                <w:tcPr>
                  <w:tcW w:w="1974" w:type="dxa"/>
                  <w:vMerge w:val="continue"/>
                  <w:vAlign w:val="center"/>
                </w:tcPr>
                <w:p>
                  <w:pPr>
                    <w:jc w:val="center"/>
                    <w:rPr>
                      <w:szCs w:val="21"/>
                    </w:rPr>
                  </w:pPr>
                </w:p>
              </w:tc>
              <w:tc>
                <w:tcPr>
                  <w:tcW w:w="3054" w:type="dxa"/>
                  <w:vAlign w:val="center"/>
                </w:tcPr>
                <w:p>
                  <w:pPr>
                    <w:autoSpaceDE w:val="0"/>
                    <w:autoSpaceDN w:val="0"/>
                    <w:adjustRightInd w:val="0"/>
                    <w:snapToGrid w:val="0"/>
                    <w:jc w:val="center"/>
                    <w:textAlignment w:val="baseline"/>
                    <w:rPr>
                      <w:szCs w:val="21"/>
                    </w:rPr>
                  </w:pPr>
                  <w:r>
                    <w:rPr>
                      <w:szCs w:val="21"/>
                    </w:rPr>
                    <w:t>除尘器收集颗粒物</w:t>
                  </w:r>
                </w:p>
              </w:tc>
              <w:tc>
                <w:tcPr>
                  <w:tcW w:w="3457" w:type="dxa"/>
                  <w:vAlign w:val="center"/>
                </w:tcPr>
                <w:p>
                  <w:pPr>
                    <w:jc w:val="center"/>
                    <w:rPr>
                      <w:szCs w:val="21"/>
                    </w:rPr>
                  </w:pPr>
                  <w:r>
                    <w:rPr>
                      <w:bCs/>
                      <w:szCs w:val="21"/>
                    </w:rPr>
                    <w:t>一般固废暂存间暂存后交由环卫部门处理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37" w:type="dxa"/>
                  <w:vMerge w:val="continue"/>
                  <w:vAlign w:val="center"/>
                </w:tcPr>
                <w:p>
                  <w:pPr>
                    <w:jc w:val="center"/>
                    <w:rPr>
                      <w:szCs w:val="21"/>
                    </w:rPr>
                  </w:pPr>
                </w:p>
              </w:tc>
              <w:tc>
                <w:tcPr>
                  <w:tcW w:w="1974" w:type="dxa"/>
                  <w:vMerge w:val="continue"/>
                  <w:vAlign w:val="center"/>
                </w:tcPr>
                <w:p>
                  <w:pPr>
                    <w:jc w:val="center"/>
                    <w:rPr>
                      <w:szCs w:val="21"/>
                    </w:rPr>
                  </w:pPr>
                </w:p>
              </w:tc>
              <w:tc>
                <w:tcPr>
                  <w:tcW w:w="3054" w:type="dxa"/>
                  <w:vAlign w:val="center"/>
                </w:tcPr>
                <w:p>
                  <w:pPr>
                    <w:autoSpaceDE w:val="0"/>
                    <w:autoSpaceDN w:val="0"/>
                    <w:adjustRightInd w:val="0"/>
                    <w:snapToGrid w:val="0"/>
                    <w:jc w:val="center"/>
                    <w:textAlignment w:val="baseline"/>
                    <w:rPr>
                      <w:szCs w:val="21"/>
                    </w:rPr>
                  </w:pPr>
                  <w:r>
                    <w:rPr>
                      <w:szCs w:val="21"/>
                    </w:rPr>
                    <w:t>生活垃圾</w:t>
                  </w:r>
                </w:p>
              </w:tc>
              <w:tc>
                <w:tcPr>
                  <w:tcW w:w="3457" w:type="dxa"/>
                  <w:vAlign w:val="center"/>
                </w:tcPr>
                <w:p>
                  <w:pPr>
                    <w:jc w:val="center"/>
                    <w:rPr>
                      <w:szCs w:val="21"/>
                    </w:rPr>
                  </w:pPr>
                  <w:r>
                    <w:rPr>
                      <w:bCs/>
                      <w:szCs w:val="21"/>
                    </w:rPr>
                    <w:t>集中收集后由环卫部门统一清运</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7" w:type="dxa"/>
                  <w:vMerge w:val="continue"/>
                  <w:vAlign w:val="center"/>
                </w:tcPr>
                <w:p>
                  <w:pPr>
                    <w:jc w:val="center"/>
                    <w:rPr>
                      <w:szCs w:val="21"/>
                    </w:rPr>
                  </w:pPr>
                </w:p>
              </w:tc>
              <w:tc>
                <w:tcPr>
                  <w:tcW w:w="1974" w:type="dxa"/>
                  <w:vMerge w:val="continue"/>
                  <w:vAlign w:val="center"/>
                </w:tcPr>
                <w:p>
                  <w:pPr>
                    <w:jc w:val="center"/>
                    <w:rPr>
                      <w:szCs w:val="21"/>
                    </w:rPr>
                  </w:pPr>
                </w:p>
              </w:tc>
              <w:tc>
                <w:tcPr>
                  <w:tcW w:w="3054" w:type="dxa"/>
                  <w:vAlign w:val="center"/>
                </w:tcPr>
                <w:p>
                  <w:pPr>
                    <w:autoSpaceDE w:val="0"/>
                    <w:autoSpaceDN w:val="0"/>
                    <w:adjustRightInd w:val="0"/>
                    <w:snapToGrid w:val="0"/>
                    <w:jc w:val="center"/>
                    <w:textAlignment w:val="baseline"/>
                    <w:rPr>
                      <w:szCs w:val="21"/>
                    </w:rPr>
                  </w:pPr>
                  <w:r>
                    <w:rPr>
                      <w:szCs w:val="21"/>
                    </w:rPr>
                    <w:t>废机油</w:t>
                  </w:r>
                </w:p>
              </w:tc>
              <w:tc>
                <w:tcPr>
                  <w:tcW w:w="3457" w:type="dxa"/>
                  <w:vAlign w:val="center"/>
                </w:tcPr>
                <w:p>
                  <w:pPr>
                    <w:jc w:val="center"/>
                    <w:rPr>
                      <w:szCs w:val="21"/>
                    </w:rPr>
                  </w:pPr>
                  <w:r>
                    <w:rPr>
                      <w:szCs w:val="21"/>
                    </w:rPr>
                    <w:t>危废暂存间</w:t>
                  </w:r>
                  <w:r>
                    <w:rPr>
                      <w:rFonts w:hint="eastAsia"/>
                      <w:szCs w:val="21"/>
                    </w:rPr>
                    <w:t>1座（不小于5m</w:t>
                  </w:r>
                  <w:r>
                    <w:rPr>
                      <w:rFonts w:hint="eastAsia"/>
                      <w:szCs w:val="21"/>
                      <w:vertAlign w:val="superscript"/>
                    </w:rPr>
                    <w:t>2</w:t>
                  </w:r>
                  <w:r>
                    <w:rPr>
                      <w:rFonts w:hint="eastAsia"/>
                      <w:szCs w:val="21"/>
                    </w:rPr>
                    <w:t>）</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7" w:type="dxa"/>
                  <w:vAlign w:val="center"/>
                </w:tcPr>
                <w:p>
                  <w:pPr>
                    <w:jc w:val="center"/>
                    <w:rPr>
                      <w:szCs w:val="21"/>
                    </w:rPr>
                  </w:pPr>
                  <w:r>
                    <w:rPr>
                      <w:rFonts w:hint="eastAsia"/>
                      <w:szCs w:val="21"/>
                    </w:rPr>
                    <w:t>3</w:t>
                  </w:r>
                </w:p>
              </w:tc>
              <w:tc>
                <w:tcPr>
                  <w:tcW w:w="1974" w:type="dxa"/>
                  <w:vAlign w:val="center"/>
                </w:tcPr>
                <w:p>
                  <w:pPr>
                    <w:jc w:val="center"/>
                    <w:rPr>
                      <w:szCs w:val="21"/>
                    </w:rPr>
                  </w:pPr>
                  <w:r>
                    <w:rPr>
                      <w:szCs w:val="21"/>
                    </w:rPr>
                    <w:t>噪声</w:t>
                  </w:r>
                </w:p>
              </w:tc>
              <w:tc>
                <w:tcPr>
                  <w:tcW w:w="3054" w:type="dxa"/>
                  <w:vAlign w:val="center"/>
                </w:tcPr>
                <w:p>
                  <w:pPr>
                    <w:jc w:val="center"/>
                    <w:rPr>
                      <w:szCs w:val="21"/>
                    </w:rPr>
                  </w:pPr>
                  <w:r>
                    <w:rPr>
                      <w:szCs w:val="21"/>
                    </w:rPr>
                    <w:t>机加工设备</w:t>
                  </w:r>
                </w:p>
              </w:tc>
              <w:tc>
                <w:tcPr>
                  <w:tcW w:w="3457" w:type="dxa"/>
                  <w:vAlign w:val="center"/>
                </w:tcPr>
                <w:p>
                  <w:pPr>
                    <w:jc w:val="center"/>
                    <w:rPr>
                      <w:szCs w:val="21"/>
                    </w:rPr>
                  </w:pPr>
                  <w:r>
                    <w:rPr>
                      <w:szCs w:val="21"/>
                    </w:rPr>
                    <w:t>减振、隔声、距离衰减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37" w:type="dxa"/>
                  <w:vMerge w:val="restart"/>
                  <w:vAlign w:val="center"/>
                </w:tcPr>
                <w:p>
                  <w:pPr>
                    <w:jc w:val="center"/>
                    <w:rPr>
                      <w:szCs w:val="21"/>
                    </w:rPr>
                  </w:pPr>
                  <w:r>
                    <w:rPr>
                      <w:rFonts w:hint="eastAsia"/>
                      <w:szCs w:val="21"/>
                    </w:rPr>
                    <w:t>4</w:t>
                  </w:r>
                </w:p>
              </w:tc>
              <w:tc>
                <w:tcPr>
                  <w:tcW w:w="1974" w:type="dxa"/>
                  <w:vMerge w:val="restart"/>
                  <w:vAlign w:val="center"/>
                </w:tcPr>
                <w:p>
                  <w:pPr>
                    <w:jc w:val="center"/>
                    <w:rPr>
                      <w:szCs w:val="21"/>
                    </w:rPr>
                  </w:pPr>
                  <w:r>
                    <w:rPr>
                      <w:szCs w:val="21"/>
                    </w:rPr>
                    <w:t>废气</w:t>
                  </w:r>
                </w:p>
              </w:tc>
              <w:tc>
                <w:tcPr>
                  <w:tcW w:w="3054" w:type="dxa"/>
                  <w:vAlign w:val="center"/>
                </w:tcPr>
                <w:p>
                  <w:pPr>
                    <w:jc w:val="center"/>
                    <w:rPr>
                      <w:szCs w:val="21"/>
                    </w:rPr>
                  </w:pPr>
                  <w:r>
                    <w:rPr>
                      <w:szCs w:val="21"/>
                    </w:rPr>
                    <w:t>切割废气</w:t>
                  </w:r>
                </w:p>
              </w:tc>
              <w:tc>
                <w:tcPr>
                  <w:tcW w:w="3457" w:type="dxa"/>
                  <w:vMerge w:val="restart"/>
                  <w:vAlign w:val="center"/>
                </w:tcPr>
                <w:p>
                  <w:pPr>
                    <w:jc w:val="center"/>
                    <w:rPr>
                      <w:szCs w:val="21"/>
                    </w:rPr>
                  </w:pPr>
                  <w:r>
                    <w:rPr>
                      <w:szCs w:val="21"/>
                    </w:rPr>
                    <w:t>负压式密闭室+袋式除尘器+</w:t>
                  </w:r>
                  <w:r>
                    <w:rPr>
                      <w:rFonts w:hint="eastAsia"/>
                      <w:szCs w:val="21"/>
                    </w:rPr>
                    <w:t>15高排气筒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37" w:type="dxa"/>
                  <w:vMerge w:val="continue"/>
                  <w:vAlign w:val="center"/>
                </w:tcPr>
                <w:p>
                  <w:pPr>
                    <w:jc w:val="center"/>
                    <w:rPr>
                      <w:szCs w:val="21"/>
                    </w:rPr>
                  </w:pPr>
                </w:p>
              </w:tc>
              <w:tc>
                <w:tcPr>
                  <w:tcW w:w="1974" w:type="dxa"/>
                  <w:vMerge w:val="continue"/>
                  <w:vAlign w:val="center"/>
                </w:tcPr>
                <w:p>
                  <w:pPr>
                    <w:jc w:val="center"/>
                    <w:rPr>
                      <w:szCs w:val="21"/>
                    </w:rPr>
                  </w:pPr>
                </w:p>
              </w:tc>
              <w:tc>
                <w:tcPr>
                  <w:tcW w:w="3054" w:type="dxa"/>
                  <w:vAlign w:val="center"/>
                </w:tcPr>
                <w:p>
                  <w:pPr>
                    <w:jc w:val="center"/>
                    <w:rPr>
                      <w:szCs w:val="21"/>
                    </w:rPr>
                  </w:pPr>
                  <w:r>
                    <w:rPr>
                      <w:szCs w:val="21"/>
                    </w:rPr>
                    <w:t>焊接打磨废气</w:t>
                  </w:r>
                </w:p>
              </w:tc>
              <w:tc>
                <w:tcPr>
                  <w:tcW w:w="3457" w:type="dxa"/>
                  <w:vMerge w:val="continue"/>
                  <w:vAlign w:val="center"/>
                </w:tcPr>
                <w:p>
                  <w:pPr>
                    <w:jc w:val="center"/>
                    <w:rPr>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37" w:type="dxa"/>
                  <w:vAlign w:val="center"/>
                </w:tcPr>
                <w:p>
                  <w:pPr>
                    <w:jc w:val="center"/>
                    <w:rPr>
                      <w:szCs w:val="21"/>
                    </w:rPr>
                  </w:pPr>
                  <w:r>
                    <w:rPr>
                      <w:rFonts w:hint="eastAsia"/>
                      <w:szCs w:val="21"/>
                    </w:rPr>
                    <w:t>5</w:t>
                  </w:r>
                </w:p>
              </w:tc>
              <w:tc>
                <w:tcPr>
                  <w:tcW w:w="1974" w:type="dxa"/>
                  <w:vAlign w:val="center"/>
                </w:tcPr>
                <w:p>
                  <w:pPr>
                    <w:jc w:val="center"/>
                    <w:rPr>
                      <w:szCs w:val="21"/>
                    </w:rPr>
                  </w:pPr>
                  <w:r>
                    <w:rPr>
                      <w:szCs w:val="21"/>
                    </w:rPr>
                    <w:t>/</w:t>
                  </w:r>
                </w:p>
              </w:tc>
              <w:tc>
                <w:tcPr>
                  <w:tcW w:w="6511" w:type="dxa"/>
                  <w:gridSpan w:val="2"/>
                  <w:vAlign w:val="center"/>
                </w:tcPr>
                <w:p>
                  <w:pPr>
                    <w:jc w:val="center"/>
                    <w:rPr>
                      <w:bCs/>
                      <w:szCs w:val="21"/>
                    </w:rPr>
                  </w:pPr>
                  <w:r>
                    <w:rPr>
                      <w:rFonts w:hint="eastAsia"/>
                      <w:bCs/>
                      <w:szCs w:val="21"/>
                    </w:rPr>
                    <w:t>根据《新乡市环境污染防治攻坚指挥部办公室关于印发新乡市2019年大气污染防治攻坚战实施方案的通知》（新环攻坚办[2019]74号）的要求，在废气治理措施处安装在线监控装置。</w:t>
                  </w:r>
                </w:p>
              </w:tc>
            </w:tr>
          </w:tbl>
          <w:p/>
          <w:p>
            <w:pPr>
              <w:pStyle w:val="2"/>
              <w:ind w:firstLine="560"/>
            </w:pPr>
          </w:p>
          <w:p/>
        </w:tc>
      </w:tr>
    </w:tbl>
    <w:p>
      <w:pPr>
        <w:spacing w:line="440" w:lineRule="exact"/>
        <w:jc w:val="left"/>
        <w:rPr>
          <w:b/>
          <w:sz w:val="24"/>
        </w:rPr>
        <w:sectPr>
          <w:headerReference r:id="rId3" w:type="default"/>
          <w:footerReference r:id="rId4" w:type="default"/>
          <w:footerReference r:id="rId5" w:type="even"/>
          <w:pgSz w:w="11907" w:h="16840"/>
          <w:pgMar w:top="1701" w:right="1418" w:bottom="1524" w:left="1418" w:header="851" w:footer="992" w:gutter="0"/>
          <w:pgNumType w:start="1"/>
          <w:cols w:space="720" w:num="1"/>
          <w:docGrid w:type="lines" w:linePitch="312" w:charSpace="0"/>
        </w:sectPr>
      </w:pPr>
    </w:p>
    <w:p>
      <w:pPr>
        <w:spacing w:line="440" w:lineRule="exact"/>
        <w:jc w:val="left"/>
        <w:rPr>
          <w:b/>
          <w:sz w:val="28"/>
        </w:rPr>
      </w:pPr>
      <w:r>
        <w:rPr>
          <w:b/>
          <w:sz w:val="28"/>
        </w:rPr>
        <w:t>建设项目拟采取的防治措施及预期治理效果</w:t>
      </w:r>
    </w:p>
    <w:tbl>
      <w:tblPr>
        <w:tblStyle w:val="30"/>
        <w:tblW w:w="915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651"/>
        <w:gridCol w:w="1276"/>
        <w:gridCol w:w="4252"/>
        <w:gridCol w:w="10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945" w:type="dxa"/>
            <w:tcBorders>
              <w:top w:val="single" w:color="auto" w:sz="8" w:space="0"/>
              <w:tl2br w:val="single" w:color="auto" w:sz="4" w:space="0"/>
            </w:tcBorders>
            <w:vAlign w:val="center"/>
          </w:tcPr>
          <w:p>
            <w:pPr>
              <w:spacing w:line="300" w:lineRule="exact"/>
              <w:ind w:firstLine="241" w:firstLineChars="100"/>
              <w:jc w:val="center"/>
              <w:rPr>
                <w:b/>
                <w:sz w:val="24"/>
              </w:rPr>
            </w:pPr>
            <w:r>
              <w:rPr>
                <w:b/>
                <w:sz w:val="24"/>
              </w:rPr>
              <w:t>内容</w:t>
            </w:r>
          </w:p>
          <w:p>
            <w:pPr>
              <w:spacing w:line="300" w:lineRule="exact"/>
              <w:rPr>
                <w:b/>
                <w:sz w:val="24"/>
              </w:rPr>
            </w:pPr>
          </w:p>
          <w:p>
            <w:pPr>
              <w:spacing w:line="300" w:lineRule="exact"/>
              <w:rPr>
                <w:b/>
                <w:sz w:val="24"/>
              </w:rPr>
            </w:pPr>
            <w:r>
              <w:rPr>
                <w:b/>
                <w:sz w:val="24"/>
              </w:rPr>
              <w:t>类型</w:t>
            </w:r>
          </w:p>
        </w:tc>
        <w:tc>
          <w:tcPr>
            <w:tcW w:w="1651" w:type="dxa"/>
            <w:tcBorders>
              <w:top w:val="single" w:color="auto" w:sz="8" w:space="0"/>
            </w:tcBorders>
            <w:vAlign w:val="center"/>
          </w:tcPr>
          <w:p>
            <w:pPr>
              <w:spacing w:line="300" w:lineRule="exact"/>
              <w:jc w:val="center"/>
              <w:rPr>
                <w:b/>
                <w:sz w:val="24"/>
              </w:rPr>
            </w:pPr>
            <w:r>
              <w:rPr>
                <w:b/>
                <w:sz w:val="24"/>
              </w:rPr>
              <w:t>排放源</w:t>
            </w:r>
          </w:p>
          <w:p>
            <w:pPr>
              <w:spacing w:line="300" w:lineRule="exact"/>
              <w:jc w:val="center"/>
              <w:rPr>
                <w:b/>
                <w:sz w:val="24"/>
              </w:rPr>
            </w:pPr>
            <w:r>
              <w:rPr>
                <w:b/>
                <w:sz w:val="24"/>
              </w:rPr>
              <w:t>（编号）</w:t>
            </w:r>
          </w:p>
        </w:tc>
        <w:tc>
          <w:tcPr>
            <w:tcW w:w="1276" w:type="dxa"/>
            <w:tcBorders>
              <w:top w:val="single" w:color="auto" w:sz="8" w:space="0"/>
            </w:tcBorders>
            <w:vAlign w:val="center"/>
          </w:tcPr>
          <w:p>
            <w:pPr>
              <w:spacing w:line="300" w:lineRule="exact"/>
              <w:rPr>
                <w:b/>
                <w:sz w:val="24"/>
              </w:rPr>
            </w:pPr>
            <w:r>
              <w:rPr>
                <w:b/>
                <w:sz w:val="24"/>
              </w:rPr>
              <w:t>污染物</w:t>
            </w:r>
          </w:p>
          <w:p>
            <w:pPr>
              <w:spacing w:line="300" w:lineRule="exact"/>
              <w:rPr>
                <w:b/>
                <w:sz w:val="24"/>
              </w:rPr>
            </w:pPr>
            <w:r>
              <w:rPr>
                <w:b/>
                <w:sz w:val="24"/>
              </w:rPr>
              <w:t>名称</w:t>
            </w:r>
          </w:p>
        </w:tc>
        <w:tc>
          <w:tcPr>
            <w:tcW w:w="4252" w:type="dxa"/>
            <w:tcBorders>
              <w:top w:val="single" w:color="auto" w:sz="8" w:space="0"/>
            </w:tcBorders>
            <w:vAlign w:val="center"/>
          </w:tcPr>
          <w:p>
            <w:pPr>
              <w:spacing w:line="300" w:lineRule="exact"/>
              <w:jc w:val="center"/>
              <w:rPr>
                <w:b/>
                <w:sz w:val="24"/>
              </w:rPr>
            </w:pPr>
            <w:r>
              <w:rPr>
                <w:b/>
                <w:sz w:val="24"/>
              </w:rPr>
              <w:t>防治措施</w:t>
            </w:r>
          </w:p>
        </w:tc>
        <w:tc>
          <w:tcPr>
            <w:tcW w:w="1034" w:type="dxa"/>
            <w:tcBorders>
              <w:top w:val="single" w:color="auto" w:sz="8" w:space="0"/>
            </w:tcBorders>
            <w:vAlign w:val="center"/>
          </w:tcPr>
          <w:p>
            <w:pPr>
              <w:spacing w:line="300" w:lineRule="exact"/>
              <w:jc w:val="center"/>
              <w:rPr>
                <w:b/>
                <w:sz w:val="24"/>
              </w:rPr>
            </w:pPr>
            <w:r>
              <w:rPr>
                <w:b/>
                <w:sz w:val="24"/>
              </w:rPr>
              <w:t>预期治理效果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945" w:type="dxa"/>
            <w:vMerge w:val="restart"/>
            <w:vAlign w:val="center"/>
          </w:tcPr>
          <w:p>
            <w:pPr>
              <w:spacing w:line="300" w:lineRule="exact"/>
              <w:jc w:val="center"/>
              <w:rPr>
                <w:b/>
                <w:sz w:val="24"/>
              </w:rPr>
            </w:pPr>
            <w:r>
              <w:rPr>
                <w:b/>
                <w:sz w:val="24"/>
              </w:rPr>
              <w:t>大</w:t>
            </w:r>
          </w:p>
          <w:p>
            <w:pPr>
              <w:spacing w:line="300" w:lineRule="exact"/>
              <w:jc w:val="center"/>
              <w:rPr>
                <w:b/>
                <w:sz w:val="24"/>
              </w:rPr>
            </w:pPr>
            <w:r>
              <w:rPr>
                <w:b/>
                <w:sz w:val="24"/>
              </w:rPr>
              <w:t>气</w:t>
            </w:r>
          </w:p>
          <w:p>
            <w:pPr>
              <w:spacing w:line="300" w:lineRule="exact"/>
              <w:jc w:val="center"/>
              <w:rPr>
                <w:b/>
                <w:sz w:val="24"/>
              </w:rPr>
            </w:pPr>
            <w:r>
              <w:rPr>
                <w:b/>
                <w:sz w:val="24"/>
              </w:rPr>
              <w:t>污</w:t>
            </w:r>
          </w:p>
          <w:p>
            <w:pPr>
              <w:spacing w:line="300" w:lineRule="exact"/>
              <w:jc w:val="center"/>
              <w:rPr>
                <w:b/>
                <w:sz w:val="24"/>
              </w:rPr>
            </w:pPr>
            <w:r>
              <w:rPr>
                <w:b/>
                <w:sz w:val="24"/>
              </w:rPr>
              <w:t>染</w:t>
            </w:r>
          </w:p>
          <w:p>
            <w:pPr>
              <w:spacing w:line="300" w:lineRule="exact"/>
              <w:jc w:val="center"/>
              <w:rPr>
                <w:b/>
                <w:sz w:val="24"/>
                <w:u w:val="single"/>
              </w:rPr>
            </w:pPr>
            <w:r>
              <w:rPr>
                <w:b/>
                <w:sz w:val="24"/>
              </w:rPr>
              <w:t>物</w:t>
            </w:r>
          </w:p>
        </w:tc>
        <w:tc>
          <w:tcPr>
            <w:tcW w:w="1651" w:type="dxa"/>
            <w:vAlign w:val="center"/>
          </w:tcPr>
          <w:p>
            <w:pPr>
              <w:jc w:val="center"/>
              <w:rPr>
                <w:sz w:val="24"/>
                <w:szCs w:val="21"/>
              </w:rPr>
            </w:pPr>
            <w:r>
              <w:rPr>
                <w:sz w:val="24"/>
                <w:szCs w:val="21"/>
              </w:rPr>
              <w:t>切割</w:t>
            </w:r>
          </w:p>
        </w:tc>
        <w:tc>
          <w:tcPr>
            <w:tcW w:w="1276" w:type="dxa"/>
            <w:vMerge w:val="restart"/>
            <w:vAlign w:val="center"/>
          </w:tcPr>
          <w:p>
            <w:pPr>
              <w:jc w:val="center"/>
              <w:rPr>
                <w:sz w:val="24"/>
                <w:szCs w:val="21"/>
              </w:rPr>
            </w:pPr>
            <w:r>
              <w:rPr>
                <w:sz w:val="24"/>
                <w:szCs w:val="21"/>
              </w:rPr>
              <w:t>颗粒物</w:t>
            </w:r>
          </w:p>
        </w:tc>
        <w:tc>
          <w:tcPr>
            <w:tcW w:w="4252" w:type="dxa"/>
            <w:vMerge w:val="restart"/>
            <w:vAlign w:val="center"/>
          </w:tcPr>
          <w:p>
            <w:pPr>
              <w:jc w:val="center"/>
              <w:rPr>
                <w:sz w:val="24"/>
                <w:szCs w:val="21"/>
              </w:rPr>
            </w:pPr>
            <w:r>
              <w:rPr>
                <w:sz w:val="24"/>
                <w:szCs w:val="21"/>
              </w:rPr>
              <w:t>负压式密闭室+袋式除尘器+</w:t>
            </w:r>
            <w:r>
              <w:rPr>
                <w:rFonts w:hint="eastAsia"/>
                <w:sz w:val="24"/>
                <w:szCs w:val="21"/>
              </w:rPr>
              <w:t>15米高排气筒</w:t>
            </w:r>
          </w:p>
        </w:tc>
        <w:tc>
          <w:tcPr>
            <w:tcW w:w="1034" w:type="dxa"/>
            <w:vMerge w:val="restart"/>
            <w:vAlign w:val="center"/>
          </w:tcPr>
          <w:p>
            <w:pPr>
              <w:spacing w:line="300" w:lineRule="exact"/>
              <w:jc w:val="center"/>
              <w:rPr>
                <w:sz w:val="24"/>
              </w:rPr>
            </w:pPr>
            <w:r>
              <w:rPr>
                <w:sz w:val="24"/>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945" w:type="dxa"/>
            <w:vMerge w:val="continue"/>
            <w:vAlign w:val="center"/>
          </w:tcPr>
          <w:p>
            <w:pPr>
              <w:spacing w:line="300" w:lineRule="exact"/>
              <w:jc w:val="center"/>
              <w:rPr>
                <w:b/>
                <w:sz w:val="24"/>
              </w:rPr>
            </w:pPr>
          </w:p>
        </w:tc>
        <w:tc>
          <w:tcPr>
            <w:tcW w:w="1651" w:type="dxa"/>
            <w:vAlign w:val="center"/>
          </w:tcPr>
          <w:p>
            <w:pPr>
              <w:jc w:val="center"/>
              <w:rPr>
                <w:sz w:val="24"/>
                <w:szCs w:val="21"/>
              </w:rPr>
            </w:pPr>
            <w:r>
              <w:rPr>
                <w:sz w:val="24"/>
                <w:szCs w:val="21"/>
              </w:rPr>
              <w:t>焊接打磨</w:t>
            </w:r>
          </w:p>
        </w:tc>
        <w:tc>
          <w:tcPr>
            <w:tcW w:w="1276" w:type="dxa"/>
            <w:vMerge w:val="continue"/>
            <w:vAlign w:val="center"/>
          </w:tcPr>
          <w:p>
            <w:pPr>
              <w:jc w:val="center"/>
              <w:rPr>
                <w:sz w:val="24"/>
                <w:szCs w:val="21"/>
              </w:rPr>
            </w:pPr>
          </w:p>
        </w:tc>
        <w:tc>
          <w:tcPr>
            <w:tcW w:w="4252" w:type="dxa"/>
            <w:vMerge w:val="continue"/>
            <w:vAlign w:val="center"/>
          </w:tcPr>
          <w:p>
            <w:pPr>
              <w:jc w:val="center"/>
              <w:rPr>
                <w:sz w:val="24"/>
                <w:szCs w:val="21"/>
              </w:rPr>
            </w:pPr>
          </w:p>
        </w:tc>
        <w:tc>
          <w:tcPr>
            <w:tcW w:w="1034" w:type="dxa"/>
            <w:vMerge w:val="continue"/>
            <w:vAlign w:val="center"/>
          </w:tcPr>
          <w:p>
            <w:pPr>
              <w:spacing w:line="300" w:lineRule="exact"/>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45" w:type="dxa"/>
            <w:vAlign w:val="center"/>
          </w:tcPr>
          <w:p>
            <w:pPr>
              <w:spacing w:line="300" w:lineRule="exact"/>
              <w:jc w:val="center"/>
              <w:rPr>
                <w:b/>
                <w:sz w:val="24"/>
              </w:rPr>
            </w:pPr>
            <w:r>
              <w:rPr>
                <w:b/>
                <w:sz w:val="24"/>
              </w:rPr>
              <w:t>水</w:t>
            </w:r>
          </w:p>
          <w:p>
            <w:pPr>
              <w:spacing w:line="300" w:lineRule="exact"/>
              <w:jc w:val="center"/>
              <w:rPr>
                <w:b/>
                <w:sz w:val="24"/>
              </w:rPr>
            </w:pPr>
            <w:r>
              <w:rPr>
                <w:b/>
                <w:sz w:val="24"/>
              </w:rPr>
              <w:t>污</w:t>
            </w:r>
          </w:p>
          <w:p>
            <w:pPr>
              <w:spacing w:line="300" w:lineRule="exact"/>
              <w:jc w:val="center"/>
              <w:rPr>
                <w:b/>
                <w:sz w:val="24"/>
              </w:rPr>
            </w:pPr>
            <w:r>
              <w:rPr>
                <w:b/>
                <w:sz w:val="24"/>
              </w:rPr>
              <w:t>染</w:t>
            </w:r>
          </w:p>
          <w:p>
            <w:pPr>
              <w:spacing w:line="300" w:lineRule="exact"/>
              <w:jc w:val="center"/>
              <w:rPr>
                <w:b/>
                <w:sz w:val="24"/>
              </w:rPr>
            </w:pPr>
            <w:r>
              <w:rPr>
                <w:b/>
                <w:sz w:val="24"/>
              </w:rPr>
              <w:t>物</w:t>
            </w:r>
          </w:p>
        </w:tc>
        <w:tc>
          <w:tcPr>
            <w:tcW w:w="1651" w:type="dxa"/>
            <w:vAlign w:val="center"/>
          </w:tcPr>
          <w:p>
            <w:pPr>
              <w:spacing w:line="440" w:lineRule="exact"/>
              <w:jc w:val="center"/>
              <w:rPr>
                <w:sz w:val="24"/>
              </w:rPr>
            </w:pPr>
            <w:r>
              <w:rPr>
                <w:sz w:val="24"/>
              </w:rPr>
              <w:t>生活污水</w:t>
            </w:r>
          </w:p>
        </w:tc>
        <w:tc>
          <w:tcPr>
            <w:tcW w:w="1276" w:type="dxa"/>
            <w:vAlign w:val="center"/>
          </w:tcPr>
          <w:p>
            <w:pPr>
              <w:spacing w:line="440" w:lineRule="exact"/>
              <w:jc w:val="center"/>
              <w:rPr>
                <w:sz w:val="24"/>
              </w:rPr>
            </w:pPr>
            <w:r>
              <w:rPr>
                <w:sz w:val="24"/>
              </w:rPr>
              <w:t>COD、SS、NH</w:t>
            </w:r>
            <w:r>
              <w:rPr>
                <w:sz w:val="24"/>
                <w:vertAlign w:val="subscript"/>
              </w:rPr>
              <w:t>3</w:t>
            </w:r>
            <w:r>
              <w:rPr>
                <w:sz w:val="24"/>
              </w:rPr>
              <w:t>-N、TP、</w:t>
            </w:r>
            <w:r>
              <w:rPr>
                <w:rFonts w:hint="eastAsia"/>
                <w:sz w:val="24"/>
              </w:rPr>
              <w:t>TN</w:t>
            </w:r>
          </w:p>
        </w:tc>
        <w:tc>
          <w:tcPr>
            <w:tcW w:w="4252" w:type="dxa"/>
            <w:vAlign w:val="center"/>
          </w:tcPr>
          <w:p>
            <w:pPr>
              <w:tabs>
                <w:tab w:val="left" w:pos="1404"/>
              </w:tabs>
              <w:spacing w:line="440" w:lineRule="exact"/>
              <w:jc w:val="center"/>
              <w:rPr>
                <w:sz w:val="24"/>
              </w:rPr>
            </w:pPr>
            <w:r>
              <w:rPr>
                <w:sz w:val="24"/>
                <w:lang w:val="pt-BR"/>
              </w:rPr>
              <w:t>化粪池处理后定期清运</w:t>
            </w:r>
          </w:p>
        </w:tc>
        <w:tc>
          <w:tcPr>
            <w:tcW w:w="1034" w:type="dxa"/>
            <w:vAlign w:val="center"/>
          </w:tcPr>
          <w:p>
            <w:pPr>
              <w:spacing w:line="360" w:lineRule="auto"/>
              <w:jc w:val="center"/>
              <w:rPr>
                <w:sz w:val="24"/>
              </w:rPr>
            </w:pPr>
            <w:r>
              <w:rPr>
                <w:sz w:val="24"/>
              </w:rPr>
              <w:t>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5" w:type="dxa"/>
            <w:vMerge w:val="restart"/>
            <w:vAlign w:val="center"/>
          </w:tcPr>
          <w:p>
            <w:pPr>
              <w:spacing w:line="300" w:lineRule="exact"/>
              <w:jc w:val="center"/>
              <w:rPr>
                <w:b/>
                <w:sz w:val="24"/>
              </w:rPr>
            </w:pPr>
            <w:r>
              <w:rPr>
                <w:b/>
                <w:sz w:val="24"/>
              </w:rPr>
              <w:t>固</w:t>
            </w:r>
          </w:p>
          <w:p>
            <w:pPr>
              <w:spacing w:line="300" w:lineRule="exact"/>
              <w:jc w:val="center"/>
              <w:rPr>
                <w:b/>
                <w:sz w:val="24"/>
              </w:rPr>
            </w:pPr>
            <w:r>
              <w:rPr>
                <w:b/>
                <w:sz w:val="24"/>
              </w:rPr>
              <w:t>体</w:t>
            </w:r>
          </w:p>
          <w:p>
            <w:pPr>
              <w:spacing w:line="300" w:lineRule="exact"/>
              <w:jc w:val="center"/>
              <w:rPr>
                <w:b/>
                <w:sz w:val="24"/>
              </w:rPr>
            </w:pPr>
            <w:r>
              <w:rPr>
                <w:b/>
                <w:sz w:val="24"/>
              </w:rPr>
              <w:t>废</w:t>
            </w:r>
          </w:p>
          <w:p>
            <w:pPr>
              <w:spacing w:line="300" w:lineRule="exact"/>
              <w:jc w:val="center"/>
              <w:rPr>
                <w:b/>
                <w:sz w:val="24"/>
              </w:rPr>
            </w:pPr>
            <w:r>
              <w:rPr>
                <w:b/>
                <w:sz w:val="24"/>
              </w:rPr>
              <w:t>物</w:t>
            </w:r>
          </w:p>
        </w:tc>
        <w:tc>
          <w:tcPr>
            <w:tcW w:w="1651" w:type="dxa"/>
            <w:vAlign w:val="center"/>
          </w:tcPr>
          <w:p>
            <w:pPr>
              <w:spacing w:line="440" w:lineRule="exact"/>
              <w:jc w:val="center"/>
              <w:rPr>
                <w:sz w:val="24"/>
                <w:szCs w:val="21"/>
              </w:rPr>
            </w:pPr>
            <w:r>
              <w:rPr>
                <w:sz w:val="24"/>
              </w:rPr>
              <w:t>机加工</w:t>
            </w:r>
          </w:p>
        </w:tc>
        <w:tc>
          <w:tcPr>
            <w:tcW w:w="1276" w:type="dxa"/>
            <w:vAlign w:val="center"/>
          </w:tcPr>
          <w:p>
            <w:pPr>
              <w:spacing w:line="440" w:lineRule="exact"/>
              <w:jc w:val="center"/>
              <w:rPr>
                <w:sz w:val="24"/>
                <w:szCs w:val="21"/>
              </w:rPr>
            </w:pPr>
            <w:r>
              <w:rPr>
                <w:bCs/>
                <w:sz w:val="24"/>
                <w:szCs w:val="21"/>
              </w:rPr>
              <w:t>废边角料</w:t>
            </w:r>
          </w:p>
        </w:tc>
        <w:tc>
          <w:tcPr>
            <w:tcW w:w="4252" w:type="dxa"/>
            <w:vAlign w:val="center"/>
          </w:tcPr>
          <w:p>
            <w:pPr>
              <w:spacing w:line="440" w:lineRule="exact"/>
              <w:jc w:val="center"/>
              <w:rPr>
                <w:kern w:val="36"/>
                <w:sz w:val="24"/>
                <w:szCs w:val="21"/>
              </w:rPr>
            </w:pPr>
            <w:r>
              <w:rPr>
                <w:bCs/>
                <w:kern w:val="36"/>
                <w:sz w:val="24"/>
                <w:szCs w:val="21"/>
              </w:rPr>
              <w:t>一般固废暂存间暂存后定期</w:t>
            </w:r>
            <w:r>
              <w:rPr>
                <w:kern w:val="36"/>
                <w:sz w:val="24"/>
                <w:szCs w:val="21"/>
              </w:rPr>
              <w:t>外售</w:t>
            </w:r>
          </w:p>
        </w:tc>
        <w:tc>
          <w:tcPr>
            <w:tcW w:w="1034" w:type="dxa"/>
            <w:vMerge w:val="restart"/>
            <w:vAlign w:val="center"/>
          </w:tcPr>
          <w:p>
            <w:pPr>
              <w:spacing w:line="360" w:lineRule="auto"/>
              <w:jc w:val="center"/>
              <w:rPr>
                <w:sz w:val="24"/>
              </w:rPr>
            </w:pPr>
            <w:r>
              <w:rPr>
                <w:sz w:val="24"/>
              </w:rPr>
              <w:t>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5" w:type="dxa"/>
            <w:vMerge w:val="continue"/>
            <w:vAlign w:val="center"/>
          </w:tcPr>
          <w:p>
            <w:pPr>
              <w:spacing w:line="300" w:lineRule="exact"/>
              <w:jc w:val="center"/>
              <w:rPr>
                <w:b/>
                <w:sz w:val="24"/>
              </w:rPr>
            </w:pPr>
          </w:p>
        </w:tc>
        <w:tc>
          <w:tcPr>
            <w:tcW w:w="1651" w:type="dxa"/>
            <w:vAlign w:val="center"/>
          </w:tcPr>
          <w:p>
            <w:pPr>
              <w:spacing w:line="440" w:lineRule="exact"/>
              <w:jc w:val="center"/>
              <w:rPr>
                <w:sz w:val="24"/>
              </w:rPr>
            </w:pPr>
            <w:r>
              <w:rPr>
                <w:sz w:val="24"/>
              </w:rPr>
              <w:t>除尘器除尘</w:t>
            </w:r>
          </w:p>
        </w:tc>
        <w:tc>
          <w:tcPr>
            <w:tcW w:w="1276" w:type="dxa"/>
            <w:vAlign w:val="center"/>
          </w:tcPr>
          <w:p>
            <w:pPr>
              <w:spacing w:line="440" w:lineRule="exact"/>
              <w:jc w:val="center"/>
              <w:rPr>
                <w:bCs/>
                <w:sz w:val="24"/>
                <w:szCs w:val="21"/>
              </w:rPr>
            </w:pPr>
            <w:r>
              <w:rPr>
                <w:bCs/>
                <w:sz w:val="24"/>
                <w:szCs w:val="21"/>
              </w:rPr>
              <w:t>颗粒物</w:t>
            </w:r>
          </w:p>
        </w:tc>
        <w:tc>
          <w:tcPr>
            <w:tcW w:w="4252" w:type="dxa"/>
            <w:vAlign w:val="center"/>
          </w:tcPr>
          <w:p>
            <w:pPr>
              <w:spacing w:line="440" w:lineRule="exact"/>
              <w:jc w:val="center"/>
              <w:rPr>
                <w:bCs/>
                <w:kern w:val="36"/>
                <w:sz w:val="24"/>
                <w:szCs w:val="21"/>
              </w:rPr>
            </w:pPr>
            <w:r>
              <w:rPr>
                <w:kern w:val="0"/>
                <w:sz w:val="24"/>
                <w:szCs w:val="21"/>
              </w:rPr>
              <w:t>一般固废暂存间暂存后交由环卫部门处理</w:t>
            </w:r>
          </w:p>
        </w:tc>
        <w:tc>
          <w:tcPr>
            <w:tcW w:w="1034" w:type="dxa"/>
            <w:vMerge w:val="continue"/>
            <w:vAlign w:val="center"/>
          </w:tcPr>
          <w:p>
            <w:pPr>
              <w:spacing w:line="360" w:lineRule="auto"/>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45" w:type="dxa"/>
            <w:vMerge w:val="continue"/>
            <w:vAlign w:val="center"/>
          </w:tcPr>
          <w:p>
            <w:pPr>
              <w:spacing w:line="300" w:lineRule="exact"/>
              <w:jc w:val="center"/>
              <w:rPr>
                <w:b/>
                <w:sz w:val="24"/>
              </w:rPr>
            </w:pPr>
          </w:p>
        </w:tc>
        <w:tc>
          <w:tcPr>
            <w:tcW w:w="1651" w:type="dxa"/>
            <w:vAlign w:val="center"/>
          </w:tcPr>
          <w:p>
            <w:pPr>
              <w:autoSpaceDE w:val="0"/>
              <w:autoSpaceDN w:val="0"/>
              <w:adjustRightInd w:val="0"/>
              <w:snapToGrid w:val="0"/>
              <w:spacing w:line="440" w:lineRule="exact"/>
              <w:jc w:val="center"/>
              <w:textAlignment w:val="baseline"/>
              <w:rPr>
                <w:sz w:val="24"/>
                <w:szCs w:val="21"/>
              </w:rPr>
            </w:pPr>
            <w:r>
              <w:rPr>
                <w:sz w:val="24"/>
                <w:szCs w:val="21"/>
              </w:rPr>
              <w:t>员工生活</w:t>
            </w:r>
          </w:p>
        </w:tc>
        <w:tc>
          <w:tcPr>
            <w:tcW w:w="1276" w:type="dxa"/>
            <w:vAlign w:val="center"/>
          </w:tcPr>
          <w:p>
            <w:pPr>
              <w:autoSpaceDE w:val="0"/>
              <w:autoSpaceDN w:val="0"/>
              <w:adjustRightInd w:val="0"/>
              <w:snapToGrid w:val="0"/>
              <w:spacing w:line="440" w:lineRule="exact"/>
              <w:jc w:val="center"/>
              <w:textAlignment w:val="baseline"/>
              <w:rPr>
                <w:sz w:val="24"/>
                <w:szCs w:val="21"/>
              </w:rPr>
            </w:pPr>
            <w:r>
              <w:rPr>
                <w:sz w:val="24"/>
                <w:szCs w:val="21"/>
              </w:rPr>
              <w:t>生活垃圾</w:t>
            </w:r>
          </w:p>
        </w:tc>
        <w:tc>
          <w:tcPr>
            <w:tcW w:w="4252" w:type="dxa"/>
            <w:vAlign w:val="center"/>
          </w:tcPr>
          <w:p>
            <w:pPr>
              <w:spacing w:line="440" w:lineRule="exact"/>
              <w:jc w:val="center"/>
              <w:rPr>
                <w:kern w:val="36"/>
                <w:sz w:val="24"/>
                <w:szCs w:val="21"/>
              </w:rPr>
            </w:pPr>
            <w:r>
              <w:rPr>
                <w:kern w:val="0"/>
                <w:sz w:val="24"/>
                <w:szCs w:val="21"/>
              </w:rPr>
              <w:t>集中收集后由环卫部门统一清运</w:t>
            </w:r>
          </w:p>
        </w:tc>
        <w:tc>
          <w:tcPr>
            <w:tcW w:w="1034" w:type="dxa"/>
            <w:vAlign w:val="center"/>
          </w:tcPr>
          <w:p>
            <w:pPr>
              <w:spacing w:line="360" w:lineRule="auto"/>
              <w:jc w:val="center"/>
              <w:rPr>
                <w:sz w:val="24"/>
              </w:rPr>
            </w:pPr>
            <w:r>
              <w:rPr>
                <w:sz w:val="24"/>
              </w:rPr>
              <w:t>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45" w:type="dxa"/>
            <w:vMerge w:val="continue"/>
            <w:vAlign w:val="center"/>
          </w:tcPr>
          <w:p>
            <w:pPr>
              <w:spacing w:line="300" w:lineRule="exact"/>
              <w:jc w:val="center"/>
              <w:rPr>
                <w:b/>
                <w:sz w:val="24"/>
              </w:rPr>
            </w:pPr>
          </w:p>
        </w:tc>
        <w:tc>
          <w:tcPr>
            <w:tcW w:w="1651" w:type="dxa"/>
            <w:vAlign w:val="center"/>
          </w:tcPr>
          <w:p>
            <w:pPr>
              <w:spacing w:line="440" w:lineRule="exact"/>
              <w:jc w:val="center"/>
              <w:rPr>
                <w:sz w:val="24"/>
                <w:szCs w:val="21"/>
              </w:rPr>
            </w:pPr>
            <w:r>
              <w:rPr>
                <w:sz w:val="24"/>
                <w:szCs w:val="21"/>
              </w:rPr>
              <w:t>机加工设备</w:t>
            </w:r>
          </w:p>
        </w:tc>
        <w:tc>
          <w:tcPr>
            <w:tcW w:w="1276" w:type="dxa"/>
            <w:vAlign w:val="center"/>
          </w:tcPr>
          <w:p>
            <w:pPr>
              <w:tabs>
                <w:tab w:val="left" w:pos="6593"/>
              </w:tabs>
              <w:spacing w:line="440" w:lineRule="exact"/>
              <w:jc w:val="center"/>
              <w:rPr>
                <w:sz w:val="24"/>
                <w:szCs w:val="21"/>
              </w:rPr>
            </w:pPr>
            <w:r>
              <w:rPr>
                <w:sz w:val="24"/>
                <w:szCs w:val="21"/>
              </w:rPr>
              <w:t>废机油</w:t>
            </w:r>
          </w:p>
        </w:tc>
        <w:tc>
          <w:tcPr>
            <w:tcW w:w="4252" w:type="dxa"/>
            <w:vAlign w:val="center"/>
          </w:tcPr>
          <w:p>
            <w:pPr>
              <w:spacing w:line="440" w:lineRule="exact"/>
              <w:jc w:val="center"/>
              <w:rPr>
                <w:sz w:val="24"/>
                <w:szCs w:val="21"/>
              </w:rPr>
            </w:pPr>
            <w:r>
              <w:rPr>
                <w:sz w:val="24"/>
                <w:szCs w:val="21"/>
              </w:rPr>
              <w:t>危废暂存间暂存，交由有相应类别危废资质单位定期处理</w:t>
            </w:r>
          </w:p>
        </w:tc>
        <w:tc>
          <w:tcPr>
            <w:tcW w:w="1034" w:type="dxa"/>
            <w:vAlign w:val="center"/>
          </w:tcPr>
          <w:p>
            <w:pPr>
              <w:spacing w:line="360" w:lineRule="auto"/>
              <w:jc w:val="center"/>
              <w:rPr>
                <w:sz w:val="24"/>
              </w:rPr>
            </w:pPr>
            <w:r>
              <w:rPr>
                <w:sz w:val="24"/>
              </w:rPr>
              <w:t>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jc w:val="center"/>
        </w:trPr>
        <w:tc>
          <w:tcPr>
            <w:tcW w:w="945" w:type="dxa"/>
            <w:vAlign w:val="center"/>
          </w:tcPr>
          <w:p>
            <w:pPr>
              <w:spacing w:line="300" w:lineRule="exact"/>
              <w:jc w:val="center"/>
              <w:rPr>
                <w:b/>
                <w:sz w:val="24"/>
              </w:rPr>
            </w:pPr>
            <w:r>
              <w:rPr>
                <w:b/>
                <w:sz w:val="24"/>
              </w:rPr>
              <w:t>噪</w:t>
            </w:r>
          </w:p>
          <w:p>
            <w:pPr>
              <w:spacing w:line="300" w:lineRule="exact"/>
              <w:jc w:val="center"/>
              <w:rPr>
                <w:b/>
                <w:sz w:val="24"/>
              </w:rPr>
            </w:pPr>
            <w:r>
              <w:rPr>
                <w:b/>
                <w:sz w:val="24"/>
              </w:rPr>
              <w:t>声</w:t>
            </w:r>
          </w:p>
        </w:tc>
        <w:tc>
          <w:tcPr>
            <w:tcW w:w="8213" w:type="dxa"/>
            <w:gridSpan w:val="4"/>
            <w:vAlign w:val="center"/>
          </w:tcPr>
          <w:p>
            <w:pPr>
              <w:spacing w:line="440" w:lineRule="exact"/>
              <w:ind w:firstLine="480" w:firstLineChars="200"/>
              <w:rPr>
                <w:bCs/>
                <w:sz w:val="24"/>
              </w:rPr>
            </w:pPr>
            <w:r>
              <w:rPr>
                <w:bCs/>
                <w:sz w:val="24"/>
              </w:rPr>
              <w:t>本项目营运期噪声主要来源于切割机、台钻、剪板机、卷圆机、冲床等机加工设备噪声，经减振、隔声以及距离衰减后，厂区高噪声源对四个厂界噪声贡献值均能够达到《工业企业厂界环境噪声排放标准》（GB12348-2008）2类</w:t>
            </w:r>
            <w:r>
              <w:rPr>
                <w:sz w:val="24"/>
              </w:rPr>
              <w:t>昼间60（A）</w:t>
            </w:r>
            <w:r>
              <w:rPr>
                <w:bCs/>
                <w:sz w:val="24"/>
              </w:rPr>
              <w:t>标准的要求，对项目周围声环境影响不大。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exact"/>
          <w:jc w:val="center"/>
        </w:trPr>
        <w:tc>
          <w:tcPr>
            <w:tcW w:w="945" w:type="dxa"/>
            <w:vAlign w:val="center"/>
          </w:tcPr>
          <w:p>
            <w:pPr>
              <w:spacing w:line="300" w:lineRule="exact"/>
              <w:jc w:val="center"/>
              <w:rPr>
                <w:b/>
                <w:sz w:val="24"/>
              </w:rPr>
            </w:pPr>
            <w:r>
              <w:rPr>
                <w:b/>
                <w:sz w:val="24"/>
              </w:rPr>
              <w:t>其</w:t>
            </w:r>
          </w:p>
          <w:p>
            <w:pPr>
              <w:spacing w:line="300" w:lineRule="exact"/>
              <w:jc w:val="center"/>
              <w:rPr>
                <w:b/>
                <w:sz w:val="24"/>
              </w:rPr>
            </w:pPr>
            <w:r>
              <w:rPr>
                <w:b/>
                <w:sz w:val="24"/>
              </w:rPr>
              <w:t>他</w:t>
            </w:r>
          </w:p>
        </w:tc>
        <w:tc>
          <w:tcPr>
            <w:tcW w:w="8213" w:type="dxa"/>
            <w:gridSpan w:val="4"/>
            <w:vAlign w:val="center"/>
          </w:tcPr>
          <w:p>
            <w:pPr>
              <w:spacing w:line="300" w:lineRule="exact"/>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7" w:hRule="atLeast"/>
          <w:jc w:val="center"/>
        </w:trPr>
        <w:tc>
          <w:tcPr>
            <w:tcW w:w="9158" w:type="dxa"/>
            <w:gridSpan w:val="5"/>
            <w:tcBorders>
              <w:bottom w:val="single" w:color="auto" w:sz="8" w:space="0"/>
            </w:tcBorders>
          </w:tcPr>
          <w:p>
            <w:pPr>
              <w:spacing w:line="440" w:lineRule="exact"/>
              <w:rPr>
                <w:sz w:val="24"/>
                <w:szCs w:val="32"/>
              </w:rPr>
            </w:pPr>
            <w:r>
              <w:rPr>
                <w:sz w:val="24"/>
                <w:szCs w:val="32"/>
              </w:rPr>
              <w:t>主要生态影响（不够时可附另页）：</w:t>
            </w:r>
          </w:p>
          <w:p>
            <w:pPr>
              <w:spacing w:line="440" w:lineRule="exact"/>
              <w:ind w:firstLine="480" w:firstLineChars="200"/>
              <w:rPr>
                <w:sz w:val="24"/>
                <w:szCs w:val="32"/>
              </w:rPr>
            </w:pPr>
            <w:r>
              <w:rPr>
                <w:sz w:val="24"/>
                <w:szCs w:val="32"/>
              </w:rPr>
              <w:t>厂址周围种植绿化林带，可以起到降噪的作用，还可以增加绿化空间。在按设计正常运行的情况下，预计本项目对厂址所在区域生态环境不会产生大的影响。</w:t>
            </w:r>
          </w:p>
          <w:p>
            <w:pPr>
              <w:pStyle w:val="2"/>
              <w:ind w:firstLine="560"/>
            </w:pPr>
          </w:p>
          <w:p/>
          <w:p>
            <w:pPr>
              <w:pStyle w:val="2"/>
              <w:ind w:firstLine="560"/>
            </w:pPr>
          </w:p>
          <w:p/>
        </w:tc>
      </w:tr>
    </w:tbl>
    <w:p>
      <w:pPr>
        <w:spacing w:line="440" w:lineRule="exact"/>
        <w:jc w:val="left"/>
        <w:rPr>
          <w:b/>
          <w:sz w:val="28"/>
        </w:rPr>
      </w:pPr>
      <w:r>
        <w:rPr>
          <w:b/>
          <w:sz w:val="28"/>
        </w:rPr>
        <w:t>建议与结论</w:t>
      </w:r>
    </w:p>
    <w:tbl>
      <w:tblPr>
        <w:tblStyle w:val="30"/>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gridCol w:w="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2" w:hRule="atLeast"/>
        </w:trPr>
        <w:tc>
          <w:tcPr>
            <w:tcW w:w="9555" w:type="dxa"/>
            <w:gridSpan w:val="2"/>
          </w:tcPr>
          <w:p>
            <w:pPr>
              <w:spacing w:line="420" w:lineRule="exact"/>
              <w:rPr>
                <w:b/>
                <w:sz w:val="24"/>
              </w:rPr>
            </w:pPr>
            <w:r>
              <w:rPr>
                <w:b/>
                <w:sz w:val="24"/>
              </w:rPr>
              <w:t>一、结 论</w:t>
            </w:r>
          </w:p>
          <w:p>
            <w:pPr>
              <w:pStyle w:val="64"/>
              <w:tabs>
                <w:tab w:val="left" w:pos="6607"/>
              </w:tabs>
              <w:snapToGrid w:val="0"/>
              <w:spacing w:line="420" w:lineRule="exact"/>
              <w:ind w:firstLine="482" w:firstLineChars="200"/>
              <w:rPr>
                <w:rFonts w:ascii="Times New Roman" w:hAnsi="Times New Roman"/>
                <w:b/>
                <w:sz w:val="24"/>
                <w:szCs w:val="21"/>
              </w:rPr>
            </w:pPr>
            <w:r>
              <w:rPr>
                <w:rFonts w:ascii="Times New Roman" w:hAnsi="Times New Roman"/>
                <w:b/>
                <w:sz w:val="24"/>
                <w:szCs w:val="21"/>
              </w:rPr>
              <w:t>1、项目符合国家产业政策要求</w:t>
            </w:r>
          </w:p>
          <w:p>
            <w:pPr>
              <w:spacing w:line="420" w:lineRule="exact"/>
              <w:ind w:firstLine="480" w:firstLineChars="200"/>
              <w:rPr>
                <w:sz w:val="24"/>
              </w:rPr>
            </w:pPr>
            <w:r>
              <w:rPr>
                <w:sz w:val="24"/>
              </w:rPr>
              <w:t>该项目产品、生产工艺、设备及产品未列入于《产业结构调整指导目录（2011年本）（2013年修正）》中的限制类和淘汰类，属于允许类项目，符合国家产业政策的要求。本项目已由新乡市凤泉区发展和改革委员会备案，项目代码：2019-410704-33-03-014343</w:t>
            </w:r>
            <w:r>
              <w:rPr>
                <w:sz w:val="24"/>
                <w:szCs w:val="20"/>
              </w:rPr>
              <w:t>，项目建设符合国家相关产业政策</w:t>
            </w:r>
            <w:r>
              <w:rPr>
                <w:sz w:val="24"/>
              </w:rPr>
              <w:t>。</w:t>
            </w:r>
          </w:p>
          <w:p>
            <w:pPr>
              <w:pStyle w:val="64"/>
              <w:tabs>
                <w:tab w:val="left" w:pos="6607"/>
              </w:tabs>
              <w:snapToGrid w:val="0"/>
              <w:spacing w:line="420" w:lineRule="exact"/>
              <w:ind w:firstLine="482" w:firstLineChars="200"/>
              <w:rPr>
                <w:rFonts w:ascii="Times New Roman" w:hAnsi="Times New Roman"/>
                <w:b/>
                <w:sz w:val="24"/>
                <w:szCs w:val="21"/>
              </w:rPr>
            </w:pPr>
            <w:r>
              <w:rPr>
                <w:rFonts w:ascii="Times New Roman" w:hAnsi="Times New Roman"/>
                <w:b/>
                <w:sz w:val="24"/>
                <w:szCs w:val="21"/>
              </w:rPr>
              <w:t>2、项目选址可行</w:t>
            </w:r>
          </w:p>
          <w:p>
            <w:pPr>
              <w:spacing w:line="420" w:lineRule="exact"/>
              <w:ind w:firstLine="480" w:firstLineChars="200"/>
              <w:rPr>
                <w:kern w:val="36"/>
                <w:sz w:val="24"/>
              </w:rPr>
            </w:pPr>
            <w:r>
              <w:rPr>
                <w:bCs/>
                <w:sz w:val="24"/>
              </w:rPr>
              <w:t>本项目位于新乡市凤泉区耿黄镇东鲁堡村北，占地</w:t>
            </w:r>
            <w:r>
              <w:rPr>
                <w:rFonts w:hint="eastAsia"/>
                <w:bCs/>
                <w:sz w:val="24"/>
              </w:rPr>
              <w:t>70</w:t>
            </w:r>
            <w:r>
              <w:rPr>
                <w:bCs/>
                <w:sz w:val="24"/>
              </w:rPr>
              <w:t>0m</w:t>
            </w:r>
            <w:r>
              <w:rPr>
                <w:bCs/>
                <w:sz w:val="24"/>
                <w:vertAlign w:val="superscript"/>
              </w:rPr>
              <w:t>2</w:t>
            </w:r>
            <w:r>
              <w:rPr>
                <w:sz w:val="24"/>
              </w:rPr>
              <w:t>，项目租赁</w:t>
            </w:r>
            <w:r>
              <w:rPr>
                <w:bCs/>
                <w:sz w:val="24"/>
              </w:rPr>
              <w:t>耿黄镇东鲁堡村北的现有闲置厂房，</w:t>
            </w:r>
            <w:r>
              <w:rPr>
                <w:rFonts w:hint="eastAsia"/>
                <w:bCs/>
                <w:sz w:val="24"/>
              </w:rPr>
              <w:t>根据《凤泉区土地利用总体规划图（2010-2020）》，本项目选址属于现状建设用地</w:t>
            </w:r>
            <w:r>
              <w:rPr>
                <w:rFonts w:hint="eastAsia"/>
                <w:bCs/>
                <w:kern w:val="36"/>
                <w:sz w:val="24"/>
              </w:rPr>
              <w:t>（详见附图一）</w:t>
            </w:r>
            <w:r>
              <w:rPr>
                <w:rFonts w:hint="eastAsia"/>
                <w:bCs/>
                <w:sz w:val="24"/>
              </w:rPr>
              <w:t>；同时</w:t>
            </w:r>
            <w:r>
              <w:rPr>
                <w:bCs/>
                <w:kern w:val="36"/>
                <w:sz w:val="24"/>
              </w:rPr>
              <w:t>根据《新乡市山水林田湖草一体化生态城控制性详细规划</w:t>
            </w:r>
            <w:r>
              <w:rPr>
                <w:rFonts w:hint="eastAsia"/>
                <w:bCs/>
                <w:kern w:val="36"/>
                <w:sz w:val="24"/>
              </w:rPr>
              <w:t xml:space="preserve">- </w:t>
            </w:r>
            <w:r>
              <w:rPr>
                <w:bCs/>
                <w:kern w:val="36"/>
                <w:sz w:val="24"/>
              </w:rPr>
              <w:t>-用地规划图》，该项目选址属于公园绿地</w:t>
            </w:r>
            <w:r>
              <w:rPr>
                <w:rFonts w:hint="eastAsia"/>
                <w:bCs/>
                <w:kern w:val="36"/>
                <w:sz w:val="24"/>
              </w:rPr>
              <w:t>（详见附图二）</w:t>
            </w:r>
            <w:r>
              <w:rPr>
                <w:bCs/>
                <w:kern w:val="36"/>
                <w:sz w:val="24"/>
              </w:rPr>
              <w:t>，新乡市博昌环保设备有限公司</w:t>
            </w:r>
            <w:r>
              <w:rPr>
                <w:rFonts w:hint="eastAsia"/>
                <w:bCs/>
                <w:kern w:val="36"/>
                <w:sz w:val="24"/>
              </w:rPr>
              <w:t>已签署搬迁承诺书（见附件），待新乡市山水林田湖草一体化生态城发展规划至此时，需要我厂搬迁，本项目建设单位同意无条件搬迁</w:t>
            </w:r>
            <w:r>
              <w:rPr>
                <w:sz w:val="24"/>
              </w:rPr>
              <w:t>；项目选址距离最近的饮用水源地为凤泉水厂地下水饮用水源保护区(共8眼井)，本项目不在其保护区范围</w:t>
            </w:r>
            <w:r>
              <w:rPr>
                <w:rFonts w:hint="eastAsia"/>
                <w:sz w:val="24"/>
              </w:rPr>
              <w:t>，选址可行。</w:t>
            </w:r>
          </w:p>
          <w:p>
            <w:pPr>
              <w:pStyle w:val="64"/>
              <w:tabs>
                <w:tab w:val="left" w:pos="6607"/>
              </w:tabs>
              <w:snapToGrid w:val="0"/>
              <w:spacing w:line="420" w:lineRule="exact"/>
              <w:ind w:firstLine="482" w:firstLineChars="200"/>
              <w:rPr>
                <w:rFonts w:ascii="Times New Roman" w:hAnsi="Times New Roman"/>
                <w:b/>
                <w:sz w:val="24"/>
                <w:szCs w:val="21"/>
              </w:rPr>
            </w:pPr>
            <w:r>
              <w:rPr>
                <w:rFonts w:ascii="Times New Roman" w:hAnsi="Times New Roman"/>
                <w:b/>
                <w:sz w:val="24"/>
                <w:szCs w:val="21"/>
              </w:rPr>
              <w:t>3、本项目运营期的废水、噪声、固废、废气等污染因素均采取了有效的处置措施，可以满足相应的排放标准要求，不会对周围环境产生大的影响。</w:t>
            </w:r>
          </w:p>
          <w:p>
            <w:pPr>
              <w:snapToGrid w:val="0"/>
              <w:spacing w:line="420" w:lineRule="exact"/>
              <w:ind w:firstLine="482" w:firstLineChars="200"/>
              <w:jc w:val="left"/>
              <w:textAlignment w:val="baseline"/>
              <w:rPr>
                <w:b/>
                <w:sz w:val="24"/>
              </w:rPr>
            </w:pPr>
            <w:r>
              <w:rPr>
                <w:b/>
                <w:sz w:val="24"/>
              </w:rPr>
              <w:t>（一）废水：</w:t>
            </w:r>
          </w:p>
          <w:p>
            <w:pPr>
              <w:snapToGrid w:val="0"/>
              <w:spacing w:line="420" w:lineRule="exact"/>
              <w:ind w:firstLine="464" w:firstLineChars="200"/>
              <w:rPr>
                <w:sz w:val="24"/>
              </w:rPr>
            </w:pPr>
            <w:r>
              <w:rPr>
                <w:spacing w:val="-4"/>
                <w:sz w:val="24"/>
              </w:rPr>
              <w:t>本项目无生产废水，废水为员工的生活污水</w:t>
            </w:r>
            <w:r>
              <w:rPr>
                <w:sz w:val="24"/>
              </w:rPr>
              <w:t>产生量为</w:t>
            </w:r>
            <w:r>
              <w:rPr>
                <w:rFonts w:hint="eastAsia"/>
                <w:sz w:val="24"/>
              </w:rPr>
              <w:t>19.44</w:t>
            </w:r>
            <w:r>
              <w:rPr>
                <w:sz w:val="24"/>
              </w:rPr>
              <w:t>t/a。生活污水</w:t>
            </w:r>
            <w:r>
              <w:rPr>
                <w:sz w:val="24"/>
                <w:lang w:val="pt-BR"/>
              </w:rPr>
              <w:t>经厂区化粪池处理后定期清运</w:t>
            </w:r>
            <w:r>
              <w:rPr>
                <w:sz w:val="24"/>
              </w:rPr>
              <w:t>。</w:t>
            </w:r>
          </w:p>
          <w:p>
            <w:pPr>
              <w:snapToGrid w:val="0"/>
              <w:spacing w:line="420" w:lineRule="exact"/>
              <w:ind w:firstLine="466" w:firstLineChars="200"/>
              <w:rPr>
                <w:b/>
                <w:sz w:val="24"/>
              </w:rPr>
            </w:pPr>
            <w:r>
              <w:rPr>
                <w:b/>
                <w:spacing w:val="-4"/>
                <w:sz w:val="24"/>
              </w:rPr>
              <w:t>（二）</w:t>
            </w:r>
            <w:r>
              <w:rPr>
                <w:b/>
                <w:sz w:val="24"/>
              </w:rPr>
              <w:t>噪声：</w:t>
            </w:r>
          </w:p>
          <w:p>
            <w:pPr>
              <w:snapToGrid w:val="0"/>
              <w:spacing w:line="420" w:lineRule="exact"/>
              <w:ind w:firstLine="480" w:firstLineChars="200"/>
              <w:rPr>
                <w:sz w:val="24"/>
              </w:rPr>
            </w:pPr>
            <w:r>
              <w:rPr>
                <w:sz w:val="24"/>
              </w:rPr>
              <w:t>本项目高噪声设备主要为</w:t>
            </w:r>
            <w:r>
              <w:rPr>
                <w:bCs/>
                <w:sz w:val="24"/>
              </w:rPr>
              <w:t>切割机、台钻、剪板机、卷圆机、冲床等机加工设备噪声</w:t>
            </w:r>
            <w:r>
              <w:rPr>
                <w:sz w:val="24"/>
              </w:rPr>
              <w:t>，设备噪声源强约为75-8</w:t>
            </w:r>
            <w:r>
              <w:rPr>
                <w:rFonts w:hint="eastAsia"/>
                <w:sz w:val="24"/>
              </w:rPr>
              <w:t>0</w:t>
            </w:r>
            <w:r>
              <w:rPr>
                <w:sz w:val="24"/>
              </w:rPr>
              <w:t>dB（A），经</w:t>
            </w:r>
            <w:r>
              <w:rPr>
                <w:bCs/>
                <w:sz w:val="24"/>
              </w:rPr>
              <w:t>减振、隔声以及距离衰减后</w:t>
            </w:r>
            <w:r>
              <w:rPr>
                <w:rFonts w:hint="eastAsia"/>
                <w:bCs/>
                <w:sz w:val="24"/>
              </w:rPr>
              <w:t>，</w:t>
            </w:r>
            <w:r>
              <w:rPr>
                <w:bCs/>
                <w:sz w:val="24"/>
              </w:rPr>
              <w:t>项目厂界噪声贡献值</w:t>
            </w:r>
            <w:r>
              <w:rPr>
                <w:sz w:val="24"/>
              </w:rPr>
              <w:t>能够满足《工业企业厂界环境噪声排放标准》（GB12348-2008）2类昼间60dB（A）的限值要求。</w:t>
            </w:r>
          </w:p>
          <w:p>
            <w:pPr>
              <w:snapToGrid w:val="0"/>
              <w:spacing w:line="420" w:lineRule="exact"/>
              <w:ind w:firstLine="466" w:firstLineChars="200"/>
              <w:rPr>
                <w:b/>
                <w:sz w:val="24"/>
              </w:rPr>
            </w:pPr>
            <w:r>
              <w:rPr>
                <w:b/>
                <w:spacing w:val="-4"/>
                <w:sz w:val="24"/>
              </w:rPr>
              <w:t>（三）</w:t>
            </w:r>
            <w:r>
              <w:rPr>
                <w:b/>
                <w:sz w:val="24"/>
              </w:rPr>
              <w:t>固废：</w:t>
            </w:r>
          </w:p>
          <w:p>
            <w:pPr>
              <w:pStyle w:val="64"/>
              <w:tabs>
                <w:tab w:val="left" w:pos="6607"/>
              </w:tabs>
              <w:snapToGrid w:val="0"/>
              <w:spacing w:line="420" w:lineRule="exact"/>
              <w:ind w:firstLine="480" w:firstLineChars="200"/>
              <w:rPr>
                <w:rFonts w:ascii="Times New Roman" w:hAnsi="Times New Roman"/>
                <w:sz w:val="24"/>
                <w:szCs w:val="21"/>
              </w:rPr>
            </w:pPr>
            <w:r>
              <w:rPr>
                <w:rFonts w:ascii="Times New Roman" w:hAnsi="Times New Roman"/>
                <w:sz w:val="24"/>
                <w:szCs w:val="21"/>
              </w:rPr>
              <w:t>本项目产生的一般工业固废有：</w:t>
            </w:r>
            <w:r>
              <w:rPr>
                <w:rFonts w:ascii="Times New Roman" w:hAnsi="Times New Roman"/>
                <w:bCs/>
                <w:sz w:val="24"/>
                <w:szCs w:val="21"/>
              </w:rPr>
              <w:t>废边角料</w:t>
            </w:r>
            <w:r>
              <w:rPr>
                <w:rFonts w:ascii="Times New Roman" w:hAnsi="Times New Roman"/>
                <w:sz w:val="24"/>
                <w:szCs w:val="21"/>
              </w:rPr>
              <w:t>、除尘器收集的颗粒物、生活垃圾，危险废物为：废机油。处置措施为：</w:t>
            </w:r>
            <w:r>
              <w:rPr>
                <w:rFonts w:ascii="Times New Roman" w:hAnsi="Times New Roman"/>
                <w:bCs/>
                <w:sz w:val="24"/>
                <w:szCs w:val="21"/>
              </w:rPr>
              <w:t>废边角料一般固废暂存间暂存后定期</w:t>
            </w:r>
            <w:r>
              <w:rPr>
                <w:rFonts w:ascii="Times New Roman" w:hAnsi="Times New Roman"/>
                <w:sz w:val="24"/>
                <w:szCs w:val="21"/>
              </w:rPr>
              <w:t>外售，</w:t>
            </w:r>
            <w:r>
              <w:rPr>
                <w:rFonts w:ascii="Times New Roman" w:hAnsi="Times New Roman"/>
                <w:bCs/>
                <w:sz w:val="24"/>
                <w:szCs w:val="21"/>
              </w:rPr>
              <w:t>除尘器收集的颗粒物一般固废暂存间暂存后交由环卫部门处理，</w:t>
            </w:r>
            <w:r>
              <w:rPr>
                <w:rFonts w:ascii="Times New Roman" w:hAnsi="Times New Roman"/>
                <w:sz w:val="24"/>
                <w:szCs w:val="21"/>
              </w:rPr>
              <w:t>生活垃圾</w:t>
            </w:r>
            <w:r>
              <w:rPr>
                <w:rFonts w:ascii="Times New Roman" w:hAnsi="Times New Roman"/>
                <w:kern w:val="0"/>
                <w:sz w:val="24"/>
                <w:szCs w:val="21"/>
              </w:rPr>
              <w:t>集中收集后交由环卫部门统一清运</w:t>
            </w:r>
            <w:r>
              <w:rPr>
                <w:rFonts w:ascii="Times New Roman" w:hAnsi="Times New Roman"/>
                <w:sz w:val="24"/>
                <w:szCs w:val="21"/>
              </w:rPr>
              <w:t>，废机油经危废暂存间暂存后，交由有相应类别危废资质单位定期处理。</w:t>
            </w:r>
          </w:p>
          <w:p>
            <w:pPr>
              <w:pStyle w:val="64"/>
              <w:tabs>
                <w:tab w:val="left" w:pos="6607"/>
              </w:tabs>
              <w:snapToGrid w:val="0"/>
              <w:spacing w:line="420" w:lineRule="exact"/>
              <w:ind w:firstLine="482" w:firstLineChars="200"/>
              <w:rPr>
                <w:rFonts w:ascii="Times New Roman" w:hAnsi="Times New Roman"/>
                <w:b/>
                <w:sz w:val="24"/>
                <w:szCs w:val="21"/>
              </w:rPr>
            </w:pPr>
            <w:r>
              <w:rPr>
                <w:rFonts w:hint="eastAsia" w:ascii="Times New Roman" w:hAnsi="Times New Roman"/>
                <w:b/>
                <w:sz w:val="24"/>
                <w:szCs w:val="21"/>
              </w:rPr>
              <w:t>（四）废气：</w:t>
            </w:r>
          </w:p>
          <w:p>
            <w:pPr>
              <w:autoSpaceDN w:val="0"/>
              <w:spacing w:line="420" w:lineRule="exact"/>
              <w:ind w:firstLine="480" w:firstLineChars="200"/>
              <w:rPr>
                <w:sz w:val="24"/>
              </w:rPr>
            </w:pPr>
            <w:r>
              <w:rPr>
                <w:bCs/>
                <w:sz w:val="24"/>
              </w:rPr>
              <w:t>项目产生的切割粉尘及焊接打磨粉尘，</w:t>
            </w:r>
            <w:r>
              <w:rPr>
                <w:sz w:val="24"/>
              </w:rPr>
              <w:t>经过负压式密闭室+袋式除尘器处理后由</w:t>
            </w:r>
            <w:r>
              <w:rPr>
                <w:rFonts w:hint="eastAsia"/>
                <w:sz w:val="24"/>
              </w:rPr>
              <w:t>15m高排气筒</w:t>
            </w:r>
            <w:r>
              <w:rPr>
                <w:sz w:val="24"/>
              </w:rPr>
              <w:t>排放</w:t>
            </w:r>
            <w:r>
              <w:rPr>
                <w:bCs/>
                <w:sz w:val="24"/>
              </w:rPr>
              <w:t>，</w:t>
            </w:r>
            <w:r>
              <w:rPr>
                <w:sz w:val="24"/>
              </w:rPr>
              <w:t>废气排放总量为0.0</w:t>
            </w:r>
            <w:r>
              <w:rPr>
                <w:rFonts w:hint="eastAsia"/>
                <w:sz w:val="24"/>
              </w:rPr>
              <w:t>151</w:t>
            </w:r>
            <w:r>
              <w:rPr>
                <w:sz w:val="24"/>
              </w:rPr>
              <w:t>t/a，排放浓度为</w:t>
            </w:r>
            <w:r>
              <w:rPr>
                <w:rFonts w:hint="eastAsia"/>
                <w:sz w:val="24"/>
              </w:rPr>
              <w:t>11.185mg/m</w:t>
            </w:r>
            <w:r>
              <w:rPr>
                <w:rFonts w:hint="eastAsia"/>
                <w:sz w:val="24"/>
                <w:vertAlign w:val="superscript"/>
              </w:rPr>
              <w:t>3</w:t>
            </w:r>
            <w:r>
              <w:rPr>
                <w:rFonts w:hint="eastAsia"/>
                <w:sz w:val="24"/>
              </w:rPr>
              <w:t>，排放速率为0.0559kg/h</w:t>
            </w:r>
            <w:r>
              <w:rPr>
                <w:sz w:val="24"/>
              </w:rPr>
              <w:t>，能够满足《大气污染物综合排放标准》（GB16297-1996）表2二级</w:t>
            </w:r>
            <w:r>
              <w:rPr>
                <w:rFonts w:hint="eastAsia"/>
                <w:sz w:val="24"/>
              </w:rPr>
              <w:t>有组织120</w:t>
            </w:r>
            <w:r>
              <w:rPr>
                <w:sz w:val="24"/>
              </w:rPr>
              <w:t xml:space="preserve"> mg/m</w:t>
            </w:r>
            <w:r>
              <w:rPr>
                <w:sz w:val="24"/>
                <w:vertAlign w:val="superscript"/>
              </w:rPr>
              <w:t>3</w:t>
            </w:r>
            <w:r>
              <w:rPr>
                <w:sz w:val="24"/>
              </w:rPr>
              <w:t>、3.5kg/h</w:t>
            </w:r>
            <w:r>
              <w:rPr>
                <w:rFonts w:hint="eastAsia"/>
                <w:sz w:val="24"/>
              </w:rPr>
              <w:t>（</w:t>
            </w:r>
            <w:r>
              <w:rPr>
                <w:sz w:val="24"/>
              </w:rPr>
              <w:t>15m</w:t>
            </w:r>
            <w:r>
              <w:rPr>
                <w:rFonts w:hint="eastAsia"/>
                <w:sz w:val="24"/>
              </w:rPr>
              <w:t>高排气筒）的限值</w:t>
            </w:r>
            <w:r>
              <w:rPr>
                <w:sz w:val="24"/>
              </w:rPr>
              <w:t>，对周围环境不会造成影响。</w:t>
            </w:r>
          </w:p>
          <w:p>
            <w:pPr>
              <w:pStyle w:val="2"/>
              <w:spacing w:line="420" w:lineRule="exact"/>
              <w:ind w:firstLine="480"/>
              <w:rPr>
                <w:bCs/>
                <w:sz w:val="24"/>
              </w:rPr>
            </w:pPr>
            <w:r>
              <w:rPr>
                <w:rFonts w:hint="eastAsia"/>
                <w:bCs/>
                <w:sz w:val="24"/>
              </w:rPr>
              <w:t>根据《新乡市环境污染防治攻坚指挥部办公室关于印发新乡市2019年大气污染防治攻坚战实施方案的通知》（新环攻坚办[2019]74号）的要求，在废气治理措施处安装在线监控装置。</w:t>
            </w:r>
          </w:p>
          <w:p>
            <w:pPr>
              <w:pStyle w:val="64"/>
              <w:tabs>
                <w:tab w:val="left" w:pos="3945"/>
              </w:tabs>
              <w:snapToGrid w:val="0"/>
              <w:spacing w:line="420" w:lineRule="exact"/>
              <w:ind w:firstLine="479" w:firstLineChars="199"/>
              <w:rPr>
                <w:rFonts w:ascii="Times New Roman" w:hAnsi="Times New Roman"/>
                <w:b/>
                <w:sz w:val="24"/>
                <w:szCs w:val="21"/>
              </w:rPr>
            </w:pPr>
            <w:r>
              <w:rPr>
                <w:rFonts w:ascii="Times New Roman" w:hAnsi="Times New Roman"/>
                <w:b/>
                <w:sz w:val="24"/>
                <w:szCs w:val="21"/>
              </w:rPr>
              <w:t>4、环保投资</w:t>
            </w:r>
            <w:r>
              <w:rPr>
                <w:rFonts w:ascii="Times New Roman" w:hAnsi="Times New Roman"/>
                <w:b/>
                <w:sz w:val="24"/>
                <w:szCs w:val="21"/>
              </w:rPr>
              <w:tab/>
            </w:r>
          </w:p>
          <w:p>
            <w:pPr>
              <w:pStyle w:val="64"/>
              <w:snapToGrid w:val="0"/>
              <w:spacing w:line="400" w:lineRule="exact"/>
              <w:ind w:firstLine="480" w:firstLineChars="200"/>
              <w:rPr>
                <w:rFonts w:ascii="Times New Roman" w:hAnsi="Times New Roman"/>
                <w:sz w:val="24"/>
                <w:szCs w:val="21"/>
              </w:rPr>
            </w:pPr>
            <w:r>
              <w:rPr>
                <w:rFonts w:ascii="Times New Roman" w:hAnsi="Times New Roman"/>
                <w:sz w:val="24"/>
                <w:szCs w:val="21"/>
              </w:rPr>
              <w:t>本项目总投资</w:t>
            </w:r>
            <w:r>
              <w:rPr>
                <w:rFonts w:hint="eastAsia" w:ascii="Times New Roman" w:hAnsi="Times New Roman"/>
                <w:sz w:val="24"/>
                <w:szCs w:val="21"/>
              </w:rPr>
              <w:t>5</w:t>
            </w:r>
            <w:r>
              <w:rPr>
                <w:rFonts w:ascii="Times New Roman" w:hAnsi="Times New Roman"/>
                <w:sz w:val="24"/>
                <w:szCs w:val="21"/>
              </w:rPr>
              <w:t>0万元，环保投资总计</w:t>
            </w:r>
            <w:r>
              <w:rPr>
                <w:rFonts w:hint="eastAsia" w:ascii="Times New Roman" w:hAnsi="Times New Roman"/>
                <w:sz w:val="24"/>
                <w:szCs w:val="21"/>
              </w:rPr>
              <w:t>7</w:t>
            </w:r>
            <w:r>
              <w:rPr>
                <w:rFonts w:ascii="Times New Roman" w:hAnsi="Times New Roman"/>
                <w:sz w:val="24"/>
                <w:szCs w:val="21"/>
              </w:rPr>
              <w:t>万元，环保投资占项目总投资的</w:t>
            </w:r>
            <w:r>
              <w:rPr>
                <w:rFonts w:hint="eastAsia" w:ascii="Times New Roman" w:hAnsi="Times New Roman"/>
                <w:sz w:val="24"/>
                <w:szCs w:val="21"/>
              </w:rPr>
              <w:t>14</w:t>
            </w:r>
            <w:r>
              <w:rPr>
                <w:rFonts w:ascii="Times New Roman" w:hAnsi="Times New Roman"/>
                <w:sz w:val="24"/>
                <w:szCs w:val="21"/>
              </w:rPr>
              <w:t>%。</w:t>
            </w:r>
          </w:p>
          <w:p>
            <w:pPr>
              <w:spacing w:line="400" w:lineRule="exact"/>
              <w:rPr>
                <w:b/>
                <w:sz w:val="24"/>
              </w:rPr>
            </w:pPr>
            <w:r>
              <w:rPr>
                <w:b/>
                <w:sz w:val="24"/>
              </w:rPr>
              <w:t>二、建 议</w:t>
            </w:r>
          </w:p>
          <w:p>
            <w:pPr>
              <w:pStyle w:val="64"/>
              <w:spacing w:line="400" w:lineRule="exact"/>
              <w:ind w:firstLine="480" w:firstLineChars="200"/>
              <w:jc w:val="left"/>
              <w:rPr>
                <w:rFonts w:ascii="Times New Roman" w:hAnsi="Times New Roman"/>
                <w:sz w:val="24"/>
                <w:szCs w:val="21"/>
              </w:rPr>
            </w:pPr>
            <w:r>
              <w:rPr>
                <w:rFonts w:ascii="Times New Roman" w:hAnsi="Times New Roman"/>
                <w:sz w:val="24"/>
                <w:szCs w:val="21"/>
              </w:rPr>
              <w:t>（1）建设单位应严格落实环保资金，确保各种污染物的达标排放。</w:t>
            </w:r>
          </w:p>
          <w:p>
            <w:pPr>
              <w:pStyle w:val="64"/>
              <w:spacing w:line="400" w:lineRule="exact"/>
              <w:ind w:firstLine="480" w:firstLineChars="200"/>
              <w:jc w:val="left"/>
              <w:rPr>
                <w:rFonts w:ascii="Times New Roman" w:hAnsi="Times New Roman"/>
                <w:sz w:val="24"/>
                <w:szCs w:val="21"/>
              </w:rPr>
            </w:pPr>
            <w:r>
              <w:rPr>
                <w:rFonts w:ascii="Times New Roman" w:hAnsi="Times New Roman"/>
                <w:sz w:val="24"/>
                <w:szCs w:val="21"/>
              </w:rPr>
              <w:t>（2）健全环保规章制度，加强对各种污染防治设施的运行管理，定期维护检修，确保其正常稳定运行。</w:t>
            </w:r>
          </w:p>
          <w:p>
            <w:pPr>
              <w:spacing w:line="400" w:lineRule="exact"/>
              <w:rPr>
                <w:b/>
                <w:sz w:val="24"/>
              </w:rPr>
            </w:pPr>
            <w:r>
              <w:rPr>
                <w:b/>
                <w:sz w:val="24"/>
              </w:rPr>
              <w:t>三、</w:t>
            </w:r>
            <w:bookmarkStart w:id="2" w:name="_Toc306089685"/>
            <w:r>
              <w:rPr>
                <w:b/>
                <w:sz w:val="24"/>
              </w:rPr>
              <w:t>总结论</w:t>
            </w:r>
            <w:bookmarkEnd w:id="2"/>
          </w:p>
          <w:p>
            <w:pPr>
              <w:pStyle w:val="6"/>
              <w:spacing w:line="400" w:lineRule="exact"/>
              <w:ind w:firstLine="480"/>
              <w:rPr>
                <w:szCs w:val="24"/>
              </w:rPr>
            </w:pPr>
            <w:r>
              <w:t>新乡市博昌环保设备有限公司</w:t>
            </w:r>
            <w:r>
              <w:rPr>
                <w:szCs w:val="24"/>
              </w:rPr>
              <w:t>年产60套环保设备与机械配件项目符合国家相关政策要求，厂址选择符合当地相关政策。项目产生的废气、废水、噪声各项污染因素经治理后能达到排放要求，固废处置措施可行。评价认为，从环保角度分析，该项目可行。</w:t>
            </w:r>
          </w:p>
          <w:p>
            <w:pPr>
              <w:spacing w:line="400" w:lineRule="exact"/>
              <w:rPr>
                <w:sz w:val="24"/>
              </w:rPr>
            </w:pPr>
          </w:p>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jc w:val="right"/>
              <w:rPr>
                <w:sz w:val="24"/>
              </w:rPr>
            </w:pPr>
            <w:r>
              <w:rPr>
                <w:sz w:val="24"/>
              </w:rPr>
              <w:t>新乡市蓝天环境技术有限公司</w:t>
            </w:r>
          </w:p>
          <w:p>
            <w:pPr>
              <w:spacing w:line="440" w:lineRule="exact"/>
              <w:ind w:left="7080" w:right="980" w:hanging="7080" w:hangingChars="2950"/>
              <w:rPr>
                <w:sz w:val="24"/>
              </w:rPr>
            </w:pPr>
            <w:r>
              <w:rPr>
                <w:sz w:val="24"/>
              </w:rPr>
              <w:t xml:space="preserve">                                                         </w:t>
            </w:r>
            <w:r>
              <w:rPr>
                <w:color w:val="FF0000"/>
                <w:sz w:val="24"/>
              </w:rPr>
              <w:t xml:space="preserve">  </w:t>
            </w:r>
            <w:r>
              <w:rPr>
                <w:sz w:val="24"/>
              </w:rPr>
              <w:t xml:space="preserve"> 2019.</w:t>
            </w:r>
            <w:r>
              <w:rPr>
                <w:rFonts w:hint="eastAsia"/>
                <w:sz w:val="24"/>
              </w:rPr>
              <w:t>4.25</w:t>
            </w:r>
          </w:p>
          <w:p>
            <w:pPr>
              <w:pStyle w:val="4"/>
              <w:ind w:left="0" w:firstLine="0"/>
              <w:jc w:val="both"/>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7" w:hRule="atLeast"/>
        </w:trPr>
        <w:tc>
          <w:tcPr>
            <w:tcW w:w="9555" w:type="dxa"/>
            <w:gridSpan w:val="2"/>
          </w:tcPr>
          <w:p>
            <w:pPr>
              <w:spacing w:line="440" w:lineRule="exact"/>
              <w:jc w:val="left"/>
              <w:rPr>
                <w:sz w:val="24"/>
              </w:rPr>
            </w:pPr>
            <w:r>
              <w:rPr>
                <w:sz w:val="24"/>
              </w:rPr>
              <w:t>预审意见：</w:t>
            </w: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ind w:right="1120"/>
              <w:jc w:val="center"/>
              <w:rPr>
                <w:sz w:val="24"/>
              </w:rPr>
            </w:pPr>
            <w:r>
              <w:rPr>
                <w:sz w:val="24"/>
              </w:rPr>
              <w:t xml:space="preserve">                                                             公   章</w:t>
            </w:r>
          </w:p>
          <w:p>
            <w:pPr>
              <w:spacing w:line="440" w:lineRule="exact"/>
              <w:jc w:val="left"/>
              <w:rPr>
                <w:sz w:val="24"/>
              </w:rPr>
            </w:pPr>
            <w:r>
              <w:rPr>
                <w:sz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6" w:hRule="atLeast"/>
        </w:trPr>
        <w:tc>
          <w:tcPr>
            <w:tcW w:w="9555" w:type="dxa"/>
            <w:gridSpan w:val="2"/>
          </w:tcPr>
          <w:p>
            <w:pPr>
              <w:spacing w:line="440" w:lineRule="exact"/>
              <w:jc w:val="left"/>
              <w:rPr>
                <w:b/>
                <w:sz w:val="24"/>
              </w:rPr>
            </w:pPr>
          </w:p>
          <w:p>
            <w:pPr>
              <w:spacing w:line="440" w:lineRule="exact"/>
              <w:jc w:val="left"/>
              <w:rPr>
                <w:sz w:val="24"/>
              </w:rPr>
            </w:pPr>
            <w:r>
              <w:rPr>
                <w:sz w:val="24"/>
              </w:rPr>
              <w:t>下一级环境保护行政主管部门审查意见：</w:t>
            </w: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r>
              <w:rPr>
                <w:sz w:val="24"/>
              </w:rPr>
              <w:t xml:space="preserve">                                                               公  章</w:t>
            </w:r>
          </w:p>
          <w:p>
            <w:pPr>
              <w:spacing w:line="440" w:lineRule="exact"/>
              <w:jc w:val="left"/>
              <w:rPr>
                <w:sz w:val="24"/>
              </w:rPr>
            </w:pPr>
            <w:r>
              <w:rPr>
                <w:sz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03" w:hRule="atLeast"/>
        </w:trPr>
        <w:tc>
          <w:tcPr>
            <w:tcW w:w="9555" w:type="dxa"/>
            <w:gridSpan w:val="2"/>
          </w:tcPr>
          <w:p>
            <w:pPr>
              <w:spacing w:line="440" w:lineRule="exact"/>
              <w:jc w:val="left"/>
              <w:rPr>
                <w:sz w:val="24"/>
              </w:rPr>
            </w:pPr>
            <w:r>
              <w:rPr>
                <w:sz w:val="24"/>
              </w:rPr>
              <w:t>审批意见：</w:t>
            </w: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r>
              <w:rPr>
                <w:sz w:val="24"/>
              </w:rPr>
              <w:t xml:space="preserve">                                                            公   章</w:t>
            </w:r>
          </w:p>
          <w:p>
            <w:pPr>
              <w:spacing w:line="440" w:lineRule="exact"/>
              <w:jc w:val="left"/>
              <w:rPr>
                <w:sz w:val="24"/>
              </w:rPr>
            </w:pPr>
            <w:r>
              <w:rPr>
                <w:sz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68" w:type="dxa"/>
        </w:trPr>
        <w:tc>
          <w:tcPr>
            <w:tcW w:w="9287" w:type="dxa"/>
            <w:vAlign w:val="center"/>
          </w:tcPr>
          <w:p>
            <w:pPr>
              <w:spacing w:line="440" w:lineRule="exact"/>
              <w:jc w:val="center"/>
            </w:pPr>
          </w:p>
          <w:p>
            <w:pPr>
              <w:spacing w:line="460" w:lineRule="exact"/>
              <w:jc w:val="center"/>
              <w:rPr>
                <w:sz w:val="24"/>
              </w:rPr>
            </w:pPr>
            <w:r>
              <w:rPr>
                <w:sz w:val="24"/>
              </w:rPr>
              <w:t>注       释</w:t>
            </w:r>
          </w:p>
          <w:p>
            <w:pPr>
              <w:spacing w:line="460" w:lineRule="exact"/>
              <w:jc w:val="center"/>
              <w:rPr>
                <w:sz w:val="24"/>
              </w:rPr>
            </w:pPr>
          </w:p>
          <w:p>
            <w:pPr>
              <w:spacing w:line="460" w:lineRule="exact"/>
              <w:jc w:val="center"/>
              <w:rPr>
                <w:sz w:val="24"/>
              </w:rPr>
            </w:pPr>
          </w:p>
          <w:p>
            <w:pPr>
              <w:spacing w:line="460" w:lineRule="exact"/>
              <w:ind w:firstLine="480" w:firstLineChars="200"/>
              <w:jc w:val="center"/>
              <w:rPr>
                <w:sz w:val="24"/>
              </w:rPr>
            </w:pPr>
            <w:r>
              <w:rPr>
                <w:sz w:val="24"/>
              </w:rPr>
              <w:t>一、本报告表应附以下附件、附图：</w:t>
            </w:r>
          </w:p>
          <w:p>
            <w:pPr>
              <w:spacing w:line="460" w:lineRule="exact"/>
              <w:ind w:firstLine="480" w:firstLineChars="200"/>
              <w:jc w:val="center"/>
              <w:rPr>
                <w:sz w:val="24"/>
              </w:rPr>
            </w:pPr>
            <w:r>
              <w:rPr>
                <w:sz w:val="24"/>
              </w:rPr>
              <w:t>附件1 立项批准文件</w:t>
            </w:r>
          </w:p>
          <w:p>
            <w:pPr>
              <w:spacing w:line="460" w:lineRule="exact"/>
              <w:ind w:firstLine="480" w:firstLineChars="200"/>
              <w:jc w:val="center"/>
              <w:rPr>
                <w:sz w:val="24"/>
              </w:rPr>
            </w:pPr>
            <w:r>
              <w:rPr>
                <w:sz w:val="24"/>
              </w:rPr>
              <w:t>附件2 其他与环评有关的行政管理文件</w:t>
            </w:r>
          </w:p>
          <w:p>
            <w:pPr>
              <w:spacing w:line="460" w:lineRule="exact"/>
              <w:ind w:firstLine="480" w:firstLineChars="200"/>
              <w:jc w:val="center"/>
              <w:rPr>
                <w:sz w:val="24"/>
              </w:rPr>
            </w:pPr>
            <w:r>
              <w:rPr>
                <w:sz w:val="24"/>
              </w:rPr>
              <w:t>附图1 项目地理位置图（应反映行政区划、水系、表明纳污口位置和地形地貌等）</w:t>
            </w:r>
          </w:p>
          <w:p>
            <w:pPr>
              <w:spacing w:line="460" w:lineRule="exact"/>
              <w:ind w:firstLine="480" w:firstLineChars="200"/>
              <w:jc w:val="center"/>
              <w:rPr>
                <w:sz w:val="24"/>
              </w:rPr>
            </w:pPr>
            <w:r>
              <w:rPr>
                <w:sz w:val="24"/>
              </w:rPr>
              <w:t>附图2 项目平面布置图</w:t>
            </w:r>
          </w:p>
          <w:p>
            <w:pPr>
              <w:spacing w:line="460" w:lineRule="exact"/>
              <w:ind w:left="1575" w:firstLine="480" w:firstLineChars="200"/>
              <w:jc w:val="center"/>
              <w:rPr>
                <w:sz w:val="24"/>
              </w:rPr>
            </w:pPr>
          </w:p>
          <w:p>
            <w:pPr>
              <w:spacing w:line="460" w:lineRule="exact"/>
              <w:ind w:firstLine="480" w:firstLineChars="200"/>
              <w:jc w:val="center"/>
              <w:rPr>
                <w:sz w:val="24"/>
              </w:rPr>
            </w:pPr>
            <w:r>
              <w:rPr>
                <w:sz w:val="24"/>
              </w:rPr>
              <w:t>二、如果本报告表不能说明项目产生的污染及对环境造成的影响，应进行专项评价。根据建设项目的特点和当地环境特征，应选下列1~2项进行专项评价。</w:t>
            </w:r>
          </w:p>
          <w:p>
            <w:pPr>
              <w:numPr>
                <w:ilvl w:val="0"/>
                <w:numId w:val="2"/>
              </w:numPr>
              <w:spacing w:line="460" w:lineRule="exact"/>
              <w:jc w:val="center"/>
              <w:rPr>
                <w:sz w:val="24"/>
              </w:rPr>
            </w:pPr>
            <w:r>
              <w:rPr>
                <w:sz w:val="24"/>
              </w:rPr>
              <w:t>大气环境影响专项评价</w:t>
            </w:r>
          </w:p>
          <w:p>
            <w:pPr>
              <w:numPr>
                <w:ilvl w:val="0"/>
                <w:numId w:val="2"/>
              </w:numPr>
              <w:spacing w:line="460" w:lineRule="exact"/>
              <w:jc w:val="center"/>
              <w:rPr>
                <w:sz w:val="24"/>
              </w:rPr>
            </w:pPr>
            <w:r>
              <w:rPr>
                <w:sz w:val="24"/>
              </w:rPr>
              <w:t>水环境影响专项评价（包括地表水和地下水）</w:t>
            </w:r>
          </w:p>
          <w:p>
            <w:pPr>
              <w:numPr>
                <w:ilvl w:val="0"/>
                <w:numId w:val="2"/>
              </w:numPr>
              <w:spacing w:line="460" w:lineRule="exact"/>
              <w:jc w:val="center"/>
              <w:rPr>
                <w:sz w:val="24"/>
              </w:rPr>
            </w:pPr>
            <w:r>
              <w:rPr>
                <w:sz w:val="24"/>
              </w:rPr>
              <w:t>生态影响专项评价</w:t>
            </w:r>
          </w:p>
          <w:p>
            <w:pPr>
              <w:numPr>
                <w:ilvl w:val="0"/>
                <w:numId w:val="2"/>
              </w:numPr>
              <w:spacing w:line="460" w:lineRule="exact"/>
              <w:jc w:val="center"/>
              <w:rPr>
                <w:sz w:val="24"/>
              </w:rPr>
            </w:pPr>
            <w:r>
              <w:rPr>
                <w:sz w:val="24"/>
              </w:rPr>
              <w:t>声环境专项评价</w:t>
            </w:r>
          </w:p>
          <w:p>
            <w:pPr>
              <w:numPr>
                <w:ilvl w:val="0"/>
                <w:numId w:val="2"/>
              </w:numPr>
              <w:spacing w:line="460" w:lineRule="exact"/>
              <w:jc w:val="center"/>
              <w:rPr>
                <w:sz w:val="24"/>
              </w:rPr>
            </w:pPr>
            <w:r>
              <w:rPr>
                <w:sz w:val="24"/>
              </w:rPr>
              <w:t>土壤影响专项评价</w:t>
            </w:r>
          </w:p>
          <w:p>
            <w:pPr>
              <w:numPr>
                <w:ilvl w:val="0"/>
                <w:numId w:val="2"/>
              </w:numPr>
              <w:spacing w:line="460" w:lineRule="exact"/>
              <w:jc w:val="center"/>
              <w:rPr>
                <w:sz w:val="24"/>
              </w:rPr>
            </w:pPr>
            <w:r>
              <w:rPr>
                <w:sz w:val="24"/>
              </w:rPr>
              <w:t>固体废弃物影响专项评价</w:t>
            </w:r>
          </w:p>
          <w:p>
            <w:pPr>
              <w:spacing w:line="460" w:lineRule="exact"/>
              <w:ind w:left="105" w:firstLine="480"/>
              <w:jc w:val="center"/>
              <w:rPr>
                <w:sz w:val="24"/>
              </w:rPr>
            </w:pPr>
            <w:r>
              <w:rPr>
                <w:sz w:val="24"/>
              </w:rPr>
              <w:t>以上专项评价未包括的可另列专项，专项评价按照《环境影响评价技术导则》中的要求进行。</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both"/>
            </w:pPr>
            <w:bookmarkStart w:id="3" w:name="_GoBack"/>
            <w:bookmarkEnd w:id="3"/>
          </w:p>
          <w:p>
            <w:pPr>
              <w:pStyle w:val="2"/>
              <w:ind w:firstLine="0" w:firstLineChars="0"/>
            </w:pPr>
          </w:p>
        </w:tc>
      </w:tr>
    </w:tbl>
    <w:p>
      <w:pPr>
        <w:spacing w:line="440" w:lineRule="exact"/>
      </w:pPr>
    </w:p>
    <w:sectPr>
      <w:pgSz w:w="11907" w:h="16840"/>
      <w:pgMar w:top="1701" w:right="1418" w:bottom="152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80"/>
      <w:jc w:val="center"/>
    </w:pPr>
    <w:r>
      <w:fldChar w:fldCharType="begin"/>
    </w:r>
    <w:r>
      <w:instrText xml:space="preserve"> PAGE   \* MERGEFORMAT </w:instrText>
    </w:r>
    <w:r>
      <w:fldChar w:fldCharType="separate"/>
    </w:r>
    <w:r>
      <w:rPr>
        <w:lang w:val="zh-CN"/>
      </w:rPr>
      <w:t>29</w:t>
    </w:r>
    <w:r>
      <w:rPr>
        <w:lang w:val="zh-CN"/>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A7B"/>
    <w:multiLevelType w:val="singleLevel"/>
    <w:tmpl w:val="09953A7B"/>
    <w:lvl w:ilvl="0" w:tentative="0">
      <w:start w:val="1"/>
      <w:numFmt w:val="decimal"/>
      <w:lvlText w:val="%1."/>
      <w:lvlJc w:val="left"/>
      <w:pPr>
        <w:tabs>
          <w:tab w:val="left" w:pos="1215"/>
        </w:tabs>
        <w:ind w:left="1215" w:hanging="645"/>
      </w:pPr>
      <w:rPr>
        <w:rFonts w:hint="eastAsia" w:cs="Times New Roman"/>
      </w:rPr>
    </w:lvl>
  </w:abstractNum>
  <w:abstractNum w:abstractNumId="1">
    <w:nsid w:val="17A54BD3"/>
    <w:multiLevelType w:val="multilevel"/>
    <w:tmpl w:val="17A54BD3"/>
    <w:lvl w:ilvl="0" w:tentative="0">
      <w:start w:val="1"/>
      <w:numFmt w:val="none"/>
      <w:lvlText w:val="一、"/>
      <w:lvlJc w:val="left"/>
      <w:pPr>
        <w:tabs>
          <w:tab w:val="left" w:pos="510"/>
        </w:tabs>
        <w:ind w:left="510" w:hanging="480"/>
      </w:pPr>
      <w:rPr>
        <w:rFonts w:hint="default" w:cs="Times New Roman"/>
      </w:rPr>
    </w:lvl>
    <w:lvl w:ilvl="1" w:tentative="0">
      <w:start w:val="1"/>
      <w:numFmt w:val="lowerLetter"/>
      <w:lvlText w:val="%2)"/>
      <w:lvlJc w:val="left"/>
      <w:pPr>
        <w:tabs>
          <w:tab w:val="left" w:pos="870"/>
        </w:tabs>
        <w:ind w:left="870" w:hanging="420"/>
      </w:pPr>
      <w:rPr>
        <w:rFonts w:cs="Times New Roman"/>
      </w:rPr>
    </w:lvl>
    <w:lvl w:ilvl="2" w:tentative="0">
      <w:start w:val="1"/>
      <w:numFmt w:val="lowerRoman"/>
      <w:lvlText w:val="%3."/>
      <w:lvlJc w:val="right"/>
      <w:pPr>
        <w:tabs>
          <w:tab w:val="left" w:pos="1290"/>
        </w:tabs>
        <w:ind w:left="1290" w:hanging="420"/>
      </w:pPr>
      <w:rPr>
        <w:rFonts w:cs="Times New Roman"/>
      </w:rPr>
    </w:lvl>
    <w:lvl w:ilvl="3" w:tentative="0">
      <w:start w:val="1"/>
      <w:numFmt w:val="decimal"/>
      <w:lvlText w:val="%4."/>
      <w:lvlJc w:val="left"/>
      <w:pPr>
        <w:tabs>
          <w:tab w:val="left" w:pos="1710"/>
        </w:tabs>
        <w:ind w:left="1710" w:hanging="420"/>
      </w:pPr>
      <w:rPr>
        <w:rFonts w:cs="Times New Roman"/>
      </w:rPr>
    </w:lvl>
    <w:lvl w:ilvl="4" w:tentative="0">
      <w:start w:val="1"/>
      <w:numFmt w:val="lowerLetter"/>
      <w:lvlText w:val="%5)"/>
      <w:lvlJc w:val="left"/>
      <w:pPr>
        <w:tabs>
          <w:tab w:val="left" w:pos="2130"/>
        </w:tabs>
        <w:ind w:left="2130" w:hanging="420"/>
      </w:pPr>
      <w:rPr>
        <w:rFonts w:cs="Times New Roman"/>
      </w:rPr>
    </w:lvl>
    <w:lvl w:ilvl="5" w:tentative="0">
      <w:start w:val="1"/>
      <w:numFmt w:val="lowerRoman"/>
      <w:lvlText w:val="%6."/>
      <w:lvlJc w:val="right"/>
      <w:pPr>
        <w:tabs>
          <w:tab w:val="left" w:pos="2550"/>
        </w:tabs>
        <w:ind w:left="2550" w:hanging="420"/>
      </w:pPr>
      <w:rPr>
        <w:rFonts w:cs="Times New Roman"/>
      </w:rPr>
    </w:lvl>
    <w:lvl w:ilvl="6" w:tentative="0">
      <w:start w:val="1"/>
      <w:numFmt w:val="decimal"/>
      <w:lvlText w:val="%7."/>
      <w:lvlJc w:val="left"/>
      <w:pPr>
        <w:tabs>
          <w:tab w:val="left" w:pos="2970"/>
        </w:tabs>
        <w:ind w:left="2970" w:hanging="420"/>
      </w:pPr>
      <w:rPr>
        <w:rFonts w:cs="Times New Roman"/>
      </w:rPr>
    </w:lvl>
    <w:lvl w:ilvl="7" w:tentative="0">
      <w:start w:val="1"/>
      <w:numFmt w:val="lowerLetter"/>
      <w:lvlText w:val="%8)"/>
      <w:lvlJc w:val="left"/>
      <w:pPr>
        <w:tabs>
          <w:tab w:val="left" w:pos="3390"/>
        </w:tabs>
        <w:ind w:left="3390" w:hanging="420"/>
      </w:pPr>
      <w:rPr>
        <w:rFonts w:cs="Times New Roman"/>
      </w:rPr>
    </w:lvl>
    <w:lvl w:ilvl="8" w:tentative="0">
      <w:start w:val="1"/>
      <w:numFmt w:val="lowerRoman"/>
      <w:lvlText w:val="%9."/>
      <w:lvlJc w:val="right"/>
      <w:pPr>
        <w:tabs>
          <w:tab w:val="left" w:pos="3810"/>
        </w:tabs>
        <w:ind w:left="381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attachedTemplate r:id="rId1"/>
  <w:documentProtection w:enforcement="0"/>
  <w:defaultTabStop w:val="424"/>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5242"/>
    <w:rsid w:val="00000573"/>
    <w:rsid w:val="00000FE1"/>
    <w:rsid w:val="00001330"/>
    <w:rsid w:val="00002AB4"/>
    <w:rsid w:val="0000328D"/>
    <w:rsid w:val="0000371D"/>
    <w:rsid w:val="00003FE1"/>
    <w:rsid w:val="00005040"/>
    <w:rsid w:val="0000583A"/>
    <w:rsid w:val="0000703F"/>
    <w:rsid w:val="0000718C"/>
    <w:rsid w:val="000073B8"/>
    <w:rsid w:val="0000753D"/>
    <w:rsid w:val="000075CA"/>
    <w:rsid w:val="00007A35"/>
    <w:rsid w:val="0001053E"/>
    <w:rsid w:val="000105A7"/>
    <w:rsid w:val="00010B98"/>
    <w:rsid w:val="00010FF2"/>
    <w:rsid w:val="0001103B"/>
    <w:rsid w:val="000111DD"/>
    <w:rsid w:val="0001132C"/>
    <w:rsid w:val="000115F4"/>
    <w:rsid w:val="00011DEC"/>
    <w:rsid w:val="00011F12"/>
    <w:rsid w:val="00011F26"/>
    <w:rsid w:val="0001200F"/>
    <w:rsid w:val="000121CE"/>
    <w:rsid w:val="000122CC"/>
    <w:rsid w:val="0001293F"/>
    <w:rsid w:val="00012BE8"/>
    <w:rsid w:val="00012C40"/>
    <w:rsid w:val="000142D0"/>
    <w:rsid w:val="000145F9"/>
    <w:rsid w:val="00014A80"/>
    <w:rsid w:val="00015521"/>
    <w:rsid w:val="00015D3B"/>
    <w:rsid w:val="00016AA3"/>
    <w:rsid w:val="00016D52"/>
    <w:rsid w:val="00016D95"/>
    <w:rsid w:val="0002008C"/>
    <w:rsid w:val="000200E1"/>
    <w:rsid w:val="0002077C"/>
    <w:rsid w:val="0002087D"/>
    <w:rsid w:val="00020C50"/>
    <w:rsid w:val="00020CD6"/>
    <w:rsid w:val="00021EC8"/>
    <w:rsid w:val="0002237C"/>
    <w:rsid w:val="00022DE4"/>
    <w:rsid w:val="00023321"/>
    <w:rsid w:val="00023FE9"/>
    <w:rsid w:val="000241B5"/>
    <w:rsid w:val="00024D43"/>
    <w:rsid w:val="000257A4"/>
    <w:rsid w:val="00025B92"/>
    <w:rsid w:val="00025CA0"/>
    <w:rsid w:val="0002605B"/>
    <w:rsid w:val="000263D7"/>
    <w:rsid w:val="00026A67"/>
    <w:rsid w:val="00027243"/>
    <w:rsid w:val="00027966"/>
    <w:rsid w:val="00027B3B"/>
    <w:rsid w:val="00027DE5"/>
    <w:rsid w:val="00027E9F"/>
    <w:rsid w:val="000301D3"/>
    <w:rsid w:val="00030D7C"/>
    <w:rsid w:val="0003108F"/>
    <w:rsid w:val="000314F2"/>
    <w:rsid w:val="00031BFB"/>
    <w:rsid w:val="00031F9F"/>
    <w:rsid w:val="000323C6"/>
    <w:rsid w:val="0003270B"/>
    <w:rsid w:val="00032EA6"/>
    <w:rsid w:val="00033718"/>
    <w:rsid w:val="00033DEC"/>
    <w:rsid w:val="00033F67"/>
    <w:rsid w:val="000343CF"/>
    <w:rsid w:val="00034644"/>
    <w:rsid w:val="00034FC8"/>
    <w:rsid w:val="00034FD3"/>
    <w:rsid w:val="00035357"/>
    <w:rsid w:val="00035EFE"/>
    <w:rsid w:val="00036579"/>
    <w:rsid w:val="00036BE7"/>
    <w:rsid w:val="00036C35"/>
    <w:rsid w:val="00036DDD"/>
    <w:rsid w:val="0003720C"/>
    <w:rsid w:val="00037DF8"/>
    <w:rsid w:val="00040354"/>
    <w:rsid w:val="000408B0"/>
    <w:rsid w:val="000414D8"/>
    <w:rsid w:val="00041763"/>
    <w:rsid w:val="00042808"/>
    <w:rsid w:val="000428B4"/>
    <w:rsid w:val="00043757"/>
    <w:rsid w:val="000438F9"/>
    <w:rsid w:val="00044577"/>
    <w:rsid w:val="000447B9"/>
    <w:rsid w:val="000449C1"/>
    <w:rsid w:val="00044A29"/>
    <w:rsid w:val="00044C64"/>
    <w:rsid w:val="00044C8E"/>
    <w:rsid w:val="00044E1F"/>
    <w:rsid w:val="0004510A"/>
    <w:rsid w:val="00045240"/>
    <w:rsid w:val="00045922"/>
    <w:rsid w:val="00045D07"/>
    <w:rsid w:val="00045F36"/>
    <w:rsid w:val="00046253"/>
    <w:rsid w:val="000472EE"/>
    <w:rsid w:val="00047D5E"/>
    <w:rsid w:val="000500A0"/>
    <w:rsid w:val="00050B49"/>
    <w:rsid w:val="0005105A"/>
    <w:rsid w:val="000510C6"/>
    <w:rsid w:val="00051612"/>
    <w:rsid w:val="00052387"/>
    <w:rsid w:val="00052472"/>
    <w:rsid w:val="00052BEB"/>
    <w:rsid w:val="0005300B"/>
    <w:rsid w:val="00053BFF"/>
    <w:rsid w:val="000540B8"/>
    <w:rsid w:val="00054675"/>
    <w:rsid w:val="00054729"/>
    <w:rsid w:val="00054C3F"/>
    <w:rsid w:val="00055198"/>
    <w:rsid w:val="000551FA"/>
    <w:rsid w:val="0005586A"/>
    <w:rsid w:val="00056384"/>
    <w:rsid w:val="00056A2F"/>
    <w:rsid w:val="00056FB9"/>
    <w:rsid w:val="000573B0"/>
    <w:rsid w:val="00057C58"/>
    <w:rsid w:val="00057F95"/>
    <w:rsid w:val="000600DF"/>
    <w:rsid w:val="0006114A"/>
    <w:rsid w:val="00062909"/>
    <w:rsid w:val="00062C34"/>
    <w:rsid w:val="00062E65"/>
    <w:rsid w:val="00063247"/>
    <w:rsid w:val="00063355"/>
    <w:rsid w:val="00063F3E"/>
    <w:rsid w:val="00063FE0"/>
    <w:rsid w:val="00064035"/>
    <w:rsid w:val="000647BB"/>
    <w:rsid w:val="00064859"/>
    <w:rsid w:val="00064873"/>
    <w:rsid w:val="00064B8F"/>
    <w:rsid w:val="00064C40"/>
    <w:rsid w:val="00064F54"/>
    <w:rsid w:val="000656ED"/>
    <w:rsid w:val="00066374"/>
    <w:rsid w:val="000665CA"/>
    <w:rsid w:val="00066623"/>
    <w:rsid w:val="00066DA1"/>
    <w:rsid w:val="00066DE2"/>
    <w:rsid w:val="00066EC5"/>
    <w:rsid w:val="00067BC5"/>
    <w:rsid w:val="00070276"/>
    <w:rsid w:val="000707FC"/>
    <w:rsid w:val="0007084A"/>
    <w:rsid w:val="00070DCE"/>
    <w:rsid w:val="00070E24"/>
    <w:rsid w:val="00070FF8"/>
    <w:rsid w:val="00071285"/>
    <w:rsid w:val="000719D3"/>
    <w:rsid w:val="00071EF2"/>
    <w:rsid w:val="00073A84"/>
    <w:rsid w:val="00073B96"/>
    <w:rsid w:val="00073DB1"/>
    <w:rsid w:val="000742F1"/>
    <w:rsid w:val="000747C0"/>
    <w:rsid w:val="00074E29"/>
    <w:rsid w:val="0007539B"/>
    <w:rsid w:val="000756DE"/>
    <w:rsid w:val="00075BAC"/>
    <w:rsid w:val="0007662D"/>
    <w:rsid w:val="0007726C"/>
    <w:rsid w:val="00077AC9"/>
    <w:rsid w:val="00081A32"/>
    <w:rsid w:val="00081A9F"/>
    <w:rsid w:val="00081F80"/>
    <w:rsid w:val="00082389"/>
    <w:rsid w:val="00082CD1"/>
    <w:rsid w:val="00082DB1"/>
    <w:rsid w:val="00082F79"/>
    <w:rsid w:val="0008302D"/>
    <w:rsid w:val="00083311"/>
    <w:rsid w:val="000833EB"/>
    <w:rsid w:val="00083602"/>
    <w:rsid w:val="0008415C"/>
    <w:rsid w:val="00084357"/>
    <w:rsid w:val="00084576"/>
    <w:rsid w:val="0008458C"/>
    <w:rsid w:val="000845FA"/>
    <w:rsid w:val="000847B4"/>
    <w:rsid w:val="00084979"/>
    <w:rsid w:val="000853EC"/>
    <w:rsid w:val="0008637E"/>
    <w:rsid w:val="00086428"/>
    <w:rsid w:val="000875AB"/>
    <w:rsid w:val="000879EE"/>
    <w:rsid w:val="00087AC2"/>
    <w:rsid w:val="00087F96"/>
    <w:rsid w:val="0009021E"/>
    <w:rsid w:val="000907A5"/>
    <w:rsid w:val="00090F52"/>
    <w:rsid w:val="00091284"/>
    <w:rsid w:val="00091B21"/>
    <w:rsid w:val="000922CF"/>
    <w:rsid w:val="0009239D"/>
    <w:rsid w:val="000933B2"/>
    <w:rsid w:val="00093609"/>
    <w:rsid w:val="00093886"/>
    <w:rsid w:val="00093B7B"/>
    <w:rsid w:val="00093E59"/>
    <w:rsid w:val="000944C7"/>
    <w:rsid w:val="0009462C"/>
    <w:rsid w:val="00094C47"/>
    <w:rsid w:val="00094C70"/>
    <w:rsid w:val="00095404"/>
    <w:rsid w:val="00095508"/>
    <w:rsid w:val="000958F3"/>
    <w:rsid w:val="00095DD7"/>
    <w:rsid w:val="0009734A"/>
    <w:rsid w:val="000973B5"/>
    <w:rsid w:val="00097FFE"/>
    <w:rsid w:val="000A02B2"/>
    <w:rsid w:val="000A0670"/>
    <w:rsid w:val="000A1029"/>
    <w:rsid w:val="000A11DF"/>
    <w:rsid w:val="000A1966"/>
    <w:rsid w:val="000A2D69"/>
    <w:rsid w:val="000A2F60"/>
    <w:rsid w:val="000A35BC"/>
    <w:rsid w:val="000A4503"/>
    <w:rsid w:val="000A4A5D"/>
    <w:rsid w:val="000A4BA8"/>
    <w:rsid w:val="000A5302"/>
    <w:rsid w:val="000A5529"/>
    <w:rsid w:val="000A59BC"/>
    <w:rsid w:val="000A61CF"/>
    <w:rsid w:val="000A67D8"/>
    <w:rsid w:val="000A6BA9"/>
    <w:rsid w:val="000A7082"/>
    <w:rsid w:val="000A7DA7"/>
    <w:rsid w:val="000B036E"/>
    <w:rsid w:val="000B09AD"/>
    <w:rsid w:val="000B2C3A"/>
    <w:rsid w:val="000B2E0A"/>
    <w:rsid w:val="000B2EE7"/>
    <w:rsid w:val="000B3B63"/>
    <w:rsid w:val="000B3F7A"/>
    <w:rsid w:val="000B493A"/>
    <w:rsid w:val="000B5217"/>
    <w:rsid w:val="000B6303"/>
    <w:rsid w:val="000B636E"/>
    <w:rsid w:val="000B64A4"/>
    <w:rsid w:val="000B70E7"/>
    <w:rsid w:val="000B7224"/>
    <w:rsid w:val="000B7275"/>
    <w:rsid w:val="000B77DF"/>
    <w:rsid w:val="000C0642"/>
    <w:rsid w:val="000C089B"/>
    <w:rsid w:val="000C0A24"/>
    <w:rsid w:val="000C12B7"/>
    <w:rsid w:val="000C182D"/>
    <w:rsid w:val="000C26C8"/>
    <w:rsid w:val="000C2800"/>
    <w:rsid w:val="000C3288"/>
    <w:rsid w:val="000C3962"/>
    <w:rsid w:val="000C3CA9"/>
    <w:rsid w:val="000C42B2"/>
    <w:rsid w:val="000C480D"/>
    <w:rsid w:val="000C4FD0"/>
    <w:rsid w:val="000C5016"/>
    <w:rsid w:val="000C55D5"/>
    <w:rsid w:val="000C56DC"/>
    <w:rsid w:val="000C60FE"/>
    <w:rsid w:val="000C6461"/>
    <w:rsid w:val="000C65FB"/>
    <w:rsid w:val="000C757A"/>
    <w:rsid w:val="000C799D"/>
    <w:rsid w:val="000C7C0B"/>
    <w:rsid w:val="000C7EC7"/>
    <w:rsid w:val="000D0165"/>
    <w:rsid w:val="000D0835"/>
    <w:rsid w:val="000D0997"/>
    <w:rsid w:val="000D09DF"/>
    <w:rsid w:val="000D0A37"/>
    <w:rsid w:val="000D0B8E"/>
    <w:rsid w:val="000D2F4F"/>
    <w:rsid w:val="000D3FE7"/>
    <w:rsid w:val="000D56B0"/>
    <w:rsid w:val="000D5769"/>
    <w:rsid w:val="000D5A36"/>
    <w:rsid w:val="000D5DBD"/>
    <w:rsid w:val="000D6317"/>
    <w:rsid w:val="000D6937"/>
    <w:rsid w:val="000D6B56"/>
    <w:rsid w:val="000D70D6"/>
    <w:rsid w:val="000D74E2"/>
    <w:rsid w:val="000D7871"/>
    <w:rsid w:val="000D7B8F"/>
    <w:rsid w:val="000D7C30"/>
    <w:rsid w:val="000D7D47"/>
    <w:rsid w:val="000D7FD2"/>
    <w:rsid w:val="000E07D6"/>
    <w:rsid w:val="000E1441"/>
    <w:rsid w:val="000E1B5B"/>
    <w:rsid w:val="000E2230"/>
    <w:rsid w:val="000E3123"/>
    <w:rsid w:val="000E4B04"/>
    <w:rsid w:val="000E55FC"/>
    <w:rsid w:val="000E5D4D"/>
    <w:rsid w:val="000E5E1D"/>
    <w:rsid w:val="000E5F7C"/>
    <w:rsid w:val="000E5FCD"/>
    <w:rsid w:val="000E6296"/>
    <w:rsid w:val="000E6625"/>
    <w:rsid w:val="000E6699"/>
    <w:rsid w:val="000E745B"/>
    <w:rsid w:val="000E75F8"/>
    <w:rsid w:val="000E7CAC"/>
    <w:rsid w:val="000E7D91"/>
    <w:rsid w:val="000F002F"/>
    <w:rsid w:val="000F0473"/>
    <w:rsid w:val="000F10C9"/>
    <w:rsid w:val="000F13DA"/>
    <w:rsid w:val="000F1541"/>
    <w:rsid w:val="000F2174"/>
    <w:rsid w:val="000F221B"/>
    <w:rsid w:val="000F23BA"/>
    <w:rsid w:val="000F29C0"/>
    <w:rsid w:val="000F3B70"/>
    <w:rsid w:val="000F3F56"/>
    <w:rsid w:val="000F407E"/>
    <w:rsid w:val="000F5188"/>
    <w:rsid w:val="000F59AC"/>
    <w:rsid w:val="000F59FE"/>
    <w:rsid w:val="000F6020"/>
    <w:rsid w:val="000F6AB1"/>
    <w:rsid w:val="000F6D71"/>
    <w:rsid w:val="000F6EDF"/>
    <w:rsid w:val="000F7119"/>
    <w:rsid w:val="000F7138"/>
    <w:rsid w:val="000F75FC"/>
    <w:rsid w:val="000F79AC"/>
    <w:rsid w:val="000F7DD0"/>
    <w:rsid w:val="001003F3"/>
    <w:rsid w:val="001008BA"/>
    <w:rsid w:val="00100DA8"/>
    <w:rsid w:val="00100FC1"/>
    <w:rsid w:val="00101F9B"/>
    <w:rsid w:val="0010230B"/>
    <w:rsid w:val="00102383"/>
    <w:rsid w:val="00103269"/>
    <w:rsid w:val="00104152"/>
    <w:rsid w:val="001047C7"/>
    <w:rsid w:val="001047ED"/>
    <w:rsid w:val="00104803"/>
    <w:rsid w:val="00104CF2"/>
    <w:rsid w:val="00104ED5"/>
    <w:rsid w:val="00105308"/>
    <w:rsid w:val="00107225"/>
    <w:rsid w:val="001109E4"/>
    <w:rsid w:val="00110B51"/>
    <w:rsid w:val="00110E59"/>
    <w:rsid w:val="00111016"/>
    <w:rsid w:val="001115CC"/>
    <w:rsid w:val="001115F2"/>
    <w:rsid w:val="00111AB9"/>
    <w:rsid w:val="00111B0D"/>
    <w:rsid w:val="001121F5"/>
    <w:rsid w:val="00112276"/>
    <w:rsid w:val="001129E6"/>
    <w:rsid w:val="00112E19"/>
    <w:rsid w:val="00113468"/>
    <w:rsid w:val="00113D89"/>
    <w:rsid w:val="00114006"/>
    <w:rsid w:val="00114F45"/>
    <w:rsid w:val="00115B03"/>
    <w:rsid w:val="00116092"/>
    <w:rsid w:val="0011640F"/>
    <w:rsid w:val="00116EB9"/>
    <w:rsid w:val="0011713C"/>
    <w:rsid w:val="0011773B"/>
    <w:rsid w:val="0011791D"/>
    <w:rsid w:val="00117C30"/>
    <w:rsid w:val="0012033B"/>
    <w:rsid w:val="001209D3"/>
    <w:rsid w:val="00121127"/>
    <w:rsid w:val="001213BA"/>
    <w:rsid w:val="00121A61"/>
    <w:rsid w:val="0012210A"/>
    <w:rsid w:val="0012251D"/>
    <w:rsid w:val="00122C94"/>
    <w:rsid w:val="001238F0"/>
    <w:rsid w:val="00123944"/>
    <w:rsid w:val="00124179"/>
    <w:rsid w:val="00124296"/>
    <w:rsid w:val="00124D09"/>
    <w:rsid w:val="00124F97"/>
    <w:rsid w:val="00125371"/>
    <w:rsid w:val="00125530"/>
    <w:rsid w:val="00125631"/>
    <w:rsid w:val="001256E2"/>
    <w:rsid w:val="00125DA6"/>
    <w:rsid w:val="00125FD3"/>
    <w:rsid w:val="00127E5C"/>
    <w:rsid w:val="001306C3"/>
    <w:rsid w:val="00131137"/>
    <w:rsid w:val="00131820"/>
    <w:rsid w:val="00131BC8"/>
    <w:rsid w:val="001320A8"/>
    <w:rsid w:val="0013259E"/>
    <w:rsid w:val="0013288D"/>
    <w:rsid w:val="001328FB"/>
    <w:rsid w:val="00132ECA"/>
    <w:rsid w:val="001330A5"/>
    <w:rsid w:val="00133CFE"/>
    <w:rsid w:val="00134166"/>
    <w:rsid w:val="00134254"/>
    <w:rsid w:val="0013451F"/>
    <w:rsid w:val="00135966"/>
    <w:rsid w:val="00135A5D"/>
    <w:rsid w:val="0013618C"/>
    <w:rsid w:val="00136291"/>
    <w:rsid w:val="001363B9"/>
    <w:rsid w:val="00136F1F"/>
    <w:rsid w:val="00137517"/>
    <w:rsid w:val="00137785"/>
    <w:rsid w:val="00137D56"/>
    <w:rsid w:val="00140D05"/>
    <w:rsid w:val="00141324"/>
    <w:rsid w:val="00141AA9"/>
    <w:rsid w:val="00141E1A"/>
    <w:rsid w:val="00142005"/>
    <w:rsid w:val="001420EE"/>
    <w:rsid w:val="00142E58"/>
    <w:rsid w:val="001431CA"/>
    <w:rsid w:val="001433DE"/>
    <w:rsid w:val="0014377D"/>
    <w:rsid w:val="0014379E"/>
    <w:rsid w:val="001439A9"/>
    <w:rsid w:val="001446E3"/>
    <w:rsid w:val="00144962"/>
    <w:rsid w:val="00144A9C"/>
    <w:rsid w:val="00144D20"/>
    <w:rsid w:val="00144F82"/>
    <w:rsid w:val="001457ED"/>
    <w:rsid w:val="00145A80"/>
    <w:rsid w:val="00146877"/>
    <w:rsid w:val="00146A89"/>
    <w:rsid w:val="00146F48"/>
    <w:rsid w:val="001471CB"/>
    <w:rsid w:val="00147509"/>
    <w:rsid w:val="00150193"/>
    <w:rsid w:val="001503FA"/>
    <w:rsid w:val="00150D39"/>
    <w:rsid w:val="00151068"/>
    <w:rsid w:val="0015177E"/>
    <w:rsid w:val="00151D08"/>
    <w:rsid w:val="00152199"/>
    <w:rsid w:val="00152ABA"/>
    <w:rsid w:val="0015316F"/>
    <w:rsid w:val="001533C8"/>
    <w:rsid w:val="0015408E"/>
    <w:rsid w:val="00154401"/>
    <w:rsid w:val="00154E8C"/>
    <w:rsid w:val="001555DD"/>
    <w:rsid w:val="0015616D"/>
    <w:rsid w:val="00157BE6"/>
    <w:rsid w:val="00160FD7"/>
    <w:rsid w:val="0016128C"/>
    <w:rsid w:val="00161437"/>
    <w:rsid w:val="00162701"/>
    <w:rsid w:val="00162C18"/>
    <w:rsid w:val="0016304C"/>
    <w:rsid w:val="001645BA"/>
    <w:rsid w:val="001649C1"/>
    <w:rsid w:val="00164A0E"/>
    <w:rsid w:val="00164EDD"/>
    <w:rsid w:val="00165807"/>
    <w:rsid w:val="00165DF6"/>
    <w:rsid w:val="00165F11"/>
    <w:rsid w:val="001669D7"/>
    <w:rsid w:val="001671F1"/>
    <w:rsid w:val="0016757B"/>
    <w:rsid w:val="00167D9B"/>
    <w:rsid w:val="001704E9"/>
    <w:rsid w:val="00170E60"/>
    <w:rsid w:val="001712BA"/>
    <w:rsid w:val="00171502"/>
    <w:rsid w:val="00171818"/>
    <w:rsid w:val="00171CD3"/>
    <w:rsid w:val="00172B61"/>
    <w:rsid w:val="00173027"/>
    <w:rsid w:val="00173A79"/>
    <w:rsid w:val="001745DD"/>
    <w:rsid w:val="00174713"/>
    <w:rsid w:val="001747BD"/>
    <w:rsid w:val="00174846"/>
    <w:rsid w:val="001768AD"/>
    <w:rsid w:val="00176E6D"/>
    <w:rsid w:val="00177235"/>
    <w:rsid w:val="00177754"/>
    <w:rsid w:val="00177D40"/>
    <w:rsid w:val="001800DF"/>
    <w:rsid w:val="0018058C"/>
    <w:rsid w:val="00180ED5"/>
    <w:rsid w:val="001815F2"/>
    <w:rsid w:val="00181CD4"/>
    <w:rsid w:val="001825C1"/>
    <w:rsid w:val="0018294F"/>
    <w:rsid w:val="00182B8A"/>
    <w:rsid w:val="00183114"/>
    <w:rsid w:val="0018395F"/>
    <w:rsid w:val="00183B87"/>
    <w:rsid w:val="00183F79"/>
    <w:rsid w:val="00184E99"/>
    <w:rsid w:val="00184F97"/>
    <w:rsid w:val="00185059"/>
    <w:rsid w:val="001850DF"/>
    <w:rsid w:val="00185946"/>
    <w:rsid w:val="00185C1E"/>
    <w:rsid w:val="00185D71"/>
    <w:rsid w:val="00185DA8"/>
    <w:rsid w:val="00185EE7"/>
    <w:rsid w:val="001865EA"/>
    <w:rsid w:val="00186F24"/>
    <w:rsid w:val="00187012"/>
    <w:rsid w:val="001870C7"/>
    <w:rsid w:val="00187213"/>
    <w:rsid w:val="00187266"/>
    <w:rsid w:val="00187B4B"/>
    <w:rsid w:val="0019001A"/>
    <w:rsid w:val="001900C7"/>
    <w:rsid w:val="00190955"/>
    <w:rsid w:val="00190998"/>
    <w:rsid w:val="00190F55"/>
    <w:rsid w:val="001912A1"/>
    <w:rsid w:val="001913BE"/>
    <w:rsid w:val="0019166B"/>
    <w:rsid w:val="00191D49"/>
    <w:rsid w:val="00192C89"/>
    <w:rsid w:val="001939F4"/>
    <w:rsid w:val="00193E35"/>
    <w:rsid w:val="001940E0"/>
    <w:rsid w:val="00194425"/>
    <w:rsid w:val="00194849"/>
    <w:rsid w:val="00194967"/>
    <w:rsid w:val="001953F6"/>
    <w:rsid w:val="00195883"/>
    <w:rsid w:val="00196599"/>
    <w:rsid w:val="0019792A"/>
    <w:rsid w:val="001A05AB"/>
    <w:rsid w:val="001A1035"/>
    <w:rsid w:val="001A103C"/>
    <w:rsid w:val="001A1474"/>
    <w:rsid w:val="001A15B3"/>
    <w:rsid w:val="001A1BF6"/>
    <w:rsid w:val="001A2E21"/>
    <w:rsid w:val="001A320B"/>
    <w:rsid w:val="001A33C5"/>
    <w:rsid w:val="001A416E"/>
    <w:rsid w:val="001A4DE4"/>
    <w:rsid w:val="001A509B"/>
    <w:rsid w:val="001A5AC3"/>
    <w:rsid w:val="001A6424"/>
    <w:rsid w:val="001A65C7"/>
    <w:rsid w:val="001A6A06"/>
    <w:rsid w:val="001A6AE2"/>
    <w:rsid w:val="001A750A"/>
    <w:rsid w:val="001B0013"/>
    <w:rsid w:val="001B1E17"/>
    <w:rsid w:val="001B1F64"/>
    <w:rsid w:val="001B1FA0"/>
    <w:rsid w:val="001B253B"/>
    <w:rsid w:val="001B33B3"/>
    <w:rsid w:val="001B3DB0"/>
    <w:rsid w:val="001B4360"/>
    <w:rsid w:val="001B4E83"/>
    <w:rsid w:val="001B4F3D"/>
    <w:rsid w:val="001B518C"/>
    <w:rsid w:val="001B5218"/>
    <w:rsid w:val="001B57ED"/>
    <w:rsid w:val="001B582B"/>
    <w:rsid w:val="001B5B5B"/>
    <w:rsid w:val="001B5C52"/>
    <w:rsid w:val="001B5EB9"/>
    <w:rsid w:val="001B64BF"/>
    <w:rsid w:val="001B6F66"/>
    <w:rsid w:val="001B6F71"/>
    <w:rsid w:val="001B712E"/>
    <w:rsid w:val="001B7D65"/>
    <w:rsid w:val="001C0286"/>
    <w:rsid w:val="001C0400"/>
    <w:rsid w:val="001C046E"/>
    <w:rsid w:val="001C072F"/>
    <w:rsid w:val="001C14B3"/>
    <w:rsid w:val="001C2019"/>
    <w:rsid w:val="001C20E5"/>
    <w:rsid w:val="001C34F3"/>
    <w:rsid w:val="001C367F"/>
    <w:rsid w:val="001C38B2"/>
    <w:rsid w:val="001C3979"/>
    <w:rsid w:val="001C46C3"/>
    <w:rsid w:val="001C4CB6"/>
    <w:rsid w:val="001C6663"/>
    <w:rsid w:val="001C6983"/>
    <w:rsid w:val="001C6BC2"/>
    <w:rsid w:val="001C7EA5"/>
    <w:rsid w:val="001C7EC7"/>
    <w:rsid w:val="001D10AE"/>
    <w:rsid w:val="001D201F"/>
    <w:rsid w:val="001D29B7"/>
    <w:rsid w:val="001D3B97"/>
    <w:rsid w:val="001D4EEC"/>
    <w:rsid w:val="001D52A9"/>
    <w:rsid w:val="001D5CF0"/>
    <w:rsid w:val="001D621F"/>
    <w:rsid w:val="001D65F8"/>
    <w:rsid w:val="001D6608"/>
    <w:rsid w:val="001D6CA6"/>
    <w:rsid w:val="001D702A"/>
    <w:rsid w:val="001D731F"/>
    <w:rsid w:val="001D76DD"/>
    <w:rsid w:val="001D7774"/>
    <w:rsid w:val="001D7C43"/>
    <w:rsid w:val="001D7DA1"/>
    <w:rsid w:val="001E05A0"/>
    <w:rsid w:val="001E186E"/>
    <w:rsid w:val="001E1EEC"/>
    <w:rsid w:val="001E289B"/>
    <w:rsid w:val="001E29BF"/>
    <w:rsid w:val="001E2AB2"/>
    <w:rsid w:val="001E2BF6"/>
    <w:rsid w:val="001E34CD"/>
    <w:rsid w:val="001E3628"/>
    <w:rsid w:val="001E371F"/>
    <w:rsid w:val="001E3DE3"/>
    <w:rsid w:val="001E4188"/>
    <w:rsid w:val="001E42F7"/>
    <w:rsid w:val="001E46AE"/>
    <w:rsid w:val="001E57A5"/>
    <w:rsid w:val="001E5A39"/>
    <w:rsid w:val="001E7698"/>
    <w:rsid w:val="001E7892"/>
    <w:rsid w:val="001E7967"/>
    <w:rsid w:val="001E7BFA"/>
    <w:rsid w:val="001F0566"/>
    <w:rsid w:val="001F05D8"/>
    <w:rsid w:val="001F0857"/>
    <w:rsid w:val="001F0E77"/>
    <w:rsid w:val="001F10D4"/>
    <w:rsid w:val="001F1DA4"/>
    <w:rsid w:val="001F1DEC"/>
    <w:rsid w:val="001F2353"/>
    <w:rsid w:val="001F2508"/>
    <w:rsid w:val="001F27D5"/>
    <w:rsid w:val="001F29C0"/>
    <w:rsid w:val="001F323C"/>
    <w:rsid w:val="001F459B"/>
    <w:rsid w:val="001F6024"/>
    <w:rsid w:val="001F657F"/>
    <w:rsid w:val="001F66A8"/>
    <w:rsid w:val="001F66D7"/>
    <w:rsid w:val="002001C9"/>
    <w:rsid w:val="00200940"/>
    <w:rsid w:val="00201258"/>
    <w:rsid w:val="0020154F"/>
    <w:rsid w:val="0020197A"/>
    <w:rsid w:val="00202064"/>
    <w:rsid w:val="0020260F"/>
    <w:rsid w:val="00202696"/>
    <w:rsid w:val="00202F7D"/>
    <w:rsid w:val="0020360D"/>
    <w:rsid w:val="0020379C"/>
    <w:rsid w:val="00203BA4"/>
    <w:rsid w:val="002054CC"/>
    <w:rsid w:val="00205847"/>
    <w:rsid w:val="00205B05"/>
    <w:rsid w:val="00206136"/>
    <w:rsid w:val="00206AF1"/>
    <w:rsid w:val="00207695"/>
    <w:rsid w:val="00207CC6"/>
    <w:rsid w:val="00211397"/>
    <w:rsid w:val="00211A1B"/>
    <w:rsid w:val="002123B5"/>
    <w:rsid w:val="0021254B"/>
    <w:rsid w:val="00212597"/>
    <w:rsid w:val="00212835"/>
    <w:rsid w:val="002129EF"/>
    <w:rsid w:val="00212A7E"/>
    <w:rsid w:val="00212E2A"/>
    <w:rsid w:val="0021348F"/>
    <w:rsid w:val="002135F5"/>
    <w:rsid w:val="00213B3F"/>
    <w:rsid w:val="00214224"/>
    <w:rsid w:val="002146D3"/>
    <w:rsid w:val="00214B9F"/>
    <w:rsid w:val="00215D03"/>
    <w:rsid w:val="002167D7"/>
    <w:rsid w:val="00216C63"/>
    <w:rsid w:val="002176ED"/>
    <w:rsid w:val="0021771A"/>
    <w:rsid w:val="00217E3B"/>
    <w:rsid w:val="00220125"/>
    <w:rsid w:val="00221372"/>
    <w:rsid w:val="0022185B"/>
    <w:rsid w:val="0022187E"/>
    <w:rsid w:val="00221D3B"/>
    <w:rsid w:val="00221DEB"/>
    <w:rsid w:val="002221F6"/>
    <w:rsid w:val="00222B96"/>
    <w:rsid w:val="0022354F"/>
    <w:rsid w:val="00223E2A"/>
    <w:rsid w:val="002242FB"/>
    <w:rsid w:val="0022439D"/>
    <w:rsid w:val="00224735"/>
    <w:rsid w:val="00224830"/>
    <w:rsid w:val="002249E6"/>
    <w:rsid w:val="00225640"/>
    <w:rsid w:val="00225751"/>
    <w:rsid w:val="00225EF5"/>
    <w:rsid w:val="002260B3"/>
    <w:rsid w:val="00226356"/>
    <w:rsid w:val="00226451"/>
    <w:rsid w:val="002264D0"/>
    <w:rsid w:val="002268AC"/>
    <w:rsid w:val="0022779C"/>
    <w:rsid w:val="00227E68"/>
    <w:rsid w:val="002300C0"/>
    <w:rsid w:val="0023141A"/>
    <w:rsid w:val="00232245"/>
    <w:rsid w:val="002323E8"/>
    <w:rsid w:val="00232902"/>
    <w:rsid w:val="00233731"/>
    <w:rsid w:val="00233922"/>
    <w:rsid w:val="00233FD1"/>
    <w:rsid w:val="00233FDA"/>
    <w:rsid w:val="0023411D"/>
    <w:rsid w:val="00234512"/>
    <w:rsid w:val="002348F2"/>
    <w:rsid w:val="00234C2E"/>
    <w:rsid w:val="0023594A"/>
    <w:rsid w:val="0023596F"/>
    <w:rsid w:val="00235ABB"/>
    <w:rsid w:val="00236AFC"/>
    <w:rsid w:val="00240C37"/>
    <w:rsid w:val="0024128D"/>
    <w:rsid w:val="002412E3"/>
    <w:rsid w:val="0024170F"/>
    <w:rsid w:val="00241A61"/>
    <w:rsid w:val="00241F0E"/>
    <w:rsid w:val="00242957"/>
    <w:rsid w:val="002435DE"/>
    <w:rsid w:val="002436D2"/>
    <w:rsid w:val="00243846"/>
    <w:rsid w:val="00243BB3"/>
    <w:rsid w:val="00243CC4"/>
    <w:rsid w:val="0024418F"/>
    <w:rsid w:val="002443B8"/>
    <w:rsid w:val="00245365"/>
    <w:rsid w:val="0024606D"/>
    <w:rsid w:val="002462D9"/>
    <w:rsid w:val="0024670B"/>
    <w:rsid w:val="00246A34"/>
    <w:rsid w:val="0024718A"/>
    <w:rsid w:val="00247260"/>
    <w:rsid w:val="002472DE"/>
    <w:rsid w:val="002473C0"/>
    <w:rsid w:val="002475A8"/>
    <w:rsid w:val="00247F09"/>
    <w:rsid w:val="002506E1"/>
    <w:rsid w:val="00250BE5"/>
    <w:rsid w:val="00250DBE"/>
    <w:rsid w:val="00250EE6"/>
    <w:rsid w:val="0025117D"/>
    <w:rsid w:val="002513ED"/>
    <w:rsid w:val="002518A3"/>
    <w:rsid w:val="00251C37"/>
    <w:rsid w:val="00252380"/>
    <w:rsid w:val="0025272B"/>
    <w:rsid w:val="002527C7"/>
    <w:rsid w:val="00252E52"/>
    <w:rsid w:val="0025304C"/>
    <w:rsid w:val="002533A7"/>
    <w:rsid w:val="002538B1"/>
    <w:rsid w:val="00253C22"/>
    <w:rsid w:val="00253F13"/>
    <w:rsid w:val="00254629"/>
    <w:rsid w:val="00254ACD"/>
    <w:rsid w:val="00254C32"/>
    <w:rsid w:val="0025580D"/>
    <w:rsid w:val="002558DC"/>
    <w:rsid w:val="0025640B"/>
    <w:rsid w:val="002564AF"/>
    <w:rsid w:val="00257A29"/>
    <w:rsid w:val="00261046"/>
    <w:rsid w:val="002612AF"/>
    <w:rsid w:val="00261349"/>
    <w:rsid w:val="002614E8"/>
    <w:rsid w:val="0026238A"/>
    <w:rsid w:val="00262500"/>
    <w:rsid w:val="002628CA"/>
    <w:rsid w:val="00262E89"/>
    <w:rsid w:val="002633E7"/>
    <w:rsid w:val="00264381"/>
    <w:rsid w:val="00264454"/>
    <w:rsid w:val="0026446F"/>
    <w:rsid w:val="00264A89"/>
    <w:rsid w:val="00264A8D"/>
    <w:rsid w:val="00264D0C"/>
    <w:rsid w:val="00265DC5"/>
    <w:rsid w:val="00265E85"/>
    <w:rsid w:val="0026694E"/>
    <w:rsid w:val="00266C9C"/>
    <w:rsid w:val="00266F24"/>
    <w:rsid w:val="002672CC"/>
    <w:rsid w:val="00267733"/>
    <w:rsid w:val="00267E75"/>
    <w:rsid w:val="00271069"/>
    <w:rsid w:val="00271881"/>
    <w:rsid w:val="0027282B"/>
    <w:rsid w:val="00272ADE"/>
    <w:rsid w:val="00272D51"/>
    <w:rsid w:val="00272E88"/>
    <w:rsid w:val="00272F55"/>
    <w:rsid w:val="00273C04"/>
    <w:rsid w:val="00273C31"/>
    <w:rsid w:val="00273DE4"/>
    <w:rsid w:val="00273EB3"/>
    <w:rsid w:val="00274107"/>
    <w:rsid w:val="00274175"/>
    <w:rsid w:val="002743EF"/>
    <w:rsid w:val="002756D6"/>
    <w:rsid w:val="0027596C"/>
    <w:rsid w:val="00275CCC"/>
    <w:rsid w:val="00275EB2"/>
    <w:rsid w:val="002766F9"/>
    <w:rsid w:val="00276A3E"/>
    <w:rsid w:val="0027702E"/>
    <w:rsid w:val="00277497"/>
    <w:rsid w:val="00277C11"/>
    <w:rsid w:val="00277D2F"/>
    <w:rsid w:val="0028036D"/>
    <w:rsid w:val="00280391"/>
    <w:rsid w:val="00280A2E"/>
    <w:rsid w:val="00280AD9"/>
    <w:rsid w:val="00280B2A"/>
    <w:rsid w:val="00280E3E"/>
    <w:rsid w:val="0028104F"/>
    <w:rsid w:val="00281387"/>
    <w:rsid w:val="002815DA"/>
    <w:rsid w:val="002816EE"/>
    <w:rsid w:val="002820AB"/>
    <w:rsid w:val="002823F0"/>
    <w:rsid w:val="00282447"/>
    <w:rsid w:val="00282591"/>
    <w:rsid w:val="00282D5C"/>
    <w:rsid w:val="00282E98"/>
    <w:rsid w:val="002832F0"/>
    <w:rsid w:val="00284066"/>
    <w:rsid w:val="002846C6"/>
    <w:rsid w:val="002857BB"/>
    <w:rsid w:val="002857CD"/>
    <w:rsid w:val="00285A04"/>
    <w:rsid w:val="00285D21"/>
    <w:rsid w:val="00285F99"/>
    <w:rsid w:val="002860C7"/>
    <w:rsid w:val="00287026"/>
    <w:rsid w:val="00287446"/>
    <w:rsid w:val="00290436"/>
    <w:rsid w:val="00290579"/>
    <w:rsid w:val="00290B04"/>
    <w:rsid w:val="00290DA6"/>
    <w:rsid w:val="00290E42"/>
    <w:rsid w:val="00291E55"/>
    <w:rsid w:val="00293181"/>
    <w:rsid w:val="002938B5"/>
    <w:rsid w:val="00293A8A"/>
    <w:rsid w:val="00294F0B"/>
    <w:rsid w:val="0029532B"/>
    <w:rsid w:val="00295CD2"/>
    <w:rsid w:val="00296D05"/>
    <w:rsid w:val="002977B0"/>
    <w:rsid w:val="00297B15"/>
    <w:rsid w:val="00297DB3"/>
    <w:rsid w:val="00297F86"/>
    <w:rsid w:val="002A00D2"/>
    <w:rsid w:val="002A09A2"/>
    <w:rsid w:val="002A1270"/>
    <w:rsid w:val="002A1B4D"/>
    <w:rsid w:val="002A1F8C"/>
    <w:rsid w:val="002A223F"/>
    <w:rsid w:val="002A28D5"/>
    <w:rsid w:val="002A2B6A"/>
    <w:rsid w:val="002A2C52"/>
    <w:rsid w:val="002A32A7"/>
    <w:rsid w:val="002A360A"/>
    <w:rsid w:val="002A39AC"/>
    <w:rsid w:val="002A3B51"/>
    <w:rsid w:val="002A4AFF"/>
    <w:rsid w:val="002A4CDB"/>
    <w:rsid w:val="002A4F55"/>
    <w:rsid w:val="002A5BA0"/>
    <w:rsid w:val="002A5E1C"/>
    <w:rsid w:val="002A60AB"/>
    <w:rsid w:val="002A677B"/>
    <w:rsid w:val="002A67D7"/>
    <w:rsid w:val="002A6D16"/>
    <w:rsid w:val="002A7E57"/>
    <w:rsid w:val="002A7EF3"/>
    <w:rsid w:val="002B00A6"/>
    <w:rsid w:val="002B08C9"/>
    <w:rsid w:val="002B1170"/>
    <w:rsid w:val="002B1D61"/>
    <w:rsid w:val="002B259C"/>
    <w:rsid w:val="002B2A2F"/>
    <w:rsid w:val="002B31BC"/>
    <w:rsid w:val="002B351B"/>
    <w:rsid w:val="002B372F"/>
    <w:rsid w:val="002B3C99"/>
    <w:rsid w:val="002B3DEA"/>
    <w:rsid w:val="002B448F"/>
    <w:rsid w:val="002B4933"/>
    <w:rsid w:val="002B5355"/>
    <w:rsid w:val="002B56C4"/>
    <w:rsid w:val="002B5AD0"/>
    <w:rsid w:val="002B6691"/>
    <w:rsid w:val="002B7531"/>
    <w:rsid w:val="002B7BC0"/>
    <w:rsid w:val="002B7BD8"/>
    <w:rsid w:val="002B7D0D"/>
    <w:rsid w:val="002B7F4C"/>
    <w:rsid w:val="002C0389"/>
    <w:rsid w:val="002C0C82"/>
    <w:rsid w:val="002C0E81"/>
    <w:rsid w:val="002C15D7"/>
    <w:rsid w:val="002C1C82"/>
    <w:rsid w:val="002C1E31"/>
    <w:rsid w:val="002C2027"/>
    <w:rsid w:val="002C20C5"/>
    <w:rsid w:val="002C21BC"/>
    <w:rsid w:val="002C2DDB"/>
    <w:rsid w:val="002C321E"/>
    <w:rsid w:val="002C401D"/>
    <w:rsid w:val="002C490D"/>
    <w:rsid w:val="002C4DC2"/>
    <w:rsid w:val="002C5B90"/>
    <w:rsid w:val="002C5F26"/>
    <w:rsid w:val="002C646C"/>
    <w:rsid w:val="002C6596"/>
    <w:rsid w:val="002C68A6"/>
    <w:rsid w:val="002C6AF4"/>
    <w:rsid w:val="002C706E"/>
    <w:rsid w:val="002C7211"/>
    <w:rsid w:val="002D0669"/>
    <w:rsid w:val="002D0D6B"/>
    <w:rsid w:val="002D10EC"/>
    <w:rsid w:val="002D1E3E"/>
    <w:rsid w:val="002D298E"/>
    <w:rsid w:val="002D336B"/>
    <w:rsid w:val="002D33C3"/>
    <w:rsid w:val="002D369B"/>
    <w:rsid w:val="002D3A09"/>
    <w:rsid w:val="002D424C"/>
    <w:rsid w:val="002D4E13"/>
    <w:rsid w:val="002D57BF"/>
    <w:rsid w:val="002D5C22"/>
    <w:rsid w:val="002D62B0"/>
    <w:rsid w:val="002D6509"/>
    <w:rsid w:val="002D6672"/>
    <w:rsid w:val="002D668E"/>
    <w:rsid w:val="002D7338"/>
    <w:rsid w:val="002D79A2"/>
    <w:rsid w:val="002E0499"/>
    <w:rsid w:val="002E0799"/>
    <w:rsid w:val="002E08D5"/>
    <w:rsid w:val="002E0EF5"/>
    <w:rsid w:val="002E0FCA"/>
    <w:rsid w:val="002E0FEB"/>
    <w:rsid w:val="002E14DE"/>
    <w:rsid w:val="002E15DC"/>
    <w:rsid w:val="002E1660"/>
    <w:rsid w:val="002E1925"/>
    <w:rsid w:val="002E19DD"/>
    <w:rsid w:val="002E1DB2"/>
    <w:rsid w:val="002E2C8D"/>
    <w:rsid w:val="002E3273"/>
    <w:rsid w:val="002E39FE"/>
    <w:rsid w:val="002E3CCB"/>
    <w:rsid w:val="002E3DB7"/>
    <w:rsid w:val="002E3F4F"/>
    <w:rsid w:val="002E445D"/>
    <w:rsid w:val="002E4A09"/>
    <w:rsid w:val="002E4EF1"/>
    <w:rsid w:val="002E6EA1"/>
    <w:rsid w:val="002E717F"/>
    <w:rsid w:val="002E73B9"/>
    <w:rsid w:val="002E7562"/>
    <w:rsid w:val="002F0384"/>
    <w:rsid w:val="002F043F"/>
    <w:rsid w:val="002F070F"/>
    <w:rsid w:val="002F0B57"/>
    <w:rsid w:val="002F1CB6"/>
    <w:rsid w:val="002F2162"/>
    <w:rsid w:val="002F271D"/>
    <w:rsid w:val="002F2740"/>
    <w:rsid w:val="002F2BBA"/>
    <w:rsid w:val="002F355C"/>
    <w:rsid w:val="002F3E7C"/>
    <w:rsid w:val="002F52C0"/>
    <w:rsid w:val="002F5EC6"/>
    <w:rsid w:val="002F6156"/>
    <w:rsid w:val="002F629A"/>
    <w:rsid w:val="002F6C4F"/>
    <w:rsid w:val="002F6FA7"/>
    <w:rsid w:val="002F7C60"/>
    <w:rsid w:val="003000D1"/>
    <w:rsid w:val="00300659"/>
    <w:rsid w:val="00300AB6"/>
    <w:rsid w:val="00300D59"/>
    <w:rsid w:val="00300E50"/>
    <w:rsid w:val="0030223E"/>
    <w:rsid w:val="003023A5"/>
    <w:rsid w:val="00302A92"/>
    <w:rsid w:val="00302BD0"/>
    <w:rsid w:val="00303189"/>
    <w:rsid w:val="003031F4"/>
    <w:rsid w:val="0030342B"/>
    <w:rsid w:val="00303526"/>
    <w:rsid w:val="003035CE"/>
    <w:rsid w:val="0030398B"/>
    <w:rsid w:val="00303B5D"/>
    <w:rsid w:val="0030416A"/>
    <w:rsid w:val="00304630"/>
    <w:rsid w:val="00304CBB"/>
    <w:rsid w:val="00305240"/>
    <w:rsid w:val="00305942"/>
    <w:rsid w:val="00305F7A"/>
    <w:rsid w:val="00305FEF"/>
    <w:rsid w:val="0030658C"/>
    <w:rsid w:val="00307469"/>
    <w:rsid w:val="00310DB4"/>
    <w:rsid w:val="003113D1"/>
    <w:rsid w:val="0031141F"/>
    <w:rsid w:val="00311608"/>
    <w:rsid w:val="0031166D"/>
    <w:rsid w:val="003118CC"/>
    <w:rsid w:val="00311A82"/>
    <w:rsid w:val="00312107"/>
    <w:rsid w:val="00312417"/>
    <w:rsid w:val="00312B6B"/>
    <w:rsid w:val="003132ED"/>
    <w:rsid w:val="00313B54"/>
    <w:rsid w:val="00314A38"/>
    <w:rsid w:val="00314F17"/>
    <w:rsid w:val="00314FDD"/>
    <w:rsid w:val="00315072"/>
    <w:rsid w:val="0031538E"/>
    <w:rsid w:val="00315558"/>
    <w:rsid w:val="003164D3"/>
    <w:rsid w:val="00317909"/>
    <w:rsid w:val="00317A91"/>
    <w:rsid w:val="00320A83"/>
    <w:rsid w:val="00321016"/>
    <w:rsid w:val="003216AC"/>
    <w:rsid w:val="00321F5B"/>
    <w:rsid w:val="00322D20"/>
    <w:rsid w:val="00322DA5"/>
    <w:rsid w:val="00323814"/>
    <w:rsid w:val="003240BC"/>
    <w:rsid w:val="00324C5B"/>
    <w:rsid w:val="00324ECF"/>
    <w:rsid w:val="00325010"/>
    <w:rsid w:val="003266EF"/>
    <w:rsid w:val="003266F7"/>
    <w:rsid w:val="003269E1"/>
    <w:rsid w:val="00326AA4"/>
    <w:rsid w:val="00326B82"/>
    <w:rsid w:val="00326BFF"/>
    <w:rsid w:val="00326D51"/>
    <w:rsid w:val="00327959"/>
    <w:rsid w:val="00327BCE"/>
    <w:rsid w:val="003304BD"/>
    <w:rsid w:val="00331DBB"/>
    <w:rsid w:val="00332184"/>
    <w:rsid w:val="00332916"/>
    <w:rsid w:val="003329F3"/>
    <w:rsid w:val="0033338E"/>
    <w:rsid w:val="00333497"/>
    <w:rsid w:val="00333D28"/>
    <w:rsid w:val="0033596F"/>
    <w:rsid w:val="00336003"/>
    <w:rsid w:val="00336F1F"/>
    <w:rsid w:val="003378B3"/>
    <w:rsid w:val="00337A5E"/>
    <w:rsid w:val="00340BEF"/>
    <w:rsid w:val="00341DF2"/>
    <w:rsid w:val="003421AF"/>
    <w:rsid w:val="0034259F"/>
    <w:rsid w:val="00342820"/>
    <w:rsid w:val="00342C46"/>
    <w:rsid w:val="00342CF3"/>
    <w:rsid w:val="00343010"/>
    <w:rsid w:val="003432C5"/>
    <w:rsid w:val="00344609"/>
    <w:rsid w:val="0034478B"/>
    <w:rsid w:val="00344A88"/>
    <w:rsid w:val="00344CAE"/>
    <w:rsid w:val="00344D77"/>
    <w:rsid w:val="00344EEC"/>
    <w:rsid w:val="00344F41"/>
    <w:rsid w:val="003458B0"/>
    <w:rsid w:val="00346AE9"/>
    <w:rsid w:val="00346E97"/>
    <w:rsid w:val="00346F9E"/>
    <w:rsid w:val="0034715B"/>
    <w:rsid w:val="00347F8C"/>
    <w:rsid w:val="00350132"/>
    <w:rsid w:val="0035094C"/>
    <w:rsid w:val="0035097C"/>
    <w:rsid w:val="0035117B"/>
    <w:rsid w:val="00353F69"/>
    <w:rsid w:val="003540B4"/>
    <w:rsid w:val="0035458C"/>
    <w:rsid w:val="003550C6"/>
    <w:rsid w:val="00355332"/>
    <w:rsid w:val="00355DE6"/>
    <w:rsid w:val="00356E36"/>
    <w:rsid w:val="00357275"/>
    <w:rsid w:val="00357853"/>
    <w:rsid w:val="00357C0B"/>
    <w:rsid w:val="00360461"/>
    <w:rsid w:val="00360983"/>
    <w:rsid w:val="003609B0"/>
    <w:rsid w:val="003622EA"/>
    <w:rsid w:val="00362A92"/>
    <w:rsid w:val="00362DCC"/>
    <w:rsid w:val="00363E23"/>
    <w:rsid w:val="00364D1B"/>
    <w:rsid w:val="003658A5"/>
    <w:rsid w:val="00365E73"/>
    <w:rsid w:val="003669D1"/>
    <w:rsid w:val="003678BB"/>
    <w:rsid w:val="0037005D"/>
    <w:rsid w:val="00370369"/>
    <w:rsid w:val="00370AD9"/>
    <w:rsid w:val="00371A58"/>
    <w:rsid w:val="0037253C"/>
    <w:rsid w:val="003727C5"/>
    <w:rsid w:val="00372B56"/>
    <w:rsid w:val="00373173"/>
    <w:rsid w:val="0037395B"/>
    <w:rsid w:val="0037405B"/>
    <w:rsid w:val="00374868"/>
    <w:rsid w:val="00374A58"/>
    <w:rsid w:val="00374CB9"/>
    <w:rsid w:val="00374EA6"/>
    <w:rsid w:val="00375376"/>
    <w:rsid w:val="0037537C"/>
    <w:rsid w:val="00376059"/>
    <w:rsid w:val="003761EC"/>
    <w:rsid w:val="00376433"/>
    <w:rsid w:val="003768C5"/>
    <w:rsid w:val="00377746"/>
    <w:rsid w:val="0038097C"/>
    <w:rsid w:val="00380D1E"/>
    <w:rsid w:val="003813AC"/>
    <w:rsid w:val="003818DC"/>
    <w:rsid w:val="00381CE1"/>
    <w:rsid w:val="00382BEB"/>
    <w:rsid w:val="00383E0C"/>
    <w:rsid w:val="00383E75"/>
    <w:rsid w:val="003843FE"/>
    <w:rsid w:val="0038470F"/>
    <w:rsid w:val="003847BC"/>
    <w:rsid w:val="00385E61"/>
    <w:rsid w:val="00387075"/>
    <w:rsid w:val="003870FB"/>
    <w:rsid w:val="003871C4"/>
    <w:rsid w:val="003904E9"/>
    <w:rsid w:val="003910A1"/>
    <w:rsid w:val="003916A6"/>
    <w:rsid w:val="00392676"/>
    <w:rsid w:val="0039289D"/>
    <w:rsid w:val="003929B8"/>
    <w:rsid w:val="00393A3C"/>
    <w:rsid w:val="00393A9B"/>
    <w:rsid w:val="00393E17"/>
    <w:rsid w:val="003948EC"/>
    <w:rsid w:val="00394AA4"/>
    <w:rsid w:val="00394C39"/>
    <w:rsid w:val="003953AD"/>
    <w:rsid w:val="0039645F"/>
    <w:rsid w:val="003A006B"/>
    <w:rsid w:val="003A0A3C"/>
    <w:rsid w:val="003A0A82"/>
    <w:rsid w:val="003A0E5C"/>
    <w:rsid w:val="003A146F"/>
    <w:rsid w:val="003A1478"/>
    <w:rsid w:val="003A2057"/>
    <w:rsid w:val="003A2508"/>
    <w:rsid w:val="003A3658"/>
    <w:rsid w:val="003A3881"/>
    <w:rsid w:val="003A38F3"/>
    <w:rsid w:val="003A3B7D"/>
    <w:rsid w:val="003A499F"/>
    <w:rsid w:val="003A4CF0"/>
    <w:rsid w:val="003A4DCA"/>
    <w:rsid w:val="003A50A8"/>
    <w:rsid w:val="003A5139"/>
    <w:rsid w:val="003A51A5"/>
    <w:rsid w:val="003A54A2"/>
    <w:rsid w:val="003A5578"/>
    <w:rsid w:val="003A56AA"/>
    <w:rsid w:val="003A664A"/>
    <w:rsid w:val="003A6655"/>
    <w:rsid w:val="003A7D3A"/>
    <w:rsid w:val="003B0451"/>
    <w:rsid w:val="003B08C8"/>
    <w:rsid w:val="003B1720"/>
    <w:rsid w:val="003B1FE9"/>
    <w:rsid w:val="003B25A1"/>
    <w:rsid w:val="003B25AF"/>
    <w:rsid w:val="003B32DE"/>
    <w:rsid w:val="003B4797"/>
    <w:rsid w:val="003B5973"/>
    <w:rsid w:val="003B5D99"/>
    <w:rsid w:val="003B60C7"/>
    <w:rsid w:val="003B6971"/>
    <w:rsid w:val="003B6F14"/>
    <w:rsid w:val="003B7001"/>
    <w:rsid w:val="003B72F5"/>
    <w:rsid w:val="003B74B4"/>
    <w:rsid w:val="003C065D"/>
    <w:rsid w:val="003C08C2"/>
    <w:rsid w:val="003C0D63"/>
    <w:rsid w:val="003C12B2"/>
    <w:rsid w:val="003C1375"/>
    <w:rsid w:val="003C13CE"/>
    <w:rsid w:val="003C18CB"/>
    <w:rsid w:val="003C1CCC"/>
    <w:rsid w:val="003C2A54"/>
    <w:rsid w:val="003C2D53"/>
    <w:rsid w:val="003C2EC0"/>
    <w:rsid w:val="003C3607"/>
    <w:rsid w:val="003C3D90"/>
    <w:rsid w:val="003C4654"/>
    <w:rsid w:val="003C4CBB"/>
    <w:rsid w:val="003C5153"/>
    <w:rsid w:val="003C6757"/>
    <w:rsid w:val="003C6B5B"/>
    <w:rsid w:val="003C7EF7"/>
    <w:rsid w:val="003D1177"/>
    <w:rsid w:val="003D13B7"/>
    <w:rsid w:val="003D142B"/>
    <w:rsid w:val="003D1525"/>
    <w:rsid w:val="003D1682"/>
    <w:rsid w:val="003D184E"/>
    <w:rsid w:val="003D3DF3"/>
    <w:rsid w:val="003D4AC7"/>
    <w:rsid w:val="003D5816"/>
    <w:rsid w:val="003D65B7"/>
    <w:rsid w:val="003D6700"/>
    <w:rsid w:val="003D6C7F"/>
    <w:rsid w:val="003D6E7C"/>
    <w:rsid w:val="003D71CA"/>
    <w:rsid w:val="003D7806"/>
    <w:rsid w:val="003E00FA"/>
    <w:rsid w:val="003E0719"/>
    <w:rsid w:val="003E0D22"/>
    <w:rsid w:val="003E1291"/>
    <w:rsid w:val="003E1328"/>
    <w:rsid w:val="003E1623"/>
    <w:rsid w:val="003E2DAC"/>
    <w:rsid w:val="003E2EF0"/>
    <w:rsid w:val="003E3839"/>
    <w:rsid w:val="003E3CBD"/>
    <w:rsid w:val="003E3EB6"/>
    <w:rsid w:val="003E3F6D"/>
    <w:rsid w:val="003E4127"/>
    <w:rsid w:val="003E4A0F"/>
    <w:rsid w:val="003E4E6B"/>
    <w:rsid w:val="003E53A8"/>
    <w:rsid w:val="003E60C9"/>
    <w:rsid w:val="003E6CEA"/>
    <w:rsid w:val="003E732B"/>
    <w:rsid w:val="003F0A52"/>
    <w:rsid w:val="003F1E9E"/>
    <w:rsid w:val="003F2221"/>
    <w:rsid w:val="003F38B5"/>
    <w:rsid w:val="003F4346"/>
    <w:rsid w:val="003F6807"/>
    <w:rsid w:val="00400768"/>
    <w:rsid w:val="004009EB"/>
    <w:rsid w:val="00400AA1"/>
    <w:rsid w:val="00401191"/>
    <w:rsid w:val="004011A9"/>
    <w:rsid w:val="00401D28"/>
    <w:rsid w:val="00401F49"/>
    <w:rsid w:val="00401FE3"/>
    <w:rsid w:val="004021DE"/>
    <w:rsid w:val="00402797"/>
    <w:rsid w:val="00402F1A"/>
    <w:rsid w:val="004038A2"/>
    <w:rsid w:val="0040441B"/>
    <w:rsid w:val="004048C1"/>
    <w:rsid w:val="00404BA5"/>
    <w:rsid w:val="0040525A"/>
    <w:rsid w:val="00405809"/>
    <w:rsid w:val="00406758"/>
    <w:rsid w:val="004068C1"/>
    <w:rsid w:val="004075F1"/>
    <w:rsid w:val="00407E81"/>
    <w:rsid w:val="00407F22"/>
    <w:rsid w:val="004102ED"/>
    <w:rsid w:val="0041070C"/>
    <w:rsid w:val="00410C39"/>
    <w:rsid w:val="00411064"/>
    <w:rsid w:val="00413106"/>
    <w:rsid w:val="00413717"/>
    <w:rsid w:val="00414394"/>
    <w:rsid w:val="00414AE8"/>
    <w:rsid w:val="00414FD9"/>
    <w:rsid w:val="00415CA3"/>
    <w:rsid w:val="00415D97"/>
    <w:rsid w:val="00416703"/>
    <w:rsid w:val="00416899"/>
    <w:rsid w:val="004176F5"/>
    <w:rsid w:val="0041777B"/>
    <w:rsid w:val="00417FB8"/>
    <w:rsid w:val="0042059E"/>
    <w:rsid w:val="00420F03"/>
    <w:rsid w:val="004210A7"/>
    <w:rsid w:val="0042112D"/>
    <w:rsid w:val="0042116D"/>
    <w:rsid w:val="004213E0"/>
    <w:rsid w:val="00421599"/>
    <w:rsid w:val="0042199C"/>
    <w:rsid w:val="0042217A"/>
    <w:rsid w:val="004225B4"/>
    <w:rsid w:val="00422741"/>
    <w:rsid w:val="00422D12"/>
    <w:rsid w:val="00422E0D"/>
    <w:rsid w:val="00423E76"/>
    <w:rsid w:val="00423F64"/>
    <w:rsid w:val="0042462F"/>
    <w:rsid w:val="00424AAF"/>
    <w:rsid w:val="00425F2B"/>
    <w:rsid w:val="0042787B"/>
    <w:rsid w:val="0042799A"/>
    <w:rsid w:val="00427BBD"/>
    <w:rsid w:val="00430213"/>
    <w:rsid w:val="00430424"/>
    <w:rsid w:val="004308A7"/>
    <w:rsid w:val="0043115B"/>
    <w:rsid w:val="00432188"/>
    <w:rsid w:val="00432229"/>
    <w:rsid w:val="00432402"/>
    <w:rsid w:val="004324F4"/>
    <w:rsid w:val="00433C49"/>
    <w:rsid w:val="00433E2D"/>
    <w:rsid w:val="00434779"/>
    <w:rsid w:val="00434EBF"/>
    <w:rsid w:val="004352EB"/>
    <w:rsid w:val="00435A2A"/>
    <w:rsid w:val="00435C1A"/>
    <w:rsid w:val="004362A2"/>
    <w:rsid w:val="004363B1"/>
    <w:rsid w:val="004363E2"/>
    <w:rsid w:val="0043645B"/>
    <w:rsid w:val="0043684D"/>
    <w:rsid w:val="00437169"/>
    <w:rsid w:val="0043753C"/>
    <w:rsid w:val="00437E46"/>
    <w:rsid w:val="00440FC2"/>
    <w:rsid w:val="0044117E"/>
    <w:rsid w:val="00441DB4"/>
    <w:rsid w:val="00442355"/>
    <w:rsid w:val="004426A4"/>
    <w:rsid w:val="00442CB5"/>
    <w:rsid w:val="00442CDE"/>
    <w:rsid w:val="0044327C"/>
    <w:rsid w:val="00443D0B"/>
    <w:rsid w:val="00443E7C"/>
    <w:rsid w:val="00443EBD"/>
    <w:rsid w:val="004446E1"/>
    <w:rsid w:val="00444B00"/>
    <w:rsid w:val="00444C12"/>
    <w:rsid w:val="0044512E"/>
    <w:rsid w:val="00445471"/>
    <w:rsid w:val="004458EF"/>
    <w:rsid w:val="004459DE"/>
    <w:rsid w:val="00446519"/>
    <w:rsid w:val="00446722"/>
    <w:rsid w:val="00446853"/>
    <w:rsid w:val="00447151"/>
    <w:rsid w:val="004474A7"/>
    <w:rsid w:val="00447CD1"/>
    <w:rsid w:val="00447F6D"/>
    <w:rsid w:val="00447F71"/>
    <w:rsid w:val="0045023D"/>
    <w:rsid w:val="00450C3E"/>
    <w:rsid w:val="00451767"/>
    <w:rsid w:val="0045192A"/>
    <w:rsid w:val="00451AEF"/>
    <w:rsid w:val="00452928"/>
    <w:rsid w:val="00453794"/>
    <w:rsid w:val="004543B0"/>
    <w:rsid w:val="0045457C"/>
    <w:rsid w:val="00455A07"/>
    <w:rsid w:val="004570CE"/>
    <w:rsid w:val="004570E3"/>
    <w:rsid w:val="0045729E"/>
    <w:rsid w:val="004574AD"/>
    <w:rsid w:val="00457696"/>
    <w:rsid w:val="004579E2"/>
    <w:rsid w:val="00457DEB"/>
    <w:rsid w:val="00460C0B"/>
    <w:rsid w:val="00460E12"/>
    <w:rsid w:val="00461017"/>
    <w:rsid w:val="004617D3"/>
    <w:rsid w:val="00461887"/>
    <w:rsid w:val="004619EF"/>
    <w:rsid w:val="0046234A"/>
    <w:rsid w:val="004624DF"/>
    <w:rsid w:val="004637A1"/>
    <w:rsid w:val="00463DB9"/>
    <w:rsid w:val="0046406E"/>
    <w:rsid w:val="0046478F"/>
    <w:rsid w:val="00464877"/>
    <w:rsid w:val="004649C8"/>
    <w:rsid w:val="00464B1D"/>
    <w:rsid w:val="004662B5"/>
    <w:rsid w:val="0046648C"/>
    <w:rsid w:val="004664C1"/>
    <w:rsid w:val="004664F9"/>
    <w:rsid w:val="00466585"/>
    <w:rsid w:val="00466DCC"/>
    <w:rsid w:val="004675CD"/>
    <w:rsid w:val="00467657"/>
    <w:rsid w:val="00467D3E"/>
    <w:rsid w:val="00467E69"/>
    <w:rsid w:val="0047074A"/>
    <w:rsid w:val="00471284"/>
    <w:rsid w:val="004735F7"/>
    <w:rsid w:val="004742A4"/>
    <w:rsid w:val="00474A81"/>
    <w:rsid w:val="00474E8D"/>
    <w:rsid w:val="00474F88"/>
    <w:rsid w:val="00475630"/>
    <w:rsid w:val="004758FA"/>
    <w:rsid w:val="00475919"/>
    <w:rsid w:val="00476824"/>
    <w:rsid w:val="0047742A"/>
    <w:rsid w:val="004802E5"/>
    <w:rsid w:val="004803AC"/>
    <w:rsid w:val="0048064A"/>
    <w:rsid w:val="00480E9E"/>
    <w:rsid w:val="00480EB8"/>
    <w:rsid w:val="00480F7A"/>
    <w:rsid w:val="00481026"/>
    <w:rsid w:val="004810D8"/>
    <w:rsid w:val="004812BB"/>
    <w:rsid w:val="00481CCA"/>
    <w:rsid w:val="00481D67"/>
    <w:rsid w:val="00481FE3"/>
    <w:rsid w:val="004829A9"/>
    <w:rsid w:val="00483051"/>
    <w:rsid w:val="0048343C"/>
    <w:rsid w:val="00483BFC"/>
    <w:rsid w:val="00483D58"/>
    <w:rsid w:val="00483E7E"/>
    <w:rsid w:val="004847A8"/>
    <w:rsid w:val="00484951"/>
    <w:rsid w:val="0048504C"/>
    <w:rsid w:val="00485439"/>
    <w:rsid w:val="00486AE8"/>
    <w:rsid w:val="00486CDA"/>
    <w:rsid w:val="00487361"/>
    <w:rsid w:val="0048782C"/>
    <w:rsid w:val="00487911"/>
    <w:rsid w:val="00490609"/>
    <w:rsid w:val="00490C3A"/>
    <w:rsid w:val="00490DAB"/>
    <w:rsid w:val="00490DB2"/>
    <w:rsid w:val="004911ED"/>
    <w:rsid w:val="00491543"/>
    <w:rsid w:val="00491831"/>
    <w:rsid w:val="004919E1"/>
    <w:rsid w:val="00491A14"/>
    <w:rsid w:val="00492939"/>
    <w:rsid w:val="00492960"/>
    <w:rsid w:val="0049309F"/>
    <w:rsid w:val="00493173"/>
    <w:rsid w:val="004931F6"/>
    <w:rsid w:val="0049410A"/>
    <w:rsid w:val="00495887"/>
    <w:rsid w:val="00495964"/>
    <w:rsid w:val="00495C8A"/>
    <w:rsid w:val="004966A6"/>
    <w:rsid w:val="00496D40"/>
    <w:rsid w:val="004973E6"/>
    <w:rsid w:val="004A0144"/>
    <w:rsid w:val="004A0288"/>
    <w:rsid w:val="004A02D1"/>
    <w:rsid w:val="004A0458"/>
    <w:rsid w:val="004A1196"/>
    <w:rsid w:val="004A185C"/>
    <w:rsid w:val="004A1881"/>
    <w:rsid w:val="004A1BF8"/>
    <w:rsid w:val="004A2E58"/>
    <w:rsid w:val="004A3341"/>
    <w:rsid w:val="004A3820"/>
    <w:rsid w:val="004A40C8"/>
    <w:rsid w:val="004A5463"/>
    <w:rsid w:val="004A5588"/>
    <w:rsid w:val="004A56E1"/>
    <w:rsid w:val="004A5847"/>
    <w:rsid w:val="004A6081"/>
    <w:rsid w:val="004A688B"/>
    <w:rsid w:val="004A799B"/>
    <w:rsid w:val="004A7B20"/>
    <w:rsid w:val="004B03AE"/>
    <w:rsid w:val="004B201E"/>
    <w:rsid w:val="004B2218"/>
    <w:rsid w:val="004B27F2"/>
    <w:rsid w:val="004B2C69"/>
    <w:rsid w:val="004B34BD"/>
    <w:rsid w:val="004B394E"/>
    <w:rsid w:val="004B44CF"/>
    <w:rsid w:val="004B4EFF"/>
    <w:rsid w:val="004B69AF"/>
    <w:rsid w:val="004C01E0"/>
    <w:rsid w:val="004C0454"/>
    <w:rsid w:val="004C1896"/>
    <w:rsid w:val="004C1B2E"/>
    <w:rsid w:val="004C302F"/>
    <w:rsid w:val="004C49FF"/>
    <w:rsid w:val="004C4B59"/>
    <w:rsid w:val="004C55E0"/>
    <w:rsid w:val="004C6203"/>
    <w:rsid w:val="004C6680"/>
    <w:rsid w:val="004C72BA"/>
    <w:rsid w:val="004D007F"/>
    <w:rsid w:val="004D090D"/>
    <w:rsid w:val="004D121D"/>
    <w:rsid w:val="004D24FE"/>
    <w:rsid w:val="004D369C"/>
    <w:rsid w:val="004D3818"/>
    <w:rsid w:val="004D40D6"/>
    <w:rsid w:val="004D5196"/>
    <w:rsid w:val="004D5902"/>
    <w:rsid w:val="004D6551"/>
    <w:rsid w:val="004D6E13"/>
    <w:rsid w:val="004D745C"/>
    <w:rsid w:val="004D749A"/>
    <w:rsid w:val="004D7B76"/>
    <w:rsid w:val="004E1131"/>
    <w:rsid w:val="004E1849"/>
    <w:rsid w:val="004E1A4B"/>
    <w:rsid w:val="004E2111"/>
    <w:rsid w:val="004E2FFC"/>
    <w:rsid w:val="004E30B5"/>
    <w:rsid w:val="004E33B4"/>
    <w:rsid w:val="004E3B75"/>
    <w:rsid w:val="004E3EFC"/>
    <w:rsid w:val="004E42B0"/>
    <w:rsid w:val="004E4664"/>
    <w:rsid w:val="004E4E2D"/>
    <w:rsid w:val="004E50C7"/>
    <w:rsid w:val="004E5848"/>
    <w:rsid w:val="004E5C87"/>
    <w:rsid w:val="004E772B"/>
    <w:rsid w:val="004E7758"/>
    <w:rsid w:val="004F0194"/>
    <w:rsid w:val="004F04DA"/>
    <w:rsid w:val="004F0781"/>
    <w:rsid w:val="004F2307"/>
    <w:rsid w:val="004F2440"/>
    <w:rsid w:val="004F261D"/>
    <w:rsid w:val="004F2B5B"/>
    <w:rsid w:val="004F2EF1"/>
    <w:rsid w:val="004F3E40"/>
    <w:rsid w:val="004F4371"/>
    <w:rsid w:val="004F4BDF"/>
    <w:rsid w:val="004F4ECF"/>
    <w:rsid w:val="004F5FFE"/>
    <w:rsid w:val="004F6483"/>
    <w:rsid w:val="004F6D46"/>
    <w:rsid w:val="005001A9"/>
    <w:rsid w:val="005002BC"/>
    <w:rsid w:val="005003F2"/>
    <w:rsid w:val="00500957"/>
    <w:rsid w:val="00500C85"/>
    <w:rsid w:val="00501869"/>
    <w:rsid w:val="00501A95"/>
    <w:rsid w:val="00501B50"/>
    <w:rsid w:val="00501EEA"/>
    <w:rsid w:val="005025C8"/>
    <w:rsid w:val="00502A2C"/>
    <w:rsid w:val="00502B53"/>
    <w:rsid w:val="00503024"/>
    <w:rsid w:val="0050309E"/>
    <w:rsid w:val="005031F5"/>
    <w:rsid w:val="0050351F"/>
    <w:rsid w:val="00503A8A"/>
    <w:rsid w:val="00504322"/>
    <w:rsid w:val="005044A3"/>
    <w:rsid w:val="0050488A"/>
    <w:rsid w:val="00504929"/>
    <w:rsid w:val="005064D1"/>
    <w:rsid w:val="00507CD4"/>
    <w:rsid w:val="00510145"/>
    <w:rsid w:val="00510CD1"/>
    <w:rsid w:val="00511818"/>
    <w:rsid w:val="00511DCB"/>
    <w:rsid w:val="00511F2F"/>
    <w:rsid w:val="005122B9"/>
    <w:rsid w:val="00512352"/>
    <w:rsid w:val="00512947"/>
    <w:rsid w:val="00512B50"/>
    <w:rsid w:val="00512BCA"/>
    <w:rsid w:val="00512CE8"/>
    <w:rsid w:val="00512E2D"/>
    <w:rsid w:val="00513D8B"/>
    <w:rsid w:val="00513F5B"/>
    <w:rsid w:val="00513FB6"/>
    <w:rsid w:val="005146F5"/>
    <w:rsid w:val="005149D8"/>
    <w:rsid w:val="005151CA"/>
    <w:rsid w:val="005152C9"/>
    <w:rsid w:val="00515AE9"/>
    <w:rsid w:val="00515F1A"/>
    <w:rsid w:val="00516B0D"/>
    <w:rsid w:val="00516E59"/>
    <w:rsid w:val="00516E86"/>
    <w:rsid w:val="0051754B"/>
    <w:rsid w:val="005176A0"/>
    <w:rsid w:val="00517965"/>
    <w:rsid w:val="00517D7A"/>
    <w:rsid w:val="00521101"/>
    <w:rsid w:val="00521B09"/>
    <w:rsid w:val="00521E97"/>
    <w:rsid w:val="005221A0"/>
    <w:rsid w:val="0052432B"/>
    <w:rsid w:val="0052464D"/>
    <w:rsid w:val="0052502A"/>
    <w:rsid w:val="00525113"/>
    <w:rsid w:val="005251DB"/>
    <w:rsid w:val="00525A5C"/>
    <w:rsid w:val="0052664E"/>
    <w:rsid w:val="005272A7"/>
    <w:rsid w:val="00527557"/>
    <w:rsid w:val="0052786E"/>
    <w:rsid w:val="00527F2A"/>
    <w:rsid w:val="00530560"/>
    <w:rsid w:val="00530AF0"/>
    <w:rsid w:val="00530B8A"/>
    <w:rsid w:val="0053111F"/>
    <w:rsid w:val="00531498"/>
    <w:rsid w:val="005314EC"/>
    <w:rsid w:val="00531BAB"/>
    <w:rsid w:val="00531CD7"/>
    <w:rsid w:val="00531E45"/>
    <w:rsid w:val="00531FAA"/>
    <w:rsid w:val="00532C10"/>
    <w:rsid w:val="00532C9E"/>
    <w:rsid w:val="00532D90"/>
    <w:rsid w:val="00532E03"/>
    <w:rsid w:val="0053384F"/>
    <w:rsid w:val="0053395A"/>
    <w:rsid w:val="00534302"/>
    <w:rsid w:val="00534484"/>
    <w:rsid w:val="005345A0"/>
    <w:rsid w:val="00534DF8"/>
    <w:rsid w:val="00535E91"/>
    <w:rsid w:val="005361BE"/>
    <w:rsid w:val="0053643A"/>
    <w:rsid w:val="005365B4"/>
    <w:rsid w:val="005368CF"/>
    <w:rsid w:val="00536C17"/>
    <w:rsid w:val="00536DE5"/>
    <w:rsid w:val="00536F8D"/>
    <w:rsid w:val="00537716"/>
    <w:rsid w:val="0053787D"/>
    <w:rsid w:val="00540605"/>
    <w:rsid w:val="00540A1D"/>
    <w:rsid w:val="005414B4"/>
    <w:rsid w:val="00541645"/>
    <w:rsid w:val="00541935"/>
    <w:rsid w:val="005426B1"/>
    <w:rsid w:val="005428D1"/>
    <w:rsid w:val="00542B9D"/>
    <w:rsid w:val="00543863"/>
    <w:rsid w:val="00543981"/>
    <w:rsid w:val="00543EBD"/>
    <w:rsid w:val="00544156"/>
    <w:rsid w:val="005445CC"/>
    <w:rsid w:val="00544EE2"/>
    <w:rsid w:val="00544FBB"/>
    <w:rsid w:val="005452B9"/>
    <w:rsid w:val="0054626D"/>
    <w:rsid w:val="00546357"/>
    <w:rsid w:val="0054681C"/>
    <w:rsid w:val="00546DBF"/>
    <w:rsid w:val="0054788F"/>
    <w:rsid w:val="00552256"/>
    <w:rsid w:val="005526A1"/>
    <w:rsid w:val="00552796"/>
    <w:rsid w:val="00552F7D"/>
    <w:rsid w:val="00552FAB"/>
    <w:rsid w:val="00553602"/>
    <w:rsid w:val="00553EF8"/>
    <w:rsid w:val="005541DF"/>
    <w:rsid w:val="00554F0E"/>
    <w:rsid w:val="00555494"/>
    <w:rsid w:val="0055563B"/>
    <w:rsid w:val="0055571A"/>
    <w:rsid w:val="00555E75"/>
    <w:rsid w:val="00556611"/>
    <w:rsid w:val="00557312"/>
    <w:rsid w:val="00557357"/>
    <w:rsid w:val="00557427"/>
    <w:rsid w:val="00557AC8"/>
    <w:rsid w:val="00557C98"/>
    <w:rsid w:val="00557F9F"/>
    <w:rsid w:val="00560A93"/>
    <w:rsid w:val="00561014"/>
    <w:rsid w:val="00561489"/>
    <w:rsid w:val="005615CA"/>
    <w:rsid w:val="00561602"/>
    <w:rsid w:val="00561812"/>
    <w:rsid w:val="00561C34"/>
    <w:rsid w:val="00561FCC"/>
    <w:rsid w:val="0056208F"/>
    <w:rsid w:val="0056242F"/>
    <w:rsid w:val="00562452"/>
    <w:rsid w:val="00562A78"/>
    <w:rsid w:val="00562B93"/>
    <w:rsid w:val="005633C0"/>
    <w:rsid w:val="005633CD"/>
    <w:rsid w:val="005635AA"/>
    <w:rsid w:val="005635C5"/>
    <w:rsid w:val="00563955"/>
    <w:rsid w:val="005645CD"/>
    <w:rsid w:val="005646CF"/>
    <w:rsid w:val="005648D5"/>
    <w:rsid w:val="005661D2"/>
    <w:rsid w:val="00566389"/>
    <w:rsid w:val="005671DB"/>
    <w:rsid w:val="005672AE"/>
    <w:rsid w:val="0056753D"/>
    <w:rsid w:val="00570531"/>
    <w:rsid w:val="005717AF"/>
    <w:rsid w:val="00571BF8"/>
    <w:rsid w:val="0057216D"/>
    <w:rsid w:val="005721D5"/>
    <w:rsid w:val="005725D6"/>
    <w:rsid w:val="0057344E"/>
    <w:rsid w:val="0057432F"/>
    <w:rsid w:val="00574C73"/>
    <w:rsid w:val="005757B9"/>
    <w:rsid w:val="00575E26"/>
    <w:rsid w:val="00575F94"/>
    <w:rsid w:val="0057614A"/>
    <w:rsid w:val="00576859"/>
    <w:rsid w:val="00576907"/>
    <w:rsid w:val="00576A21"/>
    <w:rsid w:val="005770A6"/>
    <w:rsid w:val="005778FC"/>
    <w:rsid w:val="005779EB"/>
    <w:rsid w:val="00577B2E"/>
    <w:rsid w:val="00577E86"/>
    <w:rsid w:val="005803CF"/>
    <w:rsid w:val="00580833"/>
    <w:rsid w:val="00580848"/>
    <w:rsid w:val="00580DE9"/>
    <w:rsid w:val="005819B8"/>
    <w:rsid w:val="0058295C"/>
    <w:rsid w:val="00582A6A"/>
    <w:rsid w:val="00582B0C"/>
    <w:rsid w:val="0058314D"/>
    <w:rsid w:val="005836F6"/>
    <w:rsid w:val="00583A57"/>
    <w:rsid w:val="00584469"/>
    <w:rsid w:val="00584661"/>
    <w:rsid w:val="00584A6B"/>
    <w:rsid w:val="00584D7A"/>
    <w:rsid w:val="0058507D"/>
    <w:rsid w:val="00585374"/>
    <w:rsid w:val="005858BA"/>
    <w:rsid w:val="005859F8"/>
    <w:rsid w:val="00587390"/>
    <w:rsid w:val="00587B02"/>
    <w:rsid w:val="00587F62"/>
    <w:rsid w:val="005903EF"/>
    <w:rsid w:val="00590417"/>
    <w:rsid w:val="005909AC"/>
    <w:rsid w:val="005913F1"/>
    <w:rsid w:val="00591496"/>
    <w:rsid w:val="005920E6"/>
    <w:rsid w:val="00592182"/>
    <w:rsid w:val="0059241A"/>
    <w:rsid w:val="00592FE0"/>
    <w:rsid w:val="0059457E"/>
    <w:rsid w:val="005946B0"/>
    <w:rsid w:val="005949CD"/>
    <w:rsid w:val="00594DF1"/>
    <w:rsid w:val="00594EDE"/>
    <w:rsid w:val="00595678"/>
    <w:rsid w:val="00596424"/>
    <w:rsid w:val="00596EE9"/>
    <w:rsid w:val="00597E36"/>
    <w:rsid w:val="005A105D"/>
    <w:rsid w:val="005A1304"/>
    <w:rsid w:val="005A18FF"/>
    <w:rsid w:val="005A2113"/>
    <w:rsid w:val="005A25AA"/>
    <w:rsid w:val="005A2649"/>
    <w:rsid w:val="005A2816"/>
    <w:rsid w:val="005A2C9A"/>
    <w:rsid w:val="005A3D09"/>
    <w:rsid w:val="005A3E4A"/>
    <w:rsid w:val="005A4A6D"/>
    <w:rsid w:val="005A4D33"/>
    <w:rsid w:val="005A53E0"/>
    <w:rsid w:val="005A590E"/>
    <w:rsid w:val="005A6533"/>
    <w:rsid w:val="005A68E7"/>
    <w:rsid w:val="005A6C44"/>
    <w:rsid w:val="005A6CCB"/>
    <w:rsid w:val="005A793C"/>
    <w:rsid w:val="005B0513"/>
    <w:rsid w:val="005B070E"/>
    <w:rsid w:val="005B07A2"/>
    <w:rsid w:val="005B0826"/>
    <w:rsid w:val="005B17B5"/>
    <w:rsid w:val="005B17D5"/>
    <w:rsid w:val="005B2BBB"/>
    <w:rsid w:val="005B2F5E"/>
    <w:rsid w:val="005B31E2"/>
    <w:rsid w:val="005B33B2"/>
    <w:rsid w:val="005B3488"/>
    <w:rsid w:val="005B3A02"/>
    <w:rsid w:val="005B3C1D"/>
    <w:rsid w:val="005B4485"/>
    <w:rsid w:val="005B451B"/>
    <w:rsid w:val="005B4C35"/>
    <w:rsid w:val="005B50C9"/>
    <w:rsid w:val="005B5E25"/>
    <w:rsid w:val="005B650C"/>
    <w:rsid w:val="005B66C6"/>
    <w:rsid w:val="005B67F3"/>
    <w:rsid w:val="005B6BA3"/>
    <w:rsid w:val="005B7203"/>
    <w:rsid w:val="005B720E"/>
    <w:rsid w:val="005B7CD2"/>
    <w:rsid w:val="005C01F2"/>
    <w:rsid w:val="005C03C2"/>
    <w:rsid w:val="005C110F"/>
    <w:rsid w:val="005C1C4F"/>
    <w:rsid w:val="005C2EA7"/>
    <w:rsid w:val="005C3034"/>
    <w:rsid w:val="005C382D"/>
    <w:rsid w:val="005C383E"/>
    <w:rsid w:val="005C444E"/>
    <w:rsid w:val="005C46AF"/>
    <w:rsid w:val="005C48C8"/>
    <w:rsid w:val="005C4A15"/>
    <w:rsid w:val="005C5119"/>
    <w:rsid w:val="005C51D5"/>
    <w:rsid w:val="005C53FC"/>
    <w:rsid w:val="005C5AA9"/>
    <w:rsid w:val="005C5B75"/>
    <w:rsid w:val="005C5DF7"/>
    <w:rsid w:val="005C65E7"/>
    <w:rsid w:val="005C7E45"/>
    <w:rsid w:val="005C7FCB"/>
    <w:rsid w:val="005D041F"/>
    <w:rsid w:val="005D073D"/>
    <w:rsid w:val="005D0FFD"/>
    <w:rsid w:val="005D1091"/>
    <w:rsid w:val="005D146F"/>
    <w:rsid w:val="005D1BAB"/>
    <w:rsid w:val="005D1EF5"/>
    <w:rsid w:val="005D201C"/>
    <w:rsid w:val="005D27F8"/>
    <w:rsid w:val="005D34A5"/>
    <w:rsid w:val="005D3B07"/>
    <w:rsid w:val="005D3CB7"/>
    <w:rsid w:val="005D4719"/>
    <w:rsid w:val="005D47D8"/>
    <w:rsid w:val="005D4B4D"/>
    <w:rsid w:val="005D4EEC"/>
    <w:rsid w:val="005D53C8"/>
    <w:rsid w:val="005D53CF"/>
    <w:rsid w:val="005D5B18"/>
    <w:rsid w:val="005D65CD"/>
    <w:rsid w:val="005D69F6"/>
    <w:rsid w:val="005D7224"/>
    <w:rsid w:val="005D7E34"/>
    <w:rsid w:val="005E1320"/>
    <w:rsid w:val="005E15B4"/>
    <w:rsid w:val="005E18A4"/>
    <w:rsid w:val="005E1909"/>
    <w:rsid w:val="005E2243"/>
    <w:rsid w:val="005E2A1D"/>
    <w:rsid w:val="005E2E9A"/>
    <w:rsid w:val="005E31FE"/>
    <w:rsid w:val="005E327F"/>
    <w:rsid w:val="005E384E"/>
    <w:rsid w:val="005E5387"/>
    <w:rsid w:val="005E63BF"/>
    <w:rsid w:val="005E6623"/>
    <w:rsid w:val="005E662A"/>
    <w:rsid w:val="005E7056"/>
    <w:rsid w:val="005E7161"/>
    <w:rsid w:val="005E7209"/>
    <w:rsid w:val="005E7985"/>
    <w:rsid w:val="005F00D7"/>
    <w:rsid w:val="005F25D6"/>
    <w:rsid w:val="005F266C"/>
    <w:rsid w:val="005F2729"/>
    <w:rsid w:val="005F29A9"/>
    <w:rsid w:val="005F2B1B"/>
    <w:rsid w:val="005F33E1"/>
    <w:rsid w:val="005F3DDE"/>
    <w:rsid w:val="005F3E3D"/>
    <w:rsid w:val="005F3E5C"/>
    <w:rsid w:val="005F419D"/>
    <w:rsid w:val="005F4229"/>
    <w:rsid w:val="005F52C7"/>
    <w:rsid w:val="005F5471"/>
    <w:rsid w:val="005F5BAF"/>
    <w:rsid w:val="005F5DCE"/>
    <w:rsid w:val="005F6005"/>
    <w:rsid w:val="005F661D"/>
    <w:rsid w:val="005F690C"/>
    <w:rsid w:val="005F6BFA"/>
    <w:rsid w:val="005F7151"/>
    <w:rsid w:val="005F76BE"/>
    <w:rsid w:val="005F7D74"/>
    <w:rsid w:val="00601006"/>
    <w:rsid w:val="006014A5"/>
    <w:rsid w:val="006018FA"/>
    <w:rsid w:val="00601900"/>
    <w:rsid w:val="00601E95"/>
    <w:rsid w:val="00601FE1"/>
    <w:rsid w:val="00602372"/>
    <w:rsid w:val="00602678"/>
    <w:rsid w:val="006028F9"/>
    <w:rsid w:val="00602A46"/>
    <w:rsid w:val="00602BD9"/>
    <w:rsid w:val="006033AD"/>
    <w:rsid w:val="006037E4"/>
    <w:rsid w:val="00604220"/>
    <w:rsid w:val="00604984"/>
    <w:rsid w:val="0060522D"/>
    <w:rsid w:val="006052DB"/>
    <w:rsid w:val="006055FD"/>
    <w:rsid w:val="00605654"/>
    <w:rsid w:val="00605A3A"/>
    <w:rsid w:val="00606D02"/>
    <w:rsid w:val="00606D04"/>
    <w:rsid w:val="0060701A"/>
    <w:rsid w:val="006073E1"/>
    <w:rsid w:val="00607949"/>
    <w:rsid w:val="006079C0"/>
    <w:rsid w:val="0061055D"/>
    <w:rsid w:val="0061120D"/>
    <w:rsid w:val="0061140F"/>
    <w:rsid w:val="00611CC8"/>
    <w:rsid w:val="00611CF7"/>
    <w:rsid w:val="0061215E"/>
    <w:rsid w:val="00612F34"/>
    <w:rsid w:val="00614566"/>
    <w:rsid w:val="00614C4D"/>
    <w:rsid w:val="006159AE"/>
    <w:rsid w:val="006162DC"/>
    <w:rsid w:val="00616CC1"/>
    <w:rsid w:val="00617094"/>
    <w:rsid w:val="0061740D"/>
    <w:rsid w:val="0062057C"/>
    <w:rsid w:val="0062107F"/>
    <w:rsid w:val="00621510"/>
    <w:rsid w:val="0062186E"/>
    <w:rsid w:val="006218E2"/>
    <w:rsid w:val="00621B03"/>
    <w:rsid w:val="006222EA"/>
    <w:rsid w:val="00623757"/>
    <w:rsid w:val="00623886"/>
    <w:rsid w:val="00623F35"/>
    <w:rsid w:val="00624124"/>
    <w:rsid w:val="00624210"/>
    <w:rsid w:val="006248A9"/>
    <w:rsid w:val="0062521F"/>
    <w:rsid w:val="00625259"/>
    <w:rsid w:val="0062580E"/>
    <w:rsid w:val="006258B2"/>
    <w:rsid w:val="00626527"/>
    <w:rsid w:val="00626D32"/>
    <w:rsid w:val="0062742A"/>
    <w:rsid w:val="00627F2F"/>
    <w:rsid w:val="00627FE7"/>
    <w:rsid w:val="0063026B"/>
    <w:rsid w:val="0063098A"/>
    <w:rsid w:val="00630A18"/>
    <w:rsid w:val="00630ED6"/>
    <w:rsid w:val="00631036"/>
    <w:rsid w:val="006311C5"/>
    <w:rsid w:val="006324A3"/>
    <w:rsid w:val="006328B9"/>
    <w:rsid w:val="00633202"/>
    <w:rsid w:val="006337DD"/>
    <w:rsid w:val="0063387B"/>
    <w:rsid w:val="006338B4"/>
    <w:rsid w:val="00633B52"/>
    <w:rsid w:val="00633E4D"/>
    <w:rsid w:val="0063455B"/>
    <w:rsid w:val="006349ED"/>
    <w:rsid w:val="00634BDC"/>
    <w:rsid w:val="00635477"/>
    <w:rsid w:val="00635518"/>
    <w:rsid w:val="00635768"/>
    <w:rsid w:val="0063577D"/>
    <w:rsid w:val="006358DF"/>
    <w:rsid w:val="00635DBF"/>
    <w:rsid w:val="006367CB"/>
    <w:rsid w:val="00636A8E"/>
    <w:rsid w:val="006379F1"/>
    <w:rsid w:val="00640D6D"/>
    <w:rsid w:val="006414E0"/>
    <w:rsid w:val="006429CC"/>
    <w:rsid w:val="00642B6D"/>
    <w:rsid w:val="00643383"/>
    <w:rsid w:val="00643EC3"/>
    <w:rsid w:val="00644180"/>
    <w:rsid w:val="00644244"/>
    <w:rsid w:val="00644275"/>
    <w:rsid w:val="00644A2A"/>
    <w:rsid w:val="00645158"/>
    <w:rsid w:val="00645DC2"/>
    <w:rsid w:val="0064605E"/>
    <w:rsid w:val="006462DF"/>
    <w:rsid w:val="006465D8"/>
    <w:rsid w:val="00646A85"/>
    <w:rsid w:val="00646D31"/>
    <w:rsid w:val="0064744E"/>
    <w:rsid w:val="006474E1"/>
    <w:rsid w:val="00647948"/>
    <w:rsid w:val="006502EF"/>
    <w:rsid w:val="00650345"/>
    <w:rsid w:val="00650A9C"/>
    <w:rsid w:val="00650C83"/>
    <w:rsid w:val="006520E7"/>
    <w:rsid w:val="00652ED6"/>
    <w:rsid w:val="006537DF"/>
    <w:rsid w:val="00653AA7"/>
    <w:rsid w:val="00653F0D"/>
    <w:rsid w:val="00654FB3"/>
    <w:rsid w:val="00655603"/>
    <w:rsid w:val="00657561"/>
    <w:rsid w:val="0066051C"/>
    <w:rsid w:val="006605AB"/>
    <w:rsid w:val="00660900"/>
    <w:rsid w:val="00660F76"/>
    <w:rsid w:val="006617F7"/>
    <w:rsid w:val="00661A95"/>
    <w:rsid w:val="00661D20"/>
    <w:rsid w:val="00662115"/>
    <w:rsid w:val="00662315"/>
    <w:rsid w:val="00662E9B"/>
    <w:rsid w:val="00663BAA"/>
    <w:rsid w:val="00664035"/>
    <w:rsid w:val="006642C2"/>
    <w:rsid w:val="00664B77"/>
    <w:rsid w:val="00665249"/>
    <w:rsid w:val="00667381"/>
    <w:rsid w:val="0066757D"/>
    <w:rsid w:val="006675C3"/>
    <w:rsid w:val="006678B5"/>
    <w:rsid w:val="00667D14"/>
    <w:rsid w:val="00670288"/>
    <w:rsid w:val="006707A0"/>
    <w:rsid w:val="00671608"/>
    <w:rsid w:val="0067202F"/>
    <w:rsid w:val="00672056"/>
    <w:rsid w:val="006729F5"/>
    <w:rsid w:val="00673742"/>
    <w:rsid w:val="00674744"/>
    <w:rsid w:val="0067661E"/>
    <w:rsid w:val="00676EC3"/>
    <w:rsid w:val="006773FC"/>
    <w:rsid w:val="0067796D"/>
    <w:rsid w:val="00677C90"/>
    <w:rsid w:val="006804A6"/>
    <w:rsid w:val="006804E8"/>
    <w:rsid w:val="006807D8"/>
    <w:rsid w:val="00680800"/>
    <w:rsid w:val="0068080E"/>
    <w:rsid w:val="00680D32"/>
    <w:rsid w:val="00680EB3"/>
    <w:rsid w:val="00680F76"/>
    <w:rsid w:val="00681359"/>
    <w:rsid w:val="006822C8"/>
    <w:rsid w:val="00682B14"/>
    <w:rsid w:val="00682FC3"/>
    <w:rsid w:val="00683971"/>
    <w:rsid w:val="00683ACD"/>
    <w:rsid w:val="00683E99"/>
    <w:rsid w:val="00684564"/>
    <w:rsid w:val="00684B90"/>
    <w:rsid w:val="006856C7"/>
    <w:rsid w:val="00685D15"/>
    <w:rsid w:val="00685E06"/>
    <w:rsid w:val="006861F5"/>
    <w:rsid w:val="00686909"/>
    <w:rsid w:val="0068736E"/>
    <w:rsid w:val="0069026F"/>
    <w:rsid w:val="006906D5"/>
    <w:rsid w:val="0069092D"/>
    <w:rsid w:val="00690A98"/>
    <w:rsid w:val="00690D73"/>
    <w:rsid w:val="0069100D"/>
    <w:rsid w:val="00691AB8"/>
    <w:rsid w:val="00691E55"/>
    <w:rsid w:val="00692926"/>
    <w:rsid w:val="00692BBF"/>
    <w:rsid w:val="00692C25"/>
    <w:rsid w:val="00692D41"/>
    <w:rsid w:val="00693CC3"/>
    <w:rsid w:val="00693FCD"/>
    <w:rsid w:val="006940E9"/>
    <w:rsid w:val="0069489C"/>
    <w:rsid w:val="00694A54"/>
    <w:rsid w:val="00694F9E"/>
    <w:rsid w:val="00695162"/>
    <w:rsid w:val="00695491"/>
    <w:rsid w:val="006957AB"/>
    <w:rsid w:val="00695D19"/>
    <w:rsid w:val="006961EC"/>
    <w:rsid w:val="00696222"/>
    <w:rsid w:val="0069626B"/>
    <w:rsid w:val="006967E6"/>
    <w:rsid w:val="0069687A"/>
    <w:rsid w:val="0069704D"/>
    <w:rsid w:val="00697111"/>
    <w:rsid w:val="006975F2"/>
    <w:rsid w:val="00697897"/>
    <w:rsid w:val="00697929"/>
    <w:rsid w:val="006A000E"/>
    <w:rsid w:val="006A013D"/>
    <w:rsid w:val="006A0A65"/>
    <w:rsid w:val="006A167A"/>
    <w:rsid w:val="006A1CF2"/>
    <w:rsid w:val="006A22BB"/>
    <w:rsid w:val="006A2398"/>
    <w:rsid w:val="006A287A"/>
    <w:rsid w:val="006A2A53"/>
    <w:rsid w:val="006A2FB2"/>
    <w:rsid w:val="006A4652"/>
    <w:rsid w:val="006A4DE7"/>
    <w:rsid w:val="006A5EFF"/>
    <w:rsid w:val="006A61DF"/>
    <w:rsid w:val="006A6506"/>
    <w:rsid w:val="006A6580"/>
    <w:rsid w:val="006A6935"/>
    <w:rsid w:val="006A69CC"/>
    <w:rsid w:val="006A708F"/>
    <w:rsid w:val="006A7418"/>
    <w:rsid w:val="006A7852"/>
    <w:rsid w:val="006A7880"/>
    <w:rsid w:val="006B049C"/>
    <w:rsid w:val="006B0AB1"/>
    <w:rsid w:val="006B192D"/>
    <w:rsid w:val="006B19CC"/>
    <w:rsid w:val="006B2105"/>
    <w:rsid w:val="006B24C9"/>
    <w:rsid w:val="006B255E"/>
    <w:rsid w:val="006B26C9"/>
    <w:rsid w:val="006B3C35"/>
    <w:rsid w:val="006B43B6"/>
    <w:rsid w:val="006B4AE0"/>
    <w:rsid w:val="006B4B8C"/>
    <w:rsid w:val="006B50E5"/>
    <w:rsid w:val="006B53C1"/>
    <w:rsid w:val="006B5BC8"/>
    <w:rsid w:val="006B6D3C"/>
    <w:rsid w:val="006B6F2F"/>
    <w:rsid w:val="006B6FC4"/>
    <w:rsid w:val="006B77D1"/>
    <w:rsid w:val="006B77DD"/>
    <w:rsid w:val="006C00FA"/>
    <w:rsid w:val="006C0AF0"/>
    <w:rsid w:val="006C14C2"/>
    <w:rsid w:val="006C193E"/>
    <w:rsid w:val="006C1CB9"/>
    <w:rsid w:val="006C21B8"/>
    <w:rsid w:val="006C2757"/>
    <w:rsid w:val="006C3ED0"/>
    <w:rsid w:val="006C415D"/>
    <w:rsid w:val="006C4ADB"/>
    <w:rsid w:val="006C5522"/>
    <w:rsid w:val="006C6FE2"/>
    <w:rsid w:val="006C71B7"/>
    <w:rsid w:val="006C73D8"/>
    <w:rsid w:val="006C7798"/>
    <w:rsid w:val="006D041C"/>
    <w:rsid w:val="006D08CD"/>
    <w:rsid w:val="006D0941"/>
    <w:rsid w:val="006D1003"/>
    <w:rsid w:val="006D11AD"/>
    <w:rsid w:val="006D1F0F"/>
    <w:rsid w:val="006D2360"/>
    <w:rsid w:val="006D239F"/>
    <w:rsid w:val="006D25DE"/>
    <w:rsid w:val="006D48F2"/>
    <w:rsid w:val="006D4A97"/>
    <w:rsid w:val="006D4AB1"/>
    <w:rsid w:val="006D4CF4"/>
    <w:rsid w:val="006D523A"/>
    <w:rsid w:val="006D5355"/>
    <w:rsid w:val="006D56F2"/>
    <w:rsid w:val="006D5806"/>
    <w:rsid w:val="006D5ADF"/>
    <w:rsid w:val="006D5C52"/>
    <w:rsid w:val="006D6D64"/>
    <w:rsid w:val="006D6FA3"/>
    <w:rsid w:val="006D7017"/>
    <w:rsid w:val="006D797B"/>
    <w:rsid w:val="006D7C16"/>
    <w:rsid w:val="006D7C34"/>
    <w:rsid w:val="006E01DD"/>
    <w:rsid w:val="006E06E2"/>
    <w:rsid w:val="006E07D6"/>
    <w:rsid w:val="006E0A40"/>
    <w:rsid w:val="006E0E28"/>
    <w:rsid w:val="006E1019"/>
    <w:rsid w:val="006E14E2"/>
    <w:rsid w:val="006E1D9A"/>
    <w:rsid w:val="006E1DA4"/>
    <w:rsid w:val="006E37C0"/>
    <w:rsid w:val="006E4852"/>
    <w:rsid w:val="006E48BD"/>
    <w:rsid w:val="006E5193"/>
    <w:rsid w:val="006E528B"/>
    <w:rsid w:val="006E5632"/>
    <w:rsid w:val="006E6141"/>
    <w:rsid w:val="006E6C6F"/>
    <w:rsid w:val="006E6E86"/>
    <w:rsid w:val="006E77EF"/>
    <w:rsid w:val="006F05F6"/>
    <w:rsid w:val="006F090E"/>
    <w:rsid w:val="006F0925"/>
    <w:rsid w:val="006F096F"/>
    <w:rsid w:val="006F0F7A"/>
    <w:rsid w:val="006F1C73"/>
    <w:rsid w:val="006F1C78"/>
    <w:rsid w:val="006F228B"/>
    <w:rsid w:val="006F22D3"/>
    <w:rsid w:val="006F23F3"/>
    <w:rsid w:val="006F28AB"/>
    <w:rsid w:val="006F2AA7"/>
    <w:rsid w:val="006F2D33"/>
    <w:rsid w:val="006F3C56"/>
    <w:rsid w:val="006F3DDF"/>
    <w:rsid w:val="006F4741"/>
    <w:rsid w:val="006F49C0"/>
    <w:rsid w:val="006F4DDC"/>
    <w:rsid w:val="006F5332"/>
    <w:rsid w:val="006F53D4"/>
    <w:rsid w:val="006F53F6"/>
    <w:rsid w:val="006F54F7"/>
    <w:rsid w:val="006F6C4A"/>
    <w:rsid w:val="006F6EDC"/>
    <w:rsid w:val="006F766A"/>
    <w:rsid w:val="006F7AFE"/>
    <w:rsid w:val="006F7D5A"/>
    <w:rsid w:val="006F7DD2"/>
    <w:rsid w:val="00700161"/>
    <w:rsid w:val="007002F8"/>
    <w:rsid w:val="00700EC3"/>
    <w:rsid w:val="00700FAC"/>
    <w:rsid w:val="007017A8"/>
    <w:rsid w:val="007018E0"/>
    <w:rsid w:val="0070192F"/>
    <w:rsid w:val="00701A06"/>
    <w:rsid w:val="00701EE4"/>
    <w:rsid w:val="00702647"/>
    <w:rsid w:val="00702960"/>
    <w:rsid w:val="00702A63"/>
    <w:rsid w:val="00702C50"/>
    <w:rsid w:val="00702FAA"/>
    <w:rsid w:val="007031C4"/>
    <w:rsid w:val="00703304"/>
    <w:rsid w:val="007033D1"/>
    <w:rsid w:val="00704091"/>
    <w:rsid w:val="00705037"/>
    <w:rsid w:val="00705108"/>
    <w:rsid w:val="00705477"/>
    <w:rsid w:val="00705532"/>
    <w:rsid w:val="00705818"/>
    <w:rsid w:val="00705FC3"/>
    <w:rsid w:val="00706071"/>
    <w:rsid w:val="007063FC"/>
    <w:rsid w:val="00706948"/>
    <w:rsid w:val="00706AC3"/>
    <w:rsid w:val="00706B46"/>
    <w:rsid w:val="007075A3"/>
    <w:rsid w:val="00707CA6"/>
    <w:rsid w:val="007101F6"/>
    <w:rsid w:val="0071035B"/>
    <w:rsid w:val="00710B47"/>
    <w:rsid w:val="00710FDA"/>
    <w:rsid w:val="007113E6"/>
    <w:rsid w:val="007121CB"/>
    <w:rsid w:val="00712279"/>
    <w:rsid w:val="007128AE"/>
    <w:rsid w:val="00712A6F"/>
    <w:rsid w:val="007132E9"/>
    <w:rsid w:val="0071369D"/>
    <w:rsid w:val="0071414B"/>
    <w:rsid w:val="007159A5"/>
    <w:rsid w:val="00715D7D"/>
    <w:rsid w:val="00715DEF"/>
    <w:rsid w:val="00715EA5"/>
    <w:rsid w:val="00716576"/>
    <w:rsid w:val="00716659"/>
    <w:rsid w:val="00716E76"/>
    <w:rsid w:val="00717046"/>
    <w:rsid w:val="007171EC"/>
    <w:rsid w:val="00717CF5"/>
    <w:rsid w:val="00717DA7"/>
    <w:rsid w:val="00717DE2"/>
    <w:rsid w:val="00717F9E"/>
    <w:rsid w:val="00720A64"/>
    <w:rsid w:val="00720F50"/>
    <w:rsid w:val="00721751"/>
    <w:rsid w:val="0072206F"/>
    <w:rsid w:val="007223F8"/>
    <w:rsid w:val="00723439"/>
    <w:rsid w:val="00723C68"/>
    <w:rsid w:val="00724530"/>
    <w:rsid w:val="00724820"/>
    <w:rsid w:val="007249C0"/>
    <w:rsid w:val="00725404"/>
    <w:rsid w:val="007255E6"/>
    <w:rsid w:val="00725786"/>
    <w:rsid w:val="00725D14"/>
    <w:rsid w:val="0072624F"/>
    <w:rsid w:val="0072661A"/>
    <w:rsid w:val="00726785"/>
    <w:rsid w:val="0072681C"/>
    <w:rsid w:val="007268F1"/>
    <w:rsid w:val="0072778B"/>
    <w:rsid w:val="00727A6A"/>
    <w:rsid w:val="007304B2"/>
    <w:rsid w:val="0073050C"/>
    <w:rsid w:val="007306AB"/>
    <w:rsid w:val="00730902"/>
    <w:rsid w:val="00730CD9"/>
    <w:rsid w:val="00731A89"/>
    <w:rsid w:val="00731BBB"/>
    <w:rsid w:val="00731C38"/>
    <w:rsid w:val="00732A8D"/>
    <w:rsid w:val="00732B72"/>
    <w:rsid w:val="00732C91"/>
    <w:rsid w:val="007330CE"/>
    <w:rsid w:val="0073374C"/>
    <w:rsid w:val="00733FB0"/>
    <w:rsid w:val="00734AA1"/>
    <w:rsid w:val="00734B64"/>
    <w:rsid w:val="007354F7"/>
    <w:rsid w:val="00735891"/>
    <w:rsid w:val="00735AB6"/>
    <w:rsid w:val="00736333"/>
    <w:rsid w:val="007366AD"/>
    <w:rsid w:val="007367D5"/>
    <w:rsid w:val="00737403"/>
    <w:rsid w:val="00737488"/>
    <w:rsid w:val="0073765F"/>
    <w:rsid w:val="00737BC4"/>
    <w:rsid w:val="007409A1"/>
    <w:rsid w:val="007413E3"/>
    <w:rsid w:val="007415F6"/>
    <w:rsid w:val="00741919"/>
    <w:rsid w:val="0074223E"/>
    <w:rsid w:val="00743688"/>
    <w:rsid w:val="00743735"/>
    <w:rsid w:val="0074373A"/>
    <w:rsid w:val="00744140"/>
    <w:rsid w:val="007445B5"/>
    <w:rsid w:val="00744E17"/>
    <w:rsid w:val="00746930"/>
    <w:rsid w:val="00746967"/>
    <w:rsid w:val="00746A6E"/>
    <w:rsid w:val="00747929"/>
    <w:rsid w:val="007500D8"/>
    <w:rsid w:val="0075097E"/>
    <w:rsid w:val="00750BDB"/>
    <w:rsid w:val="0075126E"/>
    <w:rsid w:val="0075133C"/>
    <w:rsid w:val="007514AF"/>
    <w:rsid w:val="00751582"/>
    <w:rsid w:val="007517E8"/>
    <w:rsid w:val="0075186A"/>
    <w:rsid w:val="00751E30"/>
    <w:rsid w:val="00751EF1"/>
    <w:rsid w:val="00752757"/>
    <w:rsid w:val="007527E3"/>
    <w:rsid w:val="00752B94"/>
    <w:rsid w:val="00753341"/>
    <w:rsid w:val="00753FC2"/>
    <w:rsid w:val="00754E83"/>
    <w:rsid w:val="00755AEA"/>
    <w:rsid w:val="0075612A"/>
    <w:rsid w:val="00756BBC"/>
    <w:rsid w:val="00756D9D"/>
    <w:rsid w:val="00756E01"/>
    <w:rsid w:val="00756E37"/>
    <w:rsid w:val="00756EE2"/>
    <w:rsid w:val="00757A32"/>
    <w:rsid w:val="0076021D"/>
    <w:rsid w:val="00760F0A"/>
    <w:rsid w:val="00761F10"/>
    <w:rsid w:val="00762599"/>
    <w:rsid w:val="00762F72"/>
    <w:rsid w:val="0076322B"/>
    <w:rsid w:val="00763236"/>
    <w:rsid w:val="007638F0"/>
    <w:rsid w:val="00764293"/>
    <w:rsid w:val="00764771"/>
    <w:rsid w:val="00764D34"/>
    <w:rsid w:val="00765E19"/>
    <w:rsid w:val="00766C5B"/>
    <w:rsid w:val="00767B87"/>
    <w:rsid w:val="00767CEA"/>
    <w:rsid w:val="0077027B"/>
    <w:rsid w:val="007718F2"/>
    <w:rsid w:val="00771A32"/>
    <w:rsid w:val="00771AFA"/>
    <w:rsid w:val="00771DFE"/>
    <w:rsid w:val="00772439"/>
    <w:rsid w:val="0077263A"/>
    <w:rsid w:val="00773264"/>
    <w:rsid w:val="00773D04"/>
    <w:rsid w:val="00773D15"/>
    <w:rsid w:val="00773E44"/>
    <w:rsid w:val="00773FE8"/>
    <w:rsid w:val="0077419D"/>
    <w:rsid w:val="0077432E"/>
    <w:rsid w:val="00774E19"/>
    <w:rsid w:val="007767F7"/>
    <w:rsid w:val="00776F4C"/>
    <w:rsid w:val="00777378"/>
    <w:rsid w:val="00777828"/>
    <w:rsid w:val="0077783D"/>
    <w:rsid w:val="007779B4"/>
    <w:rsid w:val="007800A9"/>
    <w:rsid w:val="00780270"/>
    <w:rsid w:val="0078027A"/>
    <w:rsid w:val="00780445"/>
    <w:rsid w:val="00780586"/>
    <w:rsid w:val="007808F3"/>
    <w:rsid w:val="00780AA1"/>
    <w:rsid w:val="00780BB6"/>
    <w:rsid w:val="00780E38"/>
    <w:rsid w:val="00781238"/>
    <w:rsid w:val="00782336"/>
    <w:rsid w:val="00782657"/>
    <w:rsid w:val="0078270D"/>
    <w:rsid w:val="00782EF9"/>
    <w:rsid w:val="00783F26"/>
    <w:rsid w:val="0078495F"/>
    <w:rsid w:val="00785250"/>
    <w:rsid w:val="00785DDB"/>
    <w:rsid w:val="0078678C"/>
    <w:rsid w:val="00786CB2"/>
    <w:rsid w:val="00786D05"/>
    <w:rsid w:val="00786F9B"/>
    <w:rsid w:val="0078701D"/>
    <w:rsid w:val="007870C8"/>
    <w:rsid w:val="007873DB"/>
    <w:rsid w:val="007879DD"/>
    <w:rsid w:val="00790317"/>
    <w:rsid w:val="00790434"/>
    <w:rsid w:val="007908A0"/>
    <w:rsid w:val="00790B4D"/>
    <w:rsid w:val="0079117D"/>
    <w:rsid w:val="0079164A"/>
    <w:rsid w:val="00791BB4"/>
    <w:rsid w:val="00791DDD"/>
    <w:rsid w:val="00792876"/>
    <w:rsid w:val="00793768"/>
    <w:rsid w:val="00793801"/>
    <w:rsid w:val="0079381B"/>
    <w:rsid w:val="00793FED"/>
    <w:rsid w:val="0079408A"/>
    <w:rsid w:val="0079477A"/>
    <w:rsid w:val="007947D8"/>
    <w:rsid w:val="00794E1A"/>
    <w:rsid w:val="00795329"/>
    <w:rsid w:val="0079558C"/>
    <w:rsid w:val="0079569C"/>
    <w:rsid w:val="00795AA0"/>
    <w:rsid w:val="00796686"/>
    <w:rsid w:val="007969E8"/>
    <w:rsid w:val="00796AD7"/>
    <w:rsid w:val="0079716B"/>
    <w:rsid w:val="007977FF"/>
    <w:rsid w:val="00797A3A"/>
    <w:rsid w:val="00797CD0"/>
    <w:rsid w:val="00797CFE"/>
    <w:rsid w:val="007A0FE3"/>
    <w:rsid w:val="007A1930"/>
    <w:rsid w:val="007A210F"/>
    <w:rsid w:val="007A2130"/>
    <w:rsid w:val="007A242C"/>
    <w:rsid w:val="007A2D2E"/>
    <w:rsid w:val="007A38C6"/>
    <w:rsid w:val="007A3911"/>
    <w:rsid w:val="007A3CB8"/>
    <w:rsid w:val="007A5C17"/>
    <w:rsid w:val="007A5D1B"/>
    <w:rsid w:val="007A5E30"/>
    <w:rsid w:val="007A5F11"/>
    <w:rsid w:val="007A617B"/>
    <w:rsid w:val="007A6774"/>
    <w:rsid w:val="007A695C"/>
    <w:rsid w:val="007A78B2"/>
    <w:rsid w:val="007A7C71"/>
    <w:rsid w:val="007A7EAF"/>
    <w:rsid w:val="007B027B"/>
    <w:rsid w:val="007B05FD"/>
    <w:rsid w:val="007B0612"/>
    <w:rsid w:val="007B2465"/>
    <w:rsid w:val="007B2640"/>
    <w:rsid w:val="007B2A0F"/>
    <w:rsid w:val="007B31C1"/>
    <w:rsid w:val="007B3281"/>
    <w:rsid w:val="007B34AA"/>
    <w:rsid w:val="007B3998"/>
    <w:rsid w:val="007B3B53"/>
    <w:rsid w:val="007B438B"/>
    <w:rsid w:val="007B4701"/>
    <w:rsid w:val="007B4A0C"/>
    <w:rsid w:val="007B4A10"/>
    <w:rsid w:val="007B4BA2"/>
    <w:rsid w:val="007B4E5F"/>
    <w:rsid w:val="007B5022"/>
    <w:rsid w:val="007B532A"/>
    <w:rsid w:val="007B638D"/>
    <w:rsid w:val="007B6772"/>
    <w:rsid w:val="007B68F2"/>
    <w:rsid w:val="007B6F01"/>
    <w:rsid w:val="007B7060"/>
    <w:rsid w:val="007B70A3"/>
    <w:rsid w:val="007B788E"/>
    <w:rsid w:val="007B7B58"/>
    <w:rsid w:val="007C073B"/>
    <w:rsid w:val="007C079B"/>
    <w:rsid w:val="007C0AA4"/>
    <w:rsid w:val="007C0AC6"/>
    <w:rsid w:val="007C0C8C"/>
    <w:rsid w:val="007C0D4B"/>
    <w:rsid w:val="007C19DA"/>
    <w:rsid w:val="007C2516"/>
    <w:rsid w:val="007C2883"/>
    <w:rsid w:val="007C297D"/>
    <w:rsid w:val="007C2F8C"/>
    <w:rsid w:val="007C3398"/>
    <w:rsid w:val="007C36A1"/>
    <w:rsid w:val="007C3855"/>
    <w:rsid w:val="007C39C3"/>
    <w:rsid w:val="007C3CCE"/>
    <w:rsid w:val="007C3D26"/>
    <w:rsid w:val="007C3F6B"/>
    <w:rsid w:val="007C41A7"/>
    <w:rsid w:val="007C42CF"/>
    <w:rsid w:val="007C52BA"/>
    <w:rsid w:val="007C5AEE"/>
    <w:rsid w:val="007C5B90"/>
    <w:rsid w:val="007C5FE6"/>
    <w:rsid w:val="007C6966"/>
    <w:rsid w:val="007C6CAA"/>
    <w:rsid w:val="007C6E2C"/>
    <w:rsid w:val="007C7687"/>
    <w:rsid w:val="007C7862"/>
    <w:rsid w:val="007C7B61"/>
    <w:rsid w:val="007D038D"/>
    <w:rsid w:val="007D14A8"/>
    <w:rsid w:val="007D1F3C"/>
    <w:rsid w:val="007D3569"/>
    <w:rsid w:val="007D49B7"/>
    <w:rsid w:val="007D549D"/>
    <w:rsid w:val="007D564B"/>
    <w:rsid w:val="007D5A17"/>
    <w:rsid w:val="007D5B34"/>
    <w:rsid w:val="007D5E9E"/>
    <w:rsid w:val="007D688E"/>
    <w:rsid w:val="007D7047"/>
    <w:rsid w:val="007D71A1"/>
    <w:rsid w:val="007D7479"/>
    <w:rsid w:val="007D775E"/>
    <w:rsid w:val="007D7DAE"/>
    <w:rsid w:val="007E0537"/>
    <w:rsid w:val="007E0824"/>
    <w:rsid w:val="007E0979"/>
    <w:rsid w:val="007E0FA9"/>
    <w:rsid w:val="007E115A"/>
    <w:rsid w:val="007E128F"/>
    <w:rsid w:val="007E1802"/>
    <w:rsid w:val="007E1967"/>
    <w:rsid w:val="007E1AE2"/>
    <w:rsid w:val="007E2110"/>
    <w:rsid w:val="007E242C"/>
    <w:rsid w:val="007E2AB1"/>
    <w:rsid w:val="007E2CF9"/>
    <w:rsid w:val="007E2FE0"/>
    <w:rsid w:val="007E347E"/>
    <w:rsid w:val="007E4780"/>
    <w:rsid w:val="007E47D7"/>
    <w:rsid w:val="007E4BDD"/>
    <w:rsid w:val="007E5310"/>
    <w:rsid w:val="007E5407"/>
    <w:rsid w:val="007E5758"/>
    <w:rsid w:val="007E5E88"/>
    <w:rsid w:val="007E63C3"/>
    <w:rsid w:val="007E66B7"/>
    <w:rsid w:val="007E6BDB"/>
    <w:rsid w:val="007E6C73"/>
    <w:rsid w:val="007E6D7D"/>
    <w:rsid w:val="007E6DD2"/>
    <w:rsid w:val="007E7385"/>
    <w:rsid w:val="007E7936"/>
    <w:rsid w:val="007E7AE0"/>
    <w:rsid w:val="007F03D9"/>
    <w:rsid w:val="007F0608"/>
    <w:rsid w:val="007F061C"/>
    <w:rsid w:val="007F0C07"/>
    <w:rsid w:val="007F1BC7"/>
    <w:rsid w:val="007F1EB8"/>
    <w:rsid w:val="007F23DB"/>
    <w:rsid w:val="007F26D4"/>
    <w:rsid w:val="007F35F8"/>
    <w:rsid w:val="007F4853"/>
    <w:rsid w:val="007F53F7"/>
    <w:rsid w:val="007F5530"/>
    <w:rsid w:val="007F57B1"/>
    <w:rsid w:val="007F5E63"/>
    <w:rsid w:val="007F616C"/>
    <w:rsid w:val="007F6178"/>
    <w:rsid w:val="007F6576"/>
    <w:rsid w:val="007F67C8"/>
    <w:rsid w:val="007F67F5"/>
    <w:rsid w:val="007F7810"/>
    <w:rsid w:val="007F7973"/>
    <w:rsid w:val="00800417"/>
    <w:rsid w:val="0080061E"/>
    <w:rsid w:val="0080089E"/>
    <w:rsid w:val="00800E77"/>
    <w:rsid w:val="00800FB6"/>
    <w:rsid w:val="00801152"/>
    <w:rsid w:val="00801ABE"/>
    <w:rsid w:val="008025E7"/>
    <w:rsid w:val="0080267C"/>
    <w:rsid w:val="00802BA9"/>
    <w:rsid w:val="00802FA1"/>
    <w:rsid w:val="00803D87"/>
    <w:rsid w:val="00803EF5"/>
    <w:rsid w:val="00805512"/>
    <w:rsid w:val="0080563D"/>
    <w:rsid w:val="00805861"/>
    <w:rsid w:val="00805BF0"/>
    <w:rsid w:val="0080656E"/>
    <w:rsid w:val="008066C4"/>
    <w:rsid w:val="00806762"/>
    <w:rsid w:val="00806A66"/>
    <w:rsid w:val="00806AF2"/>
    <w:rsid w:val="00806BEF"/>
    <w:rsid w:val="00806EFF"/>
    <w:rsid w:val="00807DB4"/>
    <w:rsid w:val="00807E7B"/>
    <w:rsid w:val="00807EBA"/>
    <w:rsid w:val="008101CA"/>
    <w:rsid w:val="008108C7"/>
    <w:rsid w:val="00811BD9"/>
    <w:rsid w:val="00812262"/>
    <w:rsid w:val="00812354"/>
    <w:rsid w:val="00812CBF"/>
    <w:rsid w:val="00812D31"/>
    <w:rsid w:val="0081398F"/>
    <w:rsid w:val="0081450E"/>
    <w:rsid w:val="00814F55"/>
    <w:rsid w:val="00815BC0"/>
    <w:rsid w:val="0081637C"/>
    <w:rsid w:val="00816773"/>
    <w:rsid w:val="00816A98"/>
    <w:rsid w:val="00817D4E"/>
    <w:rsid w:val="0082056C"/>
    <w:rsid w:val="00820815"/>
    <w:rsid w:val="00820AC7"/>
    <w:rsid w:val="008216C2"/>
    <w:rsid w:val="00821748"/>
    <w:rsid w:val="008218F6"/>
    <w:rsid w:val="00822551"/>
    <w:rsid w:val="00822BA7"/>
    <w:rsid w:val="008231E2"/>
    <w:rsid w:val="00823355"/>
    <w:rsid w:val="0082340B"/>
    <w:rsid w:val="00823974"/>
    <w:rsid w:val="008239F5"/>
    <w:rsid w:val="00823BFA"/>
    <w:rsid w:val="008243FA"/>
    <w:rsid w:val="00824941"/>
    <w:rsid w:val="00825150"/>
    <w:rsid w:val="00825161"/>
    <w:rsid w:val="00825221"/>
    <w:rsid w:val="00825348"/>
    <w:rsid w:val="0082569E"/>
    <w:rsid w:val="008269A5"/>
    <w:rsid w:val="008274BA"/>
    <w:rsid w:val="00827551"/>
    <w:rsid w:val="00827D82"/>
    <w:rsid w:val="00830220"/>
    <w:rsid w:val="0083058B"/>
    <w:rsid w:val="008305F4"/>
    <w:rsid w:val="00830C36"/>
    <w:rsid w:val="00830FCB"/>
    <w:rsid w:val="0083173F"/>
    <w:rsid w:val="00831A87"/>
    <w:rsid w:val="00832436"/>
    <w:rsid w:val="00832563"/>
    <w:rsid w:val="0083310A"/>
    <w:rsid w:val="008336CD"/>
    <w:rsid w:val="0083385C"/>
    <w:rsid w:val="008339A4"/>
    <w:rsid w:val="008356D4"/>
    <w:rsid w:val="008362A5"/>
    <w:rsid w:val="00836856"/>
    <w:rsid w:val="008372BD"/>
    <w:rsid w:val="00837818"/>
    <w:rsid w:val="00837869"/>
    <w:rsid w:val="00837DE0"/>
    <w:rsid w:val="00840641"/>
    <w:rsid w:val="008407D0"/>
    <w:rsid w:val="008409E1"/>
    <w:rsid w:val="00841039"/>
    <w:rsid w:val="008418AA"/>
    <w:rsid w:val="00841E7C"/>
    <w:rsid w:val="00842094"/>
    <w:rsid w:val="00842210"/>
    <w:rsid w:val="008427D3"/>
    <w:rsid w:val="00844315"/>
    <w:rsid w:val="00844929"/>
    <w:rsid w:val="00844E86"/>
    <w:rsid w:val="00844EFF"/>
    <w:rsid w:val="00844FAB"/>
    <w:rsid w:val="00845088"/>
    <w:rsid w:val="008456F5"/>
    <w:rsid w:val="008463AE"/>
    <w:rsid w:val="008464B5"/>
    <w:rsid w:val="00846A6D"/>
    <w:rsid w:val="00846B2F"/>
    <w:rsid w:val="00847164"/>
    <w:rsid w:val="00847E9B"/>
    <w:rsid w:val="00850AE5"/>
    <w:rsid w:val="008514D7"/>
    <w:rsid w:val="008520A0"/>
    <w:rsid w:val="0085210A"/>
    <w:rsid w:val="00852B21"/>
    <w:rsid w:val="00852C0E"/>
    <w:rsid w:val="008535F4"/>
    <w:rsid w:val="0085373A"/>
    <w:rsid w:val="00853A4C"/>
    <w:rsid w:val="0085410D"/>
    <w:rsid w:val="00854C56"/>
    <w:rsid w:val="00854DCD"/>
    <w:rsid w:val="00855402"/>
    <w:rsid w:val="008554C0"/>
    <w:rsid w:val="0085625E"/>
    <w:rsid w:val="008564BC"/>
    <w:rsid w:val="00856B82"/>
    <w:rsid w:val="00857084"/>
    <w:rsid w:val="0085768E"/>
    <w:rsid w:val="00857CD4"/>
    <w:rsid w:val="0086077F"/>
    <w:rsid w:val="0086135A"/>
    <w:rsid w:val="008619A2"/>
    <w:rsid w:val="00862870"/>
    <w:rsid w:val="00862949"/>
    <w:rsid w:val="00862BC4"/>
    <w:rsid w:val="00862D9E"/>
    <w:rsid w:val="00864090"/>
    <w:rsid w:val="00864552"/>
    <w:rsid w:val="008646EB"/>
    <w:rsid w:val="00864987"/>
    <w:rsid w:val="00865CA2"/>
    <w:rsid w:val="00865E30"/>
    <w:rsid w:val="00865FE2"/>
    <w:rsid w:val="00866814"/>
    <w:rsid w:val="0086693B"/>
    <w:rsid w:val="00866EDB"/>
    <w:rsid w:val="00867C0B"/>
    <w:rsid w:val="00867D69"/>
    <w:rsid w:val="008708B5"/>
    <w:rsid w:val="00870987"/>
    <w:rsid w:val="00870DA9"/>
    <w:rsid w:val="00871050"/>
    <w:rsid w:val="00871538"/>
    <w:rsid w:val="0087252C"/>
    <w:rsid w:val="008725C8"/>
    <w:rsid w:val="0087277F"/>
    <w:rsid w:val="00872945"/>
    <w:rsid w:val="008734EE"/>
    <w:rsid w:val="00873A46"/>
    <w:rsid w:val="008746A0"/>
    <w:rsid w:val="00874B94"/>
    <w:rsid w:val="00874C32"/>
    <w:rsid w:val="00874CD6"/>
    <w:rsid w:val="00874F7E"/>
    <w:rsid w:val="00875B76"/>
    <w:rsid w:val="00875E5A"/>
    <w:rsid w:val="00876061"/>
    <w:rsid w:val="0087630C"/>
    <w:rsid w:val="00877091"/>
    <w:rsid w:val="008775E8"/>
    <w:rsid w:val="008777DA"/>
    <w:rsid w:val="0087793E"/>
    <w:rsid w:val="00877B4B"/>
    <w:rsid w:val="00880606"/>
    <w:rsid w:val="00880C29"/>
    <w:rsid w:val="00880C3C"/>
    <w:rsid w:val="008813C1"/>
    <w:rsid w:val="00881711"/>
    <w:rsid w:val="00881F00"/>
    <w:rsid w:val="008820AC"/>
    <w:rsid w:val="00882695"/>
    <w:rsid w:val="008830FD"/>
    <w:rsid w:val="0088312F"/>
    <w:rsid w:val="00883CC3"/>
    <w:rsid w:val="00883E6C"/>
    <w:rsid w:val="00884377"/>
    <w:rsid w:val="00884BD1"/>
    <w:rsid w:val="00885272"/>
    <w:rsid w:val="00886326"/>
    <w:rsid w:val="00886D6D"/>
    <w:rsid w:val="0088712A"/>
    <w:rsid w:val="00890B2A"/>
    <w:rsid w:val="00891AA6"/>
    <w:rsid w:val="00891CB6"/>
    <w:rsid w:val="00891FA0"/>
    <w:rsid w:val="00891FA1"/>
    <w:rsid w:val="0089219A"/>
    <w:rsid w:val="0089222B"/>
    <w:rsid w:val="00892239"/>
    <w:rsid w:val="0089241D"/>
    <w:rsid w:val="008934FD"/>
    <w:rsid w:val="00893659"/>
    <w:rsid w:val="00893B82"/>
    <w:rsid w:val="00893E96"/>
    <w:rsid w:val="00893F31"/>
    <w:rsid w:val="0089410A"/>
    <w:rsid w:val="00894941"/>
    <w:rsid w:val="008949CF"/>
    <w:rsid w:val="00894BA3"/>
    <w:rsid w:val="008951ED"/>
    <w:rsid w:val="008958D2"/>
    <w:rsid w:val="00895A47"/>
    <w:rsid w:val="00895B5E"/>
    <w:rsid w:val="00896682"/>
    <w:rsid w:val="00896AB5"/>
    <w:rsid w:val="00897372"/>
    <w:rsid w:val="00897378"/>
    <w:rsid w:val="00897CB3"/>
    <w:rsid w:val="008A074A"/>
    <w:rsid w:val="008A0BD5"/>
    <w:rsid w:val="008A0E89"/>
    <w:rsid w:val="008A113A"/>
    <w:rsid w:val="008A1FE4"/>
    <w:rsid w:val="008A2C16"/>
    <w:rsid w:val="008A2F24"/>
    <w:rsid w:val="008A2FC0"/>
    <w:rsid w:val="008A33CC"/>
    <w:rsid w:val="008A3BCA"/>
    <w:rsid w:val="008A3C7D"/>
    <w:rsid w:val="008A4819"/>
    <w:rsid w:val="008A4E73"/>
    <w:rsid w:val="008A5006"/>
    <w:rsid w:val="008A5026"/>
    <w:rsid w:val="008A58B4"/>
    <w:rsid w:val="008A6D61"/>
    <w:rsid w:val="008A751B"/>
    <w:rsid w:val="008A7B16"/>
    <w:rsid w:val="008A7CE4"/>
    <w:rsid w:val="008B0476"/>
    <w:rsid w:val="008B07B7"/>
    <w:rsid w:val="008B08B0"/>
    <w:rsid w:val="008B094A"/>
    <w:rsid w:val="008B0F67"/>
    <w:rsid w:val="008B10FB"/>
    <w:rsid w:val="008B110F"/>
    <w:rsid w:val="008B1CAB"/>
    <w:rsid w:val="008B1D2A"/>
    <w:rsid w:val="008B1D5A"/>
    <w:rsid w:val="008B1E93"/>
    <w:rsid w:val="008B1F05"/>
    <w:rsid w:val="008B3500"/>
    <w:rsid w:val="008B3889"/>
    <w:rsid w:val="008B3921"/>
    <w:rsid w:val="008B39D0"/>
    <w:rsid w:val="008B3ABF"/>
    <w:rsid w:val="008B492A"/>
    <w:rsid w:val="008B49BC"/>
    <w:rsid w:val="008B4AFB"/>
    <w:rsid w:val="008B5660"/>
    <w:rsid w:val="008B5ADB"/>
    <w:rsid w:val="008B5B67"/>
    <w:rsid w:val="008B6AFF"/>
    <w:rsid w:val="008B7663"/>
    <w:rsid w:val="008B79D5"/>
    <w:rsid w:val="008C04B1"/>
    <w:rsid w:val="008C0D3A"/>
    <w:rsid w:val="008C10D2"/>
    <w:rsid w:val="008C1D95"/>
    <w:rsid w:val="008C29ED"/>
    <w:rsid w:val="008C2B86"/>
    <w:rsid w:val="008C2F43"/>
    <w:rsid w:val="008C3106"/>
    <w:rsid w:val="008C3112"/>
    <w:rsid w:val="008C4A7D"/>
    <w:rsid w:val="008C5584"/>
    <w:rsid w:val="008C5B34"/>
    <w:rsid w:val="008C5E77"/>
    <w:rsid w:val="008C625A"/>
    <w:rsid w:val="008C682D"/>
    <w:rsid w:val="008C6ECD"/>
    <w:rsid w:val="008C75FF"/>
    <w:rsid w:val="008C78CA"/>
    <w:rsid w:val="008C7BC2"/>
    <w:rsid w:val="008C7F13"/>
    <w:rsid w:val="008D0B55"/>
    <w:rsid w:val="008D10B4"/>
    <w:rsid w:val="008D15B6"/>
    <w:rsid w:val="008D1F5A"/>
    <w:rsid w:val="008D26DA"/>
    <w:rsid w:val="008D2A1E"/>
    <w:rsid w:val="008D3098"/>
    <w:rsid w:val="008D393F"/>
    <w:rsid w:val="008D39D5"/>
    <w:rsid w:val="008D428D"/>
    <w:rsid w:val="008D4828"/>
    <w:rsid w:val="008D4FEA"/>
    <w:rsid w:val="008D541F"/>
    <w:rsid w:val="008D61D4"/>
    <w:rsid w:val="008D65A0"/>
    <w:rsid w:val="008D66F1"/>
    <w:rsid w:val="008D6BE4"/>
    <w:rsid w:val="008D6EB4"/>
    <w:rsid w:val="008D7C6F"/>
    <w:rsid w:val="008D7CE3"/>
    <w:rsid w:val="008D7DCA"/>
    <w:rsid w:val="008E03FA"/>
    <w:rsid w:val="008E0E33"/>
    <w:rsid w:val="008E10DC"/>
    <w:rsid w:val="008E3110"/>
    <w:rsid w:val="008E3CB4"/>
    <w:rsid w:val="008E4A1E"/>
    <w:rsid w:val="008E500F"/>
    <w:rsid w:val="008E5147"/>
    <w:rsid w:val="008E5C13"/>
    <w:rsid w:val="008E5C3C"/>
    <w:rsid w:val="008E5C95"/>
    <w:rsid w:val="008E5E9C"/>
    <w:rsid w:val="008E5F50"/>
    <w:rsid w:val="008E6429"/>
    <w:rsid w:val="008E64B9"/>
    <w:rsid w:val="008E66A3"/>
    <w:rsid w:val="008E751F"/>
    <w:rsid w:val="008E7751"/>
    <w:rsid w:val="008E79E2"/>
    <w:rsid w:val="008F038B"/>
    <w:rsid w:val="008F073A"/>
    <w:rsid w:val="008F09DE"/>
    <w:rsid w:val="008F0FBF"/>
    <w:rsid w:val="008F121E"/>
    <w:rsid w:val="008F1261"/>
    <w:rsid w:val="008F26CF"/>
    <w:rsid w:val="008F2BAA"/>
    <w:rsid w:val="008F2E27"/>
    <w:rsid w:val="008F2F26"/>
    <w:rsid w:val="008F48C9"/>
    <w:rsid w:val="008F51AC"/>
    <w:rsid w:val="008F5ED5"/>
    <w:rsid w:val="008F6AFB"/>
    <w:rsid w:val="008F7687"/>
    <w:rsid w:val="008F776E"/>
    <w:rsid w:val="008F797A"/>
    <w:rsid w:val="008F7F0E"/>
    <w:rsid w:val="009004C8"/>
    <w:rsid w:val="00900903"/>
    <w:rsid w:val="00901332"/>
    <w:rsid w:val="00901530"/>
    <w:rsid w:val="009016D4"/>
    <w:rsid w:val="0090170E"/>
    <w:rsid w:val="00901DAE"/>
    <w:rsid w:val="0090299E"/>
    <w:rsid w:val="00902CC9"/>
    <w:rsid w:val="00902ECB"/>
    <w:rsid w:val="009030A6"/>
    <w:rsid w:val="00905A25"/>
    <w:rsid w:val="00905A7E"/>
    <w:rsid w:val="00905CDE"/>
    <w:rsid w:val="00905D5D"/>
    <w:rsid w:val="00906BBC"/>
    <w:rsid w:val="00906C6A"/>
    <w:rsid w:val="00910D01"/>
    <w:rsid w:val="009110C6"/>
    <w:rsid w:val="00911CB5"/>
    <w:rsid w:val="00912165"/>
    <w:rsid w:val="0091238D"/>
    <w:rsid w:val="009124FF"/>
    <w:rsid w:val="00913209"/>
    <w:rsid w:val="009134B5"/>
    <w:rsid w:val="00913F91"/>
    <w:rsid w:val="009142C5"/>
    <w:rsid w:val="00914497"/>
    <w:rsid w:val="009149C5"/>
    <w:rsid w:val="00914AFA"/>
    <w:rsid w:val="00914B2F"/>
    <w:rsid w:val="00915151"/>
    <w:rsid w:val="00915368"/>
    <w:rsid w:val="009153E7"/>
    <w:rsid w:val="009159A0"/>
    <w:rsid w:val="00915B89"/>
    <w:rsid w:val="00915FE2"/>
    <w:rsid w:val="009160E5"/>
    <w:rsid w:val="009167AE"/>
    <w:rsid w:val="009168FB"/>
    <w:rsid w:val="00916C92"/>
    <w:rsid w:val="00917201"/>
    <w:rsid w:val="00917548"/>
    <w:rsid w:val="00920210"/>
    <w:rsid w:val="009202D1"/>
    <w:rsid w:val="00920378"/>
    <w:rsid w:val="0092051D"/>
    <w:rsid w:val="009214FE"/>
    <w:rsid w:val="0092192C"/>
    <w:rsid w:val="00921DC7"/>
    <w:rsid w:val="009220E3"/>
    <w:rsid w:val="00922435"/>
    <w:rsid w:val="00923239"/>
    <w:rsid w:val="0092480C"/>
    <w:rsid w:val="009255E5"/>
    <w:rsid w:val="00925E96"/>
    <w:rsid w:val="009261EA"/>
    <w:rsid w:val="00926233"/>
    <w:rsid w:val="00926961"/>
    <w:rsid w:val="00927460"/>
    <w:rsid w:val="00927EB5"/>
    <w:rsid w:val="009302BC"/>
    <w:rsid w:val="00930659"/>
    <w:rsid w:val="009307CA"/>
    <w:rsid w:val="00930962"/>
    <w:rsid w:val="00930A61"/>
    <w:rsid w:val="00930DB2"/>
    <w:rsid w:val="00930F6E"/>
    <w:rsid w:val="0093116F"/>
    <w:rsid w:val="009319E2"/>
    <w:rsid w:val="00931D6B"/>
    <w:rsid w:val="00931E86"/>
    <w:rsid w:val="0093203B"/>
    <w:rsid w:val="009323D4"/>
    <w:rsid w:val="0093347A"/>
    <w:rsid w:val="00933A77"/>
    <w:rsid w:val="00933C58"/>
    <w:rsid w:val="00934116"/>
    <w:rsid w:val="00934C84"/>
    <w:rsid w:val="00935285"/>
    <w:rsid w:val="009359DB"/>
    <w:rsid w:val="00936475"/>
    <w:rsid w:val="00936BF7"/>
    <w:rsid w:val="00937170"/>
    <w:rsid w:val="00940086"/>
    <w:rsid w:val="00940E12"/>
    <w:rsid w:val="0094110C"/>
    <w:rsid w:val="00941C1E"/>
    <w:rsid w:val="00941D49"/>
    <w:rsid w:val="00942352"/>
    <w:rsid w:val="009426F5"/>
    <w:rsid w:val="00942778"/>
    <w:rsid w:val="00942A09"/>
    <w:rsid w:val="00942C6B"/>
    <w:rsid w:val="00942D22"/>
    <w:rsid w:val="009446A9"/>
    <w:rsid w:val="0094490F"/>
    <w:rsid w:val="00945463"/>
    <w:rsid w:val="00945B83"/>
    <w:rsid w:val="00946160"/>
    <w:rsid w:val="00946861"/>
    <w:rsid w:val="009472FB"/>
    <w:rsid w:val="00947A2E"/>
    <w:rsid w:val="009504F0"/>
    <w:rsid w:val="00950FB4"/>
    <w:rsid w:val="009515A5"/>
    <w:rsid w:val="009517D5"/>
    <w:rsid w:val="00951A15"/>
    <w:rsid w:val="00951A9C"/>
    <w:rsid w:val="0095299C"/>
    <w:rsid w:val="00952CF1"/>
    <w:rsid w:val="00953624"/>
    <w:rsid w:val="009548AC"/>
    <w:rsid w:val="00954930"/>
    <w:rsid w:val="00954A98"/>
    <w:rsid w:val="00955495"/>
    <w:rsid w:val="009554ED"/>
    <w:rsid w:val="00955937"/>
    <w:rsid w:val="009561B4"/>
    <w:rsid w:val="00956242"/>
    <w:rsid w:val="00956B37"/>
    <w:rsid w:val="00956EC5"/>
    <w:rsid w:val="0095764B"/>
    <w:rsid w:val="009578A4"/>
    <w:rsid w:val="00957A06"/>
    <w:rsid w:val="00957A44"/>
    <w:rsid w:val="00960473"/>
    <w:rsid w:val="00960A58"/>
    <w:rsid w:val="00960ED7"/>
    <w:rsid w:val="009611A5"/>
    <w:rsid w:val="00961BDE"/>
    <w:rsid w:val="0096239F"/>
    <w:rsid w:val="00962454"/>
    <w:rsid w:val="00962458"/>
    <w:rsid w:val="00963AFD"/>
    <w:rsid w:val="0096450D"/>
    <w:rsid w:val="00964902"/>
    <w:rsid w:val="00964D03"/>
    <w:rsid w:val="00964E2D"/>
    <w:rsid w:val="00964EE5"/>
    <w:rsid w:val="00964F87"/>
    <w:rsid w:val="009650F8"/>
    <w:rsid w:val="0096548E"/>
    <w:rsid w:val="00965495"/>
    <w:rsid w:val="00965498"/>
    <w:rsid w:val="009659C4"/>
    <w:rsid w:val="00965D53"/>
    <w:rsid w:val="00966E0F"/>
    <w:rsid w:val="00967E1C"/>
    <w:rsid w:val="00970A46"/>
    <w:rsid w:val="00971FD6"/>
    <w:rsid w:val="009725E1"/>
    <w:rsid w:val="00972B2C"/>
    <w:rsid w:val="00972C49"/>
    <w:rsid w:val="00973A19"/>
    <w:rsid w:val="00973D1D"/>
    <w:rsid w:val="00974222"/>
    <w:rsid w:val="0097441B"/>
    <w:rsid w:val="009747B4"/>
    <w:rsid w:val="00974A39"/>
    <w:rsid w:val="00975467"/>
    <w:rsid w:val="009757C5"/>
    <w:rsid w:val="0097703C"/>
    <w:rsid w:val="0097739C"/>
    <w:rsid w:val="0097771D"/>
    <w:rsid w:val="0098084E"/>
    <w:rsid w:val="00980B5A"/>
    <w:rsid w:val="00981CAF"/>
    <w:rsid w:val="0098299D"/>
    <w:rsid w:val="009832F6"/>
    <w:rsid w:val="00983309"/>
    <w:rsid w:val="00983338"/>
    <w:rsid w:val="00983384"/>
    <w:rsid w:val="00983F2F"/>
    <w:rsid w:val="0098422D"/>
    <w:rsid w:val="00984709"/>
    <w:rsid w:val="0098487B"/>
    <w:rsid w:val="00984A65"/>
    <w:rsid w:val="00984CC1"/>
    <w:rsid w:val="009854E8"/>
    <w:rsid w:val="00985B6F"/>
    <w:rsid w:val="00985D2C"/>
    <w:rsid w:val="00987A1F"/>
    <w:rsid w:val="00987D10"/>
    <w:rsid w:val="009902D5"/>
    <w:rsid w:val="00990653"/>
    <w:rsid w:val="0099098F"/>
    <w:rsid w:val="00990E7F"/>
    <w:rsid w:val="00991077"/>
    <w:rsid w:val="00991CF8"/>
    <w:rsid w:val="00991D47"/>
    <w:rsid w:val="00992403"/>
    <w:rsid w:val="009930ED"/>
    <w:rsid w:val="009936BB"/>
    <w:rsid w:val="009937B4"/>
    <w:rsid w:val="00993939"/>
    <w:rsid w:val="0099599A"/>
    <w:rsid w:val="0099620C"/>
    <w:rsid w:val="00996247"/>
    <w:rsid w:val="0099635A"/>
    <w:rsid w:val="009964F9"/>
    <w:rsid w:val="009965A5"/>
    <w:rsid w:val="0099721C"/>
    <w:rsid w:val="009973D9"/>
    <w:rsid w:val="009A02C3"/>
    <w:rsid w:val="009A0858"/>
    <w:rsid w:val="009A0959"/>
    <w:rsid w:val="009A095E"/>
    <w:rsid w:val="009A0A67"/>
    <w:rsid w:val="009A0EC4"/>
    <w:rsid w:val="009A1586"/>
    <w:rsid w:val="009A21D1"/>
    <w:rsid w:val="009A2356"/>
    <w:rsid w:val="009A261F"/>
    <w:rsid w:val="009A2B17"/>
    <w:rsid w:val="009A2DAB"/>
    <w:rsid w:val="009A32A3"/>
    <w:rsid w:val="009A3C1A"/>
    <w:rsid w:val="009A3EB1"/>
    <w:rsid w:val="009A41F6"/>
    <w:rsid w:val="009A547F"/>
    <w:rsid w:val="009A54CC"/>
    <w:rsid w:val="009A567E"/>
    <w:rsid w:val="009A56DB"/>
    <w:rsid w:val="009A58E4"/>
    <w:rsid w:val="009A5C95"/>
    <w:rsid w:val="009A649A"/>
    <w:rsid w:val="009A6963"/>
    <w:rsid w:val="009B1442"/>
    <w:rsid w:val="009B1D83"/>
    <w:rsid w:val="009B20E7"/>
    <w:rsid w:val="009B26E3"/>
    <w:rsid w:val="009B30AF"/>
    <w:rsid w:val="009B330F"/>
    <w:rsid w:val="009B367F"/>
    <w:rsid w:val="009B37DD"/>
    <w:rsid w:val="009B384E"/>
    <w:rsid w:val="009B3EB5"/>
    <w:rsid w:val="009B3FAA"/>
    <w:rsid w:val="009B408D"/>
    <w:rsid w:val="009B5A1F"/>
    <w:rsid w:val="009B5BE1"/>
    <w:rsid w:val="009B5D3B"/>
    <w:rsid w:val="009B6706"/>
    <w:rsid w:val="009B7345"/>
    <w:rsid w:val="009B7D15"/>
    <w:rsid w:val="009C03B6"/>
    <w:rsid w:val="009C0696"/>
    <w:rsid w:val="009C0C23"/>
    <w:rsid w:val="009C0F03"/>
    <w:rsid w:val="009C1125"/>
    <w:rsid w:val="009C118D"/>
    <w:rsid w:val="009C17CE"/>
    <w:rsid w:val="009C19D8"/>
    <w:rsid w:val="009C21A6"/>
    <w:rsid w:val="009C28CD"/>
    <w:rsid w:val="009C29E0"/>
    <w:rsid w:val="009C2B2E"/>
    <w:rsid w:val="009C2CA8"/>
    <w:rsid w:val="009C32A7"/>
    <w:rsid w:val="009C3B95"/>
    <w:rsid w:val="009C4293"/>
    <w:rsid w:val="009C49E3"/>
    <w:rsid w:val="009C4C21"/>
    <w:rsid w:val="009C581B"/>
    <w:rsid w:val="009C5C1B"/>
    <w:rsid w:val="009C5DA4"/>
    <w:rsid w:val="009C5EE3"/>
    <w:rsid w:val="009C68C2"/>
    <w:rsid w:val="009C7060"/>
    <w:rsid w:val="009C7725"/>
    <w:rsid w:val="009D0740"/>
    <w:rsid w:val="009D18CF"/>
    <w:rsid w:val="009D1DBD"/>
    <w:rsid w:val="009D225B"/>
    <w:rsid w:val="009D2729"/>
    <w:rsid w:val="009D2D55"/>
    <w:rsid w:val="009D3883"/>
    <w:rsid w:val="009D390B"/>
    <w:rsid w:val="009D3DCB"/>
    <w:rsid w:val="009D4FA4"/>
    <w:rsid w:val="009D52E6"/>
    <w:rsid w:val="009D60BC"/>
    <w:rsid w:val="009D60DA"/>
    <w:rsid w:val="009D6E8A"/>
    <w:rsid w:val="009D7177"/>
    <w:rsid w:val="009D720D"/>
    <w:rsid w:val="009D7AFB"/>
    <w:rsid w:val="009D7D4D"/>
    <w:rsid w:val="009D7F5F"/>
    <w:rsid w:val="009E018F"/>
    <w:rsid w:val="009E0263"/>
    <w:rsid w:val="009E04EE"/>
    <w:rsid w:val="009E090E"/>
    <w:rsid w:val="009E1DEB"/>
    <w:rsid w:val="009E21B1"/>
    <w:rsid w:val="009E223C"/>
    <w:rsid w:val="009E2472"/>
    <w:rsid w:val="009E258A"/>
    <w:rsid w:val="009E2ED5"/>
    <w:rsid w:val="009E314C"/>
    <w:rsid w:val="009E31E3"/>
    <w:rsid w:val="009E3C3A"/>
    <w:rsid w:val="009E5882"/>
    <w:rsid w:val="009E5DB3"/>
    <w:rsid w:val="009E642D"/>
    <w:rsid w:val="009E6B8E"/>
    <w:rsid w:val="009F0924"/>
    <w:rsid w:val="009F0D88"/>
    <w:rsid w:val="009F32D3"/>
    <w:rsid w:val="009F354C"/>
    <w:rsid w:val="009F40EA"/>
    <w:rsid w:val="009F455C"/>
    <w:rsid w:val="009F4763"/>
    <w:rsid w:val="009F479D"/>
    <w:rsid w:val="009F49F9"/>
    <w:rsid w:val="009F4C52"/>
    <w:rsid w:val="009F4D66"/>
    <w:rsid w:val="009F4E50"/>
    <w:rsid w:val="009F59A7"/>
    <w:rsid w:val="009F6D03"/>
    <w:rsid w:val="009F7603"/>
    <w:rsid w:val="009F7DF6"/>
    <w:rsid w:val="00A00047"/>
    <w:rsid w:val="00A00221"/>
    <w:rsid w:val="00A00506"/>
    <w:rsid w:val="00A00810"/>
    <w:rsid w:val="00A01254"/>
    <w:rsid w:val="00A012EA"/>
    <w:rsid w:val="00A01655"/>
    <w:rsid w:val="00A01EB7"/>
    <w:rsid w:val="00A01F9B"/>
    <w:rsid w:val="00A02477"/>
    <w:rsid w:val="00A026F4"/>
    <w:rsid w:val="00A02E63"/>
    <w:rsid w:val="00A0340F"/>
    <w:rsid w:val="00A0378A"/>
    <w:rsid w:val="00A03D7E"/>
    <w:rsid w:val="00A045D7"/>
    <w:rsid w:val="00A05C95"/>
    <w:rsid w:val="00A05DE3"/>
    <w:rsid w:val="00A06DE0"/>
    <w:rsid w:val="00A06DFD"/>
    <w:rsid w:val="00A07239"/>
    <w:rsid w:val="00A073BE"/>
    <w:rsid w:val="00A07450"/>
    <w:rsid w:val="00A10887"/>
    <w:rsid w:val="00A10A85"/>
    <w:rsid w:val="00A1116A"/>
    <w:rsid w:val="00A12385"/>
    <w:rsid w:val="00A12640"/>
    <w:rsid w:val="00A134F0"/>
    <w:rsid w:val="00A14B49"/>
    <w:rsid w:val="00A15306"/>
    <w:rsid w:val="00A155A1"/>
    <w:rsid w:val="00A15811"/>
    <w:rsid w:val="00A15CD1"/>
    <w:rsid w:val="00A15EAD"/>
    <w:rsid w:val="00A165F2"/>
    <w:rsid w:val="00A16B4B"/>
    <w:rsid w:val="00A16C68"/>
    <w:rsid w:val="00A16D43"/>
    <w:rsid w:val="00A16DF0"/>
    <w:rsid w:val="00A17094"/>
    <w:rsid w:val="00A175EB"/>
    <w:rsid w:val="00A179EA"/>
    <w:rsid w:val="00A208C7"/>
    <w:rsid w:val="00A22174"/>
    <w:rsid w:val="00A22180"/>
    <w:rsid w:val="00A2244C"/>
    <w:rsid w:val="00A227F5"/>
    <w:rsid w:val="00A234A2"/>
    <w:rsid w:val="00A23A41"/>
    <w:rsid w:val="00A23EAF"/>
    <w:rsid w:val="00A23F2F"/>
    <w:rsid w:val="00A2418A"/>
    <w:rsid w:val="00A241CE"/>
    <w:rsid w:val="00A24A5D"/>
    <w:rsid w:val="00A2503F"/>
    <w:rsid w:val="00A2505A"/>
    <w:rsid w:val="00A252CB"/>
    <w:rsid w:val="00A25C6B"/>
    <w:rsid w:val="00A26523"/>
    <w:rsid w:val="00A26FBA"/>
    <w:rsid w:val="00A27116"/>
    <w:rsid w:val="00A27950"/>
    <w:rsid w:val="00A27A24"/>
    <w:rsid w:val="00A27C78"/>
    <w:rsid w:val="00A30259"/>
    <w:rsid w:val="00A30338"/>
    <w:rsid w:val="00A305F3"/>
    <w:rsid w:val="00A308A2"/>
    <w:rsid w:val="00A308E5"/>
    <w:rsid w:val="00A3097D"/>
    <w:rsid w:val="00A30A81"/>
    <w:rsid w:val="00A30A98"/>
    <w:rsid w:val="00A3173F"/>
    <w:rsid w:val="00A3219C"/>
    <w:rsid w:val="00A32AE8"/>
    <w:rsid w:val="00A333AF"/>
    <w:rsid w:val="00A341AF"/>
    <w:rsid w:val="00A3503F"/>
    <w:rsid w:val="00A3511E"/>
    <w:rsid w:val="00A352DE"/>
    <w:rsid w:val="00A35A1A"/>
    <w:rsid w:val="00A361B1"/>
    <w:rsid w:val="00A36980"/>
    <w:rsid w:val="00A36A4A"/>
    <w:rsid w:val="00A37442"/>
    <w:rsid w:val="00A3753C"/>
    <w:rsid w:val="00A37DE8"/>
    <w:rsid w:val="00A40348"/>
    <w:rsid w:val="00A406B7"/>
    <w:rsid w:val="00A41512"/>
    <w:rsid w:val="00A4192D"/>
    <w:rsid w:val="00A425F0"/>
    <w:rsid w:val="00A4352A"/>
    <w:rsid w:val="00A436D9"/>
    <w:rsid w:val="00A43A61"/>
    <w:rsid w:val="00A43B86"/>
    <w:rsid w:val="00A43DE5"/>
    <w:rsid w:val="00A43F8F"/>
    <w:rsid w:val="00A44236"/>
    <w:rsid w:val="00A4596C"/>
    <w:rsid w:val="00A468DC"/>
    <w:rsid w:val="00A46DCA"/>
    <w:rsid w:val="00A47467"/>
    <w:rsid w:val="00A4761F"/>
    <w:rsid w:val="00A47782"/>
    <w:rsid w:val="00A47B75"/>
    <w:rsid w:val="00A5020B"/>
    <w:rsid w:val="00A502C1"/>
    <w:rsid w:val="00A505A7"/>
    <w:rsid w:val="00A51C98"/>
    <w:rsid w:val="00A527C1"/>
    <w:rsid w:val="00A52A90"/>
    <w:rsid w:val="00A53237"/>
    <w:rsid w:val="00A534C4"/>
    <w:rsid w:val="00A53603"/>
    <w:rsid w:val="00A537BF"/>
    <w:rsid w:val="00A53D3A"/>
    <w:rsid w:val="00A5443A"/>
    <w:rsid w:val="00A54C88"/>
    <w:rsid w:val="00A55464"/>
    <w:rsid w:val="00A55982"/>
    <w:rsid w:val="00A55C1C"/>
    <w:rsid w:val="00A55C20"/>
    <w:rsid w:val="00A5621A"/>
    <w:rsid w:val="00A56FDF"/>
    <w:rsid w:val="00A57223"/>
    <w:rsid w:val="00A573F0"/>
    <w:rsid w:val="00A57CD2"/>
    <w:rsid w:val="00A6049F"/>
    <w:rsid w:val="00A60636"/>
    <w:rsid w:val="00A60706"/>
    <w:rsid w:val="00A60E87"/>
    <w:rsid w:val="00A61805"/>
    <w:rsid w:val="00A61F34"/>
    <w:rsid w:val="00A6235E"/>
    <w:rsid w:val="00A6247E"/>
    <w:rsid w:val="00A62806"/>
    <w:rsid w:val="00A639D4"/>
    <w:rsid w:val="00A63D34"/>
    <w:rsid w:val="00A641F5"/>
    <w:rsid w:val="00A64A44"/>
    <w:rsid w:val="00A64F45"/>
    <w:rsid w:val="00A653A2"/>
    <w:rsid w:val="00A653D5"/>
    <w:rsid w:val="00A66666"/>
    <w:rsid w:val="00A66BF1"/>
    <w:rsid w:val="00A66D45"/>
    <w:rsid w:val="00A70178"/>
    <w:rsid w:val="00A70304"/>
    <w:rsid w:val="00A70AF3"/>
    <w:rsid w:val="00A70C2C"/>
    <w:rsid w:val="00A70F78"/>
    <w:rsid w:val="00A71025"/>
    <w:rsid w:val="00A710F7"/>
    <w:rsid w:val="00A713E8"/>
    <w:rsid w:val="00A7165C"/>
    <w:rsid w:val="00A71810"/>
    <w:rsid w:val="00A723A8"/>
    <w:rsid w:val="00A73378"/>
    <w:rsid w:val="00A733EC"/>
    <w:rsid w:val="00A73AE4"/>
    <w:rsid w:val="00A73C86"/>
    <w:rsid w:val="00A73E73"/>
    <w:rsid w:val="00A73EBE"/>
    <w:rsid w:val="00A7462E"/>
    <w:rsid w:val="00A750B3"/>
    <w:rsid w:val="00A75509"/>
    <w:rsid w:val="00A7567F"/>
    <w:rsid w:val="00A75818"/>
    <w:rsid w:val="00A75C4E"/>
    <w:rsid w:val="00A75D1E"/>
    <w:rsid w:val="00A7612F"/>
    <w:rsid w:val="00A76421"/>
    <w:rsid w:val="00A76471"/>
    <w:rsid w:val="00A7697E"/>
    <w:rsid w:val="00A76EC6"/>
    <w:rsid w:val="00A7779B"/>
    <w:rsid w:val="00A77824"/>
    <w:rsid w:val="00A77935"/>
    <w:rsid w:val="00A77CF4"/>
    <w:rsid w:val="00A77D01"/>
    <w:rsid w:val="00A80A5E"/>
    <w:rsid w:val="00A80AC8"/>
    <w:rsid w:val="00A81219"/>
    <w:rsid w:val="00A8174D"/>
    <w:rsid w:val="00A81A0E"/>
    <w:rsid w:val="00A81B0B"/>
    <w:rsid w:val="00A81C5E"/>
    <w:rsid w:val="00A82387"/>
    <w:rsid w:val="00A8390B"/>
    <w:rsid w:val="00A84056"/>
    <w:rsid w:val="00A84D3C"/>
    <w:rsid w:val="00A85323"/>
    <w:rsid w:val="00A8538C"/>
    <w:rsid w:val="00A85421"/>
    <w:rsid w:val="00A85547"/>
    <w:rsid w:val="00A8568B"/>
    <w:rsid w:val="00A8587D"/>
    <w:rsid w:val="00A85912"/>
    <w:rsid w:val="00A86659"/>
    <w:rsid w:val="00A869FC"/>
    <w:rsid w:val="00A86EBA"/>
    <w:rsid w:val="00A874DD"/>
    <w:rsid w:val="00A87CA3"/>
    <w:rsid w:val="00A9032B"/>
    <w:rsid w:val="00A90887"/>
    <w:rsid w:val="00A90D11"/>
    <w:rsid w:val="00A910D0"/>
    <w:rsid w:val="00A9124B"/>
    <w:rsid w:val="00A91A82"/>
    <w:rsid w:val="00A91B58"/>
    <w:rsid w:val="00A91B7D"/>
    <w:rsid w:val="00A9248E"/>
    <w:rsid w:val="00A924B2"/>
    <w:rsid w:val="00A93094"/>
    <w:rsid w:val="00A93A33"/>
    <w:rsid w:val="00A94093"/>
    <w:rsid w:val="00A9417E"/>
    <w:rsid w:val="00A945F5"/>
    <w:rsid w:val="00A94B03"/>
    <w:rsid w:val="00A94B35"/>
    <w:rsid w:val="00A950ED"/>
    <w:rsid w:val="00A95C3F"/>
    <w:rsid w:val="00A95E41"/>
    <w:rsid w:val="00A9606F"/>
    <w:rsid w:val="00A967B8"/>
    <w:rsid w:val="00A96A19"/>
    <w:rsid w:val="00A97338"/>
    <w:rsid w:val="00A97A46"/>
    <w:rsid w:val="00A97E50"/>
    <w:rsid w:val="00AA0328"/>
    <w:rsid w:val="00AA0B38"/>
    <w:rsid w:val="00AA10C9"/>
    <w:rsid w:val="00AA17F8"/>
    <w:rsid w:val="00AA231A"/>
    <w:rsid w:val="00AA28CE"/>
    <w:rsid w:val="00AA2C2A"/>
    <w:rsid w:val="00AA2E8B"/>
    <w:rsid w:val="00AA2EAA"/>
    <w:rsid w:val="00AA3964"/>
    <w:rsid w:val="00AA3C01"/>
    <w:rsid w:val="00AA48FC"/>
    <w:rsid w:val="00AA4A03"/>
    <w:rsid w:val="00AA4AB5"/>
    <w:rsid w:val="00AA4F69"/>
    <w:rsid w:val="00AA5978"/>
    <w:rsid w:val="00AA614D"/>
    <w:rsid w:val="00AA65DB"/>
    <w:rsid w:val="00AA66CD"/>
    <w:rsid w:val="00AA7403"/>
    <w:rsid w:val="00AA7518"/>
    <w:rsid w:val="00AA7A1A"/>
    <w:rsid w:val="00AB0C39"/>
    <w:rsid w:val="00AB1001"/>
    <w:rsid w:val="00AB1353"/>
    <w:rsid w:val="00AB1575"/>
    <w:rsid w:val="00AB15C9"/>
    <w:rsid w:val="00AB1C83"/>
    <w:rsid w:val="00AB21AC"/>
    <w:rsid w:val="00AB238D"/>
    <w:rsid w:val="00AB278A"/>
    <w:rsid w:val="00AB2794"/>
    <w:rsid w:val="00AB3163"/>
    <w:rsid w:val="00AB3628"/>
    <w:rsid w:val="00AB44F3"/>
    <w:rsid w:val="00AB4C88"/>
    <w:rsid w:val="00AB4EEA"/>
    <w:rsid w:val="00AB5539"/>
    <w:rsid w:val="00AB55A2"/>
    <w:rsid w:val="00AB5E67"/>
    <w:rsid w:val="00AB5E73"/>
    <w:rsid w:val="00AB61FD"/>
    <w:rsid w:val="00AB62F5"/>
    <w:rsid w:val="00AB68C9"/>
    <w:rsid w:val="00AB6B69"/>
    <w:rsid w:val="00AB6FC8"/>
    <w:rsid w:val="00AB74CC"/>
    <w:rsid w:val="00AB7620"/>
    <w:rsid w:val="00AB78AE"/>
    <w:rsid w:val="00AB7915"/>
    <w:rsid w:val="00AC062D"/>
    <w:rsid w:val="00AC09A9"/>
    <w:rsid w:val="00AC135A"/>
    <w:rsid w:val="00AC2CC7"/>
    <w:rsid w:val="00AC2EFD"/>
    <w:rsid w:val="00AC30E2"/>
    <w:rsid w:val="00AC3318"/>
    <w:rsid w:val="00AC3C7C"/>
    <w:rsid w:val="00AC3D3E"/>
    <w:rsid w:val="00AC43A2"/>
    <w:rsid w:val="00AC4BF4"/>
    <w:rsid w:val="00AC4CCE"/>
    <w:rsid w:val="00AC532B"/>
    <w:rsid w:val="00AC56C6"/>
    <w:rsid w:val="00AC59F6"/>
    <w:rsid w:val="00AC6443"/>
    <w:rsid w:val="00AC6CC8"/>
    <w:rsid w:val="00AC74DD"/>
    <w:rsid w:val="00AD03BE"/>
    <w:rsid w:val="00AD0B40"/>
    <w:rsid w:val="00AD1FD9"/>
    <w:rsid w:val="00AD29CF"/>
    <w:rsid w:val="00AD2ABB"/>
    <w:rsid w:val="00AD2CEF"/>
    <w:rsid w:val="00AD2DC0"/>
    <w:rsid w:val="00AD2E54"/>
    <w:rsid w:val="00AD31F0"/>
    <w:rsid w:val="00AD3418"/>
    <w:rsid w:val="00AD360D"/>
    <w:rsid w:val="00AD38E3"/>
    <w:rsid w:val="00AD3ECF"/>
    <w:rsid w:val="00AD4BC8"/>
    <w:rsid w:val="00AD55CF"/>
    <w:rsid w:val="00AD5774"/>
    <w:rsid w:val="00AD5E40"/>
    <w:rsid w:val="00AD6E50"/>
    <w:rsid w:val="00AE0519"/>
    <w:rsid w:val="00AE059C"/>
    <w:rsid w:val="00AE08A2"/>
    <w:rsid w:val="00AE0B10"/>
    <w:rsid w:val="00AE0F94"/>
    <w:rsid w:val="00AE117E"/>
    <w:rsid w:val="00AE1220"/>
    <w:rsid w:val="00AE13DE"/>
    <w:rsid w:val="00AE192F"/>
    <w:rsid w:val="00AE1D5C"/>
    <w:rsid w:val="00AE2032"/>
    <w:rsid w:val="00AE2813"/>
    <w:rsid w:val="00AE2B9C"/>
    <w:rsid w:val="00AE3000"/>
    <w:rsid w:val="00AE30AE"/>
    <w:rsid w:val="00AE31BB"/>
    <w:rsid w:val="00AE34C9"/>
    <w:rsid w:val="00AE458D"/>
    <w:rsid w:val="00AE4D27"/>
    <w:rsid w:val="00AE4DFC"/>
    <w:rsid w:val="00AE5026"/>
    <w:rsid w:val="00AE560E"/>
    <w:rsid w:val="00AE5C38"/>
    <w:rsid w:val="00AE5D17"/>
    <w:rsid w:val="00AE64A3"/>
    <w:rsid w:val="00AE64FD"/>
    <w:rsid w:val="00AE65FF"/>
    <w:rsid w:val="00AE7458"/>
    <w:rsid w:val="00AE7E9D"/>
    <w:rsid w:val="00AF00AA"/>
    <w:rsid w:val="00AF014B"/>
    <w:rsid w:val="00AF0479"/>
    <w:rsid w:val="00AF073F"/>
    <w:rsid w:val="00AF0D36"/>
    <w:rsid w:val="00AF0D49"/>
    <w:rsid w:val="00AF0E2A"/>
    <w:rsid w:val="00AF103E"/>
    <w:rsid w:val="00AF125B"/>
    <w:rsid w:val="00AF1361"/>
    <w:rsid w:val="00AF1C7B"/>
    <w:rsid w:val="00AF2A31"/>
    <w:rsid w:val="00AF35B2"/>
    <w:rsid w:val="00AF3B39"/>
    <w:rsid w:val="00AF3FD9"/>
    <w:rsid w:val="00AF415B"/>
    <w:rsid w:val="00AF4214"/>
    <w:rsid w:val="00AF43AB"/>
    <w:rsid w:val="00AF4712"/>
    <w:rsid w:val="00AF492C"/>
    <w:rsid w:val="00AF4D63"/>
    <w:rsid w:val="00AF4E34"/>
    <w:rsid w:val="00AF52FF"/>
    <w:rsid w:val="00AF5EF3"/>
    <w:rsid w:val="00AF64FB"/>
    <w:rsid w:val="00AF66E6"/>
    <w:rsid w:val="00AF6AB1"/>
    <w:rsid w:val="00AF7B96"/>
    <w:rsid w:val="00B00260"/>
    <w:rsid w:val="00B005F0"/>
    <w:rsid w:val="00B00749"/>
    <w:rsid w:val="00B00E97"/>
    <w:rsid w:val="00B01E53"/>
    <w:rsid w:val="00B029D0"/>
    <w:rsid w:val="00B0313D"/>
    <w:rsid w:val="00B03188"/>
    <w:rsid w:val="00B03854"/>
    <w:rsid w:val="00B04103"/>
    <w:rsid w:val="00B04351"/>
    <w:rsid w:val="00B051BB"/>
    <w:rsid w:val="00B05B83"/>
    <w:rsid w:val="00B05D86"/>
    <w:rsid w:val="00B05DFA"/>
    <w:rsid w:val="00B061FB"/>
    <w:rsid w:val="00B06349"/>
    <w:rsid w:val="00B0670E"/>
    <w:rsid w:val="00B067EF"/>
    <w:rsid w:val="00B06FD9"/>
    <w:rsid w:val="00B07299"/>
    <w:rsid w:val="00B07334"/>
    <w:rsid w:val="00B07C09"/>
    <w:rsid w:val="00B103DD"/>
    <w:rsid w:val="00B10765"/>
    <w:rsid w:val="00B116AA"/>
    <w:rsid w:val="00B11B0F"/>
    <w:rsid w:val="00B12959"/>
    <w:rsid w:val="00B12C96"/>
    <w:rsid w:val="00B13B29"/>
    <w:rsid w:val="00B15F1D"/>
    <w:rsid w:val="00B162C0"/>
    <w:rsid w:val="00B168C0"/>
    <w:rsid w:val="00B16D6E"/>
    <w:rsid w:val="00B17CB7"/>
    <w:rsid w:val="00B2026E"/>
    <w:rsid w:val="00B20A07"/>
    <w:rsid w:val="00B210B2"/>
    <w:rsid w:val="00B2146A"/>
    <w:rsid w:val="00B218BE"/>
    <w:rsid w:val="00B224FA"/>
    <w:rsid w:val="00B22AA8"/>
    <w:rsid w:val="00B22FB2"/>
    <w:rsid w:val="00B23013"/>
    <w:rsid w:val="00B2322A"/>
    <w:rsid w:val="00B236DD"/>
    <w:rsid w:val="00B23D24"/>
    <w:rsid w:val="00B23D28"/>
    <w:rsid w:val="00B24184"/>
    <w:rsid w:val="00B241C4"/>
    <w:rsid w:val="00B242D8"/>
    <w:rsid w:val="00B24467"/>
    <w:rsid w:val="00B245CC"/>
    <w:rsid w:val="00B2499F"/>
    <w:rsid w:val="00B24E72"/>
    <w:rsid w:val="00B25C1D"/>
    <w:rsid w:val="00B26388"/>
    <w:rsid w:val="00B26606"/>
    <w:rsid w:val="00B267C8"/>
    <w:rsid w:val="00B269DE"/>
    <w:rsid w:val="00B270A5"/>
    <w:rsid w:val="00B276E1"/>
    <w:rsid w:val="00B303B5"/>
    <w:rsid w:val="00B30D6B"/>
    <w:rsid w:val="00B316B6"/>
    <w:rsid w:val="00B31EA3"/>
    <w:rsid w:val="00B320B7"/>
    <w:rsid w:val="00B3237F"/>
    <w:rsid w:val="00B33214"/>
    <w:rsid w:val="00B3338D"/>
    <w:rsid w:val="00B33536"/>
    <w:rsid w:val="00B33689"/>
    <w:rsid w:val="00B336B6"/>
    <w:rsid w:val="00B33C54"/>
    <w:rsid w:val="00B33E4A"/>
    <w:rsid w:val="00B34193"/>
    <w:rsid w:val="00B3439C"/>
    <w:rsid w:val="00B34BC8"/>
    <w:rsid w:val="00B34BEE"/>
    <w:rsid w:val="00B34D19"/>
    <w:rsid w:val="00B34D8F"/>
    <w:rsid w:val="00B354A5"/>
    <w:rsid w:val="00B3675C"/>
    <w:rsid w:val="00B377F6"/>
    <w:rsid w:val="00B378F3"/>
    <w:rsid w:val="00B37D42"/>
    <w:rsid w:val="00B37EB9"/>
    <w:rsid w:val="00B404F3"/>
    <w:rsid w:val="00B40852"/>
    <w:rsid w:val="00B40A94"/>
    <w:rsid w:val="00B40D93"/>
    <w:rsid w:val="00B412B8"/>
    <w:rsid w:val="00B419FE"/>
    <w:rsid w:val="00B42C65"/>
    <w:rsid w:val="00B42D5C"/>
    <w:rsid w:val="00B43C6D"/>
    <w:rsid w:val="00B43D51"/>
    <w:rsid w:val="00B44AC4"/>
    <w:rsid w:val="00B44DAF"/>
    <w:rsid w:val="00B452D8"/>
    <w:rsid w:val="00B45C19"/>
    <w:rsid w:val="00B45EB6"/>
    <w:rsid w:val="00B46381"/>
    <w:rsid w:val="00B46A7D"/>
    <w:rsid w:val="00B46D17"/>
    <w:rsid w:val="00B46E00"/>
    <w:rsid w:val="00B46FAC"/>
    <w:rsid w:val="00B47393"/>
    <w:rsid w:val="00B47403"/>
    <w:rsid w:val="00B475A9"/>
    <w:rsid w:val="00B47DE5"/>
    <w:rsid w:val="00B50142"/>
    <w:rsid w:val="00B5023C"/>
    <w:rsid w:val="00B50BFC"/>
    <w:rsid w:val="00B514D7"/>
    <w:rsid w:val="00B51AB3"/>
    <w:rsid w:val="00B531DC"/>
    <w:rsid w:val="00B53317"/>
    <w:rsid w:val="00B53470"/>
    <w:rsid w:val="00B53542"/>
    <w:rsid w:val="00B5463D"/>
    <w:rsid w:val="00B546B7"/>
    <w:rsid w:val="00B54AD9"/>
    <w:rsid w:val="00B55007"/>
    <w:rsid w:val="00B550B2"/>
    <w:rsid w:val="00B55BB3"/>
    <w:rsid w:val="00B55BE2"/>
    <w:rsid w:val="00B55C83"/>
    <w:rsid w:val="00B55D94"/>
    <w:rsid w:val="00B56A3B"/>
    <w:rsid w:val="00B570F2"/>
    <w:rsid w:val="00B5731C"/>
    <w:rsid w:val="00B5735E"/>
    <w:rsid w:val="00B57682"/>
    <w:rsid w:val="00B57E78"/>
    <w:rsid w:val="00B6014F"/>
    <w:rsid w:val="00B60217"/>
    <w:rsid w:val="00B60528"/>
    <w:rsid w:val="00B60808"/>
    <w:rsid w:val="00B6095F"/>
    <w:rsid w:val="00B60B7B"/>
    <w:rsid w:val="00B60FD4"/>
    <w:rsid w:val="00B61019"/>
    <w:rsid w:val="00B610BE"/>
    <w:rsid w:val="00B6163A"/>
    <w:rsid w:val="00B61AC9"/>
    <w:rsid w:val="00B61B9E"/>
    <w:rsid w:val="00B62235"/>
    <w:rsid w:val="00B62566"/>
    <w:rsid w:val="00B634FB"/>
    <w:rsid w:val="00B638B3"/>
    <w:rsid w:val="00B63B60"/>
    <w:rsid w:val="00B64025"/>
    <w:rsid w:val="00B640C5"/>
    <w:rsid w:val="00B64C04"/>
    <w:rsid w:val="00B6557B"/>
    <w:rsid w:val="00B6559D"/>
    <w:rsid w:val="00B657A7"/>
    <w:rsid w:val="00B662A2"/>
    <w:rsid w:val="00B665FB"/>
    <w:rsid w:val="00B66F34"/>
    <w:rsid w:val="00B70612"/>
    <w:rsid w:val="00B70A70"/>
    <w:rsid w:val="00B71012"/>
    <w:rsid w:val="00B72639"/>
    <w:rsid w:val="00B72799"/>
    <w:rsid w:val="00B72A95"/>
    <w:rsid w:val="00B72D72"/>
    <w:rsid w:val="00B72D9C"/>
    <w:rsid w:val="00B72F93"/>
    <w:rsid w:val="00B72FD2"/>
    <w:rsid w:val="00B73402"/>
    <w:rsid w:val="00B73E76"/>
    <w:rsid w:val="00B74398"/>
    <w:rsid w:val="00B7525E"/>
    <w:rsid w:val="00B755F3"/>
    <w:rsid w:val="00B771E0"/>
    <w:rsid w:val="00B77787"/>
    <w:rsid w:val="00B803B7"/>
    <w:rsid w:val="00B80438"/>
    <w:rsid w:val="00B80548"/>
    <w:rsid w:val="00B8070C"/>
    <w:rsid w:val="00B807E4"/>
    <w:rsid w:val="00B81025"/>
    <w:rsid w:val="00B812A7"/>
    <w:rsid w:val="00B8310F"/>
    <w:rsid w:val="00B8338A"/>
    <w:rsid w:val="00B8366F"/>
    <w:rsid w:val="00B83C0D"/>
    <w:rsid w:val="00B84691"/>
    <w:rsid w:val="00B84A38"/>
    <w:rsid w:val="00B859D0"/>
    <w:rsid w:val="00B85EE4"/>
    <w:rsid w:val="00B8628D"/>
    <w:rsid w:val="00B862D3"/>
    <w:rsid w:val="00B86727"/>
    <w:rsid w:val="00B86C4C"/>
    <w:rsid w:val="00B86D7B"/>
    <w:rsid w:val="00B874FB"/>
    <w:rsid w:val="00B87769"/>
    <w:rsid w:val="00B87EDD"/>
    <w:rsid w:val="00B900F6"/>
    <w:rsid w:val="00B9038B"/>
    <w:rsid w:val="00B9039F"/>
    <w:rsid w:val="00B9071B"/>
    <w:rsid w:val="00B90CF0"/>
    <w:rsid w:val="00B91009"/>
    <w:rsid w:val="00B9102A"/>
    <w:rsid w:val="00B915EE"/>
    <w:rsid w:val="00B91667"/>
    <w:rsid w:val="00B91FCB"/>
    <w:rsid w:val="00B920CF"/>
    <w:rsid w:val="00B9238C"/>
    <w:rsid w:val="00B925A8"/>
    <w:rsid w:val="00B925FC"/>
    <w:rsid w:val="00B92E36"/>
    <w:rsid w:val="00B93239"/>
    <w:rsid w:val="00B9365A"/>
    <w:rsid w:val="00B93D3A"/>
    <w:rsid w:val="00B9430B"/>
    <w:rsid w:val="00B94AFD"/>
    <w:rsid w:val="00B94B37"/>
    <w:rsid w:val="00B94E1A"/>
    <w:rsid w:val="00B94F16"/>
    <w:rsid w:val="00B9561B"/>
    <w:rsid w:val="00B9568D"/>
    <w:rsid w:val="00B95D5B"/>
    <w:rsid w:val="00B97140"/>
    <w:rsid w:val="00B97A35"/>
    <w:rsid w:val="00B97AF4"/>
    <w:rsid w:val="00B97BDD"/>
    <w:rsid w:val="00BA0684"/>
    <w:rsid w:val="00BA079F"/>
    <w:rsid w:val="00BA094B"/>
    <w:rsid w:val="00BA0A21"/>
    <w:rsid w:val="00BA0D13"/>
    <w:rsid w:val="00BA1236"/>
    <w:rsid w:val="00BA12B6"/>
    <w:rsid w:val="00BA152F"/>
    <w:rsid w:val="00BA1CDF"/>
    <w:rsid w:val="00BA2092"/>
    <w:rsid w:val="00BA2102"/>
    <w:rsid w:val="00BA21C1"/>
    <w:rsid w:val="00BA2252"/>
    <w:rsid w:val="00BA272B"/>
    <w:rsid w:val="00BA28EB"/>
    <w:rsid w:val="00BA2CF4"/>
    <w:rsid w:val="00BA3010"/>
    <w:rsid w:val="00BA360A"/>
    <w:rsid w:val="00BA3708"/>
    <w:rsid w:val="00BA3D2A"/>
    <w:rsid w:val="00BA4949"/>
    <w:rsid w:val="00BA5242"/>
    <w:rsid w:val="00BA5A1F"/>
    <w:rsid w:val="00BA5DA6"/>
    <w:rsid w:val="00BA62A1"/>
    <w:rsid w:val="00BA6567"/>
    <w:rsid w:val="00BA65F4"/>
    <w:rsid w:val="00BA725A"/>
    <w:rsid w:val="00BA72B6"/>
    <w:rsid w:val="00BA76FE"/>
    <w:rsid w:val="00BA77B5"/>
    <w:rsid w:val="00BB05EC"/>
    <w:rsid w:val="00BB0A52"/>
    <w:rsid w:val="00BB0EF0"/>
    <w:rsid w:val="00BB11BF"/>
    <w:rsid w:val="00BB2220"/>
    <w:rsid w:val="00BB244E"/>
    <w:rsid w:val="00BB2699"/>
    <w:rsid w:val="00BB4665"/>
    <w:rsid w:val="00BB504D"/>
    <w:rsid w:val="00BB567A"/>
    <w:rsid w:val="00BB5E30"/>
    <w:rsid w:val="00BB6518"/>
    <w:rsid w:val="00BB6CD8"/>
    <w:rsid w:val="00BB6FCE"/>
    <w:rsid w:val="00BB74E6"/>
    <w:rsid w:val="00BB7580"/>
    <w:rsid w:val="00BB7E39"/>
    <w:rsid w:val="00BB7F6D"/>
    <w:rsid w:val="00BC02E7"/>
    <w:rsid w:val="00BC03DB"/>
    <w:rsid w:val="00BC0B9C"/>
    <w:rsid w:val="00BC2087"/>
    <w:rsid w:val="00BC2BA9"/>
    <w:rsid w:val="00BC2E3C"/>
    <w:rsid w:val="00BC3195"/>
    <w:rsid w:val="00BC327F"/>
    <w:rsid w:val="00BC3799"/>
    <w:rsid w:val="00BC3EE9"/>
    <w:rsid w:val="00BC4E97"/>
    <w:rsid w:val="00BC5988"/>
    <w:rsid w:val="00BC5D7F"/>
    <w:rsid w:val="00BC6318"/>
    <w:rsid w:val="00BC64D7"/>
    <w:rsid w:val="00BD03E7"/>
    <w:rsid w:val="00BD1045"/>
    <w:rsid w:val="00BD1290"/>
    <w:rsid w:val="00BD12C1"/>
    <w:rsid w:val="00BD1344"/>
    <w:rsid w:val="00BD1C1A"/>
    <w:rsid w:val="00BD1C3D"/>
    <w:rsid w:val="00BD1FBA"/>
    <w:rsid w:val="00BD2FC9"/>
    <w:rsid w:val="00BD39B5"/>
    <w:rsid w:val="00BD3E2A"/>
    <w:rsid w:val="00BD4ACF"/>
    <w:rsid w:val="00BD4BC4"/>
    <w:rsid w:val="00BD600A"/>
    <w:rsid w:val="00BD65F6"/>
    <w:rsid w:val="00BD699A"/>
    <w:rsid w:val="00BD7259"/>
    <w:rsid w:val="00BD72AC"/>
    <w:rsid w:val="00BD749A"/>
    <w:rsid w:val="00BD7E12"/>
    <w:rsid w:val="00BD7FA0"/>
    <w:rsid w:val="00BE04AC"/>
    <w:rsid w:val="00BE07FA"/>
    <w:rsid w:val="00BE0CAA"/>
    <w:rsid w:val="00BE174F"/>
    <w:rsid w:val="00BE1F1C"/>
    <w:rsid w:val="00BE2D21"/>
    <w:rsid w:val="00BE3768"/>
    <w:rsid w:val="00BE3B0B"/>
    <w:rsid w:val="00BE3B9A"/>
    <w:rsid w:val="00BE4D4F"/>
    <w:rsid w:val="00BE52FC"/>
    <w:rsid w:val="00BE5DC5"/>
    <w:rsid w:val="00BE5EA8"/>
    <w:rsid w:val="00BE5F2B"/>
    <w:rsid w:val="00BE5F6B"/>
    <w:rsid w:val="00BE639A"/>
    <w:rsid w:val="00BE69D7"/>
    <w:rsid w:val="00BE6A02"/>
    <w:rsid w:val="00BE7458"/>
    <w:rsid w:val="00BE7B74"/>
    <w:rsid w:val="00BF0A5C"/>
    <w:rsid w:val="00BF140B"/>
    <w:rsid w:val="00BF1CA7"/>
    <w:rsid w:val="00BF4712"/>
    <w:rsid w:val="00BF485D"/>
    <w:rsid w:val="00BF595F"/>
    <w:rsid w:val="00BF5CF7"/>
    <w:rsid w:val="00BF64F2"/>
    <w:rsid w:val="00BF6E15"/>
    <w:rsid w:val="00BF75A0"/>
    <w:rsid w:val="00BF7814"/>
    <w:rsid w:val="00BF7A14"/>
    <w:rsid w:val="00BF7A59"/>
    <w:rsid w:val="00C0074A"/>
    <w:rsid w:val="00C00AB1"/>
    <w:rsid w:val="00C00BBE"/>
    <w:rsid w:val="00C00DB8"/>
    <w:rsid w:val="00C00F62"/>
    <w:rsid w:val="00C015B9"/>
    <w:rsid w:val="00C022FE"/>
    <w:rsid w:val="00C03034"/>
    <w:rsid w:val="00C03215"/>
    <w:rsid w:val="00C03333"/>
    <w:rsid w:val="00C0357E"/>
    <w:rsid w:val="00C037FB"/>
    <w:rsid w:val="00C040AE"/>
    <w:rsid w:val="00C04100"/>
    <w:rsid w:val="00C04445"/>
    <w:rsid w:val="00C044F0"/>
    <w:rsid w:val="00C05EA0"/>
    <w:rsid w:val="00C0623E"/>
    <w:rsid w:val="00C0678C"/>
    <w:rsid w:val="00C06829"/>
    <w:rsid w:val="00C075DC"/>
    <w:rsid w:val="00C07B1D"/>
    <w:rsid w:val="00C1057B"/>
    <w:rsid w:val="00C107FC"/>
    <w:rsid w:val="00C11262"/>
    <w:rsid w:val="00C117BC"/>
    <w:rsid w:val="00C12211"/>
    <w:rsid w:val="00C12C21"/>
    <w:rsid w:val="00C12CE4"/>
    <w:rsid w:val="00C12D5D"/>
    <w:rsid w:val="00C139CC"/>
    <w:rsid w:val="00C13A10"/>
    <w:rsid w:val="00C141FE"/>
    <w:rsid w:val="00C143CC"/>
    <w:rsid w:val="00C15466"/>
    <w:rsid w:val="00C15720"/>
    <w:rsid w:val="00C15A86"/>
    <w:rsid w:val="00C17125"/>
    <w:rsid w:val="00C1718B"/>
    <w:rsid w:val="00C17279"/>
    <w:rsid w:val="00C1748C"/>
    <w:rsid w:val="00C176D6"/>
    <w:rsid w:val="00C1799C"/>
    <w:rsid w:val="00C17C11"/>
    <w:rsid w:val="00C20216"/>
    <w:rsid w:val="00C20354"/>
    <w:rsid w:val="00C2042A"/>
    <w:rsid w:val="00C2070C"/>
    <w:rsid w:val="00C20775"/>
    <w:rsid w:val="00C20A3D"/>
    <w:rsid w:val="00C21092"/>
    <w:rsid w:val="00C21531"/>
    <w:rsid w:val="00C21CD0"/>
    <w:rsid w:val="00C2279E"/>
    <w:rsid w:val="00C239C2"/>
    <w:rsid w:val="00C23F93"/>
    <w:rsid w:val="00C246EC"/>
    <w:rsid w:val="00C2479B"/>
    <w:rsid w:val="00C24BB5"/>
    <w:rsid w:val="00C24BC3"/>
    <w:rsid w:val="00C25967"/>
    <w:rsid w:val="00C26452"/>
    <w:rsid w:val="00C265AA"/>
    <w:rsid w:val="00C265B2"/>
    <w:rsid w:val="00C27380"/>
    <w:rsid w:val="00C27517"/>
    <w:rsid w:val="00C27608"/>
    <w:rsid w:val="00C27911"/>
    <w:rsid w:val="00C30596"/>
    <w:rsid w:val="00C30DA9"/>
    <w:rsid w:val="00C31133"/>
    <w:rsid w:val="00C31F55"/>
    <w:rsid w:val="00C3223F"/>
    <w:rsid w:val="00C3241B"/>
    <w:rsid w:val="00C32DAF"/>
    <w:rsid w:val="00C33054"/>
    <w:rsid w:val="00C3326A"/>
    <w:rsid w:val="00C3351A"/>
    <w:rsid w:val="00C344C9"/>
    <w:rsid w:val="00C34639"/>
    <w:rsid w:val="00C34BA2"/>
    <w:rsid w:val="00C35AC9"/>
    <w:rsid w:val="00C35B7F"/>
    <w:rsid w:val="00C35E61"/>
    <w:rsid w:val="00C36217"/>
    <w:rsid w:val="00C368E6"/>
    <w:rsid w:val="00C36F2D"/>
    <w:rsid w:val="00C3720B"/>
    <w:rsid w:val="00C3742D"/>
    <w:rsid w:val="00C37F17"/>
    <w:rsid w:val="00C415DC"/>
    <w:rsid w:val="00C41DE6"/>
    <w:rsid w:val="00C4246A"/>
    <w:rsid w:val="00C427AE"/>
    <w:rsid w:val="00C42979"/>
    <w:rsid w:val="00C43BC5"/>
    <w:rsid w:val="00C43E4A"/>
    <w:rsid w:val="00C44862"/>
    <w:rsid w:val="00C44A8D"/>
    <w:rsid w:val="00C44B6A"/>
    <w:rsid w:val="00C45B8A"/>
    <w:rsid w:val="00C45BEF"/>
    <w:rsid w:val="00C45DC6"/>
    <w:rsid w:val="00C45F2E"/>
    <w:rsid w:val="00C46141"/>
    <w:rsid w:val="00C46E70"/>
    <w:rsid w:val="00C50053"/>
    <w:rsid w:val="00C50AF7"/>
    <w:rsid w:val="00C50E35"/>
    <w:rsid w:val="00C50EFB"/>
    <w:rsid w:val="00C51758"/>
    <w:rsid w:val="00C519CE"/>
    <w:rsid w:val="00C51C87"/>
    <w:rsid w:val="00C51FBA"/>
    <w:rsid w:val="00C5269B"/>
    <w:rsid w:val="00C529B1"/>
    <w:rsid w:val="00C53245"/>
    <w:rsid w:val="00C5374C"/>
    <w:rsid w:val="00C53C42"/>
    <w:rsid w:val="00C5449A"/>
    <w:rsid w:val="00C54601"/>
    <w:rsid w:val="00C55B3D"/>
    <w:rsid w:val="00C56A6D"/>
    <w:rsid w:val="00C56CD2"/>
    <w:rsid w:val="00C57774"/>
    <w:rsid w:val="00C57FD5"/>
    <w:rsid w:val="00C60231"/>
    <w:rsid w:val="00C60C7A"/>
    <w:rsid w:val="00C61291"/>
    <w:rsid w:val="00C618F4"/>
    <w:rsid w:val="00C61A04"/>
    <w:rsid w:val="00C61F8B"/>
    <w:rsid w:val="00C64B74"/>
    <w:rsid w:val="00C64C29"/>
    <w:rsid w:val="00C64D2C"/>
    <w:rsid w:val="00C64DE3"/>
    <w:rsid w:val="00C650A5"/>
    <w:rsid w:val="00C653DF"/>
    <w:rsid w:val="00C65414"/>
    <w:rsid w:val="00C65559"/>
    <w:rsid w:val="00C6575E"/>
    <w:rsid w:val="00C658B1"/>
    <w:rsid w:val="00C65A3F"/>
    <w:rsid w:val="00C65B4A"/>
    <w:rsid w:val="00C660E1"/>
    <w:rsid w:val="00C66205"/>
    <w:rsid w:val="00C66554"/>
    <w:rsid w:val="00C67F30"/>
    <w:rsid w:val="00C7008B"/>
    <w:rsid w:val="00C706F7"/>
    <w:rsid w:val="00C708E8"/>
    <w:rsid w:val="00C71030"/>
    <w:rsid w:val="00C710EE"/>
    <w:rsid w:val="00C7137C"/>
    <w:rsid w:val="00C71538"/>
    <w:rsid w:val="00C71B79"/>
    <w:rsid w:val="00C7261C"/>
    <w:rsid w:val="00C728F8"/>
    <w:rsid w:val="00C72B82"/>
    <w:rsid w:val="00C72DAA"/>
    <w:rsid w:val="00C72DBC"/>
    <w:rsid w:val="00C72E01"/>
    <w:rsid w:val="00C72F58"/>
    <w:rsid w:val="00C734E3"/>
    <w:rsid w:val="00C736F6"/>
    <w:rsid w:val="00C74163"/>
    <w:rsid w:val="00C7444C"/>
    <w:rsid w:val="00C747B2"/>
    <w:rsid w:val="00C749BF"/>
    <w:rsid w:val="00C7513F"/>
    <w:rsid w:val="00C75F60"/>
    <w:rsid w:val="00C76565"/>
    <w:rsid w:val="00C76BD9"/>
    <w:rsid w:val="00C77E57"/>
    <w:rsid w:val="00C808FD"/>
    <w:rsid w:val="00C81504"/>
    <w:rsid w:val="00C8177E"/>
    <w:rsid w:val="00C818C7"/>
    <w:rsid w:val="00C81A64"/>
    <w:rsid w:val="00C8211A"/>
    <w:rsid w:val="00C8254E"/>
    <w:rsid w:val="00C828FA"/>
    <w:rsid w:val="00C82BB0"/>
    <w:rsid w:val="00C82C8D"/>
    <w:rsid w:val="00C8307A"/>
    <w:rsid w:val="00C83197"/>
    <w:rsid w:val="00C832C1"/>
    <w:rsid w:val="00C83B68"/>
    <w:rsid w:val="00C84E5B"/>
    <w:rsid w:val="00C84FB5"/>
    <w:rsid w:val="00C850CA"/>
    <w:rsid w:val="00C856A3"/>
    <w:rsid w:val="00C85F45"/>
    <w:rsid w:val="00C86CD5"/>
    <w:rsid w:val="00C86FF7"/>
    <w:rsid w:val="00C872B5"/>
    <w:rsid w:val="00C8769A"/>
    <w:rsid w:val="00C87808"/>
    <w:rsid w:val="00C878D7"/>
    <w:rsid w:val="00C87DB3"/>
    <w:rsid w:val="00C901B9"/>
    <w:rsid w:val="00C90419"/>
    <w:rsid w:val="00C906FE"/>
    <w:rsid w:val="00C907EC"/>
    <w:rsid w:val="00C90AB6"/>
    <w:rsid w:val="00C91E1E"/>
    <w:rsid w:val="00C92C65"/>
    <w:rsid w:val="00C93123"/>
    <w:rsid w:val="00C93180"/>
    <w:rsid w:val="00C93B60"/>
    <w:rsid w:val="00C9449E"/>
    <w:rsid w:val="00C94EBF"/>
    <w:rsid w:val="00C957C0"/>
    <w:rsid w:val="00C957D6"/>
    <w:rsid w:val="00C9598C"/>
    <w:rsid w:val="00C95B1F"/>
    <w:rsid w:val="00C95D92"/>
    <w:rsid w:val="00C96B3A"/>
    <w:rsid w:val="00C96B66"/>
    <w:rsid w:val="00C97281"/>
    <w:rsid w:val="00C97B11"/>
    <w:rsid w:val="00C97E0B"/>
    <w:rsid w:val="00CA095B"/>
    <w:rsid w:val="00CA0A84"/>
    <w:rsid w:val="00CA0B2D"/>
    <w:rsid w:val="00CA15EE"/>
    <w:rsid w:val="00CA15FF"/>
    <w:rsid w:val="00CA25E4"/>
    <w:rsid w:val="00CA2E60"/>
    <w:rsid w:val="00CA3255"/>
    <w:rsid w:val="00CA3B08"/>
    <w:rsid w:val="00CA516E"/>
    <w:rsid w:val="00CA5182"/>
    <w:rsid w:val="00CA552C"/>
    <w:rsid w:val="00CA55B5"/>
    <w:rsid w:val="00CA6423"/>
    <w:rsid w:val="00CA6839"/>
    <w:rsid w:val="00CA6E6E"/>
    <w:rsid w:val="00CA6F16"/>
    <w:rsid w:val="00CA7933"/>
    <w:rsid w:val="00CA7BF0"/>
    <w:rsid w:val="00CB1A28"/>
    <w:rsid w:val="00CB1F16"/>
    <w:rsid w:val="00CB203C"/>
    <w:rsid w:val="00CB24ED"/>
    <w:rsid w:val="00CB26E5"/>
    <w:rsid w:val="00CB348B"/>
    <w:rsid w:val="00CB3BFD"/>
    <w:rsid w:val="00CB421E"/>
    <w:rsid w:val="00CB4254"/>
    <w:rsid w:val="00CB4428"/>
    <w:rsid w:val="00CB48A9"/>
    <w:rsid w:val="00CB5E4A"/>
    <w:rsid w:val="00CB5EAC"/>
    <w:rsid w:val="00CB677B"/>
    <w:rsid w:val="00CB799B"/>
    <w:rsid w:val="00CB79F8"/>
    <w:rsid w:val="00CB7AFF"/>
    <w:rsid w:val="00CB7F1E"/>
    <w:rsid w:val="00CC04AF"/>
    <w:rsid w:val="00CC125C"/>
    <w:rsid w:val="00CC226B"/>
    <w:rsid w:val="00CC24E5"/>
    <w:rsid w:val="00CC27BC"/>
    <w:rsid w:val="00CC2AEC"/>
    <w:rsid w:val="00CC38AB"/>
    <w:rsid w:val="00CC3BA3"/>
    <w:rsid w:val="00CC47FB"/>
    <w:rsid w:val="00CC5445"/>
    <w:rsid w:val="00CC572B"/>
    <w:rsid w:val="00CC61FF"/>
    <w:rsid w:val="00CC66F2"/>
    <w:rsid w:val="00CC6714"/>
    <w:rsid w:val="00CC70FE"/>
    <w:rsid w:val="00CC7490"/>
    <w:rsid w:val="00CC7A75"/>
    <w:rsid w:val="00CD1183"/>
    <w:rsid w:val="00CD1891"/>
    <w:rsid w:val="00CD1B17"/>
    <w:rsid w:val="00CD209B"/>
    <w:rsid w:val="00CD2ABE"/>
    <w:rsid w:val="00CD315D"/>
    <w:rsid w:val="00CD32D2"/>
    <w:rsid w:val="00CD350C"/>
    <w:rsid w:val="00CD3A37"/>
    <w:rsid w:val="00CD3FAA"/>
    <w:rsid w:val="00CD5233"/>
    <w:rsid w:val="00CD52A8"/>
    <w:rsid w:val="00CD5DA9"/>
    <w:rsid w:val="00CD605F"/>
    <w:rsid w:val="00CD642B"/>
    <w:rsid w:val="00CD6E71"/>
    <w:rsid w:val="00CD71D2"/>
    <w:rsid w:val="00CD7676"/>
    <w:rsid w:val="00CD77B7"/>
    <w:rsid w:val="00CD78EF"/>
    <w:rsid w:val="00CD7A16"/>
    <w:rsid w:val="00CE09D6"/>
    <w:rsid w:val="00CE0D6C"/>
    <w:rsid w:val="00CE0D93"/>
    <w:rsid w:val="00CE1DCD"/>
    <w:rsid w:val="00CE1ED8"/>
    <w:rsid w:val="00CE1EE3"/>
    <w:rsid w:val="00CE2146"/>
    <w:rsid w:val="00CE24C6"/>
    <w:rsid w:val="00CE36AE"/>
    <w:rsid w:val="00CE37BF"/>
    <w:rsid w:val="00CE3B56"/>
    <w:rsid w:val="00CE3F2E"/>
    <w:rsid w:val="00CE401F"/>
    <w:rsid w:val="00CE42E5"/>
    <w:rsid w:val="00CE44C7"/>
    <w:rsid w:val="00CE4730"/>
    <w:rsid w:val="00CE4BC3"/>
    <w:rsid w:val="00CE4C45"/>
    <w:rsid w:val="00CE4E1A"/>
    <w:rsid w:val="00CE4FC7"/>
    <w:rsid w:val="00CE5C27"/>
    <w:rsid w:val="00CE62E5"/>
    <w:rsid w:val="00CE6B17"/>
    <w:rsid w:val="00CE6C17"/>
    <w:rsid w:val="00CE6D1C"/>
    <w:rsid w:val="00CE6EAD"/>
    <w:rsid w:val="00CE7601"/>
    <w:rsid w:val="00CE7650"/>
    <w:rsid w:val="00CE775D"/>
    <w:rsid w:val="00CE7820"/>
    <w:rsid w:val="00CE7C22"/>
    <w:rsid w:val="00CE7CD7"/>
    <w:rsid w:val="00CE7D22"/>
    <w:rsid w:val="00CF0215"/>
    <w:rsid w:val="00CF0E52"/>
    <w:rsid w:val="00CF16B9"/>
    <w:rsid w:val="00CF194C"/>
    <w:rsid w:val="00CF2582"/>
    <w:rsid w:val="00CF25F5"/>
    <w:rsid w:val="00CF2DF4"/>
    <w:rsid w:val="00CF2E66"/>
    <w:rsid w:val="00CF314F"/>
    <w:rsid w:val="00CF31A4"/>
    <w:rsid w:val="00CF346C"/>
    <w:rsid w:val="00CF35A3"/>
    <w:rsid w:val="00CF3E2F"/>
    <w:rsid w:val="00CF43CD"/>
    <w:rsid w:val="00CF47CC"/>
    <w:rsid w:val="00CF4919"/>
    <w:rsid w:val="00CF49FC"/>
    <w:rsid w:val="00CF4F5C"/>
    <w:rsid w:val="00CF518E"/>
    <w:rsid w:val="00CF56AB"/>
    <w:rsid w:val="00CF5F9D"/>
    <w:rsid w:val="00CF7257"/>
    <w:rsid w:val="00CF74E2"/>
    <w:rsid w:val="00CF7AA2"/>
    <w:rsid w:val="00D0024A"/>
    <w:rsid w:val="00D0200A"/>
    <w:rsid w:val="00D0258B"/>
    <w:rsid w:val="00D031F1"/>
    <w:rsid w:val="00D033B1"/>
    <w:rsid w:val="00D0361B"/>
    <w:rsid w:val="00D03733"/>
    <w:rsid w:val="00D0428B"/>
    <w:rsid w:val="00D043EA"/>
    <w:rsid w:val="00D04619"/>
    <w:rsid w:val="00D04687"/>
    <w:rsid w:val="00D04790"/>
    <w:rsid w:val="00D04B51"/>
    <w:rsid w:val="00D04D09"/>
    <w:rsid w:val="00D04F5F"/>
    <w:rsid w:val="00D04F9D"/>
    <w:rsid w:val="00D05B1A"/>
    <w:rsid w:val="00D062F9"/>
    <w:rsid w:val="00D065A4"/>
    <w:rsid w:val="00D066BC"/>
    <w:rsid w:val="00D069F8"/>
    <w:rsid w:val="00D06DE3"/>
    <w:rsid w:val="00D06EB4"/>
    <w:rsid w:val="00D06F3C"/>
    <w:rsid w:val="00D06FB7"/>
    <w:rsid w:val="00D0775A"/>
    <w:rsid w:val="00D079B7"/>
    <w:rsid w:val="00D07BE1"/>
    <w:rsid w:val="00D109C6"/>
    <w:rsid w:val="00D10F18"/>
    <w:rsid w:val="00D11458"/>
    <w:rsid w:val="00D1148D"/>
    <w:rsid w:val="00D11678"/>
    <w:rsid w:val="00D116A3"/>
    <w:rsid w:val="00D12C5D"/>
    <w:rsid w:val="00D12DBE"/>
    <w:rsid w:val="00D13144"/>
    <w:rsid w:val="00D133B7"/>
    <w:rsid w:val="00D13A34"/>
    <w:rsid w:val="00D13D0B"/>
    <w:rsid w:val="00D13DDD"/>
    <w:rsid w:val="00D141E0"/>
    <w:rsid w:val="00D148D3"/>
    <w:rsid w:val="00D149B6"/>
    <w:rsid w:val="00D14DDC"/>
    <w:rsid w:val="00D15378"/>
    <w:rsid w:val="00D1586E"/>
    <w:rsid w:val="00D1651B"/>
    <w:rsid w:val="00D16BFA"/>
    <w:rsid w:val="00D16E23"/>
    <w:rsid w:val="00D17681"/>
    <w:rsid w:val="00D17A4B"/>
    <w:rsid w:val="00D20961"/>
    <w:rsid w:val="00D20A7F"/>
    <w:rsid w:val="00D20D4D"/>
    <w:rsid w:val="00D20E09"/>
    <w:rsid w:val="00D21AE3"/>
    <w:rsid w:val="00D223D5"/>
    <w:rsid w:val="00D225E4"/>
    <w:rsid w:val="00D2290E"/>
    <w:rsid w:val="00D22975"/>
    <w:rsid w:val="00D22A9C"/>
    <w:rsid w:val="00D22B2C"/>
    <w:rsid w:val="00D22EDC"/>
    <w:rsid w:val="00D232B7"/>
    <w:rsid w:val="00D236EF"/>
    <w:rsid w:val="00D237B6"/>
    <w:rsid w:val="00D2443A"/>
    <w:rsid w:val="00D246C2"/>
    <w:rsid w:val="00D2470A"/>
    <w:rsid w:val="00D2489F"/>
    <w:rsid w:val="00D24AA4"/>
    <w:rsid w:val="00D24CB4"/>
    <w:rsid w:val="00D25E9C"/>
    <w:rsid w:val="00D25EE1"/>
    <w:rsid w:val="00D26074"/>
    <w:rsid w:val="00D267B5"/>
    <w:rsid w:val="00D26A57"/>
    <w:rsid w:val="00D26D6E"/>
    <w:rsid w:val="00D271AB"/>
    <w:rsid w:val="00D273D4"/>
    <w:rsid w:val="00D27A43"/>
    <w:rsid w:val="00D30015"/>
    <w:rsid w:val="00D311B4"/>
    <w:rsid w:val="00D32440"/>
    <w:rsid w:val="00D324AC"/>
    <w:rsid w:val="00D327A7"/>
    <w:rsid w:val="00D32B18"/>
    <w:rsid w:val="00D338B5"/>
    <w:rsid w:val="00D338CB"/>
    <w:rsid w:val="00D339A6"/>
    <w:rsid w:val="00D33BD9"/>
    <w:rsid w:val="00D34468"/>
    <w:rsid w:val="00D34489"/>
    <w:rsid w:val="00D34AFD"/>
    <w:rsid w:val="00D35390"/>
    <w:rsid w:val="00D357EF"/>
    <w:rsid w:val="00D359B3"/>
    <w:rsid w:val="00D35C7B"/>
    <w:rsid w:val="00D35ED9"/>
    <w:rsid w:val="00D3640C"/>
    <w:rsid w:val="00D36920"/>
    <w:rsid w:val="00D36D21"/>
    <w:rsid w:val="00D37CB7"/>
    <w:rsid w:val="00D37DDF"/>
    <w:rsid w:val="00D40484"/>
    <w:rsid w:val="00D40A83"/>
    <w:rsid w:val="00D40F04"/>
    <w:rsid w:val="00D41CE4"/>
    <w:rsid w:val="00D41FD5"/>
    <w:rsid w:val="00D42B84"/>
    <w:rsid w:val="00D42ED6"/>
    <w:rsid w:val="00D43011"/>
    <w:rsid w:val="00D439BB"/>
    <w:rsid w:val="00D448D9"/>
    <w:rsid w:val="00D44F62"/>
    <w:rsid w:val="00D45228"/>
    <w:rsid w:val="00D45EA3"/>
    <w:rsid w:val="00D478FC"/>
    <w:rsid w:val="00D50E9A"/>
    <w:rsid w:val="00D5112B"/>
    <w:rsid w:val="00D5112C"/>
    <w:rsid w:val="00D518BB"/>
    <w:rsid w:val="00D51AC0"/>
    <w:rsid w:val="00D52133"/>
    <w:rsid w:val="00D52EC0"/>
    <w:rsid w:val="00D52F00"/>
    <w:rsid w:val="00D54501"/>
    <w:rsid w:val="00D5482D"/>
    <w:rsid w:val="00D55738"/>
    <w:rsid w:val="00D55D08"/>
    <w:rsid w:val="00D56066"/>
    <w:rsid w:val="00D5623A"/>
    <w:rsid w:val="00D56712"/>
    <w:rsid w:val="00D56A05"/>
    <w:rsid w:val="00D57725"/>
    <w:rsid w:val="00D57AEF"/>
    <w:rsid w:val="00D57B39"/>
    <w:rsid w:val="00D57BC4"/>
    <w:rsid w:val="00D57EA4"/>
    <w:rsid w:val="00D60154"/>
    <w:rsid w:val="00D60FD1"/>
    <w:rsid w:val="00D6100C"/>
    <w:rsid w:val="00D6122F"/>
    <w:rsid w:val="00D619BE"/>
    <w:rsid w:val="00D633EB"/>
    <w:rsid w:val="00D637E6"/>
    <w:rsid w:val="00D63E76"/>
    <w:rsid w:val="00D640F6"/>
    <w:rsid w:val="00D642A6"/>
    <w:rsid w:val="00D65162"/>
    <w:rsid w:val="00D66B0C"/>
    <w:rsid w:val="00D66BA3"/>
    <w:rsid w:val="00D674ED"/>
    <w:rsid w:val="00D7079B"/>
    <w:rsid w:val="00D7104D"/>
    <w:rsid w:val="00D71875"/>
    <w:rsid w:val="00D71AB6"/>
    <w:rsid w:val="00D71AEF"/>
    <w:rsid w:val="00D71B38"/>
    <w:rsid w:val="00D735BE"/>
    <w:rsid w:val="00D73AC0"/>
    <w:rsid w:val="00D73B1F"/>
    <w:rsid w:val="00D73CCD"/>
    <w:rsid w:val="00D73E3F"/>
    <w:rsid w:val="00D74253"/>
    <w:rsid w:val="00D74298"/>
    <w:rsid w:val="00D7458E"/>
    <w:rsid w:val="00D74CE8"/>
    <w:rsid w:val="00D74EC8"/>
    <w:rsid w:val="00D752DC"/>
    <w:rsid w:val="00D75D90"/>
    <w:rsid w:val="00D76478"/>
    <w:rsid w:val="00D768E9"/>
    <w:rsid w:val="00D76CB4"/>
    <w:rsid w:val="00D806C1"/>
    <w:rsid w:val="00D80904"/>
    <w:rsid w:val="00D812CD"/>
    <w:rsid w:val="00D81442"/>
    <w:rsid w:val="00D81843"/>
    <w:rsid w:val="00D81F97"/>
    <w:rsid w:val="00D82353"/>
    <w:rsid w:val="00D82729"/>
    <w:rsid w:val="00D82A11"/>
    <w:rsid w:val="00D82D46"/>
    <w:rsid w:val="00D82E7E"/>
    <w:rsid w:val="00D834B9"/>
    <w:rsid w:val="00D83504"/>
    <w:rsid w:val="00D8385D"/>
    <w:rsid w:val="00D839A8"/>
    <w:rsid w:val="00D83F3D"/>
    <w:rsid w:val="00D845DD"/>
    <w:rsid w:val="00D846E2"/>
    <w:rsid w:val="00D85077"/>
    <w:rsid w:val="00D85516"/>
    <w:rsid w:val="00D856DD"/>
    <w:rsid w:val="00D858D7"/>
    <w:rsid w:val="00D85D9D"/>
    <w:rsid w:val="00D861D3"/>
    <w:rsid w:val="00D86BDE"/>
    <w:rsid w:val="00D90107"/>
    <w:rsid w:val="00D90A3A"/>
    <w:rsid w:val="00D90AD7"/>
    <w:rsid w:val="00D90D53"/>
    <w:rsid w:val="00D90F28"/>
    <w:rsid w:val="00D91B79"/>
    <w:rsid w:val="00D926B4"/>
    <w:rsid w:val="00D92BB3"/>
    <w:rsid w:val="00D92FEA"/>
    <w:rsid w:val="00D93144"/>
    <w:rsid w:val="00D941C5"/>
    <w:rsid w:val="00D942BB"/>
    <w:rsid w:val="00D946A4"/>
    <w:rsid w:val="00D94A78"/>
    <w:rsid w:val="00D94ED0"/>
    <w:rsid w:val="00D959D6"/>
    <w:rsid w:val="00D95C06"/>
    <w:rsid w:val="00D96349"/>
    <w:rsid w:val="00D96962"/>
    <w:rsid w:val="00D970B1"/>
    <w:rsid w:val="00D97AB0"/>
    <w:rsid w:val="00D97E0C"/>
    <w:rsid w:val="00D97E94"/>
    <w:rsid w:val="00DA0B1C"/>
    <w:rsid w:val="00DA1572"/>
    <w:rsid w:val="00DA1772"/>
    <w:rsid w:val="00DA2077"/>
    <w:rsid w:val="00DA2CA1"/>
    <w:rsid w:val="00DA2CDF"/>
    <w:rsid w:val="00DA2D55"/>
    <w:rsid w:val="00DA2E18"/>
    <w:rsid w:val="00DA35B8"/>
    <w:rsid w:val="00DA3A1C"/>
    <w:rsid w:val="00DA4090"/>
    <w:rsid w:val="00DA4311"/>
    <w:rsid w:val="00DA485D"/>
    <w:rsid w:val="00DA4EDC"/>
    <w:rsid w:val="00DA6499"/>
    <w:rsid w:val="00DA6715"/>
    <w:rsid w:val="00DA6794"/>
    <w:rsid w:val="00DA69FB"/>
    <w:rsid w:val="00DA6F50"/>
    <w:rsid w:val="00DA772B"/>
    <w:rsid w:val="00DA7B0F"/>
    <w:rsid w:val="00DA7CAB"/>
    <w:rsid w:val="00DB0599"/>
    <w:rsid w:val="00DB060A"/>
    <w:rsid w:val="00DB0C63"/>
    <w:rsid w:val="00DB1A26"/>
    <w:rsid w:val="00DB2702"/>
    <w:rsid w:val="00DB2CF6"/>
    <w:rsid w:val="00DB2E08"/>
    <w:rsid w:val="00DB346C"/>
    <w:rsid w:val="00DB4283"/>
    <w:rsid w:val="00DB5123"/>
    <w:rsid w:val="00DB53F1"/>
    <w:rsid w:val="00DB5744"/>
    <w:rsid w:val="00DB59C7"/>
    <w:rsid w:val="00DB770D"/>
    <w:rsid w:val="00DB7BF9"/>
    <w:rsid w:val="00DB7DAA"/>
    <w:rsid w:val="00DB7E71"/>
    <w:rsid w:val="00DC08A3"/>
    <w:rsid w:val="00DC0AD2"/>
    <w:rsid w:val="00DC10F0"/>
    <w:rsid w:val="00DC1440"/>
    <w:rsid w:val="00DC1885"/>
    <w:rsid w:val="00DC230B"/>
    <w:rsid w:val="00DC23D0"/>
    <w:rsid w:val="00DC2528"/>
    <w:rsid w:val="00DC2CF3"/>
    <w:rsid w:val="00DC2F0D"/>
    <w:rsid w:val="00DC35C7"/>
    <w:rsid w:val="00DC3BFE"/>
    <w:rsid w:val="00DC42AF"/>
    <w:rsid w:val="00DC4E06"/>
    <w:rsid w:val="00DC5666"/>
    <w:rsid w:val="00DC5B42"/>
    <w:rsid w:val="00DC669B"/>
    <w:rsid w:val="00DC6925"/>
    <w:rsid w:val="00DC70DB"/>
    <w:rsid w:val="00DC728C"/>
    <w:rsid w:val="00DC77A3"/>
    <w:rsid w:val="00DC7824"/>
    <w:rsid w:val="00DC7945"/>
    <w:rsid w:val="00DC7F1E"/>
    <w:rsid w:val="00DD003F"/>
    <w:rsid w:val="00DD040E"/>
    <w:rsid w:val="00DD04FC"/>
    <w:rsid w:val="00DD05B1"/>
    <w:rsid w:val="00DD0BE7"/>
    <w:rsid w:val="00DD0F36"/>
    <w:rsid w:val="00DD1300"/>
    <w:rsid w:val="00DD1904"/>
    <w:rsid w:val="00DD1DC3"/>
    <w:rsid w:val="00DD2396"/>
    <w:rsid w:val="00DD25E3"/>
    <w:rsid w:val="00DD319C"/>
    <w:rsid w:val="00DD32E3"/>
    <w:rsid w:val="00DD3418"/>
    <w:rsid w:val="00DD3655"/>
    <w:rsid w:val="00DD386B"/>
    <w:rsid w:val="00DD3914"/>
    <w:rsid w:val="00DD3928"/>
    <w:rsid w:val="00DD47B3"/>
    <w:rsid w:val="00DD4BCC"/>
    <w:rsid w:val="00DD54DD"/>
    <w:rsid w:val="00DD557B"/>
    <w:rsid w:val="00DD5940"/>
    <w:rsid w:val="00DD610B"/>
    <w:rsid w:val="00DD67CD"/>
    <w:rsid w:val="00DD6D29"/>
    <w:rsid w:val="00DE0E8A"/>
    <w:rsid w:val="00DE127D"/>
    <w:rsid w:val="00DE12A5"/>
    <w:rsid w:val="00DE1406"/>
    <w:rsid w:val="00DE1A6B"/>
    <w:rsid w:val="00DE1C65"/>
    <w:rsid w:val="00DE21A7"/>
    <w:rsid w:val="00DE243B"/>
    <w:rsid w:val="00DE29B4"/>
    <w:rsid w:val="00DE2FC8"/>
    <w:rsid w:val="00DE380B"/>
    <w:rsid w:val="00DE38B1"/>
    <w:rsid w:val="00DE3A62"/>
    <w:rsid w:val="00DE3ABB"/>
    <w:rsid w:val="00DE3B6F"/>
    <w:rsid w:val="00DE3CF8"/>
    <w:rsid w:val="00DE3E5F"/>
    <w:rsid w:val="00DE41AC"/>
    <w:rsid w:val="00DE42D4"/>
    <w:rsid w:val="00DE431E"/>
    <w:rsid w:val="00DE4EC3"/>
    <w:rsid w:val="00DE55D8"/>
    <w:rsid w:val="00DE609F"/>
    <w:rsid w:val="00DE6102"/>
    <w:rsid w:val="00DE62E7"/>
    <w:rsid w:val="00DE6BD0"/>
    <w:rsid w:val="00DE6E60"/>
    <w:rsid w:val="00DE78CE"/>
    <w:rsid w:val="00DF006A"/>
    <w:rsid w:val="00DF123F"/>
    <w:rsid w:val="00DF166F"/>
    <w:rsid w:val="00DF1D91"/>
    <w:rsid w:val="00DF2143"/>
    <w:rsid w:val="00DF2209"/>
    <w:rsid w:val="00DF2E7C"/>
    <w:rsid w:val="00DF3795"/>
    <w:rsid w:val="00DF39CF"/>
    <w:rsid w:val="00DF3C9A"/>
    <w:rsid w:val="00DF40E4"/>
    <w:rsid w:val="00DF4A72"/>
    <w:rsid w:val="00DF5372"/>
    <w:rsid w:val="00DF54E4"/>
    <w:rsid w:val="00DF5819"/>
    <w:rsid w:val="00DF5B38"/>
    <w:rsid w:val="00DF62EC"/>
    <w:rsid w:val="00DF6378"/>
    <w:rsid w:val="00DF666C"/>
    <w:rsid w:val="00DF7ABF"/>
    <w:rsid w:val="00E00019"/>
    <w:rsid w:val="00E001A0"/>
    <w:rsid w:val="00E001FE"/>
    <w:rsid w:val="00E00390"/>
    <w:rsid w:val="00E00518"/>
    <w:rsid w:val="00E0061F"/>
    <w:rsid w:val="00E0073A"/>
    <w:rsid w:val="00E00E08"/>
    <w:rsid w:val="00E0157F"/>
    <w:rsid w:val="00E0232E"/>
    <w:rsid w:val="00E02B89"/>
    <w:rsid w:val="00E02D8D"/>
    <w:rsid w:val="00E04E04"/>
    <w:rsid w:val="00E04F8C"/>
    <w:rsid w:val="00E0594C"/>
    <w:rsid w:val="00E061E9"/>
    <w:rsid w:val="00E06768"/>
    <w:rsid w:val="00E072AD"/>
    <w:rsid w:val="00E100D8"/>
    <w:rsid w:val="00E10274"/>
    <w:rsid w:val="00E108E5"/>
    <w:rsid w:val="00E10CEE"/>
    <w:rsid w:val="00E117C1"/>
    <w:rsid w:val="00E119AB"/>
    <w:rsid w:val="00E11D0F"/>
    <w:rsid w:val="00E125CA"/>
    <w:rsid w:val="00E12910"/>
    <w:rsid w:val="00E12998"/>
    <w:rsid w:val="00E135EB"/>
    <w:rsid w:val="00E13B51"/>
    <w:rsid w:val="00E14268"/>
    <w:rsid w:val="00E14325"/>
    <w:rsid w:val="00E1635A"/>
    <w:rsid w:val="00E16898"/>
    <w:rsid w:val="00E1781F"/>
    <w:rsid w:val="00E1798F"/>
    <w:rsid w:val="00E17AC2"/>
    <w:rsid w:val="00E20344"/>
    <w:rsid w:val="00E203E2"/>
    <w:rsid w:val="00E206CB"/>
    <w:rsid w:val="00E20B60"/>
    <w:rsid w:val="00E211E9"/>
    <w:rsid w:val="00E21D27"/>
    <w:rsid w:val="00E22527"/>
    <w:rsid w:val="00E22546"/>
    <w:rsid w:val="00E23278"/>
    <w:rsid w:val="00E235F9"/>
    <w:rsid w:val="00E23E8E"/>
    <w:rsid w:val="00E244B3"/>
    <w:rsid w:val="00E249A5"/>
    <w:rsid w:val="00E24C0C"/>
    <w:rsid w:val="00E26193"/>
    <w:rsid w:val="00E26908"/>
    <w:rsid w:val="00E271B6"/>
    <w:rsid w:val="00E27808"/>
    <w:rsid w:val="00E279A3"/>
    <w:rsid w:val="00E30F84"/>
    <w:rsid w:val="00E3111A"/>
    <w:rsid w:val="00E314D3"/>
    <w:rsid w:val="00E31526"/>
    <w:rsid w:val="00E31752"/>
    <w:rsid w:val="00E31BAC"/>
    <w:rsid w:val="00E322F8"/>
    <w:rsid w:val="00E32535"/>
    <w:rsid w:val="00E32B72"/>
    <w:rsid w:val="00E333C9"/>
    <w:rsid w:val="00E33B08"/>
    <w:rsid w:val="00E33DEE"/>
    <w:rsid w:val="00E349F8"/>
    <w:rsid w:val="00E35F75"/>
    <w:rsid w:val="00E3639D"/>
    <w:rsid w:val="00E36400"/>
    <w:rsid w:val="00E3645D"/>
    <w:rsid w:val="00E36E0B"/>
    <w:rsid w:val="00E377D3"/>
    <w:rsid w:val="00E4058B"/>
    <w:rsid w:val="00E4094C"/>
    <w:rsid w:val="00E41481"/>
    <w:rsid w:val="00E415A2"/>
    <w:rsid w:val="00E41C3B"/>
    <w:rsid w:val="00E41DEA"/>
    <w:rsid w:val="00E420D1"/>
    <w:rsid w:val="00E428CC"/>
    <w:rsid w:val="00E42998"/>
    <w:rsid w:val="00E42C2D"/>
    <w:rsid w:val="00E43C6D"/>
    <w:rsid w:val="00E4464F"/>
    <w:rsid w:val="00E45839"/>
    <w:rsid w:val="00E4591C"/>
    <w:rsid w:val="00E45DF6"/>
    <w:rsid w:val="00E46592"/>
    <w:rsid w:val="00E466E2"/>
    <w:rsid w:val="00E46908"/>
    <w:rsid w:val="00E47067"/>
    <w:rsid w:val="00E4754B"/>
    <w:rsid w:val="00E4755F"/>
    <w:rsid w:val="00E505EC"/>
    <w:rsid w:val="00E50AE8"/>
    <w:rsid w:val="00E50E44"/>
    <w:rsid w:val="00E51A07"/>
    <w:rsid w:val="00E51BC3"/>
    <w:rsid w:val="00E53ADB"/>
    <w:rsid w:val="00E53B5F"/>
    <w:rsid w:val="00E54682"/>
    <w:rsid w:val="00E549E1"/>
    <w:rsid w:val="00E54FF1"/>
    <w:rsid w:val="00E5543A"/>
    <w:rsid w:val="00E55BF0"/>
    <w:rsid w:val="00E5636B"/>
    <w:rsid w:val="00E57A2D"/>
    <w:rsid w:val="00E57F4F"/>
    <w:rsid w:val="00E60117"/>
    <w:rsid w:val="00E604DF"/>
    <w:rsid w:val="00E60646"/>
    <w:rsid w:val="00E60673"/>
    <w:rsid w:val="00E606D9"/>
    <w:rsid w:val="00E60780"/>
    <w:rsid w:val="00E60905"/>
    <w:rsid w:val="00E60EB1"/>
    <w:rsid w:val="00E61005"/>
    <w:rsid w:val="00E6177E"/>
    <w:rsid w:val="00E61EE9"/>
    <w:rsid w:val="00E622A2"/>
    <w:rsid w:val="00E6311A"/>
    <w:rsid w:val="00E6431B"/>
    <w:rsid w:val="00E64923"/>
    <w:rsid w:val="00E64BB4"/>
    <w:rsid w:val="00E65342"/>
    <w:rsid w:val="00E659CD"/>
    <w:rsid w:val="00E666C3"/>
    <w:rsid w:val="00E66880"/>
    <w:rsid w:val="00E66BFD"/>
    <w:rsid w:val="00E66F4A"/>
    <w:rsid w:val="00E67214"/>
    <w:rsid w:val="00E672BC"/>
    <w:rsid w:val="00E673AB"/>
    <w:rsid w:val="00E673D3"/>
    <w:rsid w:val="00E67A31"/>
    <w:rsid w:val="00E67E12"/>
    <w:rsid w:val="00E70090"/>
    <w:rsid w:val="00E70DB1"/>
    <w:rsid w:val="00E71110"/>
    <w:rsid w:val="00E711DF"/>
    <w:rsid w:val="00E71DE6"/>
    <w:rsid w:val="00E72371"/>
    <w:rsid w:val="00E72785"/>
    <w:rsid w:val="00E730E0"/>
    <w:rsid w:val="00E73EE0"/>
    <w:rsid w:val="00E7431C"/>
    <w:rsid w:val="00E74357"/>
    <w:rsid w:val="00E74375"/>
    <w:rsid w:val="00E74910"/>
    <w:rsid w:val="00E753BB"/>
    <w:rsid w:val="00E762CE"/>
    <w:rsid w:val="00E76A3D"/>
    <w:rsid w:val="00E77032"/>
    <w:rsid w:val="00E774E3"/>
    <w:rsid w:val="00E7751C"/>
    <w:rsid w:val="00E77945"/>
    <w:rsid w:val="00E80158"/>
    <w:rsid w:val="00E80A16"/>
    <w:rsid w:val="00E811DB"/>
    <w:rsid w:val="00E81A56"/>
    <w:rsid w:val="00E81D39"/>
    <w:rsid w:val="00E82062"/>
    <w:rsid w:val="00E827F8"/>
    <w:rsid w:val="00E82BAA"/>
    <w:rsid w:val="00E8380A"/>
    <w:rsid w:val="00E83BB7"/>
    <w:rsid w:val="00E83C6B"/>
    <w:rsid w:val="00E840BD"/>
    <w:rsid w:val="00E8432E"/>
    <w:rsid w:val="00E84333"/>
    <w:rsid w:val="00E8567B"/>
    <w:rsid w:val="00E8747D"/>
    <w:rsid w:val="00E87F1B"/>
    <w:rsid w:val="00E87FB9"/>
    <w:rsid w:val="00E90184"/>
    <w:rsid w:val="00E9085D"/>
    <w:rsid w:val="00E90CCA"/>
    <w:rsid w:val="00E9134B"/>
    <w:rsid w:val="00E914F2"/>
    <w:rsid w:val="00E91576"/>
    <w:rsid w:val="00E91752"/>
    <w:rsid w:val="00E922DA"/>
    <w:rsid w:val="00E92770"/>
    <w:rsid w:val="00E9281D"/>
    <w:rsid w:val="00E935DC"/>
    <w:rsid w:val="00E9376A"/>
    <w:rsid w:val="00E93A8D"/>
    <w:rsid w:val="00E93B75"/>
    <w:rsid w:val="00E93ED0"/>
    <w:rsid w:val="00E94B5E"/>
    <w:rsid w:val="00E957D4"/>
    <w:rsid w:val="00E95ABE"/>
    <w:rsid w:val="00E95ED9"/>
    <w:rsid w:val="00E95F85"/>
    <w:rsid w:val="00E961D8"/>
    <w:rsid w:val="00E9691F"/>
    <w:rsid w:val="00E96CAE"/>
    <w:rsid w:val="00E973A9"/>
    <w:rsid w:val="00EA0BED"/>
    <w:rsid w:val="00EA12F1"/>
    <w:rsid w:val="00EA179A"/>
    <w:rsid w:val="00EA374F"/>
    <w:rsid w:val="00EA3969"/>
    <w:rsid w:val="00EA3A31"/>
    <w:rsid w:val="00EA3F73"/>
    <w:rsid w:val="00EA403E"/>
    <w:rsid w:val="00EA42BD"/>
    <w:rsid w:val="00EA5046"/>
    <w:rsid w:val="00EA542E"/>
    <w:rsid w:val="00EA6526"/>
    <w:rsid w:val="00EA6E08"/>
    <w:rsid w:val="00EA7217"/>
    <w:rsid w:val="00EA722A"/>
    <w:rsid w:val="00EA7257"/>
    <w:rsid w:val="00EA745F"/>
    <w:rsid w:val="00EA757E"/>
    <w:rsid w:val="00EA7A57"/>
    <w:rsid w:val="00EA7E0C"/>
    <w:rsid w:val="00EB02C9"/>
    <w:rsid w:val="00EB0F23"/>
    <w:rsid w:val="00EB1825"/>
    <w:rsid w:val="00EB2F69"/>
    <w:rsid w:val="00EB38C9"/>
    <w:rsid w:val="00EB3AC6"/>
    <w:rsid w:val="00EB42B4"/>
    <w:rsid w:val="00EB43D3"/>
    <w:rsid w:val="00EB44A7"/>
    <w:rsid w:val="00EB454C"/>
    <w:rsid w:val="00EB5608"/>
    <w:rsid w:val="00EB571D"/>
    <w:rsid w:val="00EB67E2"/>
    <w:rsid w:val="00EB7A43"/>
    <w:rsid w:val="00EC0E33"/>
    <w:rsid w:val="00EC1696"/>
    <w:rsid w:val="00EC2204"/>
    <w:rsid w:val="00EC27C5"/>
    <w:rsid w:val="00EC2D39"/>
    <w:rsid w:val="00EC3B6B"/>
    <w:rsid w:val="00EC3C2C"/>
    <w:rsid w:val="00EC3D5A"/>
    <w:rsid w:val="00EC4202"/>
    <w:rsid w:val="00EC4E81"/>
    <w:rsid w:val="00EC5248"/>
    <w:rsid w:val="00EC53A3"/>
    <w:rsid w:val="00EC5A41"/>
    <w:rsid w:val="00EC5F38"/>
    <w:rsid w:val="00EC62CC"/>
    <w:rsid w:val="00EC6F72"/>
    <w:rsid w:val="00EC761A"/>
    <w:rsid w:val="00EC7BA0"/>
    <w:rsid w:val="00EC7CEE"/>
    <w:rsid w:val="00ED0014"/>
    <w:rsid w:val="00ED054E"/>
    <w:rsid w:val="00ED0DE7"/>
    <w:rsid w:val="00ED0DE9"/>
    <w:rsid w:val="00ED1C3A"/>
    <w:rsid w:val="00ED1CA0"/>
    <w:rsid w:val="00ED1D51"/>
    <w:rsid w:val="00ED2012"/>
    <w:rsid w:val="00ED284E"/>
    <w:rsid w:val="00ED289B"/>
    <w:rsid w:val="00ED30DA"/>
    <w:rsid w:val="00ED3712"/>
    <w:rsid w:val="00ED4545"/>
    <w:rsid w:val="00ED4B89"/>
    <w:rsid w:val="00ED4C50"/>
    <w:rsid w:val="00ED6215"/>
    <w:rsid w:val="00ED63B9"/>
    <w:rsid w:val="00ED690E"/>
    <w:rsid w:val="00ED69BC"/>
    <w:rsid w:val="00ED6C78"/>
    <w:rsid w:val="00ED6FB3"/>
    <w:rsid w:val="00ED7022"/>
    <w:rsid w:val="00ED7246"/>
    <w:rsid w:val="00ED7517"/>
    <w:rsid w:val="00EE013B"/>
    <w:rsid w:val="00EE0B59"/>
    <w:rsid w:val="00EE18C3"/>
    <w:rsid w:val="00EE1C14"/>
    <w:rsid w:val="00EE27B9"/>
    <w:rsid w:val="00EE3B49"/>
    <w:rsid w:val="00EE3D54"/>
    <w:rsid w:val="00EE3F53"/>
    <w:rsid w:val="00EE4966"/>
    <w:rsid w:val="00EE53B1"/>
    <w:rsid w:val="00EE577C"/>
    <w:rsid w:val="00EE6108"/>
    <w:rsid w:val="00EE610D"/>
    <w:rsid w:val="00EE67BE"/>
    <w:rsid w:val="00EE6E71"/>
    <w:rsid w:val="00EE7BDF"/>
    <w:rsid w:val="00EF04BA"/>
    <w:rsid w:val="00EF1672"/>
    <w:rsid w:val="00EF1CDC"/>
    <w:rsid w:val="00EF2E78"/>
    <w:rsid w:val="00EF2E83"/>
    <w:rsid w:val="00EF35BD"/>
    <w:rsid w:val="00EF3B08"/>
    <w:rsid w:val="00EF4468"/>
    <w:rsid w:val="00EF44F0"/>
    <w:rsid w:val="00EF493C"/>
    <w:rsid w:val="00EF4D5C"/>
    <w:rsid w:val="00EF5BE5"/>
    <w:rsid w:val="00EF5CC5"/>
    <w:rsid w:val="00EF6FCB"/>
    <w:rsid w:val="00EF726A"/>
    <w:rsid w:val="00EF7495"/>
    <w:rsid w:val="00EF7C26"/>
    <w:rsid w:val="00EF7C7D"/>
    <w:rsid w:val="00EF7F47"/>
    <w:rsid w:val="00EF7FBC"/>
    <w:rsid w:val="00F018B8"/>
    <w:rsid w:val="00F01A77"/>
    <w:rsid w:val="00F01BA5"/>
    <w:rsid w:val="00F0229D"/>
    <w:rsid w:val="00F02756"/>
    <w:rsid w:val="00F02C39"/>
    <w:rsid w:val="00F02CF1"/>
    <w:rsid w:val="00F0391F"/>
    <w:rsid w:val="00F03B3D"/>
    <w:rsid w:val="00F04DAB"/>
    <w:rsid w:val="00F05533"/>
    <w:rsid w:val="00F05D25"/>
    <w:rsid w:val="00F061BD"/>
    <w:rsid w:val="00F068F4"/>
    <w:rsid w:val="00F0744B"/>
    <w:rsid w:val="00F079FF"/>
    <w:rsid w:val="00F07AAA"/>
    <w:rsid w:val="00F07CC9"/>
    <w:rsid w:val="00F103C2"/>
    <w:rsid w:val="00F10486"/>
    <w:rsid w:val="00F1048D"/>
    <w:rsid w:val="00F10A9C"/>
    <w:rsid w:val="00F10F54"/>
    <w:rsid w:val="00F120CB"/>
    <w:rsid w:val="00F12528"/>
    <w:rsid w:val="00F12E13"/>
    <w:rsid w:val="00F132A1"/>
    <w:rsid w:val="00F13586"/>
    <w:rsid w:val="00F14317"/>
    <w:rsid w:val="00F14D72"/>
    <w:rsid w:val="00F14DF5"/>
    <w:rsid w:val="00F15C48"/>
    <w:rsid w:val="00F15E9E"/>
    <w:rsid w:val="00F16517"/>
    <w:rsid w:val="00F16789"/>
    <w:rsid w:val="00F16AD4"/>
    <w:rsid w:val="00F175F2"/>
    <w:rsid w:val="00F17997"/>
    <w:rsid w:val="00F2061A"/>
    <w:rsid w:val="00F20EC6"/>
    <w:rsid w:val="00F2100C"/>
    <w:rsid w:val="00F21016"/>
    <w:rsid w:val="00F212B2"/>
    <w:rsid w:val="00F21A4C"/>
    <w:rsid w:val="00F21E4D"/>
    <w:rsid w:val="00F22732"/>
    <w:rsid w:val="00F22A31"/>
    <w:rsid w:val="00F22F2D"/>
    <w:rsid w:val="00F22FEB"/>
    <w:rsid w:val="00F230E1"/>
    <w:rsid w:val="00F2369E"/>
    <w:rsid w:val="00F23F3B"/>
    <w:rsid w:val="00F24A65"/>
    <w:rsid w:val="00F253CD"/>
    <w:rsid w:val="00F25753"/>
    <w:rsid w:val="00F25D39"/>
    <w:rsid w:val="00F25DCA"/>
    <w:rsid w:val="00F27174"/>
    <w:rsid w:val="00F27193"/>
    <w:rsid w:val="00F274AD"/>
    <w:rsid w:val="00F274D5"/>
    <w:rsid w:val="00F30793"/>
    <w:rsid w:val="00F312DA"/>
    <w:rsid w:val="00F3172B"/>
    <w:rsid w:val="00F31EF8"/>
    <w:rsid w:val="00F3269E"/>
    <w:rsid w:val="00F3291B"/>
    <w:rsid w:val="00F32C02"/>
    <w:rsid w:val="00F3358B"/>
    <w:rsid w:val="00F33EF7"/>
    <w:rsid w:val="00F3447A"/>
    <w:rsid w:val="00F34680"/>
    <w:rsid w:val="00F34B9F"/>
    <w:rsid w:val="00F35485"/>
    <w:rsid w:val="00F354BF"/>
    <w:rsid w:val="00F3555F"/>
    <w:rsid w:val="00F356B4"/>
    <w:rsid w:val="00F3571E"/>
    <w:rsid w:val="00F35E93"/>
    <w:rsid w:val="00F3639A"/>
    <w:rsid w:val="00F368F1"/>
    <w:rsid w:val="00F36A2F"/>
    <w:rsid w:val="00F378EB"/>
    <w:rsid w:val="00F37E22"/>
    <w:rsid w:val="00F40820"/>
    <w:rsid w:val="00F40A0A"/>
    <w:rsid w:val="00F417AF"/>
    <w:rsid w:val="00F418EE"/>
    <w:rsid w:val="00F41C0A"/>
    <w:rsid w:val="00F41C96"/>
    <w:rsid w:val="00F42300"/>
    <w:rsid w:val="00F426BC"/>
    <w:rsid w:val="00F43700"/>
    <w:rsid w:val="00F43ACC"/>
    <w:rsid w:val="00F44199"/>
    <w:rsid w:val="00F4579A"/>
    <w:rsid w:val="00F45A80"/>
    <w:rsid w:val="00F45D9D"/>
    <w:rsid w:val="00F4622E"/>
    <w:rsid w:val="00F46446"/>
    <w:rsid w:val="00F46C7E"/>
    <w:rsid w:val="00F47815"/>
    <w:rsid w:val="00F50276"/>
    <w:rsid w:val="00F509B6"/>
    <w:rsid w:val="00F50C72"/>
    <w:rsid w:val="00F50D6F"/>
    <w:rsid w:val="00F51240"/>
    <w:rsid w:val="00F52380"/>
    <w:rsid w:val="00F52410"/>
    <w:rsid w:val="00F52960"/>
    <w:rsid w:val="00F52C83"/>
    <w:rsid w:val="00F5338D"/>
    <w:rsid w:val="00F537B3"/>
    <w:rsid w:val="00F53FA4"/>
    <w:rsid w:val="00F540A6"/>
    <w:rsid w:val="00F542FF"/>
    <w:rsid w:val="00F544FB"/>
    <w:rsid w:val="00F547B8"/>
    <w:rsid w:val="00F55870"/>
    <w:rsid w:val="00F56179"/>
    <w:rsid w:val="00F57625"/>
    <w:rsid w:val="00F57713"/>
    <w:rsid w:val="00F57A0B"/>
    <w:rsid w:val="00F608B3"/>
    <w:rsid w:val="00F608BD"/>
    <w:rsid w:val="00F60971"/>
    <w:rsid w:val="00F618A1"/>
    <w:rsid w:val="00F61D7B"/>
    <w:rsid w:val="00F61DBF"/>
    <w:rsid w:val="00F6217D"/>
    <w:rsid w:val="00F6221E"/>
    <w:rsid w:val="00F62741"/>
    <w:rsid w:val="00F62BA5"/>
    <w:rsid w:val="00F62D46"/>
    <w:rsid w:val="00F632AD"/>
    <w:rsid w:val="00F63380"/>
    <w:rsid w:val="00F637A9"/>
    <w:rsid w:val="00F63A8E"/>
    <w:rsid w:val="00F6477A"/>
    <w:rsid w:val="00F66220"/>
    <w:rsid w:val="00F70087"/>
    <w:rsid w:val="00F7015C"/>
    <w:rsid w:val="00F707A8"/>
    <w:rsid w:val="00F709D8"/>
    <w:rsid w:val="00F70F34"/>
    <w:rsid w:val="00F71BA7"/>
    <w:rsid w:val="00F7270C"/>
    <w:rsid w:val="00F7296F"/>
    <w:rsid w:val="00F7302B"/>
    <w:rsid w:val="00F73418"/>
    <w:rsid w:val="00F73A09"/>
    <w:rsid w:val="00F74119"/>
    <w:rsid w:val="00F74223"/>
    <w:rsid w:val="00F74351"/>
    <w:rsid w:val="00F743A9"/>
    <w:rsid w:val="00F752D1"/>
    <w:rsid w:val="00F758EB"/>
    <w:rsid w:val="00F75B45"/>
    <w:rsid w:val="00F7690F"/>
    <w:rsid w:val="00F76B62"/>
    <w:rsid w:val="00F777DB"/>
    <w:rsid w:val="00F777F3"/>
    <w:rsid w:val="00F802D3"/>
    <w:rsid w:val="00F809AB"/>
    <w:rsid w:val="00F8165F"/>
    <w:rsid w:val="00F822D5"/>
    <w:rsid w:val="00F823E6"/>
    <w:rsid w:val="00F82EA2"/>
    <w:rsid w:val="00F840FC"/>
    <w:rsid w:val="00F84657"/>
    <w:rsid w:val="00F84666"/>
    <w:rsid w:val="00F849B5"/>
    <w:rsid w:val="00F8546B"/>
    <w:rsid w:val="00F8551E"/>
    <w:rsid w:val="00F85563"/>
    <w:rsid w:val="00F8567E"/>
    <w:rsid w:val="00F857C6"/>
    <w:rsid w:val="00F85A15"/>
    <w:rsid w:val="00F85C58"/>
    <w:rsid w:val="00F85E05"/>
    <w:rsid w:val="00F861C2"/>
    <w:rsid w:val="00F86569"/>
    <w:rsid w:val="00F8669B"/>
    <w:rsid w:val="00F871A3"/>
    <w:rsid w:val="00F878D9"/>
    <w:rsid w:val="00F87DE8"/>
    <w:rsid w:val="00F90649"/>
    <w:rsid w:val="00F907C2"/>
    <w:rsid w:val="00F91158"/>
    <w:rsid w:val="00F91751"/>
    <w:rsid w:val="00F91D6A"/>
    <w:rsid w:val="00F93747"/>
    <w:rsid w:val="00F94547"/>
    <w:rsid w:val="00F946E2"/>
    <w:rsid w:val="00F952BE"/>
    <w:rsid w:val="00F959BC"/>
    <w:rsid w:val="00F959D3"/>
    <w:rsid w:val="00F95B1E"/>
    <w:rsid w:val="00F95E64"/>
    <w:rsid w:val="00F96011"/>
    <w:rsid w:val="00F962DD"/>
    <w:rsid w:val="00F96B0E"/>
    <w:rsid w:val="00F96F61"/>
    <w:rsid w:val="00F970A5"/>
    <w:rsid w:val="00F97123"/>
    <w:rsid w:val="00F97971"/>
    <w:rsid w:val="00FA00D7"/>
    <w:rsid w:val="00FA08A7"/>
    <w:rsid w:val="00FA0A12"/>
    <w:rsid w:val="00FA0C37"/>
    <w:rsid w:val="00FA10C5"/>
    <w:rsid w:val="00FA1EFA"/>
    <w:rsid w:val="00FA22A2"/>
    <w:rsid w:val="00FA2534"/>
    <w:rsid w:val="00FA2AD5"/>
    <w:rsid w:val="00FA38B4"/>
    <w:rsid w:val="00FA422C"/>
    <w:rsid w:val="00FA4DD9"/>
    <w:rsid w:val="00FA4F71"/>
    <w:rsid w:val="00FA5109"/>
    <w:rsid w:val="00FA5282"/>
    <w:rsid w:val="00FA5764"/>
    <w:rsid w:val="00FA5B89"/>
    <w:rsid w:val="00FA5E7A"/>
    <w:rsid w:val="00FA60E7"/>
    <w:rsid w:val="00FA6136"/>
    <w:rsid w:val="00FA642F"/>
    <w:rsid w:val="00FA6AFC"/>
    <w:rsid w:val="00FA6EAA"/>
    <w:rsid w:val="00FA7189"/>
    <w:rsid w:val="00FA72A1"/>
    <w:rsid w:val="00FA76F2"/>
    <w:rsid w:val="00FA77FF"/>
    <w:rsid w:val="00FB1030"/>
    <w:rsid w:val="00FB1BF6"/>
    <w:rsid w:val="00FB203B"/>
    <w:rsid w:val="00FB2077"/>
    <w:rsid w:val="00FB2471"/>
    <w:rsid w:val="00FB26BA"/>
    <w:rsid w:val="00FB2715"/>
    <w:rsid w:val="00FB2763"/>
    <w:rsid w:val="00FB2778"/>
    <w:rsid w:val="00FB302C"/>
    <w:rsid w:val="00FB3287"/>
    <w:rsid w:val="00FB33CB"/>
    <w:rsid w:val="00FB3C08"/>
    <w:rsid w:val="00FB3D81"/>
    <w:rsid w:val="00FB40AA"/>
    <w:rsid w:val="00FB4D8B"/>
    <w:rsid w:val="00FB52D1"/>
    <w:rsid w:val="00FB55C8"/>
    <w:rsid w:val="00FB6193"/>
    <w:rsid w:val="00FB6530"/>
    <w:rsid w:val="00FC0426"/>
    <w:rsid w:val="00FC04A8"/>
    <w:rsid w:val="00FC04CC"/>
    <w:rsid w:val="00FC08B1"/>
    <w:rsid w:val="00FC0A34"/>
    <w:rsid w:val="00FC0D94"/>
    <w:rsid w:val="00FC0F4E"/>
    <w:rsid w:val="00FC1221"/>
    <w:rsid w:val="00FC17D5"/>
    <w:rsid w:val="00FC1C65"/>
    <w:rsid w:val="00FC20EE"/>
    <w:rsid w:val="00FC29D1"/>
    <w:rsid w:val="00FC2B74"/>
    <w:rsid w:val="00FC2BD9"/>
    <w:rsid w:val="00FC37A5"/>
    <w:rsid w:val="00FC3BDD"/>
    <w:rsid w:val="00FC4046"/>
    <w:rsid w:val="00FC4572"/>
    <w:rsid w:val="00FC497A"/>
    <w:rsid w:val="00FC4C0D"/>
    <w:rsid w:val="00FC4EDA"/>
    <w:rsid w:val="00FC4EF6"/>
    <w:rsid w:val="00FC5720"/>
    <w:rsid w:val="00FC586D"/>
    <w:rsid w:val="00FC6328"/>
    <w:rsid w:val="00FC6407"/>
    <w:rsid w:val="00FC6AD8"/>
    <w:rsid w:val="00FC6B39"/>
    <w:rsid w:val="00FC7433"/>
    <w:rsid w:val="00FD0072"/>
    <w:rsid w:val="00FD0B42"/>
    <w:rsid w:val="00FD0C49"/>
    <w:rsid w:val="00FD1A1C"/>
    <w:rsid w:val="00FD1C98"/>
    <w:rsid w:val="00FD205F"/>
    <w:rsid w:val="00FD2F43"/>
    <w:rsid w:val="00FD3657"/>
    <w:rsid w:val="00FD38AA"/>
    <w:rsid w:val="00FD3FF3"/>
    <w:rsid w:val="00FD4B1F"/>
    <w:rsid w:val="00FD5074"/>
    <w:rsid w:val="00FD5636"/>
    <w:rsid w:val="00FD5973"/>
    <w:rsid w:val="00FD723B"/>
    <w:rsid w:val="00FD767D"/>
    <w:rsid w:val="00FE03E1"/>
    <w:rsid w:val="00FE0B70"/>
    <w:rsid w:val="00FE10DF"/>
    <w:rsid w:val="00FE1C21"/>
    <w:rsid w:val="00FE2418"/>
    <w:rsid w:val="00FE2DA0"/>
    <w:rsid w:val="00FE4763"/>
    <w:rsid w:val="00FE4B33"/>
    <w:rsid w:val="00FE4B59"/>
    <w:rsid w:val="00FE4ED1"/>
    <w:rsid w:val="00FE51F0"/>
    <w:rsid w:val="00FE628E"/>
    <w:rsid w:val="00FE6372"/>
    <w:rsid w:val="00FE7412"/>
    <w:rsid w:val="00FE7503"/>
    <w:rsid w:val="00FE7A8F"/>
    <w:rsid w:val="00FF0265"/>
    <w:rsid w:val="00FF18AB"/>
    <w:rsid w:val="00FF21CB"/>
    <w:rsid w:val="00FF269F"/>
    <w:rsid w:val="00FF27C5"/>
    <w:rsid w:val="00FF2831"/>
    <w:rsid w:val="00FF29C3"/>
    <w:rsid w:val="00FF2D3D"/>
    <w:rsid w:val="00FF4237"/>
    <w:rsid w:val="00FF4399"/>
    <w:rsid w:val="00FF4764"/>
    <w:rsid w:val="00FF551F"/>
    <w:rsid w:val="00FF56D4"/>
    <w:rsid w:val="00FF599E"/>
    <w:rsid w:val="00FF5E1D"/>
    <w:rsid w:val="00FF6016"/>
    <w:rsid w:val="00FF66F2"/>
    <w:rsid w:val="00FF68DB"/>
    <w:rsid w:val="00FF6BD0"/>
    <w:rsid w:val="00FF76F6"/>
    <w:rsid w:val="00FF77C7"/>
    <w:rsid w:val="00FF7B53"/>
    <w:rsid w:val="00FF7EF4"/>
    <w:rsid w:val="02FC467A"/>
    <w:rsid w:val="05E9124C"/>
    <w:rsid w:val="09A251BE"/>
    <w:rsid w:val="0AFF6910"/>
    <w:rsid w:val="0CCA4BF7"/>
    <w:rsid w:val="0E9D0080"/>
    <w:rsid w:val="134B7B9D"/>
    <w:rsid w:val="136277C2"/>
    <w:rsid w:val="14B316ED"/>
    <w:rsid w:val="14B54BF0"/>
    <w:rsid w:val="1650116C"/>
    <w:rsid w:val="17231F2A"/>
    <w:rsid w:val="18BC1B19"/>
    <w:rsid w:val="191C23CD"/>
    <w:rsid w:val="1A2525EB"/>
    <w:rsid w:val="1F116007"/>
    <w:rsid w:val="1FEF7D16"/>
    <w:rsid w:val="22D51FD7"/>
    <w:rsid w:val="24725458"/>
    <w:rsid w:val="24F561D4"/>
    <w:rsid w:val="256342C6"/>
    <w:rsid w:val="2714330A"/>
    <w:rsid w:val="27286077"/>
    <w:rsid w:val="28020D3B"/>
    <w:rsid w:val="28806E5A"/>
    <w:rsid w:val="2BB94338"/>
    <w:rsid w:val="2D7D4E06"/>
    <w:rsid w:val="2D9F444F"/>
    <w:rsid w:val="2E482BB0"/>
    <w:rsid w:val="314D1FC2"/>
    <w:rsid w:val="31882CB0"/>
    <w:rsid w:val="319B0C0D"/>
    <w:rsid w:val="325A45DB"/>
    <w:rsid w:val="34724B56"/>
    <w:rsid w:val="35081478"/>
    <w:rsid w:val="35BE34D1"/>
    <w:rsid w:val="389E0CBF"/>
    <w:rsid w:val="3CF478A7"/>
    <w:rsid w:val="3EA63989"/>
    <w:rsid w:val="43890254"/>
    <w:rsid w:val="4C541A19"/>
    <w:rsid w:val="50EC1CBA"/>
    <w:rsid w:val="552C0799"/>
    <w:rsid w:val="580E3DB1"/>
    <w:rsid w:val="5B893D73"/>
    <w:rsid w:val="5ED64DB4"/>
    <w:rsid w:val="5F6D392A"/>
    <w:rsid w:val="65325CA7"/>
    <w:rsid w:val="6BBA3A44"/>
    <w:rsid w:val="6C8171B0"/>
    <w:rsid w:val="6D282DC7"/>
    <w:rsid w:val="6E82345C"/>
    <w:rsid w:val="71852649"/>
    <w:rsid w:val="74162912"/>
    <w:rsid w:val="74D14B46"/>
    <w:rsid w:val="76F6344A"/>
    <w:rsid w:val="7CAE2922"/>
    <w:rsid w:val="7E0021F5"/>
    <w:rsid w:val="7E966BAD"/>
    <w:rsid w:val="7EA149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235"/>
        <o:r id="V:Rule2" type="connector" idref="#_x0000_s1237"/>
        <o:r id="V:Rule3" type="connector" idref="#_x0000_s1239"/>
        <o:r id="V:Rule4" type="connector" idref="#_x0000_s1243"/>
        <o:r id="V:Rule5" type="connector" idref="#_x0000_s1246"/>
        <o:r id="V:Rule6" type="connector" idref="#_x0000_s1248"/>
        <o:r id="V:Rule7" type="connector" idref="#_x0000_s1249"/>
        <o:r id="V:Rule8" type="connector" idref="#_x0000_s12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9"/>
    <w:pPr>
      <w:keepNext/>
      <w:pageBreakBefore/>
      <w:tabs>
        <w:tab w:val="left" w:pos="1080"/>
      </w:tabs>
      <w:spacing w:before="340" w:after="330" w:line="578" w:lineRule="auto"/>
      <w:ind w:left="432" w:hanging="432"/>
      <w:jc w:val="center"/>
      <w:outlineLvl w:val="0"/>
    </w:pPr>
    <w:rPr>
      <w:rFonts w:eastAsia="黑体"/>
      <w:b/>
      <w:kern w:val="44"/>
      <w:sz w:val="36"/>
      <w:szCs w:val="20"/>
    </w:rPr>
  </w:style>
  <w:style w:type="paragraph" w:styleId="5">
    <w:name w:val="heading 2"/>
    <w:basedOn w:val="1"/>
    <w:next w:val="6"/>
    <w:link w:val="38"/>
    <w:qFormat/>
    <w:uiPriority w:val="99"/>
    <w:pPr>
      <w:keepNext/>
      <w:keepLines/>
      <w:tabs>
        <w:tab w:val="left" w:pos="576"/>
      </w:tabs>
      <w:spacing w:before="260" w:line="415" w:lineRule="auto"/>
      <w:ind w:left="576" w:hanging="576"/>
      <w:outlineLvl w:val="1"/>
    </w:pPr>
    <w:rPr>
      <w:b/>
      <w:sz w:val="28"/>
      <w:szCs w:val="20"/>
    </w:rPr>
  </w:style>
  <w:style w:type="paragraph" w:styleId="7">
    <w:name w:val="heading 3"/>
    <w:basedOn w:val="1"/>
    <w:next w:val="6"/>
    <w:link w:val="39"/>
    <w:qFormat/>
    <w:uiPriority w:val="99"/>
    <w:pPr>
      <w:keepNext/>
      <w:keepLines/>
      <w:tabs>
        <w:tab w:val="left" w:pos="720"/>
      </w:tabs>
      <w:spacing w:before="120" w:after="120" w:line="415" w:lineRule="auto"/>
      <w:ind w:left="720" w:hanging="720"/>
      <w:outlineLvl w:val="2"/>
    </w:pPr>
    <w:rPr>
      <w:b/>
      <w:sz w:val="28"/>
      <w:szCs w:val="20"/>
    </w:rPr>
  </w:style>
  <w:style w:type="paragraph" w:styleId="8">
    <w:name w:val="heading 4"/>
    <w:basedOn w:val="1"/>
    <w:next w:val="6"/>
    <w:link w:val="40"/>
    <w:qFormat/>
    <w:uiPriority w:val="99"/>
    <w:pPr>
      <w:keepNext/>
      <w:keepLines/>
      <w:adjustRightInd w:val="0"/>
      <w:snapToGrid w:val="0"/>
      <w:textAlignment w:val="baseline"/>
      <w:outlineLvl w:val="3"/>
    </w:pPr>
    <w:rPr>
      <w:rFonts w:ascii="黑体" w:eastAsia="黑体"/>
      <w:b/>
      <w:kern w:val="0"/>
      <w:sz w:val="28"/>
    </w:rPr>
  </w:style>
  <w:style w:type="paragraph" w:styleId="9">
    <w:name w:val="heading 5"/>
    <w:basedOn w:val="1"/>
    <w:next w:val="6"/>
    <w:link w:val="41"/>
    <w:qFormat/>
    <w:uiPriority w:val="99"/>
    <w:pPr>
      <w:keepNext/>
      <w:keepLines/>
      <w:tabs>
        <w:tab w:val="left" w:pos="1440"/>
      </w:tabs>
      <w:spacing w:before="280" w:after="290" w:line="376" w:lineRule="auto"/>
      <w:ind w:left="1008" w:hanging="1008"/>
      <w:outlineLvl w:val="4"/>
    </w:pPr>
    <w:rPr>
      <w:b/>
      <w:sz w:val="28"/>
      <w:szCs w:val="20"/>
    </w:rPr>
  </w:style>
  <w:style w:type="paragraph" w:styleId="10">
    <w:name w:val="heading 6"/>
    <w:basedOn w:val="1"/>
    <w:next w:val="6"/>
    <w:link w:val="42"/>
    <w:qFormat/>
    <w:uiPriority w:val="99"/>
    <w:pPr>
      <w:keepNext/>
      <w:keepLines/>
      <w:tabs>
        <w:tab w:val="left" w:pos="1800"/>
      </w:tabs>
      <w:spacing w:before="240" w:after="64" w:line="320" w:lineRule="auto"/>
      <w:ind w:left="1152" w:hanging="1152"/>
      <w:outlineLvl w:val="5"/>
    </w:pPr>
    <w:rPr>
      <w:rFonts w:ascii="Arial" w:hAnsi="Arial" w:eastAsia="黑体"/>
      <w:b/>
      <w:sz w:val="24"/>
      <w:szCs w:val="20"/>
    </w:rPr>
  </w:style>
  <w:style w:type="paragraph" w:styleId="11">
    <w:name w:val="heading 7"/>
    <w:basedOn w:val="1"/>
    <w:next w:val="6"/>
    <w:link w:val="43"/>
    <w:qFormat/>
    <w:uiPriority w:val="99"/>
    <w:pPr>
      <w:keepNext/>
      <w:keepLines/>
      <w:tabs>
        <w:tab w:val="left" w:pos="1800"/>
      </w:tabs>
      <w:spacing w:before="240" w:after="64" w:line="320" w:lineRule="auto"/>
      <w:ind w:left="1296" w:hanging="1296"/>
      <w:outlineLvl w:val="6"/>
    </w:pPr>
    <w:rPr>
      <w:b/>
      <w:sz w:val="24"/>
      <w:szCs w:val="20"/>
    </w:rPr>
  </w:style>
  <w:style w:type="paragraph" w:styleId="12">
    <w:name w:val="heading 8"/>
    <w:basedOn w:val="1"/>
    <w:next w:val="6"/>
    <w:link w:val="44"/>
    <w:qFormat/>
    <w:uiPriority w:val="99"/>
    <w:pPr>
      <w:keepNext/>
      <w:keepLines/>
      <w:tabs>
        <w:tab w:val="left" w:pos="2160"/>
      </w:tabs>
      <w:spacing w:before="240" w:after="64" w:line="320" w:lineRule="auto"/>
      <w:ind w:left="1440" w:hanging="1440"/>
      <w:outlineLvl w:val="7"/>
    </w:pPr>
    <w:rPr>
      <w:rFonts w:ascii="Arial" w:hAnsi="Arial" w:eastAsia="黑体"/>
      <w:sz w:val="24"/>
      <w:szCs w:val="20"/>
    </w:rPr>
  </w:style>
  <w:style w:type="paragraph" w:styleId="13">
    <w:name w:val="heading 9"/>
    <w:basedOn w:val="1"/>
    <w:next w:val="6"/>
    <w:link w:val="45"/>
    <w:qFormat/>
    <w:uiPriority w:val="99"/>
    <w:pPr>
      <w:keepNext/>
      <w:keepLines/>
      <w:tabs>
        <w:tab w:val="left" w:pos="2520"/>
      </w:tabs>
      <w:spacing w:before="240" w:after="64" w:line="320" w:lineRule="auto"/>
      <w:ind w:left="1584" w:hanging="1584"/>
      <w:outlineLvl w:val="8"/>
    </w:pPr>
    <w:rPr>
      <w:rFonts w:ascii="Arial" w:hAnsi="Arial" w:eastAsia="黑体"/>
      <w:sz w:val="28"/>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link w:val="50"/>
    <w:qFormat/>
    <w:uiPriority w:val="99"/>
    <w:pPr>
      <w:ind w:firstLine="560" w:firstLineChars="200"/>
      <w:jc w:val="left"/>
    </w:pPr>
    <w:rPr>
      <w:sz w:val="28"/>
    </w:rPr>
  </w:style>
  <w:style w:type="paragraph" w:styleId="6">
    <w:name w:val="Normal Indent"/>
    <w:basedOn w:val="1"/>
    <w:link w:val="65"/>
    <w:qFormat/>
    <w:uiPriority w:val="99"/>
    <w:pPr>
      <w:ind w:firstLine="420" w:firstLineChars="200"/>
    </w:pPr>
    <w:rPr>
      <w:sz w:val="24"/>
      <w:szCs w:val="20"/>
    </w:rPr>
  </w:style>
  <w:style w:type="paragraph" w:styleId="14">
    <w:name w:val="caption"/>
    <w:basedOn w:val="1"/>
    <w:next w:val="1"/>
    <w:qFormat/>
    <w:uiPriority w:val="99"/>
    <w:rPr>
      <w:rFonts w:ascii="Arial" w:hAnsi="Arial" w:eastAsia="黑体"/>
      <w:sz w:val="20"/>
      <w:szCs w:val="20"/>
    </w:rPr>
  </w:style>
  <w:style w:type="paragraph" w:styleId="15">
    <w:name w:val="annotation text"/>
    <w:basedOn w:val="1"/>
    <w:link w:val="46"/>
    <w:semiHidden/>
    <w:qFormat/>
    <w:uiPriority w:val="99"/>
    <w:pPr>
      <w:jc w:val="left"/>
    </w:pPr>
  </w:style>
  <w:style w:type="paragraph" w:styleId="16">
    <w:name w:val="Body Text"/>
    <w:basedOn w:val="1"/>
    <w:link w:val="48"/>
    <w:qFormat/>
    <w:uiPriority w:val="99"/>
    <w:pPr>
      <w:spacing w:after="120"/>
    </w:pPr>
    <w:rPr>
      <w:szCs w:val="20"/>
    </w:rPr>
  </w:style>
  <w:style w:type="paragraph" w:styleId="17">
    <w:name w:val="Plain Text"/>
    <w:basedOn w:val="1"/>
    <w:link w:val="51"/>
    <w:qFormat/>
    <w:uiPriority w:val="99"/>
    <w:rPr>
      <w:rFonts w:ascii="宋体" w:hAnsi="Courier New"/>
      <w:szCs w:val="20"/>
    </w:rPr>
  </w:style>
  <w:style w:type="paragraph" w:styleId="18">
    <w:name w:val="Date"/>
    <w:basedOn w:val="1"/>
    <w:next w:val="1"/>
    <w:link w:val="52"/>
    <w:qFormat/>
    <w:uiPriority w:val="99"/>
    <w:pPr>
      <w:adjustRightInd w:val="0"/>
      <w:textAlignment w:val="baseline"/>
    </w:pPr>
    <w:rPr>
      <w:sz w:val="24"/>
      <w:szCs w:val="20"/>
    </w:rPr>
  </w:style>
  <w:style w:type="paragraph" w:styleId="19">
    <w:name w:val="Body Text Indent 2"/>
    <w:basedOn w:val="1"/>
    <w:link w:val="53"/>
    <w:qFormat/>
    <w:uiPriority w:val="99"/>
    <w:pPr>
      <w:ind w:firstLine="560" w:firstLineChars="200"/>
    </w:pPr>
    <w:rPr>
      <w:bCs/>
      <w:sz w:val="28"/>
    </w:rPr>
  </w:style>
  <w:style w:type="paragraph" w:styleId="20">
    <w:name w:val="Balloon Text"/>
    <w:basedOn w:val="1"/>
    <w:link w:val="54"/>
    <w:semiHidden/>
    <w:qFormat/>
    <w:uiPriority w:val="99"/>
    <w:rPr>
      <w:sz w:val="18"/>
      <w:szCs w:val="18"/>
    </w:rPr>
  </w:style>
  <w:style w:type="paragraph" w:styleId="21">
    <w:name w:val="footer"/>
    <w:basedOn w:val="1"/>
    <w:link w:val="55"/>
    <w:qFormat/>
    <w:uiPriority w:val="99"/>
    <w:pPr>
      <w:tabs>
        <w:tab w:val="center" w:pos="4153"/>
        <w:tab w:val="right" w:pos="8306"/>
      </w:tabs>
      <w:snapToGrid w:val="0"/>
      <w:jc w:val="left"/>
    </w:pPr>
    <w:rPr>
      <w:sz w:val="18"/>
    </w:rPr>
  </w:style>
  <w:style w:type="paragraph" w:styleId="22">
    <w:name w:val="header"/>
    <w:basedOn w:val="1"/>
    <w:link w:val="56"/>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99"/>
    <w:pPr>
      <w:tabs>
        <w:tab w:val="left" w:pos="5760"/>
      </w:tabs>
      <w:adjustRightInd w:val="0"/>
      <w:snapToGrid w:val="0"/>
      <w:jc w:val="center"/>
    </w:pPr>
    <w:rPr>
      <w:rFonts w:ascii="宋体" w:hAnsi="宋体"/>
      <w:sz w:val="24"/>
      <w:szCs w:val="20"/>
    </w:rPr>
  </w:style>
  <w:style w:type="paragraph" w:styleId="24">
    <w:name w:val="Body Text Indent 3"/>
    <w:basedOn w:val="1"/>
    <w:link w:val="57"/>
    <w:qFormat/>
    <w:uiPriority w:val="99"/>
    <w:pPr>
      <w:spacing w:after="120"/>
      <w:ind w:left="420" w:leftChars="200"/>
    </w:pPr>
    <w:rPr>
      <w:sz w:val="16"/>
      <w:szCs w:val="16"/>
    </w:rPr>
  </w:style>
  <w:style w:type="paragraph" w:styleId="25">
    <w:name w:val="Body Text 2"/>
    <w:basedOn w:val="1"/>
    <w:link w:val="58"/>
    <w:qFormat/>
    <w:uiPriority w:val="99"/>
    <w:pPr>
      <w:spacing w:after="120" w:line="480" w:lineRule="auto"/>
    </w:pPr>
  </w:style>
  <w:style w:type="paragraph" w:styleId="26">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8">
    <w:name w:val="annotation subject"/>
    <w:basedOn w:val="15"/>
    <w:next w:val="15"/>
    <w:link w:val="47"/>
    <w:semiHidden/>
    <w:qFormat/>
    <w:uiPriority w:val="99"/>
    <w:rPr>
      <w:b/>
      <w:bCs/>
    </w:rPr>
  </w:style>
  <w:style w:type="paragraph" w:styleId="29">
    <w:name w:val="Body Text First Indent"/>
    <w:basedOn w:val="16"/>
    <w:link w:val="49"/>
    <w:qFormat/>
    <w:uiPriority w:val="99"/>
    <w:pPr>
      <w:ind w:firstLine="420" w:firstLineChars="100"/>
    </w:p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3">
    <w:name w:val="Strong"/>
    <w:qFormat/>
    <w:uiPriority w:val="99"/>
    <w:rPr>
      <w:rFonts w:cs="Times New Roman"/>
      <w:b/>
    </w:rPr>
  </w:style>
  <w:style w:type="character" w:styleId="34">
    <w:name w:val="page number"/>
    <w:qFormat/>
    <w:uiPriority w:val="99"/>
    <w:rPr>
      <w:rFonts w:cs="Times New Roman"/>
    </w:rPr>
  </w:style>
  <w:style w:type="character" w:styleId="35">
    <w:name w:val="Hyperlink"/>
    <w:qFormat/>
    <w:uiPriority w:val="99"/>
    <w:rPr>
      <w:rFonts w:cs="Times New Roman"/>
      <w:color w:val="0000CC"/>
      <w:u w:val="single"/>
    </w:rPr>
  </w:style>
  <w:style w:type="character" w:styleId="36">
    <w:name w:val="annotation reference"/>
    <w:semiHidden/>
    <w:qFormat/>
    <w:uiPriority w:val="99"/>
    <w:rPr>
      <w:rFonts w:cs="Times New Roman"/>
      <w:sz w:val="21"/>
    </w:rPr>
  </w:style>
  <w:style w:type="character" w:customStyle="1" w:styleId="37">
    <w:name w:val="标题 1 Char"/>
    <w:link w:val="4"/>
    <w:qFormat/>
    <w:uiPriority w:val="9"/>
    <w:rPr>
      <w:b/>
      <w:bCs/>
      <w:kern w:val="44"/>
      <w:sz w:val="44"/>
      <w:szCs w:val="44"/>
    </w:rPr>
  </w:style>
  <w:style w:type="character" w:customStyle="1" w:styleId="38">
    <w:name w:val="标题 2 Char"/>
    <w:link w:val="5"/>
    <w:semiHidden/>
    <w:qFormat/>
    <w:uiPriority w:val="9"/>
    <w:rPr>
      <w:rFonts w:ascii="Cambria" w:hAnsi="Cambria" w:eastAsia="宋体" w:cs="Times New Roman"/>
      <w:b/>
      <w:bCs/>
      <w:sz w:val="32"/>
      <w:szCs w:val="32"/>
    </w:rPr>
  </w:style>
  <w:style w:type="character" w:customStyle="1" w:styleId="39">
    <w:name w:val="标题 3 Char"/>
    <w:link w:val="7"/>
    <w:semiHidden/>
    <w:qFormat/>
    <w:uiPriority w:val="9"/>
    <w:rPr>
      <w:b/>
      <w:bCs/>
      <w:sz w:val="32"/>
      <w:szCs w:val="32"/>
    </w:rPr>
  </w:style>
  <w:style w:type="character" w:customStyle="1" w:styleId="40">
    <w:name w:val="标题 4 Char"/>
    <w:link w:val="8"/>
    <w:semiHidden/>
    <w:qFormat/>
    <w:uiPriority w:val="9"/>
    <w:rPr>
      <w:rFonts w:ascii="Cambria" w:hAnsi="Cambria" w:eastAsia="宋体" w:cs="Times New Roman"/>
      <w:b/>
      <w:bCs/>
      <w:sz w:val="28"/>
      <w:szCs w:val="28"/>
    </w:rPr>
  </w:style>
  <w:style w:type="character" w:customStyle="1" w:styleId="41">
    <w:name w:val="标题 5 Char"/>
    <w:link w:val="9"/>
    <w:semiHidden/>
    <w:qFormat/>
    <w:uiPriority w:val="9"/>
    <w:rPr>
      <w:b/>
      <w:bCs/>
      <w:sz w:val="28"/>
      <w:szCs w:val="28"/>
    </w:rPr>
  </w:style>
  <w:style w:type="character" w:customStyle="1" w:styleId="42">
    <w:name w:val="标题 6 Char"/>
    <w:link w:val="10"/>
    <w:semiHidden/>
    <w:qFormat/>
    <w:uiPriority w:val="9"/>
    <w:rPr>
      <w:rFonts w:ascii="Cambria" w:hAnsi="Cambria" w:eastAsia="宋体" w:cs="Times New Roman"/>
      <w:b/>
      <w:bCs/>
      <w:sz w:val="24"/>
      <w:szCs w:val="24"/>
    </w:rPr>
  </w:style>
  <w:style w:type="character" w:customStyle="1" w:styleId="43">
    <w:name w:val="标题 7 Char"/>
    <w:link w:val="11"/>
    <w:semiHidden/>
    <w:qFormat/>
    <w:uiPriority w:val="9"/>
    <w:rPr>
      <w:b/>
      <w:bCs/>
      <w:sz w:val="24"/>
      <w:szCs w:val="24"/>
    </w:rPr>
  </w:style>
  <w:style w:type="character" w:customStyle="1" w:styleId="44">
    <w:name w:val="标题 8 Char"/>
    <w:link w:val="12"/>
    <w:semiHidden/>
    <w:qFormat/>
    <w:uiPriority w:val="9"/>
    <w:rPr>
      <w:rFonts w:ascii="Cambria" w:hAnsi="Cambria" w:eastAsia="宋体" w:cs="Times New Roman"/>
      <w:sz w:val="24"/>
      <w:szCs w:val="24"/>
    </w:rPr>
  </w:style>
  <w:style w:type="character" w:customStyle="1" w:styleId="45">
    <w:name w:val="标题 9 Char"/>
    <w:link w:val="13"/>
    <w:semiHidden/>
    <w:qFormat/>
    <w:uiPriority w:val="9"/>
    <w:rPr>
      <w:rFonts w:ascii="Cambria" w:hAnsi="Cambria" w:eastAsia="宋体" w:cs="Times New Roman"/>
      <w:szCs w:val="21"/>
    </w:rPr>
  </w:style>
  <w:style w:type="character" w:customStyle="1" w:styleId="46">
    <w:name w:val="批注文字 Char"/>
    <w:link w:val="15"/>
    <w:semiHidden/>
    <w:qFormat/>
    <w:uiPriority w:val="99"/>
    <w:rPr>
      <w:szCs w:val="24"/>
    </w:rPr>
  </w:style>
  <w:style w:type="character" w:customStyle="1" w:styleId="47">
    <w:name w:val="批注主题 Char"/>
    <w:link w:val="28"/>
    <w:semiHidden/>
    <w:qFormat/>
    <w:uiPriority w:val="99"/>
    <w:rPr>
      <w:b/>
      <w:bCs/>
      <w:szCs w:val="24"/>
    </w:rPr>
  </w:style>
  <w:style w:type="character" w:customStyle="1" w:styleId="48">
    <w:name w:val="正文文本 Char"/>
    <w:link w:val="16"/>
    <w:qFormat/>
    <w:locked/>
    <w:uiPriority w:val="99"/>
    <w:rPr>
      <w:rFonts w:eastAsia="宋体"/>
      <w:kern w:val="2"/>
      <w:sz w:val="21"/>
      <w:lang w:val="en-US" w:eastAsia="zh-CN"/>
    </w:rPr>
  </w:style>
  <w:style w:type="character" w:customStyle="1" w:styleId="49">
    <w:name w:val="正文首行缩进 Char"/>
    <w:link w:val="29"/>
    <w:qFormat/>
    <w:locked/>
    <w:uiPriority w:val="99"/>
    <w:rPr>
      <w:rFonts w:eastAsia="宋体"/>
      <w:kern w:val="2"/>
      <w:sz w:val="21"/>
      <w:lang w:val="en-US" w:eastAsia="zh-CN"/>
    </w:rPr>
  </w:style>
  <w:style w:type="character" w:customStyle="1" w:styleId="50">
    <w:name w:val="正文文本缩进 Char"/>
    <w:link w:val="3"/>
    <w:semiHidden/>
    <w:qFormat/>
    <w:uiPriority w:val="99"/>
    <w:rPr>
      <w:szCs w:val="24"/>
    </w:rPr>
  </w:style>
  <w:style w:type="character" w:customStyle="1" w:styleId="51">
    <w:name w:val="纯文本 Char"/>
    <w:link w:val="17"/>
    <w:qFormat/>
    <w:locked/>
    <w:uiPriority w:val="99"/>
    <w:rPr>
      <w:rFonts w:ascii="宋体" w:hAnsi="Courier New" w:eastAsia="宋体"/>
      <w:kern w:val="2"/>
      <w:sz w:val="21"/>
      <w:lang w:val="en-US" w:eastAsia="zh-CN"/>
    </w:rPr>
  </w:style>
  <w:style w:type="character" w:customStyle="1" w:styleId="52">
    <w:name w:val="日期 Char"/>
    <w:link w:val="18"/>
    <w:qFormat/>
    <w:locked/>
    <w:uiPriority w:val="99"/>
    <w:rPr>
      <w:rFonts w:eastAsia="宋体"/>
      <w:kern w:val="2"/>
      <w:sz w:val="24"/>
      <w:lang w:val="en-US" w:eastAsia="zh-CN"/>
    </w:rPr>
  </w:style>
  <w:style w:type="character" w:customStyle="1" w:styleId="53">
    <w:name w:val="正文文本缩进 2 Char"/>
    <w:link w:val="19"/>
    <w:semiHidden/>
    <w:qFormat/>
    <w:uiPriority w:val="99"/>
    <w:rPr>
      <w:szCs w:val="24"/>
    </w:rPr>
  </w:style>
  <w:style w:type="character" w:customStyle="1" w:styleId="54">
    <w:name w:val="批注框文本 Char"/>
    <w:link w:val="20"/>
    <w:qFormat/>
    <w:locked/>
    <w:uiPriority w:val="99"/>
    <w:rPr>
      <w:rFonts w:eastAsia="宋体"/>
      <w:kern w:val="2"/>
      <w:sz w:val="18"/>
      <w:lang w:val="en-US" w:eastAsia="zh-CN"/>
    </w:rPr>
  </w:style>
  <w:style w:type="character" w:customStyle="1" w:styleId="55">
    <w:name w:val="页脚 Char"/>
    <w:link w:val="21"/>
    <w:qFormat/>
    <w:locked/>
    <w:uiPriority w:val="99"/>
    <w:rPr>
      <w:rFonts w:eastAsia="宋体"/>
      <w:kern w:val="2"/>
      <w:sz w:val="24"/>
      <w:lang w:val="en-US" w:eastAsia="zh-CN"/>
    </w:rPr>
  </w:style>
  <w:style w:type="character" w:customStyle="1" w:styleId="56">
    <w:name w:val="页眉 Char"/>
    <w:link w:val="22"/>
    <w:qFormat/>
    <w:locked/>
    <w:uiPriority w:val="99"/>
    <w:rPr>
      <w:rFonts w:eastAsia="宋体"/>
      <w:kern w:val="2"/>
      <w:sz w:val="24"/>
      <w:lang w:val="en-US" w:eastAsia="zh-CN"/>
    </w:rPr>
  </w:style>
  <w:style w:type="character" w:customStyle="1" w:styleId="57">
    <w:name w:val="正文文本缩进 3 Char"/>
    <w:link w:val="24"/>
    <w:semiHidden/>
    <w:qFormat/>
    <w:uiPriority w:val="99"/>
    <w:rPr>
      <w:sz w:val="16"/>
      <w:szCs w:val="16"/>
    </w:rPr>
  </w:style>
  <w:style w:type="character" w:customStyle="1" w:styleId="58">
    <w:name w:val="正文文本 2 Char"/>
    <w:link w:val="25"/>
    <w:qFormat/>
    <w:locked/>
    <w:uiPriority w:val="99"/>
    <w:rPr>
      <w:rFonts w:eastAsia="宋体"/>
      <w:kern w:val="2"/>
      <w:sz w:val="24"/>
      <w:lang w:val="en-US" w:eastAsia="zh-CN"/>
    </w:rPr>
  </w:style>
  <w:style w:type="character" w:customStyle="1" w:styleId="59">
    <w:name w:val="HTML 预设格式 Char"/>
    <w:link w:val="26"/>
    <w:qFormat/>
    <w:locked/>
    <w:uiPriority w:val="99"/>
    <w:rPr>
      <w:rFonts w:ascii="宋体" w:eastAsia="宋体"/>
      <w:sz w:val="24"/>
    </w:rPr>
  </w:style>
  <w:style w:type="character" w:customStyle="1" w:styleId="60">
    <w:name w:val="普通文字 Char Char"/>
    <w:qFormat/>
    <w:uiPriority w:val="99"/>
    <w:rPr>
      <w:rFonts w:ascii="宋体" w:hAnsi="Courier New" w:eastAsia="宋体"/>
      <w:kern w:val="2"/>
      <w:sz w:val="21"/>
      <w:lang w:val="en-US" w:eastAsia="zh-CN"/>
    </w:rPr>
  </w:style>
  <w:style w:type="character" w:customStyle="1" w:styleId="61">
    <w:name w:val="Char Char1"/>
    <w:qFormat/>
    <w:uiPriority w:val="99"/>
    <w:rPr>
      <w:kern w:val="2"/>
      <w:sz w:val="21"/>
    </w:rPr>
  </w:style>
  <w:style w:type="character" w:customStyle="1" w:styleId="62">
    <w:name w:val="font91"/>
    <w:qFormat/>
    <w:uiPriority w:val="99"/>
    <w:rPr>
      <w:rFonts w:ascii="宋体" w:hAnsi="宋体" w:eastAsia="宋体"/>
      <w:color w:val="000000"/>
      <w:sz w:val="22"/>
      <w:u w:val="none"/>
    </w:rPr>
  </w:style>
  <w:style w:type="character" w:customStyle="1" w:styleId="63">
    <w:name w:val="段落 Char"/>
    <w:link w:val="64"/>
    <w:qFormat/>
    <w:locked/>
    <w:uiPriority w:val="0"/>
    <w:rPr>
      <w:rFonts w:ascii="宋体" w:hAnsi="Courier New" w:eastAsia="宋体"/>
      <w:kern w:val="2"/>
      <w:sz w:val="21"/>
      <w:lang w:val="en-US" w:eastAsia="zh-CN"/>
    </w:rPr>
  </w:style>
  <w:style w:type="paragraph" w:customStyle="1" w:styleId="64">
    <w:name w:val="段落"/>
    <w:basedOn w:val="17"/>
    <w:link w:val="63"/>
    <w:qFormat/>
    <w:uiPriority w:val="0"/>
    <w:pPr>
      <w:spacing w:line="500" w:lineRule="exact"/>
      <w:ind w:firstLine="578"/>
    </w:pPr>
  </w:style>
  <w:style w:type="character" w:customStyle="1" w:styleId="65">
    <w:name w:val="正文缩进 Char"/>
    <w:link w:val="6"/>
    <w:qFormat/>
    <w:locked/>
    <w:uiPriority w:val="99"/>
    <w:rPr>
      <w:rFonts w:eastAsia="宋体"/>
      <w:kern w:val="2"/>
      <w:sz w:val="24"/>
      <w:lang w:val="en-US" w:eastAsia="zh-CN"/>
    </w:rPr>
  </w:style>
  <w:style w:type="character" w:customStyle="1" w:styleId="66">
    <w:name w:val="正文2 Char"/>
    <w:qFormat/>
    <w:uiPriority w:val="99"/>
    <w:rPr>
      <w:kern w:val="2"/>
      <w:sz w:val="28"/>
    </w:rPr>
  </w:style>
  <w:style w:type="character" w:customStyle="1" w:styleId="67">
    <w:name w:val="font81"/>
    <w:qFormat/>
    <w:uiPriority w:val="99"/>
    <w:rPr>
      <w:rFonts w:ascii="Times New Roman" w:hAnsi="Times New Roman"/>
      <w:color w:val="000000"/>
      <w:sz w:val="22"/>
      <w:u w:val="none"/>
      <w:vertAlign w:val="superscript"/>
    </w:rPr>
  </w:style>
  <w:style w:type="character" w:customStyle="1" w:styleId="68">
    <w:name w:val="样式1 Char"/>
    <w:link w:val="69"/>
    <w:qFormat/>
    <w:locked/>
    <w:uiPriority w:val="99"/>
    <w:rPr>
      <w:rFonts w:eastAsia="Times New Roman"/>
      <w:kern w:val="2"/>
      <w:sz w:val="21"/>
      <w:lang w:val="en-US" w:eastAsia="zh-CN"/>
    </w:rPr>
  </w:style>
  <w:style w:type="paragraph" w:customStyle="1" w:styleId="69">
    <w:name w:val="样式1"/>
    <w:basedOn w:val="1"/>
    <w:link w:val="68"/>
    <w:qFormat/>
    <w:uiPriority w:val="99"/>
    <w:pPr>
      <w:spacing w:after="40" w:line="300" w:lineRule="atLeast"/>
      <w:jc w:val="center"/>
      <w:outlineLvl w:val="2"/>
    </w:pPr>
    <w:rPr>
      <w:rFonts w:eastAsia="Times New Roman"/>
      <w:szCs w:val="20"/>
    </w:rPr>
  </w:style>
  <w:style w:type="character" w:customStyle="1" w:styleId="70">
    <w:name w:val="页眉 字符"/>
    <w:qFormat/>
    <w:uiPriority w:val="99"/>
    <w:rPr>
      <w:rFonts w:ascii="Calibri" w:hAnsi="Calibri"/>
      <w:kern w:val="2"/>
      <w:sz w:val="18"/>
    </w:rPr>
  </w:style>
  <w:style w:type="character" w:customStyle="1" w:styleId="71">
    <w:name w:val="font31"/>
    <w:qFormat/>
    <w:uiPriority w:val="99"/>
    <w:rPr>
      <w:rFonts w:ascii="宋体" w:hAnsi="宋体" w:eastAsia="宋体"/>
      <w:color w:val="000000"/>
      <w:sz w:val="24"/>
      <w:u w:val="none"/>
    </w:rPr>
  </w:style>
  <w:style w:type="character" w:customStyle="1" w:styleId="72">
    <w:name w:val="font71"/>
    <w:qFormat/>
    <w:uiPriority w:val="99"/>
    <w:rPr>
      <w:rFonts w:ascii="Times New Roman" w:hAnsi="Times New Roman"/>
      <w:color w:val="000000"/>
      <w:sz w:val="22"/>
      <w:u w:val="none"/>
    </w:rPr>
  </w:style>
  <w:style w:type="character" w:customStyle="1" w:styleId="73">
    <w:name w:val="font101"/>
    <w:qFormat/>
    <w:uiPriority w:val="99"/>
    <w:rPr>
      <w:rFonts w:ascii="宋体" w:hAnsi="宋体" w:eastAsia="宋体"/>
      <w:b/>
      <w:color w:val="000000"/>
      <w:sz w:val="32"/>
      <w:u w:val="none"/>
    </w:rPr>
  </w:style>
  <w:style w:type="character" w:customStyle="1" w:styleId="74">
    <w:name w:val="段落 Char Char Char Char Char Char"/>
    <w:link w:val="75"/>
    <w:qFormat/>
    <w:locked/>
    <w:uiPriority w:val="99"/>
    <w:rPr>
      <w:rFonts w:eastAsia="宋体"/>
      <w:kern w:val="2"/>
      <w:sz w:val="21"/>
      <w:lang w:val="en-US" w:eastAsia="zh-CN"/>
    </w:rPr>
  </w:style>
  <w:style w:type="paragraph" w:customStyle="1" w:styleId="75">
    <w:name w:val="段落 Char Char Char Char Char"/>
    <w:basedOn w:val="17"/>
    <w:link w:val="74"/>
    <w:qFormat/>
    <w:uiPriority w:val="99"/>
    <w:pPr>
      <w:tabs>
        <w:tab w:val="left" w:pos="600"/>
        <w:tab w:val="left" w:pos="720"/>
      </w:tabs>
      <w:snapToGrid w:val="0"/>
      <w:spacing w:line="240" w:lineRule="atLeast"/>
      <w:jc w:val="center"/>
    </w:pPr>
    <w:rPr>
      <w:rFonts w:ascii="Times New Roman" w:hAnsi="Times New Roman"/>
    </w:rPr>
  </w:style>
  <w:style w:type="character" w:customStyle="1" w:styleId="76">
    <w:name w:val="font21"/>
    <w:qFormat/>
    <w:uiPriority w:val="99"/>
    <w:rPr>
      <w:rFonts w:ascii="宋体" w:hAnsi="宋体" w:eastAsia="宋体"/>
      <w:color w:val="000000"/>
      <w:sz w:val="22"/>
      <w:u w:val="none"/>
    </w:rPr>
  </w:style>
  <w:style w:type="character" w:customStyle="1" w:styleId="77">
    <w:name w:val="正文1 Char"/>
    <w:link w:val="78"/>
    <w:qFormat/>
    <w:locked/>
    <w:uiPriority w:val="99"/>
    <w:rPr>
      <w:rFonts w:ascii="楷体_GB2312" w:eastAsia="Times New Roman"/>
      <w:b/>
      <w:kern w:val="2"/>
      <w:sz w:val="24"/>
      <w:lang w:val="en-US" w:eastAsia="zh-CN"/>
    </w:rPr>
  </w:style>
  <w:style w:type="paragraph" w:customStyle="1" w:styleId="78">
    <w:name w:val="正文1"/>
    <w:basedOn w:val="1"/>
    <w:link w:val="77"/>
    <w:qFormat/>
    <w:uiPriority w:val="99"/>
    <w:pPr>
      <w:ind w:firstLine="552"/>
    </w:pPr>
    <w:rPr>
      <w:rFonts w:ascii="楷体_GB2312" w:eastAsia="Times New Roman"/>
      <w:b/>
      <w:sz w:val="24"/>
      <w:szCs w:val="20"/>
    </w:rPr>
  </w:style>
  <w:style w:type="character" w:customStyle="1" w:styleId="79">
    <w:name w:val="表头 Char Char Char"/>
    <w:link w:val="80"/>
    <w:qFormat/>
    <w:locked/>
    <w:uiPriority w:val="99"/>
    <w:rPr>
      <w:rFonts w:eastAsia="黑体"/>
      <w:kern w:val="2"/>
      <w:sz w:val="24"/>
      <w:lang w:val="en-US" w:eastAsia="zh-CN"/>
    </w:rPr>
  </w:style>
  <w:style w:type="paragraph" w:customStyle="1" w:styleId="80">
    <w:name w:val="表头 Char Char"/>
    <w:basedOn w:val="17"/>
    <w:link w:val="79"/>
    <w:qFormat/>
    <w:uiPriority w:val="99"/>
    <w:pPr>
      <w:spacing w:before="200" w:afterLines="30"/>
      <w:ind w:firstLine="352" w:firstLineChars="149"/>
    </w:pPr>
    <w:rPr>
      <w:rFonts w:ascii="Times New Roman" w:hAnsi="Times New Roman" w:eastAsia="黑体"/>
      <w:sz w:val="24"/>
    </w:rPr>
  </w:style>
  <w:style w:type="character" w:customStyle="1" w:styleId="81">
    <w:name w:val="正文修改 Char"/>
    <w:link w:val="82"/>
    <w:qFormat/>
    <w:locked/>
    <w:uiPriority w:val="99"/>
    <w:rPr>
      <w:rFonts w:eastAsia="宋体"/>
      <w:sz w:val="24"/>
      <w:lang w:val="en-US" w:eastAsia="zh-CN"/>
    </w:rPr>
  </w:style>
  <w:style w:type="paragraph" w:customStyle="1" w:styleId="82">
    <w:name w:val="正文修改"/>
    <w:basedOn w:val="1"/>
    <w:link w:val="81"/>
    <w:qFormat/>
    <w:uiPriority w:val="99"/>
    <w:pPr>
      <w:spacing w:line="360" w:lineRule="auto"/>
      <w:ind w:firstLine="480" w:firstLineChars="200"/>
    </w:pPr>
    <w:rPr>
      <w:kern w:val="0"/>
      <w:sz w:val="24"/>
      <w:szCs w:val="20"/>
    </w:rPr>
  </w:style>
  <w:style w:type="character" w:customStyle="1" w:styleId="83">
    <w:name w:val="报告表正文 Char"/>
    <w:link w:val="84"/>
    <w:qFormat/>
    <w:locked/>
    <w:uiPriority w:val="99"/>
    <w:rPr>
      <w:rFonts w:eastAsia="Times New Roman"/>
      <w:kern w:val="2"/>
      <w:sz w:val="24"/>
      <w:lang w:val="en-US" w:eastAsia="zh-CN"/>
    </w:rPr>
  </w:style>
  <w:style w:type="paragraph" w:customStyle="1" w:styleId="84">
    <w:name w:val="报告表正文"/>
    <w:basedOn w:val="1"/>
    <w:link w:val="83"/>
    <w:qFormat/>
    <w:uiPriority w:val="99"/>
    <w:pPr>
      <w:spacing w:line="360" w:lineRule="auto"/>
      <w:ind w:firstLine="200" w:firstLineChars="200"/>
    </w:pPr>
    <w:rPr>
      <w:rFonts w:eastAsia="Times New Roman"/>
      <w:sz w:val="24"/>
      <w:szCs w:val="20"/>
    </w:rPr>
  </w:style>
  <w:style w:type="character" w:customStyle="1" w:styleId="85">
    <w:name w:val="content"/>
    <w:qFormat/>
    <w:uiPriority w:val="99"/>
    <w:rPr>
      <w:rFonts w:cs="Times New Roman"/>
    </w:rPr>
  </w:style>
  <w:style w:type="character" w:customStyle="1" w:styleId="86">
    <w:name w:val="表头 Char1"/>
    <w:link w:val="87"/>
    <w:qFormat/>
    <w:locked/>
    <w:uiPriority w:val="99"/>
    <w:rPr>
      <w:rFonts w:ascii="黑体" w:hAnsi="宋体" w:eastAsia="黑体"/>
      <w:spacing w:val="20"/>
      <w:kern w:val="36"/>
      <w:sz w:val="24"/>
      <w:lang w:val="en-US" w:eastAsia="zh-CN"/>
    </w:rPr>
  </w:style>
  <w:style w:type="paragraph" w:customStyle="1" w:styleId="87">
    <w:name w:val="表头"/>
    <w:basedOn w:val="1"/>
    <w:link w:val="86"/>
    <w:qFormat/>
    <w:uiPriority w:val="99"/>
    <w:pPr>
      <w:spacing w:before="200" w:line="500" w:lineRule="exact"/>
    </w:pPr>
    <w:rPr>
      <w:rFonts w:ascii="黑体" w:hAnsi="宋体" w:eastAsia="黑体"/>
      <w:spacing w:val="20"/>
      <w:kern w:val="36"/>
      <w:sz w:val="24"/>
      <w:szCs w:val="20"/>
    </w:rPr>
  </w:style>
  <w:style w:type="character" w:customStyle="1" w:styleId="88">
    <w:name w:val="段落 Char Char Char"/>
    <w:qFormat/>
    <w:uiPriority w:val="99"/>
    <w:rPr>
      <w:rFonts w:ascii="宋体" w:hAnsi="宋体" w:eastAsia="宋体"/>
      <w:kern w:val="2"/>
      <w:sz w:val="28"/>
      <w:lang w:val="en-US" w:eastAsia="zh-CN"/>
    </w:rPr>
  </w:style>
  <w:style w:type="character" w:customStyle="1" w:styleId="89">
    <w:name w:val="t_tag"/>
    <w:qFormat/>
    <w:uiPriority w:val="99"/>
    <w:rPr>
      <w:rFonts w:cs="Times New Roman"/>
    </w:rPr>
  </w:style>
  <w:style w:type="character" w:customStyle="1" w:styleId="90">
    <w:name w:val="表头 Char Char Char Char Char"/>
    <w:link w:val="91"/>
    <w:qFormat/>
    <w:locked/>
    <w:uiPriority w:val="99"/>
    <w:rPr>
      <w:rFonts w:ascii="黑体" w:eastAsia="黑体"/>
      <w:spacing w:val="20"/>
      <w:kern w:val="2"/>
      <w:sz w:val="24"/>
      <w:lang w:val="en-US" w:eastAsia="zh-CN"/>
    </w:rPr>
  </w:style>
  <w:style w:type="paragraph" w:customStyle="1" w:styleId="91">
    <w:name w:val="表头 Char Char Char Char"/>
    <w:basedOn w:val="1"/>
    <w:link w:val="90"/>
    <w:qFormat/>
    <w:uiPriority w:val="99"/>
    <w:pPr>
      <w:spacing w:before="200" w:line="500" w:lineRule="exact"/>
    </w:pPr>
    <w:rPr>
      <w:rFonts w:ascii="黑体" w:eastAsia="黑体"/>
      <w:spacing w:val="20"/>
      <w:sz w:val="24"/>
      <w:szCs w:val="20"/>
    </w:rPr>
  </w:style>
  <w:style w:type="character" w:customStyle="1" w:styleId="92">
    <w:name w:val="font01"/>
    <w:qFormat/>
    <w:uiPriority w:val="99"/>
    <w:rPr>
      <w:rFonts w:ascii="宋体" w:hAnsi="宋体" w:eastAsia="宋体"/>
      <w:color w:val="000000"/>
      <w:sz w:val="24"/>
      <w:u w:val="none"/>
      <w:vertAlign w:val="superscript"/>
    </w:rPr>
  </w:style>
  <w:style w:type="character" w:customStyle="1" w:styleId="93">
    <w:name w:val="页脚 字符"/>
    <w:qFormat/>
    <w:uiPriority w:val="99"/>
    <w:rPr>
      <w:rFonts w:ascii="Calibri" w:hAnsi="Calibri"/>
      <w:kern w:val="2"/>
      <w:sz w:val="18"/>
    </w:rPr>
  </w:style>
  <w:style w:type="character" w:customStyle="1" w:styleId="94">
    <w:name w:val="hang2"/>
    <w:qFormat/>
    <w:uiPriority w:val="99"/>
    <w:rPr>
      <w:rFonts w:ascii="??" w:hAnsi="??"/>
      <w:color w:val="000000"/>
      <w:sz w:val="18"/>
      <w:u w:val="none"/>
    </w:rPr>
  </w:style>
  <w:style w:type="character" w:customStyle="1" w:styleId="95">
    <w:name w:val="apple-style-span"/>
    <w:qFormat/>
    <w:uiPriority w:val="99"/>
    <w:rPr>
      <w:rFonts w:cs="Times New Roman"/>
    </w:rPr>
  </w:style>
  <w:style w:type="character" w:customStyle="1" w:styleId="96">
    <w:name w:val="段落 Char Char"/>
    <w:qFormat/>
    <w:uiPriority w:val="99"/>
    <w:rPr>
      <w:rFonts w:eastAsia="宋体"/>
      <w:kern w:val="2"/>
      <w:sz w:val="28"/>
      <w:lang w:val="en-US" w:eastAsia="zh-CN"/>
    </w:rPr>
  </w:style>
  <w:style w:type="paragraph" w:customStyle="1" w:styleId="97">
    <w:name w:val="Char Char Char Char1"/>
    <w:basedOn w:val="1"/>
    <w:qFormat/>
    <w:uiPriority w:val="99"/>
    <w:pPr>
      <w:spacing w:line="360" w:lineRule="auto"/>
      <w:ind w:firstLine="200" w:firstLineChars="200"/>
    </w:pPr>
    <w:rPr>
      <w:rFonts w:ascii="宋体" w:hAnsi="宋体" w:cs="宋体"/>
      <w:sz w:val="24"/>
    </w:rPr>
  </w:style>
  <w:style w:type="paragraph" w:customStyle="1" w:styleId="98">
    <w:name w:val="表头 Char"/>
    <w:basedOn w:val="1"/>
    <w:qFormat/>
    <w:uiPriority w:val="99"/>
    <w:pPr>
      <w:spacing w:before="200"/>
    </w:pPr>
    <w:rPr>
      <w:rFonts w:eastAsia="黑体"/>
      <w:sz w:val="24"/>
      <w:szCs w:val="20"/>
    </w:rPr>
  </w:style>
  <w:style w:type="paragraph" w:customStyle="1" w:styleId="99">
    <w:name w:val="Char4"/>
    <w:basedOn w:val="1"/>
    <w:qFormat/>
    <w:uiPriority w:val="99"/>
    <w:pPr>
      <w:spacing w:line="360" w:lineRule="auto"/>
      <w:ind w:firstLine="200" w:firstLineChars="200"/>
    </w:pPr>
    <w:rPr>
      <w:rFonts w:ascii="宋体" w:hAnsi="宋体"/>
      <w:sz w:val="24"/>
      <w:szCs w:val="20"/>
    </w:rPr>
  </w:style>
  <w:style w:type="paragraph" w:customStyle="1" w:styleId="100">
    <w:name w:val="居中正文"/>
    <w:basedOn w:val="1"/>
    <w:next w:val="1"/>
    <w:qFormat/>
    <w:uiPriority w:val="99"/>
    <w:pPr>
      <w:adjustRightInd w:val="0"/>
      <w:spacing w:before="120" w:line="360" w:lineRule="auto"/>
      <w:jc w:val="center"/>
      <w:textAlignment w:val="baseline"/>
    </w:pPr>
    <w:rPr>
      <w:rFonts w:ascii="宋体"/>
      <w:kern w:val="28"/>
      <w:sz w:val="24"/>
      <w:szCs w:val="20"/>
    </w:rPr>
  </w:style>
  <w:style w:type="paragraph" w:customStyle="1" w:styleId="101">
    <w:name w:val="正文表"/>
    <w:basedOn w:val="1"/>
    <w:qFormat/>
    <w:uiPriority w:val="99"/>
    <w:pPr>
      <w:tabs>
        <w:tab w:val="left" w:pos="3777"/>
      </w:tabs>
      <w:spacing w:line="440" w:lineRule="exact"/>
      <w:ind w:firstLine="464" w:firstLineChars="200"/>
    </w:pPr>
    <w:rPr>
      <w:spacing w:val="-4"/>
      <w:sz w:val="24"/>
    </w:rPr>
  </w:style>
  <w:style w:type="paragraph" w:customStyle="1" w:styleId="102">
    <w:name w:val="样式 居中1"/>
    <w:basedOn w:val="1"/>
    <w:qFormat/>
    <w:uiPriority w:val="99"/>
    <w:pPr>
      <w:spacing w:line="480" w:lineRule="atLeast"/>
      <w:jc w:val="center"/>
    </w:pPr>
    <w:rPr>
      <w:rFonts w:cs="宋体"/>
      <w:szCs w:val="20"/>
    </w:rPr>
  </w:style>
  <w:style w:type="paragraph" w:customStyle="1" w:styleId="103">
    <w:name w:val="样式 正文（首行缩进两字） + 五号 居中"/>
    <w:basedOn w:val="1"/>
    <w:qFormat/>
    <w:uiPriority w:val="99"/>
    <w:pPr>
      <w:adjustRightInd w:val="0"/>
      <w:jc w:val="center"/>
    </w:pPr>
    <w:rPr>
      <w:rFonts w:ascii="宋体" w:cs="宋体"/>
      <w:kern w:val="0"/>
    </w:rPr>
  </w:style>
  <w:style w:type="paragraph" w:customStyle="1" w:styleId="104">
    <w:name w:val="Char1"/>
    <w:basedOn w:val="1"/>
    <w:qFormat/>
    <w:uiPriority w:val="99"/>
    <w:pPr>
      <w:spacing w:line="360" w:lineRule="auto"/>
      <w:ind w:firstLine="200" w:firstLineChars="200"/>
    </w:pPr>
    <w:rPr>
      <w:rFonts w:ascii="宋体" w:hAnsi="宋体" w:cs="宋体"/>
      <w:sz w:val="24"/>
    </w:rPr>
  </w:style>
  <w:style w:type="paragraph" w:customStyle="1" w:styleId="105">
    <w:name w:val="Char Char Char Char Char"/>
    <w:basedOn w:val="1"/>
    <w:qFormat/>
    <w:uiPriority w:val="99"/>
    <w:pPr>
      <w:spacing w:line="360" w:lineRule="auto"/>
      <w:ind w:firstLine="200" w:firstLineChars="200"/>
    </w:pPr>
    <w:rPr>
      <w:rFonts w:ascii="宋体" w:hAnsi="宋体" w:cs="宋体"/>
      <w:sz w:val="24"/>
    </w:rPr>
  </w:style>
  <w:style w:type="paragraph" w:customStyle="1" w:styleId="106">
    <w:name w:val="中文报告书样式"/>
    <w:basedOn w:val="1"/>
    <w:qFormat/>
    <w:uiPriority w:val="99"/>
    <w:pPr>
      <w:adjustRightInd w:val="0"/>
      <w:spacing w:line="480" w:lineRule="atLeast"/>
      <w:ind w:firstLine="482"/>
      <w:textAlignment w:val="baseline"/>
    </w:pPr>
    <w:rPr>
      <w:kern w:val="24"/>
      <w:sz w:val="24"/>
      <w:szCs w:val="20"/>
    </w:rPr>
  </w:style>
  <w:style w:type="paragraph" w:customStyle="1" w:styleId="107">
    <w:name w:val="xl22"/>
    <w:basedOn w:val="1"/>
    <w:qFormat/>
    <w:uiPriority w:val="99"/>
    <w:pPr>
      <w:widowControl/>
      <w:spacing w:before="100" w:after="100"/>
      <w:jc w:val="center"/>
    </w:pPr>
    <w:rPr>
      <w:kern w:val="0"/>
      <w:sz w:val="24"/>
    </w:rPr>
  </w:style>
  <w:style w:type="paragraph" w:customStyle="1" w:styleId="108">
    <w:name w:val="默认段落字体 Para Char Char Char Char"/>
    <w:basedOn w:val="1"/>
    <w:qFormat/>
    <w:uiPriority w:val="99"/>
    <w:rPr>
      <w:sz w:val="24"/>
    </w:rPr>
  </w:style>
  <w:style w:type="paragraph" w:customStyle="1" w:styleId="109">
    <w:name w:val="Char1 Char Char Char"/>
    <w:basedOn w:val="1"/>
    <w:qFormat/>
    <w:uiPriority w:val="99"/>
    <w:pPr>
      <w:spacing w:line="360" w:lineRule="auto"/>
      <w:ind w:firstLine="200" w:firstLineChars="200"/>
    </w:pPr>
    <w:rPr>
      <w:rFonts w:ascii="宋体" w:hAnsi="宋体" w:cs="宋体"/>
      <w:sz w:val="24"/>
    </w:rPr>
  </w:style>
  <w:style w:type="paragraph" w:customStyle="1" w:styleId="110">
    <w:name w:val="段落 Char1"/>
    <w:basedOn w:val="1"/>
    <w:qFormat/>
    <w:uiPriority w:val="99"/>
    <w:pPr>
      <w:spacing w:line="500" w:lineRule="exact"/>
      <w:ind w:firstLine="578"/>
    </w:pPr>
    <w:rPr>
      <w:sz w:val="28"/>
      <w:szCs w:val="28"/>
    </w:rPr>
  </w:style>
  <w:style w:type="paragraph" w:customStyle="1" w:styleId="111">
    <w:name w:val="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112">
    <w:name w:val="xl26"/>
    <w:basedOn w:val="1"/>
    <w:qFormat/>
    <w:uiPriority w:val="99"/>
    <w:pPr>
      <w:widowControl/>
      <w:pBdr>
        <w:bottom w:val="single" w:color="auto" w:sz="4" w:space="0"/>
        <w:right w:val="single" w:color="auto" w:sz="4" w:space="0"/>
      </w:pBdr>
      <w:spacing w:before="100" w:after="100"/>
      <w:jc w:val="center"/>
      <w:textAlignment w:val="top"/>
    </w:pPr>
    <w:rPr>
      <w:rFonts w:ascii="宋体" w:hAnsi="宋体"/>
      <w:kern w:val="0"/>
      <w:szCs w:val="20"/>
    </w:rPr>
  </w:style>
  <w:style w:type="paragraph" w:customStyle="1" w:styleId="113">
    <w:name w:val="Char Char Char Char"/>
    <w:basedOn w:val="1"/>
    <w:qFormat/>
    <w:uiPriority w:val="99"/>
  </w:style>
  <w:style w:type="paragraph" w:customStyle="1" w:styleId="114">
    <w:name w:val="p0"/>
    <w:basedOn w:val="1"/>
    <w:qFormat/>
    <w:uiPriority w:val="99"/>
    <w:pPr>
      <w:widowControl/>
      <w:jc w:val="left"/>
    </w:pPr>
    <w:rPr>
      <w:kern w:val="0"/>
      <w:sz w:val="20"/>
      <w:szCs w:val="20"/>
    </w:rPr>
  </w:style>
  <w:style w:type="paragraph" w:customStyle="1" w:styleId="115">
    <w:name w:val="样式3"/>
    <w:basedOn w:val="14"/>
    <w:qFormat/>
    <w:uiPriority w:val="99"/>
    <w:pPr>
      <w:spacing w:before="152" w:after="160"/>
      <w:ind w:firstLine="482"/>
    </w:pPr>
    <w:rPr>
      <w:rFonts w:eastAsia="宋体"/>
      <w:sz w:val="24"/>
    </w:rPr>
  </w:style>
  <w:style w:type="paragraph" w:customStyle="1" w:styleId="116">
    <w:name w:val="Char Char Char1 Char"/>
    <w:basedOn w:val="1"/>
    <w:qFormat/>
    <w:uiPriority w:val="99"/>
    <w:pPr>
      <w:spacing w:line="360" w:lineRule="auto"/>
      <w:ind w:firstLine="200" w:firstLineChars="200"/>
    </w:pPr>
    <w:rPr>
      <w:rFonts w:ascii="宋体" w:hAnsi="宋体" w:cs="宋体"/>
      <w:sz w:val="24"/>
    </w:rPr>
  </w:style>
  <w:style w:type="paragraph" w:customStyle="1" w:styleId="117">
    <w:name w:val="2 Char Char Char Char"/>
    <w:basedOn w:val="1"/>
    <w:qFormat/>
    <w:uiPriority w:val="99"/>
    <w:pPr>
      <w:snapToGrid w:val="0"/>
      <w:spacing w:line="360" w:lineRule="auto"/>
      <w:ind w:firstLine="529" w:firstLineChars="200"/>
    </w:pPr>
    <w:rPr>
      <w:rFonts w:ascii="宋体" w:hAnsi="宋体"/>
      <w:b/>
    </w:rPr>
  </w:style>
  <w:style w:type="paragraph" w:customStyle="1" w:styleId="118">
    <w:name w:val="正文五"/>
    <w:basedOn w:val="1"/>
    <w:qFormat/>
    <w:uiPriority w:val="99"/>
    <w:pPr>
      <w:snapToGrid w:val="0"/>
      <w:jc w:val="center"/>
    </w:pPr>
    <w:rPr>
      <w:sz w:val="24"/>
      <w:szCs w:val="20"/>
    </w:rPr>
  </w:style>
  <w:style w:type="paragraph" w:customStyle="1" w:styleId="119">
    <w:name w:val="declear1"/>
    <w:basedOn w:val="1"/>
    <w:qFormat/>
    <w:uiPriority w:val="99"/>
    <w:pPr>
      <w:widowControl/>
      <w:spacing w:after="20" w:line="160" w:lineRule="atLeast"/>
      <w:jc w:val="left"/>
    </w:pPr>
    <w:rPr>
      <w:rFonts w:ascii="宋体" w:hAnsi="宋体" w:cs="宋体"/>
      <w:vanish/>
      <w:color w:val="999999"/>
      <w:kern w:val="0"/>
      <w:sz w:val="12"/>
      <w:szCs w:val="12"/>
    </w:rPr>
  </w:style>
  <w:style w:type="paragraph" w:customStyle="1" w:styleId="120">
    <w:name w:val="默认段落字体 Para Char"/>
    <w:basedOn w:val="1"/>
    <w:qFormat/>
    <w:uiPriority w:val="99"/>
    <w:pPr>
      <w:adjustRightInd w:val="0"/>
      <w:spacing w:line="360" w:lineRule="atLeast"/>
      <w:textAlignment w:val="baseline"/>
    </w:pPr>
  </w:style>
  <w:style w:type="paragraph" w:customStyle="1" w:styleId="121">
    <w:name w:val="正文首行缩近"/>
    <w:qFormat/>
    <w:uiPriority w:val="99"/>
    <w:pPr>
      <w:adjustRightInd w:val="0"/>
      <w:snapToGrid w:val="0"/>
      <w:spacing w:line="360" w:lineRule="auto"/>
      <w:ind w:firstLine="480" w:firstLineChars="200"/>
      <w:jc w:val="both"/>
    </w:pPr>
    <w:rPr>
      <w:rFonts w:ascii="Times New Roman" w:hAnsi="Times New Roman" w:eastAsia="宋体" w:cs="Times New Roman"/>
      <w:sz w:val="24"/>
      <w:lang w:val="en-US" w:eastAsia="zh-CN" w:bidi="ar-SA"/>
    </w:rPr>
  </w:style>
  <w:style w:type="paragraph" w:customStyle="1" w:styleId="122">
    <w:name w:val="Char Char Char Char Char Char Char Char Char Char"/>
    <w:basedOn w:val="1"/>
    <w:qFormat/>
    <w:uiPriority w:val="99"/>
    <w:pPr>
      <w:spacing w:line="360" w:lineRule="auto"/>
      <w:ind w:firstLine="200" w:firstLineChars="200"/>
    </w:pPr>
    <w:rPr>
      <w:rFonts w:ascii="宋体" w:hAnsi="宋体" w:cs="宋体"/>
      <w:sz w:val="24"/>
    </w:rPr>
  </w:style>
  <w:style w:type="paragraph" w:customStyle="1" w:styleId="123">
    <w:name w:val="brdrw15brsp20 tqctx4153t"/>
    <w:qFormat/>
    <w:uiPriority w:val="99"/>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z w:val="21"/>
      <w:lang w:val="en-US" w:eastAsia="zh-CN" w:bidi="ar-SA"/>
    </w:rPr>
  </w:style>
  <w:style w:type="paragraph" w:customStyle="1" w:styleId="124">
    <w:name w:val="中文报告书"/>
    <w:basedOn w:val="1"/>
    <w:qFormat/>
    <w:uiPriority w:val="99"/>
    <w:pPr>
      <w:adjustRightInd w:val="0"/>
      <w:spacing w:after="80" w:line="420" w:lineRule="atLeast"/>
      <w:jc w:val="left"/>
      <w:textAlignment w:val="baseline"/>
    </w:pPr>
    <w:rPr>
      <w:kern w:val="0"/>
      <w:sz w:val="24"/>
      <w:szCs w:val="20"/>
    </w:rPr>
  </w:style>
  <w:style w:type="paragraph" w:customStyle="1" w:styleId="125">
    <w:name w:val="结论"/>
    <w:basedOn w:val="1"/>
    <w:qFormat/>
    <w:uiPriority w:val="99"/>
    <w:pPr>
      <w:snapToGrid w:val="0"/>
      <w:spacing w:beforeLines="50" w:afterLines="50" w:line="500" w:lineRule="atLeast"/>
      <w:ind w:firstLine="561"/>
    </w:pPr>
    <w:rPr>
      <w:rFonts w:ascii="楷体_GB2312" w:eastAsia="Times New Roman" w:cs="宋体"/>
      <w:b/>
      <w:bCs/>
      <w:sz w:val="28"/>
      <w:szCs w:val="20"/>
    </w:rPr>
  </w:style>
  <w:style w:type="paragraph" w:customStyle="1" w:styleId="126">
    <w:name w:val="五号表格"/>
    <w:basedOn w:val="1"/>
    <w:qFormat/>
    <w:uiPriority w:val="99"/>
    <w:pPr>
      <w:jc w:val="center"/>
    </w:pPr>
  </w:style>
  <w:style w:type="paragraph" w:customStyle="1" w:styleId="127">
    <w:name w:val="Char"/>
    <w:basedOn w:val="1"/>
    <w:qFormat/>
    <w:uiPriority w:val="99"/>
    <w:pPr>
      <w:spacing w:line="360" w:lineRule="auto"/>
      <w:ind w:firstLine="200" w:firstLineChars="200"/>
    </w:pPr>
    <w:rPr>
      <w:rFonts w:ascii="宋体" w:hAnsi="宋体" w:cs="宋体"/>
      <w:sz w:val="24"/>
    </w:rPr>
  </w:style>
  <w:style w:type="paragraph" w:customStyle="1" w:styleId="128">
    <w:name w:val="样式 结论 + 段后: 0.5 行"/>
    <w:basedOn w:val="1"/>
    <w:qFormat/>
    <w:uiPriority w:val="99"/>
    <w:pPr>
      <w:snapToGrid w:val="0"/>
      <w:spacing w:beforeLines="50" w:afterLines="50" w:line="500" w:lineRule="atLeast"/>
      <w:ind w:firstLine="561"/>
    </w:pPr>
    <w:rPr>
      <w:rFonts w:ascii="楷体_GB2312" w:eastAsia="Times New Roman" w:cs="宋体"/>
      <w:b/>
      <w:bCs/>
      <w:sz w:val="28"/>
      <w:szCs w:val="20"/>
    </w:rPr>
  </w:style>
  <w:style w:type="paragraph" w:customStyle="1" w:styleId="129">
    <w:name w:val="1正文段落"/>
    <w:basedOn w:val="1"/>
    <w:qFormat/>
    <w:uiPriority w:val="99"/>
    <w:pPr>
      <w:spacing w:line="360" w:lineRule="auto"/>
      <w:ind w:firstLine="480" w:firstLineChars="200"/>
      <w:jc w:val="left"/>
    </w:pPr>
    <w:rPr>
      <w:kern w:val="0"/>
      <w:sz w:val="24"/>
    </w:rPr>
  </w:style>
  <w:style w:type="paragraph" w:customStyle="1" w:styleId="130">
    <w:name w:val="1.1.1"/>
    <w:basedOn w:val="1"/>
    <w:qFormat/>
    <w:uiPriority w:val="99"/>
    <w:rPr>
      <w:rFonts w:ascii="黑体"/>
      <w:sz w:val="24"/>
      <w:szCs w:val="20"/>
    </w:rPr>
  </w:style>
  <w:style w:type="paragraph" w:customStyle="1" w:styleId="131">
    <w:name w:val="1.表头"/>
    <w:basedOn w:val="1"/>
    <w:qFormat/>
    <w:uiPriority w:val="0"/>
    <w:pPr>
      <w:spacing w:line="440" w:lineRule="exact"/>
      <w:ind w:firstLine="360" w:firstLineChars="150"/>
    </w:pPr>
    <w:rPr>
      <w:rFonts w:eastAsia="黑体" w:cs="宋体"/>
      <w:sz w:val="24"/>
    </w:rPr>
  </w:style>
  <w:style w:type="paragraph" w:styleId="132">
    <w:name w:val="List Paragraph"/>
    <w:basedOn w:val="1"/>
    <w:qFormat/>
    <w:uiPriority w:val="99"/>
    <w:pPr>
      <w:ind w:firstLine="420" w:firstLineChars="200"/>
    </w:pPr>
  </w:style>
  <w:style w:type="character" w:customStyle="1" w:styleId="133">
    <w:name w:val="正文缩进 Char1"/>
    <w:qFormat/>
    <w:locked/>
    <w:uiPriority w:val="99"/>
    <w:rPr>
      <w:rFonts w:eastAsia="宋体"/>
      <w:kern w:val="2"/>
      <w:sz w:val="24"/>
      <w:lang w:val="en-US" w:eastAsia="zh-CN"/>
    </w:rPr>
  </w:style>
  <w:style w:type="paragraph" w:customStyle="1" w:styleId="134">
    <w:name w:val="1.正文"/>
    <w:basedOn w:val="1"/>
    <w:qFormat/>
    <w:uiPriority w:val="0"/>
    <w:pPr>
      <w:spacing w:line="520" w:lineRule="exact"/>
      <w:ind w:firstLine="200" w:firstLineChars="200"/>
    </w:pPr>
    <w:rPr>
      <w:rFonts w:cs="宋体"/>
      <w:sz w:val="24"/>
    </w:rPr>
  </w:style>
  <w:style w:type="character" w:customStyle="1" w:styleId="135">
    <w:name w:val="纯文本 Char1"/>
    <w:qFormat/>
    <w:uiPriority w:val="99"/>
    <w:rPr>
      <w:rFonts w:ascii="宋体" w:hAnsi="Courier New" w:cs="Courier New"/>
      <w:color w:val="333333"/>
      <w:kern w:val="2"/>
      <w:sz w:val="21"/>
      <w:szCs w:val="21"/>
    </w:rPr>
  </w:style>
  <w:style w:type="character" w:customStyle="1" w:styleId="136">
    <w:name w:val="5文章(治) Char"/>
    <w:link w:val="137"/>
    <w:qFormat/>
    <w:locked/>
    <w:uiPriority w:val="99"/>
    <w:rPr>
      <w:kern w:val="2"/>
      <w:sz w:val="24"/>
    </w:rPr>
  </w:style>
  <w:style w:type="paragraph" w:customStyle="1" w:styleId="137">
    <w:name w:val="5文章(治)"/>
    <w:basedOn w:val="1"/>
    <w:link w:val="136"/>
    <w:qFormat/>
    <w:uiPriority w:val="99"/>
    <w:pPr>
      <w:spacing w:line="360" w:lineRule="auto"/>
      <w:ind w:firstLine="560" w:firstLineChars="200"/>
    </w:pPr>
    <w:rPr>
      <w:sz w:val="24"/>
      <w:szCs w:val="20"/>
    </w:rPr>
  </w:style>
  <w:style w:type="character" w:styleId="138">
    <w:name w:val="Placeholder Text"/>
    <w:qFormat/>
    <w:uiPriority w:val="99"/>
    <w:rPr>
      <w:rFonts w:cs="Times New Roman"/>
      <w:color w:val="808080"/>
    </w:rPr>
  </w:style>
  <w:style w:type="paragraph" w:customStyle="1" w:styleId="139">
    <w:name w:val="Table Paragraph"/>
    <w:basedOn w:val="1"/>
    <w:semiHidden/>
    <w:qFormat/>
    <w:uiPriority w:val="0"/>
    <w:pPr>
      <w:widowControl/>
      <w:jc w:val="left"/>
    </w:pPr>
    <w:rPr>
      <w:rFonts w:ascii="Calibri" w:hAnsi="Calibri" w:cs="宋体"/>
      <w:kern w:val="0"/>
      <w:sz w:val="22"/>
      <w:szCs w:val="22"/>
    </w:rPr>
  </w:style>
  <w:style w:type="paragraph" w:customStyle="1" w:styleId="140">
    <w:name w:val="报告表表格文字"/>
    <w:basedOn w:val="1"/>
    <w:qFormat/>
    <w:uiPriority w:val="0"/>
    <w:pPr>
      <w:autoSpaceDE w:val="0"/>
      <w:autoSpaceDN w:val="0"/>
      <w:adjustRightInd w:val="0"/>
      <w:snapToGrid w:val="0"/>
      <w:jc w:val="center"/>
    </w:pPr>
    <w:rPr>
      <w:color w:val="000000"/>
      <w:kern w:val="0"/>
      <w:szCs w:val="21"/>
    </w:rPr>
  </w:style>
  <w:style w:type="paragraph" w:customStyle="1" w:styleId="141">
    <w:name w:val="报告书表格表头"/>
    <w:basedOn w:val="1"/>
    <w:qFormat/>
    <w:uiPriority w:val="0"/>
    <w:pPr>
      <w:adjustRightInd w:val="0"/>
      <w:snapToGrid w:val="0"/>
      <w:spacing w:line="520" w:lineRule="exact"/>
      <w:ind w:firstLine="200" w:firstLineChars="200"/>
    </w:pPr>
    <w:rPr>
      <w:rFonts w:eastAsia="黑体"/>
      <w:color w:val="000000"/>
      <w:sz w:val="24"/>
      <w:szCs w:val="22"/>
    </w:rPr>
  </w:style>
  <w:style w:type="paragraph" w:customStyle="1" w:styleId="142">
    <w:name w:val="表格内容"/>
    <w:basedOn w:val="1"/>
    <w:link w:val="143"/>
    <w:uiPriority w:val="0"/>
    <w:pPr>
      <w:overflowPunct w:val="0"/>
      <w:adjustRightInd w:val="0"/>
      <w:spacing w:before="40" w:after="60" w:line="200" w:lineRule="atLeast"/>
    </w:pPr>
    <w:rPr>
      <w:rFonts w:ascii="Arial" w:hAnsi="Arial" w:eastAsia="仿宋_GB2312"/>
      <w:kern w:val="0"/>
      <w:sz w:val="24"/>
      <w:szCs w:val="20"/>
    </w:rPr>
  </w:style>
  <w:style w:type="character" w:customStyle="1" w:styleId="143">
    <w:name w:val="表格内容 Char"/>
    <w:basedOn w:val="32"/>
    <w:link w:val="142"/>
    <w:locked/>
    <w:uiPriority w:val="0"/>
    <w:rPr>
      <w:rFonts w:ascii="Arial" w:hAnsi="Arial" w:eastAsia="仿宋_GB2312"/>
      <w:sz w:val="24"/>
    </w:rPr>
  </w:style>
  <w:style w:type="paragraph" w:customStyle="1" w:styleId="144">
    <w:name w:val="1.1"/>
    <w:basedOn w:val="1"/>
    <w:uiPriority w:val="0"/>
    <w:pPr>
      <w:spacing w:before="120" w:line="360" w:lineRule="auto"/>
      <w:ind w:firstLine="100" w:firstLineChars="100"/>
      <w:outlineLvl w:val="1"/>
    </w:pPr>
    <w:rPr>
      <w:rFonts w:cs="宋体"/>
      <w:b/>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4314;&#35774;&#39033;&#30446;&#29615;&#22659;&#24433;&#21709;&#25253;&#21578;&#34920;&#65288;&#20869;&#23481;&#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04"/>
    <customShpInfo spid="_x0000_s1199"/>
    <customShpInfo spid="_x0000_s1195"/>
    <customShpInfo spid="_x0000_s1197"/>
    <customShpInfo spid="_x0000_s1194"/>
    <customShpInfo spid="_x0000_s1214"/>
    <customShpInfo spid="_x0000_s1201"/>
    <customShpInfo spid="_x0000_s1205"/>
    <customShpInfo spid="_x0000_s1200"/>
    <customShpInfo spid="_x0000_s1202"/>
    <customShpInfo spid="_x0000_s1203"/>
    <customShpInfo spid="_x0000_s1220"/>
    <customShpInfo spid="_x0000_s1223"/>
    <customShpInfo spid="_x0000_s1229"/>
    <customShpInfo spid="_x0000_s1228"/>
    <customShpInfo spid="_x0000_s1227"/>
    <customShpInfo spid="_x0000_s1226"/>
    <customShpInfo spid="_x0000_s1222"/>
    <customShpInfo spid="_x0000_s1216"/>
    <customShpInfo spid="_x0000_s1234"/>
    <customShpInfo spid="_x0000_s1231"/>
    <customShpInfo spid="_x0000_s1230"/>
    <customShpInfo spid="_x0000_s1233"/>
    <customShpInfo spid="_x0000_s1217"/>
    <customShpInfo spid="_x0000_s1218"/>
    <customShpInfo spid="_x0000_s1219"/>
    <customShpInfo spid="_x0000_s1259"/>
    <customShpInfo spid="_x0000_s1255"/>
    <customShpInfo spid="_x0000_s1249"/>
    <customShpInfo spid="_x0000_s1240"/>
    <customShpInfo spid="_x0000_s1239"/>
    <customShpInfo spid="_x0000_s1238"/>
    <customShpInfo spid="_x0000_s1237"/>
    <customShpInfo spid="_x0000_s1254"/>
    <customShpInfo spid="_x0000_s1252"/>
    <customShpInfo spid="_x0000_s1256"/>
    <customShpInfo spid="_x0000_s1247"/>
    <customShpInfo spid="_x0000_s1251"/>
    <customShpInfo spid="_x0000_s1236"/>
    <customShpInfo spid="_x0000_s1244"/>
    <customShpInfo spid="_x0000_s1248"/>
    <customShpInfo spid="_x0000_s1246"/>
    <customShpInfo spid="_x0000_s1142"/>
    <customShpInfo spid="_x0000_s1243"/>
    <customShpInfo spid="_x0000_s1235"/>
    <customShpInfo spid="_x0000_s105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7D4F7-55DC-406D-B733-73BC2F788E1B}">
  <ds:schemaRefs/>
</ds:datastoreItem>
</file>

<file path=docProps/app.xml><?xml version="1.0" encoding="utf-8"?>
<Properties xmlns="http://schemas.openxmlformats.org/officeDocument/2006/extended-properties" xmlns:vt="http://schemas.openxmlformats.org/officeDocument/2006/docPropsVTypes">
  <Template>建设项目环境影响报告表（内容）</Template>
  <Company>xxshks</Company>
  <Pages>33</Pages>
  <Words>3358</Words>
  <Characters>19141</Characters>
  <Lines>159</Lines>
  <Paragraphs>44</Paragraphs>
  <TotalTime>8173</TotalTime>
  <ScaleCrop>false</ScaleCrop>
  <LinksUpToDate>false</LinksUpToDate>
  <CharactersWithSpaces>22455</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2017-04-05T06:46:00Z</dcterms:created>
  <dc:creator>环评4#</dc:creator>
  <cp:lastModifiedBy>Administrator</cp:lastModifiedBy>
  <cp:lastPrinted>2018-07-23T01:01:00Z</cp:lastPrinted>
  <dcterms:modified xsi:type="dcterms:W3CDTF">2019-05-08T03:02:23Z</dcterms:modified>
  <dc:title>建设项目环境影响报告表</dc:title>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