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201</w:t>
      </w:r>
      <w:r>
        <w:rPr>
          <w:rFonts w:hint="eastAsia"/>
          <w:sz w:val="48"/>
          <w:szCs w:val="48"/>
          <w:lang w:val="en-US" w:eastAsia="zh-CN"/>
        </w:rPr>
        <w:t>8</w:t>
      </w:r>
      <w:r>
        <w:rPr>
          <w:rFonts w:hint="eastAsia"/>
          <w:sz w:val="48"/>
          <w:szCs w:val="48"/>
        </w:rPr>
        <w:t>年政府预算分地区公开说明</w:t>
      </w:r>
    </w:p>
    <w:p>
      <w:pPr>
        <w:spacing w:line="220" w:lineRule="atLeast"/>
      </w:pPr>
    </w:p>
    <w:p>
      <w:pPr>
        <w:spacing w:line="220" w:lineRule="atLeas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税收返还、一般转移支付对乡镇没有下达此项资金，只对区本级进行公开。</w:t>
      </w:r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rPr>
          <w:sz w:val="32"/>
          <w:szCs w:val="32"/>
        </w:rPr>
      </w:pPr>
    </w:p>
    <w:p>
      <w:pPr>
        <w:spacing w:line="220" w:lineRule="atLeas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凤泉区财政局</w:t>
      </w:r>
    </w:p>
    <w:p>
      <w:pPr>
        <w:spacing w:line="220" w:lineRule="atLeast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0EA6"/>
    <w:rsid w:val="002512A9"/>
    <w:rsid w:val="002E549E"/>
    <w:rsid w:val="00312B3C"/>
    <w:rsid w:val="0032255E"/>
    <w:rsid w:val="00323B43"/>
    <w:rsid w:val="003D37D8"/>
    <w:rsid w:val="00426133"/>
    <w:rsid w:val="004358AB"/>
    <w:rsid w:val="008B7726"/>
    <w:rsid w:val="009505EA"/>
    <w:rsid w:val="00D31D50"/>
    <w:rsid w:val="00EB7940"/>
    <w:rsid w:val="6EE8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TotalTime>8</TotalTime>
  <ScaleCrop>false</ScaleCrop>
  <LinksUpToDate>false</LinksUpToDate>
  <CharactersWithSpaces>72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2019-10-25T03:57:35Z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