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201</w:t>
      </w:r>
      <w:r>
        <w:rPr>
          <w:rFonts w:hint="eastAsia"/>
          <w:sz w:val="48"/>
          <w:szCs w:val="48"/>
          <w:lang w:val="en-US" w:eastAsia="zh-CN"/>
        </w:rPr>
        <w:t>8</w:t>
      </w:r>
      <w:r>
        <w:rPr>
          <w:rFonts w:hint="eastAsia"/>
          <w:sz w:val="48"/>
          <w:szCs w:val="48"/>
        </w:rPr>
        <w:t>年重大政策和重点项目绩效执行结果公开说明</w:t>
      </w:r>
    </w:p>
    <w:p>
      <w:pPr>
        <w:spacing w:line="220" w:lineRule="atLeast"/>
      </w:pPr>
    </w:p>
    <w:p>
      <w:pPr>
        <w:spacing w:line="220" w:lineRule="atLeast"/>
        <w:ind w:firstLine="640" w:firstLineChars="200"/>
        <w:rPr>
          <w:rFonts w:hint="eastAsia" w:eastAsia="微软雅黑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本年度无重大政策和重点项目绩效执行情况。</w:t>
      </w:r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凤泉区财政局</w:t>
      </w:r>
    </w:p>
    <w:p>
      <w:pPr>
        <w:spacing w:line="220" w:lineRule="atLeas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日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0EA6"/>
    <w:rsid w:val="002512A9"/>
    <w:rsid w:val="002E549E"/>
    <w:rsid w:val="00312B3C"/>
    <w:rsid w:val="0032255E"/>
    <w:rsid w:val="00323B43"/>
    <w:rsid w:val="003D37D8"/>
    <w:rsid w:val="00426133"/>
    <w:rsid w:val="004358AB"/>
    <w:rsid w:val="008B7726"/>
    <w:rsid w:val="009505EA"/>
    <w:rsid w:val="00D31D50"/>
    <w:rsid w:val="00EB7940"/>
    <w:rsid w:val="29E357C0"/>
    <w:rsid w:val="3E203408"/>
    <w:rsid w:val="6EE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崔淼</cp:lastModifiedBy>
  <dcterms:modified xsi:type="dcterms:W3CDTF">2019-11-26T09:06:31Z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