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jc w:val="left"/>
        <w:rPr>
          <w:b/>
          <w:sz w:val="28"/>
        </w:rPr>
      </w:pPr>
      <w:r>
        <w:rPr>
          <w:b/>
          <w:sz w:val="28"/>
        </w:rPr>
        <w:drawing>
          <wp:anchor distT="0" distB="0" distL="114300" distR="114300" simplePos="0" relativeHeight="251851776" behindDoc="0" locked="0" layoutInCell="1" allowOverlap="1">
            <wp:simplePos x="0" y="0"/>
            <wp:positionH relativeFrom="column">
              <wp:posOffset>14605</wp:posOffset>
            </wp:positionH>
            <wp:positionV relativeFrom="paragraph">
              <wp:posOffset>48260</wp:posOffset>
            </wp:positionV>
            <wp:extent cx="6184265" cy="8816340"/>
            <wp:effectExtent l="19050" t="0" r="6901" b="0"/>
            <wp:wrapNone/>
            <wp:docPr id="15" name="图片 1" descr="G:\1-蓝天\16 碧阔塑业-环评\微信截图_20200617111258_副本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G:\1-蓝天\16 碧阔塑业-环评\微信截图_20200617111258_副本_看图王.jpg"/>
                    <pic:cNvPicPr>
                      <a:picLocks noChangeAspect="1" noChangeArrowheads="1"/>
                    </pic:cNvPicPr>
                  </pic:nvPicPr>
                  <pic:blipFill>
                    <a:blip r:embed="rId8"/>
                    <a:srcRect/>
                    <a:stretch>
                      <a:fillRect/>
                    </a:stretch>
                  </pic:blipFill>
                  <pic:spPr>
                    <a:xfrm>
                      <a:off x="0" y="0"/>
                      <a:ext cx="6184349" cy="8816196"/>
                    </a:xfrm>
                    <a:prstGeom prst="rect">
                      <a:avLst/>
                    </a:prstGeom>
                    <a:noFill/>
                    <a:ln w="9525">
                      <a:noFill/>
                      <a:miter lim="800000"/>
                      <a:headEnd/>
                      <a:tailEnd/>
                    </a:ln>
                  </pic:spPr>
                </pic:pic>
              </a:graphicData>
            </a:graphic>
          </wp:anchor>
        </w:drawing>
      </w:r>
      <w:r>
        <w:rPr>
          <w:b/>
          <w:sz w:val="28"/>
        </w:rPr>
        <w:br w:type="page"/>
      </w:r>
    </w:p>
    <w:p>
      <w:pPr>
        <w:widowControl/>
        <w:jc w:val="left"/>
        <w:rPr>
          <w:b/>
          <w:sz w:val="28"/>
        </w:rPr>
        <w:sectPr>
          <w:headerReference r:id="rId3" w:type="default"/>
          <w:footerReference r:id="rId4" w:type="default"/>
          <w:pgSz w:w="11906" w:h="16838"/>
          <w:pgMar w:top="1418" w:right="1134" w:bottom="1701" w:left="1134" w:header="851" w:footer="992" w:gutter="0"/>
          <w:pgNumType w:start="1"/>
          <w:cols w:space="720" w:num="1"/>
          <w:formProt w:val="0"/>
          <w:docGrid w:type="lines" w:linePitch="312" w:charSpace="0"/>
        </w:sectPr>
      </w:pPr>
      <w:r>
        <w:rPr>
          <w:b/>
          <w:sz w:val="28"/>
        </w:rPr>
        <w:pict>
          <v:shape id="_x0000_s1669" o:spid="_x0000_s1669" o:spt="75" type="#_x0000_t75" style="position:absolute;left:0pt;margin-left:-13.65pt;margin-top:-13pt;height:724.95pt;width:506.5pt;z-index:251803648;mso-width-relative:page;mso-height-relative:page;" filled="f" o:preferrelative="t" stroked="f" coordsize="21600,21600">
            <v:path/>
            <v:fill on="f" focussize="0,0"/>
            <v:stroke on="f" joinstyle="miter"/>
            <v:imagedata r:id="rId9" o:title="CCF_000195"/>
            <o:lock v:ext="edit" aspectratio="t"/>
          </v:shape>
        </w:pict>
      </w:r>
      <w:r>
        <w:rPr>
          <w:b/>
          <w:sz w:val="28"/>
        </w:rPr>
        <w:br w:type="page"/>
      </w:r>
      <w:bookmarkStart w:id="1" w:name="_GoBack"/>
      <w:bookmarkEnd w:id="1"/>
    </w:p>
    <w:p>
      <w:pPr>
        <w:spacing w:line="440" w:lineRule="exact"/>
        <w:ind w:firstLine="138"/>
        <w:rPr>
          <w:b/>
          <w:sz w:val="28"/>
        </w:rPr>
        <w:sectPr>
          <w:pgSz w:w="11906" w:h="16838"/>
          <w:pgMar w:top="1418" w:right="1134" w:bottom="1701" w:left="1134" w:header="851" w:footer="992" w:gutter="0"/>
          <w:pgNumType w:start="1"/>
          <w:cols w:space="720" w:num="1"/>
          <w:formProt w:val="0"/>
          <w:docGrid w:type="lines" w:linePitch="312" w:charSpace="0"/>
        </w:sectPr>
      </w:pPr>
      <w:r>
        <w:rPr>
          <w:b/>
          <w:sz w:val="28"/>
        </w:rPr>
        <w:pict>
          <v:shape id="图片 4" o:spid="_x0000_s1670" o:spt="75" type="#_x0000_t75" style="position:absolute;left:0pt;margin-left:-8.2pt;margin-top:-8.75pt;height:724.95pt;width:509.8pt;z-index:251804672;mso-width-relative:page;mso-height-relative:page;" filled="f" o:preferrelative="t" stroked="f" coordsize="21600,21600">
            <v:path/>
            <v:fill on="f" focussize="0,0"/>
            <v:stroke on="f" joinstyle="miter"/>
            <v:imagedata r:id="rId10" o:title="贾证书"/>
            <o:lock v:ext="edit" aspectratio="t"/>
          </v:shape>
        </w:pict>
      </w:r>
    </w:p>
    <w:p>
      <w:pPr>
        <w:spacing w:line="440" w:lineRule="exact"/>
        <w:ind w:firstLine="138"/>
        <w:rPr>
          <w:b/>
          <w:sz w:val="28"/>
        </w:rPr>
      </w:pPr>
      <w:r>
        <w:rPr>
          <w:b/>
          <w:sz w:val="28"/>
        </w:rPr>
        <w:drawing>
          <wp:anchor distT="0" distB="0" distL="114300" distR="114300" simplePos="0" relativeHeight="251805696" behindDoc="0" locked="0" layoutInCell="1" allowOverlap="1">
            <wp:simplePos x="0" y="0"/>
            <wp:positionH relativeFrom="column">
              <wp:posOffset>117475</wp:posOffset>
            </wp:positionH>
            <wp:positionV relativeFrom="paragraph">
              <wp:posOffset>122555</wp:posOffset>
            </wp:positionV>
            <wp:extent cx="5746115" cy="8174990"/>
            <wp:effectExtent l="19050" t="0" r="6985" b="0"/>
            <wp:wrapNone/>
            <wp:docPr id="648" name="图片 5" descr="G:\1-蓝天\14 发泡\1-正式\新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5" descr="G:\1-蓝天\14 发泡\1-正式\新营业执照.jpg"/>
                    <pic:cNvPicPr>
                      <a:picLocks noChangeAspect="1" noChangeArrowheads="1"/>
                    </pic:cNvPicPr>
                  </pic:nvPicPr>
                  <pic:blipFill>
                    <a:blip r:embed="rId11"/>
                    <a:srcRect/>
                    <a:stretch>
                      <a:fillRect/>
                    </a:stretch>
                  </pic:blipFill>
                  <pic:spPr>
                    <a:xfrm>
                      <a:off x="0" y="0"/>
                      <a:ext cx="5746115" cy="8174990"/>
                    </a:xfrm>
                    <a:prstGeom prst="rect">
                      <a:avLst/>
                    </a:prstGeom>
                    <a:noFill/>
                    <a:ln w="9525">
                      <a:noFill/>
                      <a:miter lim="800000"/>
                      <a:headEnd/>
                      <a:tailEnd/>
                    </a:ln>
                  </pic:spPr>
                </pic:pic>
              </a:graphicData>
            </a:graphic>
          </wp:anchor>
        </w:drawing>
      </w: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pPr>
    </w:p>
    <w:p>
      <w:pPr>
        <w:spacing w:line="440" w:lineRule="exact"/>
        <w:ind w:firstLine="138"/>
        <w:rPr>
          <w:b/>
          <w:sz w:val="28"/>
        </w:rPr>
        <w:sectPr>
          <w:pgSz w:w="11906" w:h="16838"/>
          <w:pgMar w:top="1418" w:right="1134" w:bottom="1701" w:left="1134" w:header="851" w:footer="992" w:gutter="0"/>
          <w:pgNumType w:start="1"/>
          <w:cols w:space="720" w:num="1"/>
          <w:formProt w:val="0"/>
          <w:docGrid w:type="lines" w:linePitch="312" w:charSpace="0"/>
        </w:sectPr>
      </w:pPr>
    </w:p>
    <w:p>
      <w:pPr>
        <w:spacing w:line="440" w:lineRule="exact"/>
        <w:ind w:firstLine="138"/>
        <w:rPr>
          <w:b/>
          <w:sz w:val="28"/>
        </w:rPr>
      </w:pPr>
      <w:r>
        <w:rPr>
          <w:b/>
          <w:sz w:val="28"/>
        </w:rPr>
        <w:drawing>
          <wp:anchor distT="0" distB="0" distL="114300" distR="114300" simplePos="0" relativeHeight="251850752" behindDoc="0" locked="0" layoutInCell="1" allowOverlap="1">
            <wp:simplePos x="0" y="0"/>
            <wp:positionH relativeFrom="column">
              <wp:posOffset>-18415</wp:posOffset>
            </wp:positionH>
            <wp:positionV relativeFrom="paragraph">
              <wp:posOffset>-94615</wp:posOffset>
            </wp:positionV>
            <wp:extent cx="6122670" cy="8721090"/>
            <wp:effectExtent l="19050" t="0" r="0" b="0"/>
            <wp:wrapNone/>
            <wp:docPr id="9" name="图片 1" descr="G:\1-蓝天\16 碧阔塑业-环评\1 碧阔塑业-正式\审核单\CCF_0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G:\1-蓝天\16 碧阔塑业-环评\1 碧阔塑业-正式\审核单\CCF_000294.jpg"/>
                    <pic:cNvPicPr>
                      <a:picLocks noChangeAspect="1" noChangeArrowheads="1"/>
                    </pic:cNvPicPr>
                  </pic:nvPicPr>
                  <pic:blipFill>
                    <a:blip r:embed="rId12"/>
                    <a:srcRect/>
                    <a:stretch>
                      <a:fillRect/>
                    </a:stretch>
                  </pic:blipFill>
                  <pic:spPr>
                    <a:xfrm>
                      <a:off x="0" y="0"/>
                      <a:ext cx="6122442" cy="8720919"/>
                    </a:xfrm>
                    <a:prstGeom prst="rect">
                      <a:avLst/>
                    </a:prstGeom>
                    <a:noFill/>
                    <a:ln w="9525">
                      <a:noFill/>
                      <a:miter lim="800000"/>
                      <a:headEnd/>
                      <a:tailEnd/>
                    </a:ln>
                  </pic:spPr>
                </pic:pic>
              </a:graphicData>
            </a:graphic>
          </wp:anchor>
        </w:drawing>
      </w:r>
    </w:p>
    <w:p>
      <w:pPr>
        <w:spacing w:line="440" w:lineRule="exact"/>
        <w:ind w:firstLine="138"/>
        <w:rPr>
          <w:b/>
          <w:sz w:val="28"/>
        </w:rPr>
        <w:sectPr>
          <w:pgSz w:w="11906" w:h="16838"/>
          <w:pgMar w:top="1418" w:right="1134" w:bottom="1701" w:left="1134" w:header="851" w:footer="992" w:gutter="0"/>
          <w:pgNumType w:start="1"/>
          <w:cols w:space="720" w:num="1"/>
          <w:formProt w:val="0"/>
          <w:docGrid w:type="lines" w:linePitch="312" w:charSpace="0"/>
        </w:sectPr>
      </w:pPr>
    </w:p>
    <w:p>
      <w:pPr>
        <w:spacing w:line="440" w:lineRule="exact"/>
        <w:ind w:firstLine="138"/>
        <w:rPr>
          <w:b/>
          <w:sz w:val="28"/>
        </w:rPr>
      </w:pPr>
      <w:r>
        <w:rPr>
          <w:b/>
          <w:sz w:val="28"/>
        </w:rPr>
        <w:t>建设项目基本情况</w:t>
      </w:r>
    </w:p>
    <w:tbl>
      <w:tblPr>
        <w:tblStyle w:val="19"/>
        <w:tblW w:w="9441" w:type="dxa"/>
        <w:jc w:val="center"/>
        <w:tblLayout w:type="autofit"/>
        <w:tblCellMar>
          <w:top w:w="0" w:type="dxa"/>
          <w:left w:w="108" w:type="dxa"/>
          <w:bottom w:w="0" w:type="dxa"/>
          <w:right w:w="108" w:type="dxa"/>
        </w:tblCellMar>
      </w:tblPr>
      <w:tblGrid>
        <w:gridCol w:w="1193"/>
        <w:gridCol w:w="1208"/>
        <w:gridCol w:w="257"/>
        <w:gridCol w:w="539"/>
        <w:gridCol w:w="685"/>
        <w:gridCol w:w="698"/>
        <w:gridCol w:w="1642"/>
        <w:gridCol w:w="620"/>
        <w:gridCol w:w="1068"/>
        <w:gridCol w:w="207"/>
        <w:gridCol w:w="134"/>
        <w:gridCol w:w="1190"/>
      </w:tblGrid>
      <w:tr>
        <w:tblPrEx>
          <w:tblCellMar>
            <w:top w:w="0" w:type="dxa"/>
            <w:left w:w="108" w:type="dxa"/>
            <w:bottom w:w="0" w:type="dxa"/>
            <w:right w:w="108" w:type="dxa"/>
          </w:tblCellMar>
        </w:tblPrEx>
        <w:trPr>
          <w:trHeight w:val="458" w:hRule="atLeast"/>
          <w:jc w:val="center"/>
        </w:trPr>
        <w:tc>
          <w:tcPr>
            <w:tcW w:w="1193" w:type="dxa"/>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项目名称</w:t>
            </w:r>
          </w:p>
        </w:tc>
        <w:tc>
          <w:tcPr>
            <w:tcW w:w="8248" w:type="dxa"/>
            <w:gridSpan w:val="11"/>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年产8亿只电池密封圈、2.5亿只负极底扩建项目</w:t>
            </w:r>
          </w:p>
        </w:tc>
      </w:tr>
      <w:tr>
        <w:tblPrEx>
          <w:tblCellMar>
            <w:top w:w="0" w:type="dxa"/>
            <w:left w:w="108" w:type="dxa"/>
            <w:bottom w:w="0" w:type="dxa"/>
            <w:right w:w="108" w:type="dxa"/>
          </w:tblCellMar>
        </w:tblPrEx>
        <w:trPr>
          <w:trHeight w:val="463"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建设单位</w:t>
            </w:r>
          </w:p>
        </w:tc>
        <w:tc>
          <w:tcPr>
            <w:tcW w:w="8248" w:type="dxa"/>
            <w:gridSpan w:val="11"/>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新乡市碧阔塑业有限公司</w:t>
            </w:r>
          </w:p>
        </w:tc>
      </w:tr>
      <w:tr>
        <w:tblPrEx>
          <w:tblCellMar>
            <w:top w:w="0" w:type="dxa"/>
            <w:left w:w="108" w:type="dxa"/>
            <w:bottom w:w="0" w:type="dxa"/>
            <w:right w:w="108" w:type="dxa"/>
          </w:tblCellMar>
        </w:tblPrEx>
        <w:trPr>
          <w:trHeight w:val="463"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法人代表</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lang w:val="pt-BR"/>
              </w:rPr>
              <w:t>张成昆</w:t>
            </w:r>
          </w:p>
        </w:tc>
        <w:tc>
          <w:tcPr>
            <w:tcW w:w="14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身份证号码</w:t>
            </w:r>
          </w:p>
        </w:tc>
        <w:tc>
          <w:tcPr>
            <w:tcW w:w="29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rPr>
              <w:t>410721198207240515</w:t>
            </w:r>
          </w:p>
        </w:tc>
        <w:tc>
          <w:tcPr>
            <w:tcW w:w="14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联系人</w:t>
            </w:r>
          </w:p>
        </w:tc>
        <w:tc>
          <w:tcPr>
            <w:tcW w:w="119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rFonts w:hint="eastAsia"/>
                <w:sz w:val="24"/>
                <w:lang w:val="pt-BR"/>
              </w:rPr>
              <w:t>张成昆</w:t>
            </w:r>
          </w:p>
        </w:tc>
      </w:tr>
      <w:tr>
        <w:tblPrEx>
          <w:tblCellMar>
            <w:top w:w="0" w:type="dxa"/>
            <w:left w:w="108" w:type="dxa"/>
            <w:bottom w:w="0" w:type="dxa"/>
            <w:right w:w="108" w:type="dxa"/>
          </w:tblCellMar>
        </w:tblPrEx>
        <w:trPr>
          <w:cantSplit/>
          <w:trHeight w:val="434"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通讯地址</w:t>
            </w:r>
          </w:p>
        </w:tc>
        <w:tc>
          <w:tcPr>
            <w:tcW w:w="8248" w:type="dxa"/>
            <w:gridSpan w:val="11"/>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新乡市凤泉区大块镇小块村西1658号</w:t>
            </w:r>
          </w:p>
        </w:tc>
      </w:tr>
      <w:tr>
        <w:tblPrEx>
          <w:tblCellMar>
            <w:top w:w="0" w:type="dxa"/>
            <w:left w:w="108" w:type="dxa"/>
            <w:bottom w:w="0" w:type="dxa"/>
            <w:right w:w="108" w:type="dxa"/>
          </w:tblCellMar>
        </w:tblPrEx>
        <w:trPr>
          <w:trHeight w:val="480"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联系电话</w:t>
            </w:r>
          </w:p>
        </w:tc>
        <w:tc>
          <w:tcPr>
            <w:tcW w:w="20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lang w:val="pt-BR"/>
              </w:rPr>
              <w:t>18790623000</w:t>
            </w:r>
          </w:p>
        </w:tc>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传真</w:t>
            </w:r>
          </w:p>
        </w:tc>
        <w:tc>
          <w:tcPr>
            <w:tcW w:w="22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邮政编码</w:t>
            </w:r>
          </w:p>
        </w:tc>
        <w:tc>
          <w:tcPr>
            <w:tcW w:w="1324"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rFonts w:hint="eastAsia"/>
                <w:sz w:val="24"/>
              </w:rPr>
              <w:t>453011</w:t>
            </w:r>
          </w:p>
        </w:tc>
      </w:tr>
      <w:tr>
        <w:tblPrEx>
          <w:tblCellMar>
            <w:top w:w="0" w:type="dxa"/>
            <w:left w:w="108" w:type="dxa"/>
            <w:bottom w:w="0" w:type="dxa"/>
            <w:right w:w="108" w:type="dxa"/>
          </w:tblCellMar>
        </w:tblPrEx>
        <w:trPr>
          <w:cantSplit/>
          <w:trHeight w:val="462"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建设地点</w:t>
            </w:r>
          </w:p>
        </w:tc>
        <w:tc>
          <w:tcPr>
            <w:tcW w:w="8248" w:type="dxa"/>
            <w:gridSpan w:val="11"/>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新乡市凤泉区大块镇小块村西1658号</w:t>
            </w:r>
          </w:p>
        </w:tc>
      </w:tr>
      <w:tr>
        <w:tblPrEx>
          <w:tblCellMar>
            <w:top w:w="0" w:type="dxa"/>
            <w:left w:w="108" w:type="dxa"/>
            <w:bottom w:w="0" w:type="dxa"/>
            <w:right w:w="108" w:type="dxa"/>
          </w:tblCellMar>
        </w:tblPrEx>
        <w:trPr>
          <w:cantSplit/>
          <w:trHeight w:val="692"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备案部门</w:t>
            </w:r>
          </w:p>
        </w:tc>
        <w:tc>
          <w:tcPr>
            <w:tcW w:w="3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rPr>
              <w:t>新乡市凤泉区发展和改革委员会</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项目代码</w:t>
            </w:r>
          </w:p>
        </w:tc>
        <w:tc>
          <w:tcPr>
            <w:tcW w:w="3219" w:type="dxa"/>
            <w:gridSpan w:val="5"/>
            <w:tcBorders>
              <w:top w:val="single" w:color="000000" w:sz="4" w:space="0"/>
              <w:left w:val="single" w:color="000000" w:sz="4" w:space="0"/>
              <w:bottom w:val="single" w:color="000000" w:sz="4" w:space="0"/>
              <w:right w:val="single" w:color="000000" w:sz="8" w:space="0"/>
            </w:tcBorders>
            <w:shd w:val="clear" w:color="auto" w:fill="auto"/>
            <w:tcMar>
              <w:left w:w="0" w:type="dxa"/>
              <w:right w:w="0" w:type="dxa"/>
            </w:tcMar>
            <w:vAlign w:val="center"/>
          </w:tcPr>
          <w:p>
            <w:pPr>
              <w:jc w:val="center"/>
              <w:rPr>
                <w:spacing w:val="-10"/>
                <w:sz w:val="24"/>
              </w:rPr>
            </w:pPr>
            <w:r>
              <w:rPr>
                <w:rFonts w:hint="eastAsia"/>
                <w:sz w:val="24"/>
              </w:rPr>
              <w:t>2020-410704-29-03-021184</w:t>
            </w:r>
          </w:p>
        </w:tc>
      </w:tr>
      <w:tr>
        <w:tblPrEx>
          <w:tblCellMar>
            <w:top w:w="0" w:type="dxa"/>
            <w:left w:w="108" w:type="dxa"/>
            <w:bottom w:w="0" w:type="dxa"/>
            <w:right w:w="108" w:type="dxa"/>
          </w:tblCellMar>
        </w:tblPrEx>
        <w:trPr>
          <w:cantSplit/>
          <w:trHeight w:val="777"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建设性质</w:t>
            </w:r>
          </w:p>
        </w:tc>
        <w:tc>
          <w:tcPr>
            <w:tcW w:w="3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新建  改扩建√  技改</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行业类别及代码</w:t>
            </w:r>
          </w:p>
        </w:tc>
        <w:tc>
          <w:tcPr>
            <w:tcW w:w="3219" w:type="dxa"/>
            <w:gridSpan w:val="5"/>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C2928  塑料零件制造</w:t>
            </w:r>
          </w:p>
          <w:p>
            <w:pPr>
              <w:jc w:val="center"/>
              <w:rPr>
                <w:sz w:val="24"/>
              </w:rPr>
            </w:pPr>
            <w:r>
              <w:rPr>
                <w:rFonts w:hint="eastAsia"/>
                <w:sz w:val="24"/>
              </w:rPr>
              <w:t>C3399 其他未列明金属制品制造</w:t>
            </w:r>
          </w:p>
        </w:tc>
      </w:tr>
      <w:tr>
        <w:tblPrEx>
          <w:tblCellMar>
            <w:top w:w="0" w:type="dxa"/>
            <w:left w:w="108" w:type="dxa"/>
            <w:bottom w:w="0" w:type="dxa"/>
            <w:right w:w="108" w:type="dxa"/>
          </w:tblCellMar>
        </w:tblPrEx>
        <w:trPr>
          <w:cantSplit/>
          <w:trHeight w:val="440"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占地面积</w:t>
            </w:r>
          </w:p>
          <w:p>
            <w:pPr>
              <w:jc w:val="center"/>
              <w:rPr>
                <w:sz w:val="24"/>
              </w:rPr>
            </w:pPr>
            <w:r>
              <w:rPr>
                <w:sz w:val="24"/>
              </w:rPr>
              <w:t>(平方米)</w:t>
            </w:r>
          </w:p>
        </w:tc>
        <w:tc>
          <w:tcPr>
            <w:tcW w:w="3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rPr>
              <w:t>1024</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绿化面积</w:t>
            </w:r>
          </w:p>
          <w:p>
            <w:pPr>
              <w:jc w:val="center"/>
              <w:rPr>
                <w:sz w:val="24"/>
              </w:rPr>
            </w:pPr>
            <w:r>
              <w:rPr>
                <w:sz w:val="24"/>
              </w:rPr>
              <w:t>(平方米)</w:t>
            </w:r>
          </w:p>
        </w:tc>
        <w:tc>
          <w:tcPr>
            <w:tcW w:w="3219" w:type="dxa"/>
            <w:gridSpan w:val="5"/>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sz w:val="24"/>
              </w:rPr>
              <w:t>/</w:t>
            </w:r>
          </w:p>
        </w:tc>
      </w:tr>
      <w:tr>
        <w:tblPrEx>
          <w:tblCellMar>
            <w:top w:w="0" w:type="dxa"/>
            <w:left w:w="108" w:type="dxa"/>
            <w:bottom w:w="0" w:type="dxa"/>
            <w:right w:w="108" w:type="dxa"/>
          </w:tblCellMar>
        </w:tblPrEx>
        <w:trPr>
          <w:trHeight w:val="520" w:hRule="atLeast"/>
          <w:jc w:val="center"/>
        </w:trPr>
        <w:tc>
          <w:tcPr>
            <w:tcW w:w="119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sz w:val="24"/>
              </w:rPr>
            </w:pPr>
            <w:r>
              <w:rPr>
                <w:sz w:val="24"/>
              </w:rPr>
              <w:t>总投资</w:t>
            </w:r>
          </w:p>
          <w:p>
            <w:pPr>
              <w:jc w:val="center"/>
              <w:rPr>
                <w:sz w:val="24"/>
              </w:rPr>
            </w:pPr>
            <w:r>
              <w:rPr>
                <w:sz w:val="24"/>
              </w:rPr>
              <w:t>（万元）</w:t>
            </w:r>
          </w:p>
        </w:tc>
        <w:tc>
          <w:tcPr>
            <w:tcW w:w="1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rPr>
              <w:t>200</w:t>
            </w:r>
          </w:p>
          <w:p>
            <w:pPr>
              <w:jc w:val="center"/>
              <w:rPr>
                <w:sz w:val="24"/>
              </w:rPr>
            </w:pPr>
            <w:r>
              <w:rPr>
                <w:rFonts w:hint="eastAsia"/>
                <w:sz w:val="24"/>
              </w:rPr>
              <w:t>（税收：20万/年）</w:t>
            </w:r>
          </w:p>
        </w:tc>
        <w:tc>
          <w:tcPr>
            <w:tcW w:w="1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其中：环保投资（万元）</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rFonts w:hint="eastAsia"/>
                <w:sz w:val="24"/>
              </w:rPr>
              <w:t>20</w:t>
            </w:r>
          </w:p>
        </w:tc>
        <w:tc>
          <w:tcPr>
            <w:tcW w:w="16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4"/>
              </w:rPr>
            </w:pPr>
            <w:r>
              <w:rPr>
                <w:sz w:val="24"/>
              </w:rPr>
              <w:t>环保投资占总投资比例</w:t>
            </w:r>
          </w:p>
        </w:tc>
        <w:tc>
          <w:tcPr>
            <w:tcW w:w="1531"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sz w:val="24"/>
              </w:rPr>
            </w:pPr>
            <w:r>
              <w:rPr>
                <w:rFonts w:hint="eastAsia"/>
                <w:sz w:val="24"/>
              </w:rPr>
              <w:t>10</w:t>
            </w:r>
            <w:r>
              <w:rPr>
                <w:sz w:val="24"/>
              </w:rPr>
              <w:t>%</w:t>
            </w:r>
          </w:p>
        </w:tc>
      </w:tr>
      <w:tr>
        <w:tblPrEx>
          <w:tblCellMar>
            <w:top w:w="0" w:type="dxa"/>
            <w:left w:w="108" w:type="dxa"/>
            <w:bottom w:w="0" w:type="dxa"/>
            <w:right w:w="108" w:type="dxa"/>
          </w:tblCellMar>
        </w:tblPrEx>
        <w:trPr>
          <w:cantSplit/>
          <w:trHeight w:val="703" w:hRule="atLeast"/>
          <w:jc w:val="center"/>
        </w:trPr>
        <w:tc>
          <w:tcPr>
            <w:tcW w:w="1193"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sz w:val="24"/>
              </w:rPr>
            </w:pPr>
            <w:r>
              <w:rPr>
                <w:sz w:val="24"/>
              </w:rPr>
              <w:t>评价经费</w:t>
            </w:r>
          </w:p>
          <w:p>
            <w:pPr>
              <w:jc w:val="center"/>
              <w:rPr>
                <w:sz w:val="24"/>
              </w:rPr>
            </w:pPr>
            <w:r>
              <w:rPr>
                <w:sz w:val="24"/>
              </w:rPr>
              <w:t>（万元）</w:t>
            </w:r>
          </w:p>
        </w:tc>
        <w:tc>
          <w:tcPr>
            <w:tcW w:w="1465"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 w:val="24"/>
              </w:rPr>
            </w:pPr>
            <w:r>
              <w:rPr>
                <w:sz w:val="24"/>
              </w:rPr>
              <w:t>/</w:t>
            </w:r>
          </w:p>
        </w:tc>
        <w:tc>
          <w:tcPr>
            <w:tcW w:w="1922" w:type="dxa"/>
            <w:gridSpan w:val="3"/>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 w:val="24"/>
              </w:rPr>
            </w:pPr>
            <w:r>
              <w:rPr>
                <w:sz w:val="24"/>
              </w:rPr>
              <w:t>预期投产日期</w:t>
            </w:r>
          </w:p>
        </w:tc>
        <w:tc>
          <w:tcPr>
            <w:tcW w:w="4861" w:type="dxa"/>
            <w:gridSpan w:val="6"/>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sz w:val="24"/>
              </w:rPr>
            </w:pPr>
            <w:r>
              <w:rPr>
                <w:rFonts w:hint="eastAsia"/>
                <w:sz w:val="24"/>
              </w:rPr>
              <w:t>2020.9</w:t>
            </w:r>
          </w:p>
        </w:tc>
      </w:tr>
      <w:tr>
        <w:tblPrEx>
          <w:tblCellMar>
            <w:top w:w="0" w:type="dxa"/>
            <w:left w:w="108" w:type="dxa"/>
            <w:bottom w:w="0" w:type="dxa"/>
            <w:right w:w="108" w:type="dxa"/>
          </w:tblCellMar>
        </w:tblPrEx>
        <w:trPr>
          <w:trHeight w:val="454" w:hRule="atLeast"/>
          <w:jc w:val="center"/>
        </w:trPr>
        <w:tc>
          <w:tcPr>
            <w:tcW w:w="9441" w:type="dxa"/>
            <w:gridSpan w:val="12"/>
            <w:tcBorders>
              <w:top w:val="single" w:color="000000" w:sz="8" w:space="0"/>
              <w:left w:val="single" w:color="000000" w:sz="8" w:space="0"/>
              <w:bottom w:val="single" w:color="000000" w:sz="8" w:space="0"/>
              <w:right w:val="single" w:color="000000" w:sz="8" w:space="0"/>
            </w:tcBorders>
            <w:shd w:val="clear" w:color="auto" w:fill="auto"/>
          </w:tcPr>
          <w:p>
            <w:pPr>
              <w:tabs>
                <w:tab w:val="left" w:pos="510"/>
              </w:tabs>
              <w:snapToGrid w:val="0"/>
              <w:spacing w:line="460" w:lineRule="exact"/>
              <w:ind w:left="27" w:firstLine="468"/>
              <w:rPr>
                <w:rFonts w:ascii="黑体" w:hAnsi="黑体" w:eastAsia="黑体"/>
                <w:sz w:val="24"/>
              </w:rPr>
            </w:pPr>
            <w:r>
              <w:rPr>
                <w:rFonts w:ascii="黑体" w:hAnsi="黑体" w:eastAsia="黑体"/>
                <w:sz w:val="24"/>
              </w:rPr>
              <w:t>一、项目由来</w:t>
            </w:r>
          </w:p>
          <w:p>
            <w:pPr>
              <w:spacing w:line="460" w:lineRule="exact"/>
              <w:ind w:firstLine="482"/>
              <w:rPr>
                <w:sz w:val="24"/>
              </w:rPr>
            </w:pPr>
            <w:r>
              <w:rPr>
                <w:sz w:val="24"/>
              </w:rPr>
              <w:t>新乡市碧阔塑业有限公司成立于</w:t>
            </w:r>
            <w:r>
              <w:rPr>
                <w:rFonts w:hint="eastAsia"/>
                <w:sz w:val="24"/>
              </w:rPr>
              <w:t>2014年，公司现有工程</w:t>
            </w:r>
            <w:r>
              <w:rPr>
                <w:sz w:val="24"/>
              </w:rPr>
              <w:t>为</w:t>
            </w:r>
            <w:r>
              <w:rPr>
                <w:rFonts w:hint="eastAsia"/>
                <w:sz w:val="24"/>
              </w:rPr>
              <w:t>年产1亿只塑罩、负极底5亿只项目</w:t>
            </w:r>
            <w:r>
              <w:rPr>
                <w:sz w:val="24"/>
              </w:rPr>
              <w:t>，产品主要为</w:t>
            </w:r>
            <w:r>
              <w:rPr>
                <w:rFonts w:hint="eastAsia"/>
                <w:sz w:val="24"/>
              </w:rPr>
              <w:t>电池的塑料罩体和负极底。</w:t>
            </w:r>
            <w:r>
              <w:rPr>
                <w:sz w:val="24"/>
              </w:rPr>
              <w:t>该项目现状评估报告已于20</w:t>
            </w:r>
            <w:r>
              <w:rPr>
                <w:rFonts w:hint="eastAsia"/>
                <w:sz w:val="24"/>
              </w:rPr>
              <w:t>17</w:t>
            </w:r>
            <w:r>
              <w:rPr>
                <w:sz w:val="24"/>
              </w:rPr>
              <w:t>年</w:t>
            </w:r>
            <w:r>
              <w:rPr>
                <w:rFonts w:hint="eastAsia"/>
                <w:sz w:val="24"/>
              </w:rPr>
              <w:t>9</w:t>
            </w:r>
            <w:r>
              <w:rPr>
                <w:sz w:val="24"/>
              </w:rPr>
              <w:t>月由</w:t>
            </w:r>
            <w:r>
              <w:rPr>
                <w:rFonts w:hint="eastAsia"/>
                <w:sz w:val="24"/>
              </w:rPr>
              <w:t>济源蓝天科技有限责任公司</w:t>
            </w:r>
            <w:r>
              <w:rPr>
                <w:sz w:val="24"/>
              </w:rPr>
              <w:t>编制完成</w:t>
            </w:r>
            <w:r>
              <w:rPr>
                <w:rFonts w:hint="eastAsia"/>
                <w:sz w:val="24"/>
              </w:rPr>
              <w:t>，</w:t>
            </w:r>
            <w:r>
              <w:rPr>
                <w:sz w:val="24"/>
              </w:rPr>
              <w:t>并于20</w:t>
            </w:r>
            <w:r>
              <w:rPr>
                <w:rFonts w:hint="eastAsia"/>
                <w:sz w:val="24"/>
              </w:rPr>
              <w:t>17</w:t>
            </w:r>
            <w:r>
              <w:rPr>
                <w:sz w:val="24"/>
              </w:rPr>
              <w:t>年</w:t>
            </w:r>
            <w:r>
              <w:rPr>
                <w:rFonts w:hint="eastAsia"/>
                <w:sz w:val="24"/>
              </w:rPr>
              <w:t>9</w:t>
            </w:r>
            <w:r>
              <w:rPr>
                <w:sz w:val="24"/>
              </w:rPr>
              <w:t>月</w:t>
            </w:r>
            <w:r>
              <w:rPr>
                <w:rFonts w:hint="eastAsia"/>
                <w:sz w:val="24"/>
              </w:rPr>
              <w:t>30</w:t>
            </w:r>
            <w:r>
              <w:rPr>
                <w:sz w:val="24"/>
              </w:rPr>
              <w:t>日</w:t>
            </w:r>
            <w:r>
              <w:rPr>
                <w:rFonts w:hint="eastAsia"/>
                <w:sz w:val="24"/>
              </w:rPr>
              <w:t>经凤泉区</w:t>
            </w:r>
            <w:r>
              <w:rPr>
                <w:sz w:val="24"/>
              </w:rPr>
              <w:t>环保局</w:t>
            </w:r>
            <w:r>
              <w:rPr>
                <w:rFonts w:hint="eastAsia"/>
                <w:sz w:val="24"/>
              </w:rPr>
              <w:t>备案</w:t>
            </w:r>
            <w:r>
              <w:rPr>
                <w:sz w:val="24"/>
              </w:rPr>
              <w:t>，</w:t>
            </w:r>
            <w:r>
              <w:rPr>
                <w:rFonts w:hint="eastAsia"/>
                <w:sz w:val="24"/>
              </w:rPr>
              <w:t>备案</w:t>
            </w:r>
            <w:r>
              <w:rPr>
                <w:sz w:val="24"/>
              </w:rPr>
              <w:t>文号凤环</w:t>
            </w:r>
            <w:r>
              <w:rPr>
                <w:rFonts w:hint="eastAsia"/>
                <w:sz w:val="24"/>
              </w:rPr>
              <w:t>清改</w:t>
            </w:r>
            <w:r>
              <w:rPr>
                <w:sz w:val="24"/>
              </w:rPr>
              <w:t>备第</w:t>
            </w:r>
            <w:r>
              <w:rPr>
                <w:rFonts w:hint="eastAsia"/>
                <w:sz w:val="24"/>
              </w:rPr>
              <w:t>3批</w:t>
            </w:r>
            <w:r>
              <w:rPr>
                <w:sz w:val="24"/>
              </w:rPr>
              <w:t>。</w:t>
            </w:r>
          </w:p>
          <w:p>
            <w:pPr>
              <w:spacing w:line="460" w:lineRule="exact"/>
              <w:ind w:firstLine="482"/>
              <w:rPr>
                <w:sz w:val="24"/>
              </w:rPr>
            </w:pPr>
            <w:r>
              <w:rPr>
                <w:rFonts w:hint="eastAsia"/>
                <w:sz w:val="24"/>
              </w:rPr>
              <w:t>鉴于</w:t>
            </w:r>
            <w:r>
              <w:rPr>
                <w:sz w:val="24"/>
              </w:rPr>
              <w:t>市场需要</w:t>
            </w:r>
            <w:r>
              <w:rPr>
                <w:rFonts w:hint="eastAsia"/>
                <w:sz w:val="24"/>
              </w:rPr>
              <w:t>，</w:t>
            </w:r>
            <w:r>
              <w:rPr>
                <w:sz w:val="24"/>
              </w:rPr>
              <w:t>新乡市碧阔塑业有限公司拟投资200万元，在现有厂区内建设年产8亿只电池密封圈、2.5亿只负极底扩建项目</w:t>
            </w:r>
            <w:r>
              <w:rPr>
                <w:rFonts w:hint="eastAsia"/>
                <w:sz w:val="24"/>
              </w:rPr>
              <w:t>，产品主要为电池的密封圈和负极底，</w:t>
            </w:r>
            <w:r>
              <w:rPr>
                <w:sz w:val="24"/>
              </w:rPr>
              <w:t>扩建后全厂总产能为年产</w:t>
            </w:r>
            <w:r>
              <w:rPr>
                <w:rFonts w:hint="eastAsia"/>
                <w:sz w:val="24"/>
              </w:rPr>
              <w:t>1亿只塑罩、8亿只电池密封圈、7.5亿只负极底。</w:t>
            </w:r>
            <w:r>
              <w:rPr>
                <w:sz w:val="24"/>
              </w:rPr>
              <w:t>本次项目</w:t>
            </w:r>
            <w:r>
              <w:rPr>
                <w:rFonts w:hint="eastAsia"/>
                <w:sz w:val="24"/>
              </w:rPr>
              <w:t>在现有</w:t>
            </w:r>
            <w:r>
              <w:rPr>
                <w:sz w:val="24"/>
              </w:rPr>
              <w:t>生产厂房内进行扩建生产，</w:t>
            </w:r>
            <w:r>
              <w:rPr>
                <w:rFonts w:hint="eastAsia"/>
                <w:sz w:val="24"/>
              </w:rPr>
              <w:t>厂房</w:t>
            </w:r>
            <w:r>
              <w:rPr>
                <w:sz w:val="24"/>
              </w:rPr>
              <w:t>总占地面积共</w:t>
            </w:r>
            <w:r>
              <w:rPr>
                <w:rFonts w:hint="eastAsia"/>
                <w:sz w:val="24"/>
              </w:rPr>
              <w:t>1024</w:t>
            </w:r>
            <w:r>
              <w:rPr>
                <w:sz w:val="24"/>
              </w:rPr>
              <w:t>m</w:t>
            </w:r>
            <w:r>
              <w:rPr>
                <w:sz w:val="24"/>
                <w:vertAlign w:val="superscript"/>
              </w:rPr>
              <w:t>2</w:t>
            </w:r>
            <w:r>
              <w:rPr>
                <w:sz w:val="24"/>
              </w:rPr>
              <w:t>。目前，设备</w:t>
            </w:r>
            <w:r>
              <w:rPr>
                <w:rFonts w:hint="eastAsia"/>
                <w:sz w:val="24"/>
              </w:rPr>
              <w:t>未</w:t>
            </w:r>
            <w:r>
              <w:rPr>
                <w:sz w:val="24"/>
              </w:rPr>
              <w:t>安装，不具备生产能力</w:t>
            </w:r>
            <w:r>
              <w:rPr>
                <w:rFonts w:hint="eastAsia"/>
                <w:sz w:val="24"/>
              </w:rPr>
              <w:t>，</w:t>
            </w:r>
            <w:r>
              <w:rPr>
                <w:sz w:val="24"/>
              </w:rPr>
              <w:t>不</w:t>
            </w:r>
            <w:r>
              <w:rPr>
                <w:rFonts w:hint="eastAsia"/>
                <w:sz w:val="24"/>
              </w:rPr>
              <w:t>属于</w:t>
            </w:r>
            <w:r>
              <w:rPr>
                <w:sz w:val="24"/>
              </w:rPr>
              <w:t>未批先建。</w:t>
            </w:r>
          </w:p>
          <w:p>
            <w:pPr>
              <w:tabs>
                <w:tab w:val="left" w:pos="859"/>
              </w:tabs>
              <w:spacing w:line="460" w:lineRule="exact"/>
              <w:ind w:firstLine="482"/>
            </w:pPr>
            <w:r>
              <w:rPr>
                <w:sz w:val="24"/>
              </w:rPr>
              <w:t>经查阅《建设项目环境影响评价分类管理名录》（2017.9.1）及2018修改单，本次密封圈生产项目属于第十八项橡胶和塑料制品业，第47条塑料制品制造，名录规定：</w:t>
            </w:r>
            <w:r>
              <w:rPr>
                <w:rFonts w:hint="eastAsia"/>
                <w:sz w:val="24"/>
              </w:rPr>
              <w:t>“</w:t>
            </w:r>
            <w:r>
              <w:rPr>
                <w:sz w:val="24"/>
              </w:rPr>
              <w:t>人造革、发泡胶等涉及有毒原材料的；以再生塑料为原料的；有电镀或喷漆工艺且年用油性漆量（含稀释剂）10吨及以上的</w:t>
            </w:r>
            <w:r>
              <w:rPr>
                <w:rFonts w:hint="eastAsia"/>
                <w:sz w:val="24"/>
              </w:rPr>
              <w:t>”</w:t>
            </w:r>
            <w:r>
              <w:rPr>
                <w:sz w:val="24"/>
              </w:rPr>
              <w:t>项目应编制环境影响报告书；其他项目应编制环境影响报告表。本项目原料为外购的聚丙烯</w:t>
            </w:r>
            <w:r>
              <w:rPr>
                <w:rFonts w:hint="eastAsia"/>
                <w:sz w:val="24"/>
              </w:rPr>
              <w:t>、</w:t>
            </w:r>
            <w:r>
              <w:rPr>
                <w:sz w:val="24"/>
              </w:rPr>
              <w:t>尼龙</w:t>
            </w:r>
            <w:r>
              <w:rPr>
                <w:rFonts w:hint="eastAsia"/>
                <w:sz w:val="24"/>
              </w:rPr>
              <w:t>66、PC</w:t>
            </w:r>
            <w:r>
              <w:rPr>
                <w:sz w:val="24"/>
              </w:rPr>
              <w:t>颗粒等，不涉及有毒原材料，不包含电镀和喷漆工艺，属于其他项目，应编制环境影响报告表。本次电池负极底生产项目属于第二十二项金属制品业</w:t>
            </w:r>
            <w:r>
              <w:rPr>
                <w:rFonts w:hint="eastAsia"/>
                <w:sz w:val="24"/>
              </w:rPr>
              <w:t>，</w:t>
            </w:r>
            <w:r>
              <w:rPr>
                <w:sz w:val="24"/>
              </w:rPr>
              <w:t>第</w:t>
            </w:r>
            <w:r>
              <w:rPr>
                <w:rFonts w:hint="eastAsia"/>
                <w:sz w:val="24"/>
              </w:rPr>
              <w:t>67</w:t>
            </w:r>
            <w:r>
              <w:rPr>
                <w:sz w:val="24"/>
              </w:rPr>
              <w:t>条金属制品加工制造</w:t>
            </w:r>
            <w:r>
              <w:rPr>
                <w:rFonts w:hint="eastAsia"/>
                <w:sz w:val="24"/>
              </w:rPr>
              <w:t>，</w:t>
            </w:r>
            <w:r>
              <w:rPr>
                <w:sz w:val="24"/>
              </w:rPr>
              <w:t>名录规定</w:t>
            </w:r>
            <w:r>
              <w:rPr>
                <w:rFonts w:hint="eastAsia"/>
                <w:sz w:val="24"/>
              </w:rPr>
              <w:t>：“有电镀或喷漆工艺且年用油性漆量（含稀释剂）10吨及以上的”</w:t>
            </w:r>
            <w:r>
              <w:rPr>
                <w:sz w:val="24"/>
              </w:rPr>
              <w:t>项目应编制环境影响报告书；</w:t>
            </w:r>
            <w:r>
              <w:rPr>
                <w:rFonts w:hint="eastAsia"/>
                <w:sz w:val="24"/>
              </w:rPr>
              <w:t>“其他（仅切割组装除外）的”项目</w:t>
            </w:r>
            <w:r>
              <w:rPr>
                <w:sz w:val="24"/>
              </w:rPr>
              <w:t>应编制环境影响评价报告表</w:t>
            </w:r>
            <w:r>
              <w:rPr>
                <w:rFonts w:hint="eastAsia"/>
                <w:sz w:val="24"/>
              </w:rPr>
              <w:t>；</w:t>
            </w:r>
            <w:r>
              <w:rPr>
                <w:sz w:val="24"/>
              </w:rPr>
              <w:t>仅切割组装的项目应编制登记表。本项目无电镀</w:t>
            </w:r>
            <w:r>
              <w:rPr>
                <w:rFonts w:hint="eastAsia"/>
                <w:sz w:val="24"/>
              </w:rPr>
              <w:t>及</w:t>
            </w:r>
            <w:r>
              <w:rPr>
                <w:sz w:val="24"/>
              </w:rPr>
              <w:t>喷漆工艺</w:t>
            </w:r>
            <w:r>
              <w:rPr>
                <w:rFonts w:hint="eastAsia"/>
                <w:sz w:val="24"/>
              </w:rPr>
              <w:t>，</w:t>
            </w:r>
            <w:r>
              <w:rPr>
                <w:sz w:val="24"/>
              </w:rPr>
              <w:t>含有冲压工艺</w:t>
            </w:r>
            <w:r>
              <w:rPr>
                <w:rFonts w:hint="eastAsia"/>
                <w:sz w:val="24"/>
              </w:rPr>
              <w:t>，</w:t>
            </w:r>
            <w:r>
              <w:rPr>
                <w:sz w:val="24"/>
              </w:rPr>
              <w:t>应编制环境影响报告表</w:t>
            </w:r>
            <w:r>
              <w:rPr>
                <w:rFonts w:hint="eastAsia"/>
                <w:sz w:val="24"/>
              </w:rPr>
              <w:t>。综上，本项目应编制</w:t>
            </w:r>
            <w:r>
              <w:rPr>
                <w:sz w:val="24"/>
              </w:rPr>
              <w:t>环境影响报告表</w:t>
            </w:r>
            <w:r>
              <w:rPr>
                <w:rFonts w:hint="eastAsia"/>
                <w:sz w:val="24"/>
              </w:rPr>
              <w:t>。</w:t>
            </w:r>
          </w:p>
          <w:p>
            <w:pPr>
              <w:tabs>
                <w:tab w:val="left" w:pos="859"/>
              </w:tabs>
              <w:spacing w:line="460" w:lineRule="exact"/>
              <w:ind w:firstLine="482"/>
              <w:rPr>
                <w:sz w:val="24"/>
              </w:rPr>
            </w:pPr>
            <w:r>
              <w:rPr>
                <w:bCs/>
                <w:sz w:val="24"/>
              </w:rPr>
              <w:t>受建设单位委托，本项目环评由新乡市蓝天环境技术有限公司承担。我单位在接受委托后对建设地进行了现场踏勘，依据环评导则要求，结合工程规模和生产工艺，在收集和查阅相关资料基础上，本着“科学、公正、客观”的态度，编制完成了本项目环境影响报告表</w:t>
            </w:r>
            <w:r>
              <w:rPr>
                <w:sz w:val="24"/>
              </w:rPr>
              <w:t>。</w:t>
            </w:r>
          </w:p>
          <w:p>
            <w:pPr>
              <w:snapToGrid w:val="0"/>
              <w:spacing w:line="460" w:lineRule="exact"/>
              <w:ind w:firstLine="470"/>
              <w:rPr>
                <w:rFonts w:ascii="黑体" w:hAnsi="黑体" w:eastAsia="黑体"/>
                <w:sz w:val="24"/>
              </w:rPr>
            </w:pPr>
            <w:r>
              <w:rPr>
                <w:rFonts w:ascii="黑体" w:hAnsi="黑体" w:eastAsia="黑体"/>
                <w:sz w:val="24"/>
              </w:rPr>
              <w:t>二、产业政策和相关法规文件的相符性分析</w:t>
            </w:r>
          </w:p>
          <w:p>
            <w:pPr>
              <w:snapToGrid w:val="0"/>
              <w:spacing w:line="460" w:lineRule="exact"/>
              <w:ind w:firstLine="480"/>
              <w:rPr>
                <w:sz w:val="24"/>
                <w:szCs w:val="20"/>
              </w:rPr>
            </w:pPr>
            <w:r>
              <w:rPr>
                <w:sz w:val="24"/>
                <w:szCs w:val="20"/>
              </w:rPr>
              <w:t>1、</w:t>
            </w:r>
            <w:r>
              <w:rPr>
                <w:b/>
                <w:sz w:val="24"/>
              </w:rPr>
              <w:t>与《产业结构调整指导目录》相符性分析</w:t>
            </w:r>
          </w:p>
          <w:p>
            <w:pPr>
              <w:snapToGrid w:val="0"/>
              <w:spacing w:line="460" w:lineRule="exact"/>
              <w:ind w:left="23" w:firstLine="480"/>
              <w:rPr>
                <w:sz w:val="24"/>
                <w:szCs w:val="20"/>
              </w:rPr>
            </w:pPr>
            <w:r>
              <w:rPr>
                <w:sz w:val="24"/>
                <w:szCs w:val="20"/>
              </w:rPr>
              <w:t>经查阅《产业结构调整指导目录（201</w:t>
            </w:r>
            <w:r>
              <w:rPr>
                <w:rFonts w:hint="eastAsia"/>
                <w:sz w:val="24"/>
                <w:szCs w:val="20"/>
              </w:rPr>
              <w:t>9</w:t>
            </w:r>
            <w:r>
              <w:rPr>
                <w:sz w:val="24"/>
                <w:szCs w:val="20"/>
              </w:rPr>
              <w:t>年本）》</w:t>
            </w:r>
            <w:r>
              <w:rPr>
                <w:sz w:val="24"/>
              </w:rPr>
              <w:t>，</w:t>
            </w:r>
            <w:r>
              <w:rPr>
                <w:bCs/>
                <w:sz w:val="24"/>
              </w:rPr>
              <w:t>该项目生产规模、生产设备、生产工艺均不属于</w:t>
            </w:r>
            <w:r>
              <w:rPr>
                <w:rFonts w:hint="eastAsia"/>
                <w:bCs/>
                <w:sz w:val="24"/>
              </w:rPr>
              <w:t>“</w:t>
            </w:r>
            <w:r>
              <w:rPr>
                <w:bCs/>
                <w:sz w:val="24"/>
              </w:rPr>
              <w:t>鼓励类</w:t>
            </w:r>
            <w:r>
              <w:rPr>
                <w:rFonts w:hint="eastAsia"/>
                <w:bCs/>
                <w:sz w:val="24"/>
              </w:rPr>
              <w:t>”“</w:t>
            </w:r>
            <w:r>
              <w:rPr>
                <w:bCs/>
                <w:sz w:val="24"/>
              </w:rPr>
              <w:t>限制类</w:t>
            </w:r>
            <w:r>
              <w:rPr>
                <w:rFonts w:hint="eastAsia"/>
                <w:bCs/>
                <w:sz w:val="24"/>
              </w:rPr>
              <w:t>”</w:t>
            </w:r>
            <w:r>
              <w:rPr>
                <w:bCs/>
                <w:sz w:val="24"/>
              </w:rPr>
              <w:t>和</w:t>
            </w:r>
            <w:r>
              <w:rPr>
                <w:rFonts w:hint="eastAsia"/>
                <w:bCs/>
                <w:sz w:val="24"/>
              </w:rPr>
              <w:t>“</w:t>
            </w:r>
            <w:r>
              <w:rPr>
                <w:bCs/>
                <w:sz w:val="24"/>
              </w:rPr>
              <w:t>淘汰类</w:t>
            </w:r>
            <w:r>
              <w:rPr>
                <w:rFonts w:hint="eastAsia"/>
                <w:bCs/>
                <w:sz w:val="24"/>
              </w:rPr>
              <w:t>”</w:t>
            </w:r>
            <w:r>
              <w:rPr>
                <w:bCs/>
                <w:sz w:val="24"/>
              </w:rPr>
              <w:t>，</w:t>
            </w:r>
            <w:r>
              <w:rPr>
                <w:rFonts w:asciiTheme="minorEastAsia" w:hAnsiTheme="minorEastAsia"/>
                <w:sz w:val="24"/>
              </w:rPr>
              <w:t>属于“允许类”</w:t>
            </w:r>
            <w:r>
              <w:rPr>
                <w:sz w:val="24"/>
              </w:rPr>
              <w:t>，</w:t>
            </w:r>
            <w:r>
              <w:rPr>
                <w:sz w:val="24"/>
                <w:szCs w:val="20"/>
              </w:rPr>
              <w:t>项目符合国家产业政策。</w:t>
            </w:r>
            <w:r>
              <w:rPr>
                <w:sz w:val="24"/>
              </w:rPr>
              <w:t>项目已由新乡市凤泉区发展和改革委员会备案，</w:t>
            </w:r>
            <w:r>
              <w:rPr>
                <w:sz w:val="24"/>
                <w:szCs w:val="20"/>
              </w:rPr>
              <w:t>项目</w:t>
            </w:r>
            <w:r>
              <w:rPr>
                <w:sz w:val="24"/>
              </w:rPr>
              <w:t>代码：2020-410704-29-03-021184（详见附件）</w:t>
            </w:r>
            <w:r>
              <w:rPr>
                <w:sz w:val="24"/>
                <w:szCs w:val="20"/>
              </w:rPr>
              <w:t>，项目建设符合国家相关产业政策。</w:t>
            </w:r>
          </w:p>
          <w:p>
            <w:pPr>
              <w:spacing w:line="460" w:lineRule="exact"/>
              <w:ind w:firstLine="480"/>
              <w:jc w:val="left"/>
              <w:rPr>
                <w:kern w:val="0"/>
                <w:sz w:val="24"/>
              </w:rPr>
            </w:pPr>
            <w:r>
              <w:rPr>
                <w:kern w:val="0"/>
                <w:sz w:val="24"/>
              </w:rPr>
              <w:t>本项目情况与产业政策一致性分析见表1。</w:t>
            </w: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ind w:firstLine="480"/>
              <w:jc w:val="left"/>
              <w:rPr>
                <w:kern w:val="0"/>
                <w:sz w:val="24"/>
              </w:rPr>
            </w:pPr>
          </w:p>
          <w:p>
            <w:pPr>
              <w:spacing w:line="460" w:lineRule="exact"/>
              <w:jc w:val="left"/>
              <w:rPr>
                <w:kern w:val="0"/>
                <w:sz w:val="24"/>
              </w:rPr>
            </w:pPr>
          </w:p>
          <w:p>
            <w:pPr>
              <w:spacing w:line="460" w:lineRule="exact"/>
              <w:ind w:firstLine="480"/>
              <w:jc w:val="left"/>
              <w:rPr>
                <w:rFonts w:eastAsia="黑体"/>
                <w:sz w:val="24"/>
                <w:lang w:val="pt-BR"/>
              </w:rPr>
            </w:pPr>
            <w:r>
              <w:rPr>
                <w:rFonts w:eastAsia="黑体"/>
                <w:sz w:val="24"/>
                <w:lang w:val="pt-BR"/>
              </w:rPr>
              <w:t>表</w:t>
            </w:r>
            <w:r>
              <w:rPr>
                <w:rFonts w:eastAsia="黑体"/>
                <w:sz w:val="24"/>
              </w:rPr>
              <w:t>1</w:t>
            </w:r>
            <w:r>
              <w:rPr>
                <w:rFonts w:hint="eastAsia" w:eastAsia="黑体"/>
                <w:sz w:val="24"/>
              </w:rPr>
              <w:t xml:space="preserve">                                   </w:t>
            </w:r>
            <w:r>
              <w:rPr>
                <w:rFonts w:eastAsia="黑体"/>
                <w:sz w:val="24"/>
                <w:lang w:val="pt-BR"/>
              </w:rPr>
              <w:t>项目与产业政策一致性分析</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816"/>
              <w:gridCol w:w="655"/>
              <w:gridCol w:w="3827"/>
              <w:gridCol w:w="2126"/>
              <w:gridCol w:w="926"/>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shd w:val="clear" w:color="auto" w:fill="auto"/>
                  <w:vAlign w:val="center"/>
                </w:tcPr>
                <w:p>
                  <w:pPr>
                    <w:jc w:val="center"/>
                    <w:rPr>
                      <w:b/>
                      <w:szCs w:val="21"/>
                    </w:rPr>
                  </w:pPr>
                  <w:r>
                    <w:rPr>
                      <w:b/>
                      <w:szCs w:val="21"/>
                    </w:rPr>
                    <w:t>类 别</w:t>
                  </w:r>
                </w:p>
              </w:tc>
              <w:tc>
                <w:tcPr>
                  <w:tcW w:w="1471" w:type="dxa"/>
                  <w:gridSpan w:val="2"/>
                  <w:shd w:val="clear" w:color="auto" w:fill="auto"/>
                  <w:vAlign w:val="center"/>
                </w:tcPr>
                <w:p>
                  <w:pPr>
                    <w:jc w:val="center"/>
                    <w:rPr>
                      <w:b/>
                      <w:szCs w:val="21"/>
                    </w:rPr>
                  </w:pPr>
                  <w:r>
                    <w:rPr>
                      <w:b/>
                      <w:szCs w:val="21"/>
                    </w:rPr>
                    <w:t>条 款</w:t>
                  </w:r>
                </w:p>
              </w:tc>
              <w:tc>
                <w:tcPr>
                  <w:tcW w:w="3827" w:type="dxa"/>
                  <w:shd w:val="clear" w:color="auto" w:fill="auto"/>
                  <w:vAlign w:val="center"/>
                </w:tcPr>
                <w:p>
                  <w:pPr>
                    <w:jc w:val="center"/>
                    <w:rPr>
                      <w:b/>
                      <w:szCs w:val="21"/>
                    </w:rPr>
                  </w:pPr>
                  <w:r>
                    <w:rPr>
                      <w:b/>
                      <w:szCs w:val="21"/>
                    </w:rPr>
                    <w:t>内 容</w:t>
                  </w:r>
                </w:p>
              </w:tc>
              <w:tc>
                <w:tcPr>
                  <w:tcW w:w="2126" w:type="dxa"/>
                  <w:shd w:val="clear" w:color="auto" w:fill="auto"/>
                  <w:vAlign w:val="center"/>
                </w:tcPr>
                <w:p>
                  <w:pPr>
                    <w:jc w:val="center"/>
                    <w:rPr>
                      <w:b/>
                      <w:szCs w:val="21"/>
                    </w:rPr>
                  </w:pPr>
                  <w:r>
                    <w:rPr>
                      <w:b/>
                      <w:szCs w:val="21"/>
                    </w:rPr>
                    <w:t>本项目情况</w:t>
                  </w:r>
                </w:p>
              </w:tc>
              <w:tc>
                <w:tcPr>
                  <w:tcW w:w="926" w:type="dxa"/>
                  <w:shd w:val="clear" w:color="auto" w:fill="auto"/>
                  <w:vAlign w:val="center"/>
                </w:tcPr>
                <w:p>
                  <w:pPr>
                    <w:jc w:val="center"/>
                    <w:rPr>
                      <w:b/>
                      <w:szCs w:val="21"/>
                    </w:rPr>
                  </w:pPr>
                  <w:r>
                    <w:rPr>
                      <w:b/>
                      <w:szCs w:val="21"/>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shd w:val="clear" w:color="auto" w:fill="auto"/>
                  <w:vAlign w:val="center"/>
                </w:tcPr>
                <w:p>
                  <w:pPr>
                    <w:jc w:val="center"/>
                    <w:rPr>
                      <w:szCs w:val="21"/>
                    </w:rPr>
                  </w:pPr>
                  <w:r>
                    <w:rPr>
                      <w:szCs w:val="21"/>
                    </w:rPr>
                    <w:t>鼓励类</w:t>
                  </w:r>
                </w:p>
              </w:tc>
              <w:tc>
                <w:tcPr>
                  <w:tcW w:w="1471" w:type="dxa"/>
                  <w:gridSpan w:val="2"/>
                  <w:vMerge w:val="restart"/>
                  <w:shd w:val="clear" w:color="auto" w:fill="auto"/>
                  <w:vAlign w:val="center"/>
                </w:tcPr>
                <w:p>
                  <w:pPr>
                    <w:jc w:val="center"/>
                    <w:rPr>
                      <w:szCs w:val="21"/>
                    </w:rPr>
                  </w:pPr>
                  <w:r>
                    <w:rPr>
                      <w:szCs w:val="21"/>
                    </w:rPr>
                    <w:t>十九、轻工</w:t>
                  </w:r>
                </w:p>
              </w:tc>
              <w:tc>
                <w:tcPr>
                  <w:tcW w:w="3827" w:type="dxa"/>
                  <w:shd w:val="clear" w:color="auto" w:fill="auto"/>
                  <w:vAlign w:val="center"/>
                </w:tcPr>
                <w:p>
                  <w:pPr>
                    <w:jc w:val="center"/>
                  </w:pPr>
                  <w:r>
                    <w:rPr>
                      <w:rFonts w:hint="eastAsia"/>
                    </w:rPr>
                    <w:t>14、锂离子电池用三元和多元、磷酸铁锂等正极材料、中间相炭微球和硅碳等负极材料、单层与三层复合锂离子电池隔膜、氟代碳酸乙烯酯（FEC）等电解质与添加剂；废旧电池资源化和绿色循环生产工艺及其装备制造</w:t>
                  </w:r>
                </w:p>
              </w:tc>
              <w:tc>
                <w:tcPr>
                  <w:tcW w:w="2126" w:type="dxa"/>
                  <w:vMerge w:val="restart"/>
                  <w:shd w:val="clear" w:color="auto" w:fill="auto"/>
                  <w:vAlign w:val="center"/>
                </w:tcPr>
                <w:p>
                  <w:pPr>
                    <w:jc w:val="center"/>
                    <w:rPr>
                      <w:szCs w:val="21"/>
                    </w:rPr>
                  </w:pPr>
                  <w:r>
                    <w:rPr>
                      <w:szCs w:val="21"/>
                    </w:rPr>
                    <w:t>本项目</w:t>
                  </w:r>
                  <w:r>
                    <w:rPr>
                      <w:rFonts w:hint="eastAsia"/>
                      <w:szCs w:val="21"/>
                    </w:rPr>
                    <w:t>产品为电池密封圈及电池负极底，非电池生产线</w:t>
                  </w:r>
                </w:p>
              </w:tc>
              <w:tc>
                <w:tcPr>
                  <w:tcW w:w="926" w:type="dxa"/>
                  <w:vMerge w:val="restart"/>
                  <w:shd w:val="clear" w:color="auto" w:fill="auto"/>
                  <w:vAlign w:val="center"/>
                </w:tcPr>
                <w:p>
                  <w:pPr>
                    <w:jc w:val="center"/>
                    <w:rPr>
                      <w:szCs w:val="21"/>
                    </w:rPr>
                  </w:pPr>
                  <w:r>
                    <w:rPr>
                      <w:szCs w:val="21"/>
                    </w:rPr>
                    <w:t>不属于鼓励类</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shd w:val="clear" w:color="auto" w:fill="auto"/>
                  <w:vAlign w:val="center"/>
                </w:tcPr>
                <w:p>
                  <w:pPr>
                    <w:jc w:val="center"/>
                    <w:rPr>
                      <w:szCs w:val="21"/>
                    </w:rPr>
                  </w:pPr>
                </w:p>
              </w:tc>
              <w:tc>
                <w:tcPr>
                  <w:tcW w:w="1471" w:type="dxa"/>
                  <w:gridSpan w:val="2"/>
                  <w:vMerge w:val="continue"/>
                  <w:shd w:val="clear" w:color="auto" w:fill="auto"/>
                  <w:vAlign w:val="center"/>
                </w:tcPr>
                <w:p>
                  <w:pPr>
                    <w:jc w:val="center"/>
                    <w:rPr>
                      <w:szCs w:val="21"/>
                    </w:rPr>
                  </w:pPr>
                </w:p>
              </w:tc>
              <w:tc>
                <w:tcPr>
                  <w:tcW w:w="3827" w:type="dxa"/>
                  <w:shd w:val="clear" w:color="auto" w:fill="auto"/>
                  <w:vAlign w:val="center"/>
                </w:tcPr>
                <w:p>
                  <w:pPr>
                    <w:jc w:val="center"/>
                  </w:pPr>
                  <w:r>
                    <w:rPr>
                      <w:rFonts w:hint="eastAsia"/>
                    </w:rPr>
                    <w:t>15、铅蓄电池自动化、智能化生产线；锂离子电池自动化、智能化生产成套制造装备；碱性锌锰电池 600 只/分钟以上自动化、智能化生产成套制造装备</w:t>
                  </w:r>
                </w:p>
              </w:tc>
              <w:tc>
                <w:tcPr>
                  <w:tcW w:w="2126" w:type="dxa"/>
                  <w:vMerge w:val="continue"/>
                  <w:shd w:val="clear" w:color="auto" w:fill="auto"/>
                  <w:vAlign w:val="center"/>
                </w:tcPr>
                <w:p>
                  <w:pPr>
                    <w:jc w:val="center"/>
                    <w:rPr>
                      <w:szCs w:val="21"/>
                    </w:rPr>
                  </w:pPr>
                </w:p>
              </w:tc>
              <w:tc>
                <w:tcPr>
                  <w:tcW w:w="926" w:type="dxa"/>
                  <w:vMerge w:val="continue"/>
                  <w:shd w:val="clear" w:color="auto" w:fill="auto"/>
                  <w:vAlign w:val="center"/>
                </w:tcPr>
                <w:p>
                  <w:pPr>
                    <w:jc w:val="center"/>
                    <w:rPr>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shd w:val="clear" w:color="auto" w:fill="auto"/>
                  <w:vAlign w:val="center"/>
                </w:tcPr>
                <w:p>
                  <w:pPr>
                    <w:jc w:val="center"/>
                    <w:rPr>
                      <w:szCs w:val="21"/>
                    </w:rPr>
                  </w:pPr>
                  <w:r>
                    <w:rPr>
                      <w:szCs w:val="21"/>
                    </w:rPr>
                    <w:t>限制类</w:t>
                  </w:r>
                </w:p>
              </w:tc>
              <w:tc>
                <w:tcPr>
                  <w:tcW w:w="1471" w:type="dxa"/>
                  <w:gridSpan w:val="2"/>
                  <w:shd w:val="clear" w:color="auto" w:fill="auto"/>
                  <w:vAlign w:val="center"/>
                </w:tcPr>
                <w:p>
                  <w:pPr>
                    <w:jc w:val="center"/>
                    <w:rPr>
                      <w:szCs w:val="21"/>
                    </w:rPr>
                  </w:pPr>
                  <w:r>
                    <w:rPr>
                      <w:szCs w:val="21"/>
                    </w:rPr>
                    <w:t>十二、轻工</w:t>
                  </w:r>
                </w:p>
              </w:tc>
              <w:tc>
                <w:tcPr>
                  <w:tcW w:w="3827" w:type="dxa"/>
                  <w:shd w:val="clear" w:color="auto" w:fill="auto"/>
                  <w:vAlign w:val="center"/>
                </w:tcPr>
                <w:p>
                  <w:pPr>
                    <w:jc w:val="center"/>
                    <w:rPr>
                      <w:szCs w:val="21"/>
                    </w:rPr>
                  </w:pPr>
                  <w:r>
                    <w:rPr>
                      <w:rFonts w:hint="eastAsia"/>
                      <w:szCs w:val="21"/>
                    </w:rPr>
                    <w:t>1.聚氯乙烯普通人造革生产线</w:t>
                  </w:r>
                </w:p>
              </w:tc>
              <w:tc>
                <w:tcPr>
                  <w:tcW w:w="2126" w:type="dxa"/>
                  <w:shd w:val="clear" w:color="auto" w:fill="auto"/>
                  <w:vAlign w:val="center"/>
                </w:tcPr>
                <w:p>
                  <w:pPr>
                    <w:jc w:val="center"/>
                    <w:rPr>
                      <w:szCs w:val="21"/>
                    </w:rPr>
                  </w:pPr>
                  <w:r>
                    <w:rPr>
                      <w:szCs w:val="21"/>
                    </w:rPr>
                    <w:t>本项目</w:t>
                  </w:r>
                  <w:r>
                    <w:rPr>
                      <w:rFonts w:hint="eastAsia"/>
                      <w:szCs w:val="21"/>
                    </w:rPr>
                    <w:t>产品为电池密封圈及电池负极底</w:t>
                  </w:r>
                </w:p>
              </w:tc>
              <w:tc>
                <w:tcPr>
                  <w:tcW w:w="926" w:type="dxa"/>
                  <w:shd w:val="clear" w:color="auto" w:fill="auto"/>
                  <w:vAlign w:val="center"/>
                </w:tcPr>
                <w:p>
                  <w:pPr>
                    <w:jc w:val="center"/>
                    <w:rPr>
                      <w:szCs w:val="21"/>
                    </w:rPr>
                  </w:pPr>
                  <w:r>
                    <w:rPr>
                      <w:szCs w:val="21"/>
                    </w:rPr>
                    <w:t>不属于限制类</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shd w:val="clear" w:color="auto" w:fill="auto"/>
                  <w:vAlign w:val="center"/>
                </w:tcPr>
                <w:p>
                  <w:pPr>
                    <w:jc w:val="center"/>
                    <w:rPr>
                      <w:szCs w:val="21"/>
                    </w:rPr>
                  </w:pPr>
                  <w:r>
                    <w:rPr>
                      <w:szCs w:val="21"/>
                    </w:rPr>
                    <w:t>淘汰类</w:t>
                  </w:r>
                </w:p>
              </w:tc>
              <w:tc>
                <w:tcPr>
                  <w:tcW w:w="816" w:type="dxa"/>
                  <w:vMerge w:val="restart"/>
                  <w:shd w:val="clear" w:color="auto" w:fill="auto"/>
                  <w:vAlign w:val="center"/>
                </w:tcPr>
                <w:p>
                  <w:pPr>
                    <w:jc w:val="center"/>
                    <w:rPr>
                      <w:szCs w:val="21"/>
                    </w:rPr>
                  </w:pPr>
                  <w:r>
                    <w:rPr>
                      <w:szCs w:val="21"/>
                    </w:rPr>
                    <w:t>落后生产工艺装备</w:t>
                  </w:r>
                </w:p>
              </w:tc>
              <w:tc>
                <w:tcPr>
                  <w:tcW w:w="655" w:type="dxa"/>
                  <w:vMerge w:val="restart"/>
                  <w:shd w:val="clear" w:color="auto" w:fill="auto"/>
                  <w:vAlign w:val="center"/>
                </w:tcPr>
                <w:p>
                  <w:pPr>
                    <w:rPr>
                      <w:szCs w:val="21"/>
                    </w:rPr>
                  </w:pPr>
                  <w:r>
                    <w:rPr>
                      <w:szCs w:val="21"/>
                    </w:rPr>
                    <w:t>十二、轻工</w:t>
                  </w:r>
                </w:p>
              </w:tc>
              <w:tc>
                <w:tcPr>
                  <w:tcW w:w="3827" w:type="dxa"/>
                  <w:shd w:val="clear" w:color="auto" w:fill="auto"/>
                  <w:vAlign w:val="center"/>
                </w:tcPr>
                <w:p>
                  <w:pPr>
                    <w:jc w:val="center"/>
                    <w:rPr>
                      <w:szCs w:val="21"/>
                    </w:rPr>
                  </w:pPr>
                  <w:r>
                    <w:rPr>
                      <w:rFonts w:hint="eastAsia"/>
                      <w:szCs w:val="21"/>
                    </w:rPr>
                    <w:t>4、超薄型（厚度低于 0.025 毫米）塑料购物袋生产</w:t>
                  </w:r>
                </w:p>
              </w:tc>
              <w:tc>
                <w:tcPr>
                  <w:tcW w:w="2126" w:type="dxa"/>
                  <w:vMerge w:val="restart"/>
                  <w:shd w:val="clear" w:color="auto" w:fill="auto"/>
                  <w:vAlign w:val="center"/>
                </w:tcPr>
                <w:p>
                  <w:pPr>
                    <w:jc w:val="center"/>
                    <w:rPr>
                      <w:szCs w:val="21"/>
                    </w:rPr>
                  </w:pPr>
                  <w:r>
                    <w:rPr>
                      <w:szCs w:val="21"/>
                    </w:rPr>
                    <w:t>本项目采用</w:t>
                  </w:r>
                  <w:r>
                    <w:rPr>
                      <w:rFonts w:hint="eastAsia"/>
                      <w:szCs w:val="21"/>
                    </w:rPr>
                    <w:t>原料为</w:t>
                  </w:r>
                  <w:r>
                    <w:rPr>
                      <w:szCs w:val="21"/>
                    </w:rPr>
                    <w:t>聚丙烯、尼龙</w:t>
                  </w:r>
                  <w:r>
                    <w:rPr>
                      <w:rFonts w:hint="eastAsia"/>
                      <w:szCs w:val="21"/>
                    </w:rPr>
                    <w:t>66、PC等，产品为电池密封圈及电池负极底</w:t>
                  </w:r>
                </w:p>
              </w:tc>
              <w:tc>
                <w:tcPr>
                  <w:tcW w:w="926" w:type="dxa"/>
                  <w:vMerge w:val="restart"/>
                  <w:shd w:val="clear" w:color="auto" w:fill="auto"/>
                  <w:vAlign w:val="center"/>
                </w:tcPr>
                <w:p>
                  <w:pPr>
                    <w:jc w:val="center"/>
                    <w:rPr>
                      <w:szCs w:val="21"/>
                    </w:rPr>
                  </w:pPr>
                  <w:r>
                    <w:rPr>
                      <w:szCs w:val="21"/>
                    </w:rPr>
                    <w:t>不属于淘汰类</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shd w:val="clear" w:color="auto" w:fill="auto"/>
                  <w:vAlign w:val="center"/>
                </w:tcPr>
                <w:p>
                  <w:pPr>
                    <w:jc w:val="center"/>
                    <w:rPr>
                      <w:szCs w:val="21"/>
                    </w:rPr>
                  </w:pPr>
                </w:p>
              </w:tc>
              <w:tc>
                <w:tcPr>
                  <w:tcW w:w="816" w:type="dxa"/>
                  <w:vMerge w:val="continue"/>
                  <w:shd w:val="clear" w:color="auto" w:fill="auto"/>
                  <w:vAlign w:val="center"/>
                </w:tcPr>
                <w:p>
                  <w:pPr>
                    <w:jc w:val="center"/>
                    <w:rPr>
                      <w:szCs w:val="21"/>
                    </w:rPr>
                  </w:pPr>
                </w:p>
              </w:tc>
              <w:tc>
                <w:tcPr>
                  <w:tcW w:w="655" w:type="dxa"/>
                  <w:vMerge w:val="continue"/>
                  <w:shd w:val="clear" w:color="auto" w:fill="auto"/>
                  <w:vAlign w:val="center"/>
                </w:tcPr>
                <w:p>
                  <w:pPr>
                    <w:rPr>
                      <w:szCs w:val="21"/>
                    </w:rPr>
                  </w:pPr>
                </w:p>
              </w:tc>
              <w:tc>
                <w:tcPr>
                  <w:tcW w:w="3827" w:type="dxa"/>
                  <w:shd w:val="clear" w:color="auto" w:fill="auto"/>
                  <w:vAlign w:val="center"/>
                </w:tcPr>
                <w:p>
                  <w:pPr>
                    <w:jc w:val="center"/>
                    <w:rPr>
                      <w:szCs w:val="21"/>
                    </w:rPr>
                  </w:pPr>
                  <w:r>
                    <w:rPr>
                      <w:rFonts w:hint="eastAsia"/>
                      <w:szCs w:val="21"/>
                    </w:rPr>
                    <w:t>15、以氯氟烃（CFCs）为发泡剂的聚氨酯、聚乙烯、聚苯乙烯泡沫塑料生产</w:t>
                  </w:r>
                </w:p>
              </w:tc>
              <w:tc>
                <w:tcPr>
                  <w:tcW w:w="2126" w:type="dxa"/>
                  <w:vMerge w:val="continue"/>
                  <w:shd w:val="clear" w:color="auto" w:fill="auto"/>
                  <w:vAlign w:val="center"/>
                </w:tcPr>
                <w:p>
                  <w:pPr>
                    <w:jc w:val="center"/>
                    <w:rPr>
                      <w:szCs w:val="21"/>
                    </w:rPr>
                  </w:pPr>
                </w:p>
              </w:tc>
              <w:tc>
                <w:tcPr>
                  <w:tcW w:w="926" w:type="dxa"/>
                  <w:vMerge w:val="continue"/>
                  <w:shd w:val="clear" w:color="auto" w:fill="auto"/>
                  <w:vAlign w:val="center"/>
                </w:tcPr>
                <w:p>
                  <w:pPr>
                    <w:jc w:val="center"/>
                    <w:rPr>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shd w:val="clear" w:color="auto" w:fill="auto"/>
                  <w:vAlign w:val="center"/>
                </w:tcPr>
                <w:p>
                  <w:pPr>
                    <w:jc w:val="center"/>
                    <w:rPr>
                      <w:szCs w:val="21"/>
                    </w:rPr>
                  </w:pPr>
                </w:p>
              </w:tc>
              <w:tc>
                <w:tcPr>
                  <w:tcW w:w="816" w:type="dxa"/>
                  <w:shd w:val="clear" w:color="auto" w:fill="auto"/>
                  <w:vAlign w:val="center"/>
                </w:tcPr>
                <w:p>
                  <w:pPr>
                    <w:jc w:val="center"/>
                    <w:rPr>
                      <w:szCs w:val="21"/>
                    </w:rPr>
                  </w:pPr>
                  <w:r>
                    <w:rPr>
                      <w:szCs w:val="21"/>
                    </w:rPr>
                    <w:t>落后产品</w:t>
                  </w:r>
                </w:p>
              </w:tc>
              <w:tc>
                <w:tcPr>
                  <w:tcW w:w="655" w:type="dxa"/>
                  <w:shd w:val="clear" w:color="auto" w:fill="auto"/>
                  <w:vAlign w:val="center"/>
                </w:tcPr>
                <w:p>
                  <w:pPr>
                    <w:jc w:val="center"/>
                    <w:rPr>
                      <w:szCs w:val="21"/>
                    </w:rPr>
                  </w:pPr>
                  <w:r>
                    <w:rPr>
                      <w:rFonts w:hint="eastAsia"/>
                      <w:szCs w:val="21"/>
                    </w:rPr>
                    <w:t>九、轻工</w:t>
                  </w:r>
                </w:p>
              </w:tc>
              <w:tc>
                <w:tcPr>
                  <w:tcW w:w="3827" w:type="dxa"/>
                  <w:shd w:val="clear" w:color="auto" w:fill="auto"/>
                  <w:vAlign w:val="center"/>
                </w:tcPr>
                <w:p>
                  <w:pPr>
                    <w:jc w:val="center"/>
                    <w:rPr>
                      <w:szCs w:val="21"/>
                    </w:rPr>
                  </w:pPr>
                  <w:r>
                    <w:rPr>
                      <w:szCs w:val="21"/>
                    </w:rPr>
                    <w:t>没有查到相关对应条款</w:t>
                  </w:r>
                </w:p>
              </w:tc>
              <w:tc>
                <w:tcPr>
                  <w:tcW w:w="2126" w:type="dxa"/>
                  <w:shd w:val="clear" w:color="auto" w:fill="auto"/>
                  <w:vAlign w:val="center"/>
                </w:tcPr>
                <w:p>
                  <w:pPr>
                    <w:jc w:val="center"/>
                    <w:rPr>
                      <w:szCs w:val="21"/>
                    </w:rPr>
                  </w:pPr>
                  <w:r>
                    <w:rPr>
                      <w:rFonts w:hint="eastAsia"/>
                      <w:szCs w:val="21"/>
                    </w:rPr>
                    <w:t>/</w:t>
                  </w:r>
                </w:p>
              </w:tc>
              <w:tc>
                <w:tcPr>
                  <w:tcW w:w="926" w:type="dxa"/>
                  <w:vMerge w:val="continue"/>
                  <w:shd w:val="clear" w:color="auto" w:fill="auto"/>
                  <w:vAlign w:val="center"/>
                </w:tcPr>
                <w:p>
                  <w:pPr>
                    <w:jc w:val="center"/>
                    <w:rPr>
                      <w:szCs w:val="21"/>
                    </w:rPr>
                  </w:pPr>
                </w:p>
              </w:tc>
            </w:tr>
          </w:tbl>
          <w:p>
            <w:pPr>
              <w:snapToGrid w:val="0"/>
              <w:spacing w:line="420" w:lineRule="exact"/>
              <w:ind w:left="23" w:firstLine="482"/>
              <w:jc w:val="left"/>
              <w:rPr>
                <w:b/>
                <w:sz w:val="24"/>
                <w:szCs w:val="20"/>
              </w:rPr>
            </w:pPr>
            <w:r>
              <w:rPr>
                <w:b/>
                <w:sz w:val="24"/>
                <w:szCs w:val="20"/>
              </w:rPr>
              <w:t>2、与备案一致分析见表2。</w:t>
            </w:r>
          </w:p>
          <w:p>
            <w:pPr>
              <w:spacing w:line="460" w:lineRule="exact"/>
              <w:ind w:firstLine="480"/>
              <w:rPr>
                <w:sz w:val="24"/>
              </w:rPr>
            </w:pPr>
            <w:r>
              <w:rPr>
                <w:sz w:val="24"/>
              </w:rPr>
              <w:t>项目与备案一致性分析见表2。</w:t>
            </w:r>
          </w:p>
          <w:p>
            <w:pPr>
              <w:snapToGrid w:val="0"/>
              <w:spacing w:line="460" w:lineRule="exact"/>
              <w:ind w:firstLine="480"/>
              <w:rPr>
                <w:rFonts w:eastAsia="黑体"/>
                <w:sz w:val="24"/>
                <w:szCs w:val="20"/>
              </w:rPr>
            </w:pPr>
            <w:r>
              <w:rPr>
                <w:rFonts w:eastAsia="黑体"/>
                <w:sz w:val="24"/>
                <w:szCs w:val="20"/>
              </w:rPr>
              <w:t xml:space="preserve">表2                 </w:t>
            </w:r>
            <w:r>
              <w:rPr>
                <w:rFonts w:hint="eastAsia" w:eastAsia="黑体"/>
                <w:sz w:val="24"/>
                <w:szCs w:val="20"/>
              </w:rPr>
              <w:t xml:space="preserve">                    </w:t>
            </w:r>
            <w:r>
              <w:rPr>
                <w:rFonts w:eastAsia="黑体"/>
                <w:sz w:val="24"/>
                <w:szCs w:val="20"/>
              </w:rPr>
              <w:t xml:space="preserve">       项目与备案一致性分析</w:t>
            </w:r>
          </w:p>
          <w:tbl>
            <w:tblPr>
              <w:tblStyle w:val="19"/>
              <w:tblW w:w="9072" w:type="dxa"/>
              <w:jc w:val="center"/>
              <w:tblLayout w:type="autofit"/>
              <w:tblCellMar>
                <w:top w:w="0" w:type="dxa"/>
                <w:left w:w="108" w:type="dxa"/>
                <w:bottom w:w="0" w:type="dxa"/>
                <w:right w:w="108" w:type="dxa"/>
              </w:tblCellMar>
            </w:tblPr>
            <w:tblGrid>
              <w:gridCol w:w="449"/>
              <w:gridCol w:w="685"/>
              <w:gridCol w:w="3402"/>
              <w:gridCol w:w="3260"/>
              <w:gridCol w:w="1276"/>
            </w:tblGrid>
            <w:tr>
              <w:tblPrEx>
                <w:tblCellMar>
                  <w:top w:w="0" w:type="dxa"/>
                  <w:left w:w="108" w:type="dxa"/>
                  <w:bottom w:w="0" w:type="dxa"/>
                  <w:right w:w="108" w:type="dxa"/>
                </w:tblCellMar>
              </w:tblPrEx>
              <w:trPr>
                <w:trHeight w:val="397" w:hRule="atLeast"/>
                <w:jc w:val="center"/>
              </w:trPr>
              <w:tc>
                <w:tcPr>
                  <w:tcW w:w="1134" w:type="dxa"/>
                  <w:gridSpan w:val="2"/>
                  <w:tcBorders>
                    <w:top w:val="single" w:color="000000" w:sz="8" w:space="0"/>
                    <w:bottom w:val="single" w:color="000000" w:sz="4" w:space="0"/>
                    <w:right w:val="single" w:color="000000" w:sz="4" w:space="0"/>
                  </w:tcBorders>
                  <w:shd w:val="clear" w:color="auto" w:fill="auto"/>
                  <w:vAlign w:val="center"/>
                </w:tcPr>
                <w:p>
                  <w:pPr>
                    <w:jc w:val="center"/>
                    <w:rPr>
                      <w:b/>
                      <w:szCs w:val="21"/>
                    </w:rPr>
                  </w:pPr>
                  <w:r>
                    <w:rPr>
                      <w:b/>
                      <w:szCs w:val="21"/>
                    </w:rPr>
                    <w:t>名称</w:t>
                  </w:r>
                </w:p>
              </w:tc>
              <w:tc>
                <w:tcPr>
                  <w:tcW w:w="3402"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备案情况</w:t>
                  </w:r>
                </w:p>
              </w:tc>
              <w:tc>
                <w:tcPr>
                  <w:tcW w:w="3260"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项目情况</w:t>
                  </w:r>
                </w:p>
              </w:tc>
              <w:tc>
                <w:tcPr>
                  <w:tcW w:w="1276" w:type="dxa"/>
                  <w:tcBorders>
                    <w:top w:val="single" w:color="000000" w:sz="8" w:space="0"/>
                    <w:left w:val="single" w:color="000000" w:sz="4" w:space="0"/>
                    <w:bottom w:val="single" w:color="000000" w:sz="4" w:space="0"/>
                  </w:tcBorders>
                  <w:shd w:val="clear" w:color="auto" w:fill="auto"/>
                  <w:vAlign w:val="center"/>
                </w:tcPr>
                <w:p>
                  <w:pPr>
                    <w:jc w:val="center"/>
                    <w:rPr>
                      <w:b/>
                      <w:szCs w:val="21"/>
                    </w:rPr>
                  </w:pPr>
                  <w:r>
                    <w:rPr>
                      <w:b/>
                      <w:szCs w:val="21"/>
                    </w:rPr>
                    <w:t>一致性</w:t>
                  </w:r>
                </w:p>
              </w:tc>
            </w:tr>
            <w:tr>
              <w:tblPrEx>
                <w:tblCellMar>
                  <w:top w:w="0" w:type="dxa"/>
                  <w:left w:w="108" w:type="dxa"/>
                  <w:bottom w:w="0" w:type="dxa"/>
                  <w:right w:w="108" w:type="dxa"/>
                </w:tblCellMar>
              </w:tblPrEx>
              <w:trPr>
                <w:trHeight w:val="397" w:hRule="atLeast"/>
                <w:jc w:val="center"/>
              </w:trPr>
              <w:tc>
                <w:tcPr>
                  <w:tcW w:w="1134" w:type="dxa"/>
                  <w:gridSpan w:val="2"/>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建设地点</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Cs/>
                      <w:szCs w:val="21"/>
                    </w:rPr>
                  </w:pPr>
                  <w:r>
                    <w:t>新乡市凤泉区大块镇小块村西1658号</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Cs/>
                      <w:szCs w:val="21"/>
                    </w:rPr>
                  </w:pPr>
                  <w:r>
                    <w:t>新乡市凤泉区大块镇小块村西1658号</w:t>
                  </w:r>
                </w:p>
              </w:tc>
              <w:tc>
                <w:tcPr>
                  <w:tcW w:w="1276"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一致</w:t>
                  </w:r>
                </w:p>
              </w:tc>
            </w:tr>
            <w:tr>
              <w:tblPrEx>
                <w:tblCellMar>
                  <w:top w:w="0" w:type="dxa"/>
                  <w:left w:w="108" w:type="dxa"/>
                  <w:bottom w:w="0" w:type="dxa"/>
                  <w:right w:w="108" w:type="dxa"/>
                </w:tblCellMar>
              </w:tblPrEx>
              <w:trPr>
                <w:trHeight w:val="397" w:hRule="atLeast"/>
                <w:jc w:val="center"/>
              </w:trPr>
              <w:tc>
                <w:tcPr>
                  <w:tcW w:w="1134" w:type="dxa"/>
                  <w:gridSpan w:val="2"/>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投资</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投资200万</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投资200万</w:t>
                  </w:r>
                </w:p>
              </w:tc>
              <w:tc>
                <w:tcPr>
                  <w:tcW w:w="1276"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一致</w:t>
                  </w:r>
                </w:p>
              </w:tc>
            </w:tr>
            <w:tr>
              <w:tblPrEx>
                <w:tblCellMar>
                  <w:top w:w="0" w:type="dxa"/>
                  <w:left w:w="108" w:type="dxa"/>
                  <w:bottom w:w="0" w:type="dxa"/>
                  <w:right w:w="108" w:type="dxa"/>
                </w:tblCellMar>
              </w:tblPrEx>
              <w:trPr>
                <w:trHeight w:val="397" w:hRule="atLeast"/>
                <w:jc w:val="center"/>
              </w:trPr>
              <w:tc>
                <w:tcPr>
                  <w:tcW w:w="1134" w:type="dxa"/>
                  <w:gridSpan w:val="2"/>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项目名称</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年产8亿只电池密封圈、2.5亿只负极底扩建项目</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年产8亿只电池密封圈、2.5亿只负极底扩建项目</w:t>
                  </w:r>
                </w:p>
              </w:tc>
              <w:tc>
                <w:tcPr>
                  <w:tcW w:w="1276"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一致</w:t>
                  </w:r>
                </w:p>
              </w:tc>
            </w:tr>
            <w:tr>
              <w:tblPrEx>
                <w:tblCellMar>
                  <w:top w:w="0" w:type="dxa"/>
                  <w:left w:w="108" w:type="dxa"/>
                  <w:bottom w:w="0" w:type="dxa"/>
                  <w:right w:w="108" w:type="dxa"/>
                </w:tblCellMar>
              </w:tblPrEx>
              <w:trPr>
                <w:trHeight w:val="397" w:hRule="atLeast"/>
                <w:jc w:val="center"/>
              </w:trPr>
              <w:tc>
                <w:tcPr>
                  <w:tcW w:w="449" w:type="dxa"/>
                  <w:vMerge w:val="restart"/>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主要</w:t>
                  </w:r>
                </w:p>
                <w:p>
                  <w:pPr>
                    <w:jc w:val="center"/>
                    <w:rPr>
                      <w:szCs w:val="21"/>
                    </w:rPr>
                  </w:pPr>
                  <w:r>
                    <w:rPr>
                      <w:szCs w:val="21"/>
                    </w:rPr>
                    <w:t>建设</w:t>
                  </w:r>
                </w:p>
                <w:p>
                  <w:pPr>
                    <w:jc w:val="center"/>
                    <w:rPr>
                      <w:szCs w:val="21"/>
                    </w:rPr>
                  </w:pPr>
                  <w:r>
                    <w:rPr>
                      <w:szCs w:val="21"/>
                    </w:rPr>
                    <w:t>内容</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产品规模</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年产8亿只电池密封圈、2.5亿只负极底</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年产8亿只电池密封圈、2.5亿只负极底</w:t>
                  </w:r>
                </w:p>
              </w:tc>
              <w:tc>
                <w:tcPr>
                  <w:tcW w:w="1276"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一致</w:t>
                  </w:r>
                </w:p>
              </w:tc>
            </w:tr>
            <w:tr>
              <w:tblPrEx>
                <w:tblCellMar>
                  <w:top w:w="0" w:type="dxa"/>
                  <w:left w:w="108" w:type="dxa"/>
                  <w:bottom w:w="0" w:type="dxa"/>
                  <w:right w:w="108" w:type="dxa"/>
                </w:tblCellMar>
              </w:tblPrEx>
              <w:trPr>
                <w:trHeight w:val="397" w:hRule="atLeast"/>
                <w:jc w:val="center"/>
              </w:trPr>
              <w:tc>
                <w:tcPr>
                  <w:tcW w:w="4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生产</w:t>
                  </w:r>
                </w:p>
                <w:p>
                  <w:pPr>
                    <w:jc w:val="center"/>
                    <w:rPr>
                      <w:szCs w:val="21"/>
                    </w:rPr>
                  </w:pPr>
                  <w:r>
                    <w:rPr>
                      <w:szCs w:val="21"/>
                    </w:rPr>
                    <w:t>设备</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新增</w:t>
                  </w:r>
                  <w:r>
                    <w:rPr>
                      <w:szCs w:val="21"/>
                    </w:rPr>
                    <w:t>注塑机</w:t>
                  </w:r>
                  <w:r>
                    <w:rPr>
                      <w:rFonts w:hint="eastAsia"/>
                      <w:szCs w:val="21"/>
                    </w:rPr>
                    <w:t>、</w:t>
                  </w:r>
                  <w:r>
                    <w:rPr>
                      <w:szCs w:val="21"/>
                    </w:rPr>
                    <w:t>破碎机</w:t>
                  </w:r>
                  <w:r>
                    <w:rPr>
                      <w:rFonts w:hint="eastAsia"/>
                      <w:szCs w:val="21"/>
                    </w:rPr>
                    <w:t>、</w:t>
                  </w:r>
                  <w:r>
                    <w:rPr>
                      <w:szCs w:val="21"/>
                    </w:rPr>
                    <w:t>冲床等</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新增</w:t>
                  </w:r>
                  <w:r>
                    <w:rPr>
                      <w:szCs w:val="21"/>
                    </w:rPr>
                    <w:t>注塑机</w:t>
                  </w:r>
                  <w:r>
                    <w:rPr>
                      <w:rFonts w:hint="eastAsia"/>
                      <w:szCs w:val="21"/>
                    </w:rPr>
                    <w:t>（企业称</w:t>
                  </w:r>
                  <w:r>
                    <w:rPr>
                      <w:rFonts w:hAnsiTheme="minorEastAsia" w:eastAsiaTheme="minorEastAsia"/>
                      <w:szCs w:val="21"/>
                    </w:rPr>
                    <w:t>塑料注射成型机</w:t>
                  </w:r>
                  <w:r>
                    <w:rPr>
                      <w:rFonts w:hint="eastAsia"/>
                      <w:szCs w:val="21"/>
                    </w:rPr>
                    <w:t>）、</w:t>
                  </w:r>
                  <w:r>
                    <w:rPr>
                      <w:szCs w:val="21"/>
                    </w:rPr>
                    <w:t>破碎机</w:t>
                  </w:r>
                  <w:r>
                    <w:rPr>
                      <w:rFonts w:hint="eastAsia"/>
                      <w:szCs w:val="21"/>
                    </w:rPr>
                    <w:t>、</w:t>
                  </w:r>
                  <w:r>
                    <w:rPr>
                      <w:szCs w:val="21"/>
                    </w:rPr>
                    <w:t>冲床等</w:t>
                  </w:r>
                </w:p>
              </w:tc>
              <w:tc>
                <w:tcPr>
                  <w:tcW w:w="1276"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一致</w:t>
                  </w:r>
                </w:p>
              </w:tc>
            </w:tr>
            <w:tr>
              <w:tblPrEx>
                <w:tblCellMar>
                  <w:top w:w="0" w:type="dxa"/>
                  <w:left w:w="108" w:type="dxa"/>
                  <w:bottom w:w="0" w:type="dxa"/>
                  <w:right w:w="108" w:type="dxa"/>
                </w:tblCellMar>
              </w:tblPrEx>
              <w:trPr>
                <w:trHeight w:val="397" w:hRule="atLeast"/>
                <w:jc w:val="center"/>
              </w:trPr>
              <w:tc>
                <w:tcPr>
                  <w:tcW w:w="449" w:type="dxa"/>
                  <w:vMerge w:val="continue"/>
                  <w:tcBorders>
                    <w:top w:val="single" w:color="000000" w:sz="4" w:space="0"/>
                    <w:bottom w:val="single" w:color="000000" w:sz="8" w:space="0"/>
                    <w:right w:val="single" w:color="000000" w:sz="4" w:space="0"/>
                  </w:tcBorders>
                  <w:shd w:val="clear" w:color="auto" w:fill="auto"/>
                  <w:vAlign w:val="center"/>
                </w:tcPr>
                <w:p>
                  <w:pPr>
                    <w:jc w:val="center"/>
                    <w:rPr>
                      <w:szCs w:val="21"/>
                    </w:rPr>
                  </w:pPr>
                </w:p>
              </w:tc>
              <w:tc>
                <w:tcPr>
                  <w:tcW w:w="68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生产</w:t>
                  </w:r>
                </w:p>
                <w:p>
                  <w:pPr>
                    <w:jc w:val="center"/>
                    <w:rPr>
                      <w:szCs w:val="21"/>
                    </w:rPr>
                  </w:pPr>
                  <w:r>
                    <w:rPr>
                      <w:szCs w:val="21"/>
                    </w:rPr>
                    <w:t>工艺</w:t>
                  </w:r>
                </w:p>
              </w:tc>
              <w:tc>
                <w:tcPr>
                  <w:tcW w:w="340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电池密封圈</w:t>
                  </w:r>
                  <w:r>
                    <w:rPr>
                      <w:rFonts w:hint="eastAsia"/>
                      <w:szCs w:val="21"/>
                    </w:rPr>
                    <w:t>：</w:t>
                  </w:r>
                  <w:r>
                    <w:rPr>
                      <w:szCs w:val="21"/>
                    </w:rPr>
                    <w:t>原料-</w:t>
                  </w:r>
                  <w:r>
                    <w:rPr>
                      <w:rFonts w:hint="eastAsia"/>
                      <w:szCs w:val="21"/>
                    </w:rPr>
                    <w:t>混料-烘干-上料-注塑-挑选-包装</w:t>
                  </w:r>
                  <w:r>
                    <w:rPr>
                      <w:szCs w:val="21"/>
                    </w:rPr>
                    <w:t>-成品</w:t>
                  </w:r>
                  <w:r>
                    <w:rPr>
                      <w:rFonts w:hint="eastAsia"/>
                      <w:szCs w:val="21"/>
                    </w:rPr>
                    <w:t>；</w:t>
                  </w:r>
                </w:p>
                <w:p>
                  <w:pPr>
                    <w:jc w:val="center"/>
                    <w:rPr>
                      <w:szCs w:val="21"/>
                    </w:rPr>
                  </w:pPr>
                  <w:r>
                    <w:rPr>
                      <w:rFonts w:hint="eastAsia"/>
                      <w:szCs w:val="21"/>
                    </w:rPr>
                    <w:t>负极底：原料-上料-冲压成型-打孔-包装-成品</w:t>
                  </w:r>
                </w:p>
              </w:tc>
              <w:tc>
                <w:tcPr>
                  <w:tcW w:w="326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电池密封圈</w:t>
                  </w:r>
                  <w:r>
                    <w:rPr>
                      <w:rFonts w:hint="eastAsia"/>
                      <w:szCs w:val="21"/>
                    </w:rPr>
                    <w:t>：</w:t>
                  </w:r>
                  <w:r>
                    <w:rPr>
                      <w:szCs w:val="21"/>
                    </w:rPr>
                    <w:t>原料-</w:t>
                  </w:r>
                  <w:r>
                    <w:rPr>
                      <w:rFonts w:hint="eastAsia"/>
                      <w:szCs w:val="21"/>
                    </w:rPr>
                    <w:t>混料-烘干-上料-注塑-挑选-包装</w:t>
                  </w:r>
                  <w:r>
                    <w:rPr>
                      <w:szCs w:val="21"/>
                    </w:rPr>
                    <w:t>-成品</w:t>
                  </w:r>
                  <w:r>
                    <w:rPr>
                      <w:rFonts w:hint="eastAsia"/>
                      <w:szCs w:val="21"/>
                    </w:rPr>
                    <w:t>；</w:t>
                  </w:r>
                </w:p>
                <w:p>
                  <w:pPr>
                    <w:jc w:val="center"/>
                    <w:rPr>
                      <w:szCs w:val="21"/>
                    </w:rPr>
                  </w:pPr>
                  <w:r>
                    <w:rPr>
                      <w:rFonts w:hint="eastAsia"/>
                      <w:szCs w:val="21"/>
                    </w:rPr>
                    <w:t>负极底：原料-上料-冲压成型-打孔-包装-成品</w:t>
                  </w:r>
                </w:p>
              </w:tc>
              <w:tc>
                <w:tcPr>
                  <w:tcW w:w="1276" w:type="dxa"/>
                  <w:tcBorders>
                    <w:top w:val="single" w:color="000000" w:sz="4" w:space="0"/>
                    <w:left w:val="single" w:color="000000" w:sz="4" w:space="0"/>
                    <w:bottom w:val="single" w:color="000000" w:sz="8" w:space="0"/>
                  </w:tcBorders>
                  <w:shd w:val="clear" w:color="auto" w:fill="auto"/>
                  <w:vAlign w:val="center"/>
                </w:tcPr>
                <w:p>
                  <w:pPr>
                    <w:jc w:val="center"/>
                    <w:rPr>
                      <w:szCs w:val="21"/>
                    </w:rPr>
                  </w:pPr>
                  <w:r>
                    <w:rPr>
                      <w:szCs w:val="21"/>
                    </w:rPr>
                    <w:t>一致</w:t>
                  </w:r>
                </w:p>
              </w:tc>
            </w:tr>
          </w:tbl>
          <w:p>
            <w:pPr>
              <w:spacing w:line="460" w:lineRule="exact"/>
              <w:ind w:firstLine="470"/>
              <w:rPr>
                <w:rFonts w:ascii="黑体" w:hAnsi="黑体" w:eastAsia="黑体"/>
                <w:sz w:val="24"/>
              </w:rPr>
            </w:pPr>
            <w:r>
              <w:rPr>
                <w:rFonts w:ascii="黑体" w:hAnsi="黑体" w:eastAsia="黑体"/>
                <w:sz w:val="24"/>
              </w:rPr>
              <w:t>三、项目选址及周围环境</w:t>
            </w:r>
          </w:p>
          <w:p>
            <w:pPr>
              <w:spacing w:line="460" w:lineRule="exact"/>
              <w:ind w:firstLine="480"/>
              <w:jc w:val="left"/>
              <w:rPr>
                <w:b/>
                <w:sz w:val="24"/>
                <w:u w:val="single"/>
              </w:rPr>
            </w:pPr>
            <w:r>
              <w:rPr>
                <w:b/>
                <w:sz w:val="24"/>
                <w:u w:val="single"/>
              </w:rPr>
              <w:t>本项目位于</w:t>
            </w:r>
            <w:r>
              <w:rPr>
                <w:b/>
                <w:bCs/>
                <w:sz w:val="24"/>
                <w:u w:val="single"/>
              </w:rPr>
              <w:t>新乡市凤泉区大块镇小块村西1658号</w:t>
            </w:r>
            <w:r>
              <w:rPr>
                <w:b/>
                <w:sz w:val="24"/>
                <w:u w:val="single"/>
              </w:rPr>
              <w:t>，根据</w:t>
            </w:r>
            <w:r>
              <w:rPr>
                <w:rFonts w:hint="eastAsia"/>
                <w:b/>
                <w:sz w:val="24"/>
                <w:u w:val="single"/>
              </w:rPr>
              <w:t>大块镇</w:t>
            </w:r>
            <w:r>
              <w:rPr>
                <w:b/>
                <w:sz w:val="24"/>
                <w:u w:val="single"/>
              </w:rPr>
              <w:t>土地利用总体规划图（2010-2020）（见附图），该项目用地属于允许建设区</w:t>
            </w:r>
            <w:r>
              <w:rPr>
                <w:rFonts w:hint="eastAsia"/>
                <w:b/>
                <w:sz w:val="24"/>
                <w:u w:val="single"/>
              </w:rPr>
              <w:t>。</w:t>
            </w:r>
          </w:p>
          <w:p>
            <w:pPr>
              <w:spacing w:line="440" w:lineRule="exact"/>
              <w:ind w:firstLine="420" w:firstLineChars="200"/>
              <w:rPr>
                <w:sz w:val="24"/>
              </w:rPr>
            </w:pPr>
            <w:r>
              <w:pict>
                <v:shape id="shapetype_75" o:spid="_x0000_s1401" o:spt="75" type="#_x0000_t75" style="position:absolute;left:0pt;margin-left:0pt;margin-top:0pt;height:50pt;width:50pt;visibility:hidden;z-index:251634688;mso-width-relative:page;mso-height-relative:page;" filled="f" o:preferrelative="t" stroked="f" coordsize="21600,21600">
                  <v:path/>
                  <v:fill on="f" focussize="0,0"/>
                  <v:stroke on="f" joinstyle="miter"/>
                  <v:imagedata o:title=""/>
                  <o:lock v:ext="edit" selection="t" aspectratio="t"/>
                </v:shape>
              </w:pict>
            </w:r>
            <w:r>
              <w:rPr>
                <w:sz w:val="24"/>
              </w:rPr>
              <w:t>项</w:t>
            </w:r>
            <w:r>
              <w:rPr>
                <w:sz w:val="24"/>
              </w:rPr>
              <w:pict>
                <v:shape id="_x0000_s1069" o:spid="_x0000_s1069" o:spt="100" style="position:absolute;left:0pt;margin-left:524.9pt;margin-top:140.45pt;height:94.45pt;width:57.65pt;z-index:251635712;mso-width-relative:page;mso-height-relative:page;" filled="f" stroked="t" coordsize="21600,21600" adj=",,">
                  <v:fill on="f" focussize="0,0"/>
                  <v:stroke weight="0.992125984251969pt" color="#FF0000" joinstyle="round"/>
                  <v:imagedata o:title=""/>
                  <o:lock v:ext="edit"/>
                </v:shape>
              </w:pict>
            </w:r>
            <w:r>
              <w:rPr>
                <w:sz w:val="24"/>
              </w:rPr>
              <w:pict>
                <v:shape id="_x0000_s1068" o:spid="_x0000_s1068" o:spt="100" style="position:absolute;left:0pt;margin-left:524.9pt;margin-top:237.55pt;height:39.7pt;width:51pt;z-index:251636736;mso-width-relative:page;mso-height-relative:page;" filled="f" stroked="t" coordsize="21600,21600" adj=",,">
                  <v:fill on="f" focussize="0,0"/>
                  <v:stroke weight="0.992125984251969pt" color="#00B050" joinstyle="round"/>
                  <v:imagedata o:title=""/>
                  <o:lock v:ext="edit"/>
                </v:shape>
              </w:pict>
            </w:r>
            <w:r>
              <w:rPr>
                <w:sz w:val="24"/>
              </w:rPr>
              <w:pict>
                <v:shape id="_x0000_s1067" o:spid="_x0000_s1067" o:spt="100" style="position:absolute;left:0pt;margin-left:524.9pt;margin-top:117pt;height:169.65pt;width:190pt;z-index:251637760;mso-width-relative:page;mso-height-relative:page;" filled="f" stroked="t" coordsize="21600,21600" adj=",,">
                  <v:fill on="f" focussize="0,0"/>
                  <v:stroke weight="0.992125984251969pt" color="#FF0000" joinstyle="round"/>
                  <v:imagedata o:title=""/>
                  <o:lock v:ext="edit"/>
                </v:shape>
              </w:pict>
            </w:r>
            <w:r>
              <w:rPr>
                <w:sz w:val="24"/>
              </w:rPr>
              <w:t>目四周环境为：北侧为</w:t>
            </w:r>
            <w:r>
              <w:rPr>
                <w:rFonts w:hint="eastAsia"/>
                <w:sz w:val="24"/>
              </w:rPr>
              <w:t>闲置厂房；南侧为进村小路，小路南侧为闲置厂房；西侧及东侧均为林地。由于小块村周围禁止种植农作物，目前项目厂区西侧及东侧均种植有树林。距离厂区较近的敏感点主要为东侧530m处的小块村，东南侧520m处的小块第四小学。</w:t>
            </w:r>
            <w:r>
              <w:rPr>
                <w:sz w:val="24"/>
              </w:rPr>
              <w:t>项目周边环境示意图见图1</w:t>
            </w:r>
            <w:r>
              <w:rPr>
                <w:rFonts w:hint="eastAsia"/>
                <w:sz w:val="24"/>
              </w:rPr>
              <w:t>，</w:t>
            </w:r>
            <w:r>
              <w:rPr>
                <w:sz w:val="24"/>
              </w:rPr>
              <w:t>周围敏感点示意图见图</w:t>
            </w:r>
            <w:r>
              <w:rPr>
                <w:rFonts w:hint="eastAsia"/>
                <w:sz w:val="24"/>
              </w:rPr>
              <w:t>2</w:t>
            </w:r>
            <w:r>
              <w:rPr>
                <w:sz w:val="24"/>
              </w:rPr>
              <w:t>。</w:t>
            </w:r>
          </w:p>
          <w:p>
            <w:pPr>
              <w:spacing w:line="440" w:lineRule="exact"/>
              <w:rPr>
                <w:sz w:val="24"/>
              </w:rPr>
            </w:pPr>
            <w:r>
              <w:rPr>
                <w:rFonts w:ascii="黑体" w:hAnsi="黑体" w:eastAsia="黑体"/>
                <w:sz w:val="24"/>
              </w:rPr>
              <w:pict>
                <v:shape id="_x0000_s1579" o:spid="_x0000_s1579" o:spt="202" type="#_x0000_t202" style="position:absolute;left:0pt;margin-left:31.15pt;margin-top:16.25pt;height:60.45pt;width:55pt;z-index:251748352;mso-width-relative:page;mso-height-relative:page;" filled="f" stroked="f" coordsize="21600,21600">
                  <v:path/>
                  <v:fill on="f" focussize="0,0"/>
                  <v:stroke on="f" weight="1pt" joinstyle="miter"/>
                  <v:imagedata o:title=""/>
                  <o:lock v:ext="edit"/>
                  <v:textbox>
                    <w:txbxContent>
                      <w:p>
                        <w:r>
                          <w:drawing>
                            <wp:inline distT="0" distB="0" distL="0" distR="0">
                              <wp:extent cx="447675" cy="533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srcRect/>
                                      <a:stretch>
                                        <a:fillRect/>
                                      </a:stretch>
                                    </pic:blipFill>
                                    <pic:spPr>
                                      <a:xfrm>
                                        <a:off x="0" y="0"/>
                                        <a:ext cx="443230" cy="535305"/>
                                      </a:xfrm>
                                      <a:prstGeom prst="rect">
                                        <a:avLst/>
                                      </a:prstGeom>
                                      <a:noFill/>
                                      <a:ln w="9525" cap="flat">
                                        <a:noFill/>
                                        <a:round/>
                                      </a:ln>
                                    </pic:spPr>
                                  </pic:pic>
                                </a:graphicData>
                              </a:graphic>
                            </wp:inline>
                          </w:drawing>
                        </w:r>
                      </w:p>
                    </w:txbxContent>
                  </v:textbox>
                </v:shape>
              </w:pict>
            </w:r>
            <w:r>
              <w:rPr>
                <w:rFonts w:hint="eastAsia"/>
                <w:sz w:val="24"/>
              </w:rPr>
              <w:drawing>
                <wp:anchor distT="0" distB="0" distL="114300" distR="114300" simplePos="0" relativeHeight="251747328" behindDoc="0" locked="0" layoutInCell="1" allowOverlap="1">
                  <wp:simplePos x="0" y="0"/>
                  <wp:positionH relativeFrom="column">
                    <wp:posOffset>337185</wp:posOffset>
                  </wp:positionH>
                  <wp:positionV relativeFrom="paragraph">
                    <wp:posOffset>179070</wp:posOffset>
                  </wp:positionV>
                  <wp:extent cx="5318760" cy="2732405"/>
                  <wp:effectExtent l="19050" t="19050" r="15505" b="10633"/>
                  <wp:wrapNone/>
                  <wp:docPr id="1" name="图片 1" descr="C:\Users\Administrator\Desktop\QQ截图2020040914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QQ截图20200409143530.png"/>
                          <pic:cNvPicPr>
                            <a:picLocks noChangeAspect="1" noChangeArrowheads="1"/>
                          </pic:cNvPicPr>
                        </pic:nvPicPr>
                        <pic:blipFill>
                          <a:blip r:embed="rId14" cstate="print"/>
                          <a:srcRect b="3383"/>
                          <a:stretch>
                            <a:fillRect/>
                          </a:stretch>
                        </pic:blipFill>
                        <pic:spPr>
                          <a:xfrm>
                            <a:off x="0" y="0"/>
                            <a:ext cx="5318495" cy="2732567"/>
                          </a:xfrm>
                          <a:prstGeom prst="rect">
                            <a:avLst/>
                          </a:prstGeom>
                          <a:noFill/>
                          <a:ln w="12700">
                            <a:solidFill>
                              <a:schemeClr val="tx1"/>
                            </a:solidFill>
                            <a:miter lim="800000"/>
                            <a:headEnd/>
                            <a:tailEnd/>
                          </a:ln>
                        </pic:spPr>
                      </pic:pic>
                    </a:graphicData>
                  </a:graphic>
                </wp:anchor>
              </w:drawing>
            </w:r>
          </w:p>
          <w:p>
            <w:pPr>
              <w:spacing w:line="440" w:lineRule="exact"/>
              <w:rPr>
                <w:sz w:val="24"/>
              </w:rPr>
            </w:pPr>
            <w:r>
              <w:rPr>
                <w:rFonts w:ascii="黑体" w:hAnsi="黑体" w:eastAsia="黑体"/>
                <w:sz w:val="24"/>
              </w:rPr>
              <w:pict>
                <v:shape id="_x0000_s1645" o:spid="_x0000_s1645" o:spt="62" type="#_x0000_t62" style="position:absolute;left:0pt;margin-left:90.1pt;margin-top:14.85pt;height:24.9pt;width:63.1pt;z-index:251783168;mso-width-relative:page;mso-height-relative:page;" filled="f" stroked="t" coordsize="21600,21600" adj="18365,35349">
                  <v:path/>
                  <v:fill on="f" focussize="0,0"/>
                  <v:stroke weight="1pt" color="#FFFF00" joinstyle="miter"/>
                  <v:imagedata o:title=""/>
                  <o:lock v:ext="edit"/>
                  <v:textbox>
                    <w:txbxContent>
                      <w:p>
                        <w:pPr>
                          <w:jc w:val="center"/>
                          <w:rPr>
                            <w:b/>
                            <w:color w:val="FFFF00"/>
                          </w:rPr>
                        </w:pPr>
                        <w:r>
                          <w:rPr>
                            <w:rFonts w:hint="eastAsia"/>
                            <w:b/>
                            <w:color w:val="FFFF00"/>
                          </w:rPr>
                          <w:t>闲置厂房</w:t>
                        </w:r>
                      </w:p>
                    </w:txbxContent>
                  </v:textbox>
                </v:shape>
              </w:pict>
            </w:r>
            <w:r>
              <w:rPr>
                <w:sz w:val="24"/>
              </w:rPr>
              <w:pict>
                <v:shape id="_x0000_s1600" o:spid="_x0000_s1600" style="position:absolute;left:0pt;margin-left:304.65pt;margin-top:3.35pt;height:204.75pt;width:141pt;z-index:251753472;mso-width-relative:page;mso-height-relative:page;" fillcolor="#8DB3E2" filled="t" stroked="t" coordsize="2820,4095" path="m67,1920l0,2550,832,2715,795,3008,1765,3188,1765,3559,1627,3559,1620,3658,1582,3795,1522,3803,1500,3915,1410,3915,1380,4095,2820,4095,2820,113,2235,30,2100,158,1875,113,1845,8,1530,0,1507,308,1350,308,1230,173,907,173,862,810,465,750,382,2006,67,1920xe">
                  <v:path arrowok="t"/>
                  <v:fill type="pattern" on="t" opacity="13107f" o:opacity2="13107f" o:title="瓦形" focussize="0,0" r:id="rId15"/>
                  <v:stroke weight="1pt" color="#548DD4"/>
                  <v:imagedata o:title=""/>
                  <o:lock v:ext="edit"/>
                </v:shape>
              </w:pict>
            </w:r>
          </w:p>
          <w:p>
            <w:pPr>
              <w:spacing w:line="440" w:lineRule="exact"/>
              <w:rPr>
                <w:sz w:val="24"/>
              </w:rPr>
            </w:pPr>
          </w:p>
          <w:p>
            <w:pPr>
              <w:spacing w:line="440" w:lineRule="exact"/>
              <w:rPr>
                <w:sz w:val="24"/>
              </w:rPr>
            </w:pPr>
            <w:r>
              <w:rPr>
                <w:rFonts w:ascii="黑体" w:hAnsi="黑体" w:eastAsia="黑体"/>
                <w:sz w:val="24"/>
              </w:rPr>
              <w:pict>
                <v:shape id="_x0000_s1644" o:spid="_x0000_s1644" style="position:absolute;left:0pt;margin-left:135.9pt;margin-top:7.9pt;height:22.1pt;width:23.25pt;z-index:251782144;mso-width-relative:page;mso-height-relative:page;" filled="f" stroked="t" coordsize="465,442" path="m22,0l465,10,421,434,0,442,22,0xe">
                  <v:path arrowok="t"/>
                  <v:fill on="f" focussize="0,0"/>
                  <v:stroke weight="1pt" color="#FFFF00"/>
                  <v:imagedata o:title=""/>
                  <o:lock v:ext="edit"/>
                </v:shape>
              </w:pict>
            </w:r>
          </w:p>
          <w:p>
            <w:pPr>
              <w:spacing w:line="440" w:lineRule="exact"/>
              <w:rPr>
                <w:sz w:val="24"/>
              </w:rPr>
            </w:pPr>
            <w:r>
              <w:rPr>
                <w:sz w:val="24"/>
              </w:rPr>
              <w:pict>
                <v:shape id="_x0000_s1598" o:spid="_x0000_s1598" o:spt="62" type="#_x0000_t62" style="position:absolute;left:0pt;margin-left:53.25pt;margin-top:10.25pt;height:24.9pt;width:56.1pt;z-index:251750400;mso-width-relative:page;mso-height-relative:page;" filled="f" stroked="t" coordsize="21600,21600" adj="32246,6376">
                  <v:path/>
                  <v:fill on="f" focussize="0,0"/>
                  <v:stroke weight="1pt" color="#FF0000" joinstyle="miter"/>
                  <v:imagedata o:title=""/>
                  <o:lock v:ext="edit"/>
                  <v:textbox>
                    <w:txbxContent>
                      <w:p>
                        <w:pPr>
                          <w:jc w:val="center"/>
                          <w:rPr>
                            <w:b/>
                            <w:color w:val="FF0000"/>
                          </w:rPr>
                        </w:pPr>
                        <w:r>
                          <w:rPr>
                            <w:b/>
                            <w:color w:val="FF0000"/>
                          </w:rPr>
                          <w:t>本项目</w:t>
                        </w:r>
                      </w:p>
                    </w:txbxContent>
                  </v:textbox>
                </v:shape>
              </w:pict>
            </w:r>
            <w:r>
              <w:rPr>
                <w:sz w:val="24"/>
              </w:rPr>
              <w:pict>
                <v:shape id="_x0000_s1597" o:spid="_x0000_s1597" style="position:absolute;left:0pt;margin-left:134.2pt;margin-top:10.25pt;height:27.4pt;width:24.7pt;z-index:251749376;mso-width-relative:page;mso-height-relative:page;" filled="f" stroked="t" coordsize="499,548" path="m18,9l499,0,353,548,0,530,18,9xe">
                  <v:path arrowok="t"/>
                  <v:fill on="f" focussize="0,0"/>
                  <v:stroke weight="1pt" color="#FF0000"/>
                  <v:imagedata o:title=""/>
                  <o:lock v:ext="edit"/>
                </v:shape>
              </w:pict>
            </w:r>
          </w:p>
          <w:p>
            <w:pPr>
              <w:spacing w:line="440" w:lineRule="exact"/>
              <w:rPr>
                <w:sz w:val="24"/>
              </w:rPr>
            </w:pPr>
            <w:r>
              <w:rPr>
                <w:rFonts w:ascii="黑体" w:hAnsi="黑体" w:eastAsia="黑体"/>
                <w:sz w:val="24"/>
              </w:rPr>
              <w:pict>
                <v:shape id="_x0000_s1578" o:spid="_x0000_s1578" o:spt="202" type="#_x0000_t202" style="position:absolute;left:0pt;margin-left:162.5pt;margin-top:15.5pt;height:19.25pt;width:55pt;z-index:251757568;mso-width-relative:page;mso-height-relative:page;" filled="f" stroked="f" coordsize="21600,21600">
                  <v:path/>
                  <v:fill on="f" focussize="0,0"/>
                  <v:stroke on="f" joinstyle="miter"/>
                  <v:imagedata o:title=""/>
                  <o:lock v:ext="edit"/>
                  <v:textbox inset="0mm,0mm,0mm,0mm">
                    <w:txbxContent>
                      <w:p>
                        <w:pPr>
                          <w:jc w:val="center"/>
                          <w:rPr>
                            <w:b/>
                            <w:color w:val="7030A0"/>
                            <w:sz w:val="24"/>
                          </w:rPr>
                        </w:pPr>
                        <w:r>
                          <w:rPr>
                            <w:rFonts w:hint="eastAsia"/>
                            <w:b/>
                            <w:color w:val="7030A0"/>
                            <w:sz w:val="24"/>
                            <w:highlight w:val="lightGray"/>
                          </w:rPr>
                          <w:t>进村小路</w:t>
                        </w:r>
                      </w:p>
                    </w:txbxContent>
                  </v:textbox>
                </v:shape>
              </w:pict>
            </w:r>
            <w:r>
              <w:rPr>
                <w:rFonts w:ascii="黑体" w:hAnsi="黑体" w:eastAsia="黑体"/>
                <w:sz w:val="24"/>
              </w:rPr>
              <w:pict>
                <v:shape id="_x0000_s1601" o:spid="_x0000_s1601" style="position:absolute;left:0pt;margin-left:133.6pt;margin-top:18.7pt;height:17.55pt;width:19.6pt;z-index:251755520;mso-width-relative:page;mso-height-relative:page;" filled="f" stroked="t" coordsize="392,351" path="m43,0l392,15,333,351,0,276,43,0xe">
                  <v:path arrowok="t"/>
                  <v:fill on="f" focussize="0,0"/>
                  <v:stroke weight="1pt" color="#FFFF00"/>
                  <v:imagedata o:title=""/>
                  <o:lock v:ext="edit"/>
                </v:shape>
              </w:pict>
            </w:r>
            <w:r>
              <w:rPr>
                <w:rFonts w:ascii="黑体" w:hAnsi="黑体" w:eastAsia="黑体"/>
                <w:sz w:val="24"/>
              </w:rPr>
              <w:pict>
                <v:shape id="_x0000_s1577" o:spid="_x0000_s1577" o:spt="202" type="#_x0000_t202" style="position:absolute;left:0pt;margin-left:325.1pt;margin-top:6.5pt;height:29.75pt;width:113.1pt;z-index:251754496;mso-width-relative:page;mso-height-relative:page;" filled="f" stroked="f" coordsize="21600,21600">
                  <v:path/>
                  <v:fill on="f" focussize="0,0"/>
                  <v:stroke on="f" joinstyle="miter"/>
                  <v:imagedata o:title=""/>
                  <o:lock v:ext="edit"/>
                  <v:textbox inset="0mm,0mm,0mm,0mm">
                    <w:txbxContent>
                      <w:p>
                        <w:pPr>
                          <w:jc w:val="center"/>
                          <w:rPr>
                            <w:b/>
                            <w:color w:val="FFFF00"/>
                          </w:rPr>
                        </w:pPr>
                        <w:r>
                          <w:rPr>
                            <w:rFonts w:hint="eastAsia"/>
                            <w:b/>
                            <w:color w:val="FFFF00"/>
                          </w:rPr>
                          <w:t>小块村</w:t>
                        </w:r>
                      </w:p>
                      <w:p>
                        <w:pPr>
                          <w:jc w:val="center"/>
                          <w:rPr>
                            <w:b/>
                            <w:color w:val="FFFF00"/>
                          </w:rPr>
                        </w:pPr>
                        <w:r>
                          <w:rPr>
                            <w:rFonts w:hint="eastAsia"/>
                            <w:b/>
                            <w:color w:val="FFFF00"/>
                          </w:rPr>
                          <w:t>（530m）</w:t>
                        </w:r>
                      </w:p>
                    </w:txbxContent>
                  </v:textbox>
                </v:shape>
              </w:pict>
            </w:r>
          </w:p>
          <w:p>
            <w:pPr>
              <w:spacing w:line="440" w:lineRule="exact"/>
              <w:rPr>
                <w:sz w:val="24"/>
              </w:rPr>
            </w:pPr>
            <w:r>
              <w:rPr>
                <w:rFonts w:ascii="黑体" w:hAnsi="黑体" w:eastAsia="黑体"/>
                <w:sz w:val="24"/>
              </w:rPr>
              <w:pict>
                <v:shape id="_x0000_s1602" o:spid="_x0000_s1602" o:spt="62" type="#_x0000_t62" style="position:absolute;left:0pt;margin-left:39pt;margin-top:14.25pt;height:24.9pt;width:63.1pt;z-index:251756544;mso-width-relative:page;mso-height-relative:page;" filled="f" stroked="t" coordsize="21600,21600" adj="32828,-7157">
                  <v:path/>
                  <v:fill on="f" focussize="0,0"/>
                  <v:stroke weight="1pt" color="#FFFF00" joinstyle="miter"/>
                  <v:imagedata o:title=""/>
                  <o:lock v:ext="edit"/>
                  <v:textbox>
                    <w:txbxContent>
                      <w:p>
                        <w:pPr>
                          <w:jc w:val="center"/>
                          <w:rPr>
                            <w:b/>
                            <w:color w:val="FFFF00"/>
                          </w:rPr>
                        </w:pPr>
                        <w:r>
                          <w:rPr>
                            <w:rFonts w:hint="eastAsia"/>
                            <w:b/>
                            <w:color w:val="FFFF00"/>
                          </w:rPr>
                          <w:t>闲置厂房</w:t>
                        </w:r>
                      </w:p>
                    </w:txbxContent>
                  </v:textbox>
                </v:shape>
              </w:pict>
            </w:r>
          </w:p>
          <w:p>
            <w:pPr>
              <w:spacing w:line="440" w:lineRule="exact"/>
              <w:rPr>
                <w:sz w:val="24"/>
              </w:rPr>
            </w:pPr>
            <w:r>
              <w:rPr>
                <w:rFonts w:ascii="黑体" w:hAnsi="黑体" w:eastAsia="黑体"/>
                <w:sz w:val="24"/>
              </w:rPr>
              <w:pict>
                <v:shape id="_x0000_s1575" o:spid="_x0000_s1575" o:spt="202" type="#_x0000_t202" style="position:absolute;left:0pt;margin-left:298.65pt;margin-top:9pt;height:45.5pt;width:45.7pt;z-index:251752448;mso-width-relative:page;mso-height-relative:page;" filled="f" stroked="f" coordsize="21600,21600">
                  <v:path/>
                  <v:fill on="f" focussize="0,0"/>
                  <v:stroke on="f" joinstyle="miter"/>
                  <v:imagedata o:title=""/>
                  <o:lock v:ext="edit"/>
                  <v:textbox inset="0mm,0mm,0mm,0mm">
                    <w:txbxContent>
                      <w:p>
                        <w:pPr>
                          <w:spacing w:line="240" w:lineRule="exact"/>
                          <w:jc w:val="center"/>
                          <w:rPr>
                            <w:b/>
                            <w:color w:val="FFFF00"/>
                          </w:rPr>
                        </w:pPr>
                        <w:r>
                          <w:rPr>
                            <w:rFonts w:hint="eastAsia"/>
                            <w:b/>
                            <w:color w:val="FFFF00"/>
                          </w:rPr>
                          <w:t>小块第</w:t>
                        </w:r>
                      </w:p>
                      <w:p>
                        <w:pPr>
                          <w:spacing w:line="240" w:lineRule="exact"/>
                          <w:jc w:val="center"/>
                          <w:rPr>
                            <w:b/>
                            <w:color w:val="FFFF00"/>
                          </w:rPr>
                        </w:pPr>
                        <w:r>
                          <w:rPr>
                            <w:rFonts w:hint="eastAsia"/>
                            <w:b/>
                            <w:color w:val="FFFF00"/>
                          </w:rPr>
                          <w:t>四小学</w:t>
                        </w:r>
                      </w:p>
                      <w:p>
                        <w:pPr>
                          <w:spacing w:line="240" w:lineRule="exact"/>
                          <w:jc w:val="center"/>
                          <w:rPr>
                            <w:b/>
                            <w:color w:val="FFFF00"/>
                          </w:rPr>
                        </w:pPr>
                        <w:r>
                          <w:rPr>
                            <w:rFonts w:hint="eastAsia"/>
                            <w:b/>
                            <w:color w:val="FFFF00"/>
                          </w:rPr>
                          <w:t>（520m）</w:t>
                        </w:r>
                      </w:p>
                    </w:txbxContent>
                  </v:textbox>
                </v:shape>
              </w:pict>
            </w:r>
            <w:r>
              <w:rPr>
                <w:sz w:val="24"/>
              </w:rPr>
              <w:pict>
                <v:shape id="_x0000_s1599" o:spid="_x0000_s1599" style="position:absolute;left:0pt;margin-left:301pt;margin-top:2.1pt;height:52.15pt;width:40.15pt;z-index:251751424;mso-width-relative:page;mso-height-relative:page;" filled="f" stroked="t" coordsize="803,1043" path="m61,0l0,937,750,1043,803,124,61,0xe">
                  <v:path arrowok="t"/>
                  <v:fill on="f" focussize="0,0"/>
                  <v:stroke weight="1pt" color="#FFFF00"/>
                  <v:imagedata o:title=""/>
                  <o:lock v:ext="edit"/>
                </v:shape>
              </w:pict>
            </w:r>
          </w:p>
          <w:p>
            <w:pPr>
              <w:spacing w:line="440" w:lineRule="exact"/>
              <w:rPr>
                <w:sz w:val="24"/>
              </w:rPr>
            </w:pPr>
          </w:p>
          <w:p>
            <w:pPr>
              <w:spacing w:line="440" w:lineRule="exact"/>
              <w:rPr>
                <w:sz w:val="24"/>
              </w:rPr>
            </w:pPr>
          </w:p>
          <w:p>
            <w:pPr>
              <w:rPr>
                <w:sz w:val="24"/>
              </w:rPr>
            </w:pPr>
          </w:p>
          <w:p>
            <w:pPr>
              <w:spacing w:beforeLines="50"/>
              <w:ind w:firstLine="3255"/>
              <w:rPr>
                <w:rFonts w:eastAsia="黑体"/>
                <w:sz w:val="24"/>
                <w:lang w:val="pt-BR"/>
              </w:rPr>
            </w:pPr>
            <w:r>
              <w:rPr>
                <w:sz w:val="24"/>
              </w:rPr>
              <w:pict>
                <v:shape id="_x0000_s1564" o:spid="_x0000_s1564" o:spt="100" style="position:absolute;left:0pt;margin-left:524.95pt;margin-top:66.65pt;height:84.5pt;width:95.4pt;z-index:251718656;mso-width-relative:page;mso-height-relative:page;" filled="f" stroked="t" coordsize="21600,21600" adj=",,">
                  <v:fill on="f" focussize="0,0"/>
                  <v:stroke weight="0.992125984251969pt" color="#00B0F0" joinstyle="round"/>
                  <v:imagedata o:title=""/>
                  <o:lock v:ext="edit"/>
                </v:shape>
              </w:pict>
            </w:r>
            <w:r>
              <w:rPr>
                <w:sz w:val="24"/>
              </w:rPr>
              <w:pict>
                <v:shape id="_x0000_s1563" o:spid="_x0000_s1563" o:spt="100" style="position:absolute;left:0pt;margin-left:0pt;margin-top:0pt;height:50pt;width:50pt;visibility:hidden;z-index:251717632;mso-width-relative:page;mso-height-relative:page;" coordsize="21600,21600" adj=",," path="m0,0l21600,21600nfe">
                  <v:path textboxrect="0,0,21600,21600" o:connecttype="rect"/>
                  <v:fill focussize="0,0"/>
                  <v:stroke joinstyle="miter"/>
                  <v:imagedata o:title=""/>
                  <o:lock v:ext="edit" selection="t"/>
                </v:shape>
              </w:pict>
            </w:r>
            <w:r>
              <w:rPr>
                <w:sz w:val="24"/>
              </w:rPr>
              <w:pict>
                <v:shape id="_x0000_s1565" o:spid="_x0000_s1565" o:spt="100" style="position:absolute;left:0pt;margin-left:524.9pt;margin-top:64.05pt;height:72.55pt;width:52.6pt;z-index:251719680;mso-width-relative:page;mso-height-relative:page;" filled="f" stroked="t" coordsize="21600,21600" adj=",,">
                  <v:fill on="f" focussize="0,0"/>
                  <v:stroke weight="0.992125984251969pt" color="#548DD4" joinstyle="round"/>
                  <v:imagedata o:title=""/>
                  <o:lock v:ext="edit"/>
                </v:shape>
              </w:pict>
            </w:r>
            <w:r>
              <w:rPr>
                <w:sz w:val="24"/>
              </w:rPr>
              <w:pict>
                <v:shape id="_x0000_s1566" o:spid="_x0000_s1566" o:spt="100" style="position:absolute;left:0pt;margin-left:524.95pt;margin-top:19.65pt;height:102.15pt;width:91.25pt;z-index:251720704;mso-width-relative:page;mso-height-relative:page;" filled="f" stroked="t" coordsize="21600,21600" adj=",,">
                  <v:fill on="f" focussize="0,0"/>
                  <v:stroke weight="0.992125984251969pt" color="#00B0F0" joinstyle="round"/>
                  <v:imagedata o:title=""/>
                  <o:lock v:ext="edit"/>
                </v:shape>
              </w:pict>
            </w:r>
            <w:r>
              <w:rPr>
                <w:rFonts w:eastAsia="黑体"/>
                <w:sz w:val="24"/>
                <w:lang w:val="pt-BR"/>
              </w:rPr>
              <w:t>图</w:t>
            </w:r>
            <w:r>
              <w:rPr>
                <w:rFonts w:hint="eastAsia" w:eastAsia="黑体"/>
                <w:sz w:val="24"/>
                <w:lang w:val="pt-BR"/>
              </w:rPr>
              <w:t>1</w:t>
            </w:r>
            <w:r>
              <w:rPr>
                <w:rFonts w:eastAsia="黑体"/>
                <w:sz w:val="24"/>
                <w:lang w:val="pt-BR"/>
              </w:rPr>
              <w:t xml:space="preserve">   项目</w:t>
            </w:r>
            <w:r>
              <w:rPr>
                <w:rFonts w:hint="eastAsia" w:eastAsia="黑体"/>
                <w:sz w:val="24"/>
                <w:lang w:val="pt-BR"/>
              </w:rPr>
              <w:t>周围</w:t>
            </w:r>
            <w:r>
              <w:rPr>
                <w:rFonts w:eastAsia="黑体"/>
                <w:sz w:val="24"/>
                <w:lang w:val="pt-BR"/>
              </w:rPr>
              <w:t>环境示意图</w:t>
            </w:r>
            <w:r>
              <w:rPr>
                <w:sz w:val="24"/>
              </w:rPr>
              <w:pict>
                <v:shape id="_x0000_s1396" o:spid="_x0000_s1396" o:spt="100" style="position:absolute;left:0pt;margin-left:524.95pt;margin-top:66.65pt;height:84.5pt;width:95.4pt;z-index:251683840;mso-width-relative:page;mso-height-relative:page;" filled="f" stroked="t" coordsize="21600,21600" adj=",,">
                  <v:fill on="f" focussize="0,0"/>
                  <v:stroke weight="0.992125984251969pt" color="#00B0F0" joinstyle="round"/>
                  <v:imagedata o:title=""/>
                  <o:lock v:ext="edit"/>
                </v:shape>
              </w:pict>
            </w:r>
            <w:r>
              <w:rPr>
                <w:sz w:val="24"/>
              </w:rPr>
              <w:pict>
                <v:shape id="shapetype_32" o:spid="_x0000_s1395" o:spt="100" style="position:absolute;left:0pt;margin-left:0pt;margin-top:0pt;height:50pt;width:50pt;visibility:hidden;z-index:251682816;mso-width-relative:page;mso-height-relative:page;" coordsize="21600,21600" adj=",," path="m0,0l21600,21600nfe">
                  <v:path textboxrect="0,0,21600,21600" o:connecttype="rect"/>
                  <v:fill focussize="0,0"/>
                  <v:stroke joinstyle="miter"/>
                  <v:imagedata o:title=""/>
                  <o:lock v:ext="edit" selection="t"/>
                </v:shape>
              </w:pict>
            </w:r>
            <w:r>
              <w:rPr>
                <w:sz w:val="24"/>
              </w:rPr>
              <w:pict>
                <v:shape id="_x0000_s1397" o:spid="_x0000_s1397" o:spt="100" style="position:absolute;left:0pt;margin-left:524.9pt;margin-top:64.05pt;height:72.55pt;width:52.6pt;z-index:251684864;mso-width-relative:page;mso-height-relative:page;" filled="f" stroked="t" coordsize="21600,21600" adj=",,">
                  <v:fill on="f" focussize="0,0"/>
                  <v:stroke weight="0.992125984251969pt" color="#548DD4" joinstyle="round"/>
                  <v:imagedata o:title=""/>
                  <o:lock v:ext="edit"/>
                </v:shape>
              </w:pict>
            </w:r>
            <w:r>
              <w:rPr>
                <w:sz w:val="24"/>
              </w:rPr>
              <w:pict>
                <v:shape id="_x0000_s1398" o:spid="_x0000_s1398" o:spt="100" style="position:absolute;left:0pt;margin-left:524.95pt;margin-top:19.65pt;height:102.15pt;width:91.25pt;z-index:251685888;mso-width-relative:page;mso-height-relative:page;" filled="f" stroked="t" coordsize="21600,21600" adj=",,">
                  <v:fill on="f" focussize="0,0"/>
                  <v:stroke weight="0.992125984251969pt" color="#00B0F0" joinstyle="round"/>
                  <v:imagedata o:title=""/>
                  <o:lock v:ext="edit"/>
                </v:shape>
              </w:pict>
            </w:r>
          </w:p>
          <w:p>
            <w:pPr>
              <w:snapToGrid w:val="0"/>
              <w:spacing w:beforeLines="50" w:line="440" w:lineRule="exact"/>
              <w:ind w:firstLine="471"/>
              <w:rPr>
                <w:rFonts w:ascii="黑体" w:hAnsi="黑体" w:eastAsia="黑体"/>
                <w:sz w:val="24"/>
              </w:rPr>
            </w:pPr>
            <w:r>
              <w:rPr>
                <w:rFonts w:ascii="黑体" w:hAnsi="黑体" w:eastAsia="黑体"/>
                <w:sz w:val="24"/>
              </w:rPr>
              <w:t>四、工程内容及规模</w:t>
            </w:r>
          </w:p>
          <w:p>
            <w:pPr>
              <w:spacing w:line="440" w:lineRule="exact"/>
              <w:ind w:firstLine="482"/>
              <w:rPr>
                <w:rFonts w:eastAsiaTheme="majorEastAsia"/>
                <w:b/>
                <w:sz w:val="24"/>
                <w:lang w:val="pt-BR"/>
              </w:rPr>
            </w:pPr>
            <w:r>
              <w:rPr>
                <w:rFonts w:eastAsiaTheme="majorEastAsia"/>
                <w:b/>
                <w:sz w:val="24"/>
                <w:lang w:val="pt-BR"/>
              </w:rPr>
              <w:t>1</w:t>
            </w:r>
            <w:r>
              <w:rPr>
                <w:rFonts w:hAnsiTheme="majorEastAsia" w:eastAsiaTheme="majorEastAsia"/>
                <w:b/>
                <w:sz w:val="24"/>
                <w:lang w:val="pt-BR"/>
              </w:rPr>
              <w:t>、项目概况</w:t>
            </w:r>
          </w:p>
          <w:p>
            <w:pPr>
              <w:spacing w:line="440" w:lineRule="exact"/>
              <w:ind w:firstLine="480"/>
              <w:rPr>
                <w:sz w:val="24"/>
              </w:rPr>
            </w:pPr>
            <w:r>
              <w:rPr>
                <w:sz w:val="24"/>
              </w:rPr>
              <w:t>本项目基本概况见表3。</w:t>
            </w:r>
          </w:p>
          <w:p>
            <w:pPr>
              <w:spacing w:line="440" w:lineRule="exact"/>
              <w:ind w:firstLine="480"/>
              <w:rPr>
                <w:rFonts w:eastAsia="黑体"/>
                <w:sz w:val="24"/>
                <w:lang w:val="pt-BR"/>
              </w:rPr>
            </w:pPr>
            <w:r>
              <w:rPr>
                <w:rFonts w:eastAsia="黑体"/>
                <w:sz w:val="24"/>
                <w:lang w:val="pt-BR"/>
              </w:rPr>
              <w:t xml:space="preserve">表3               </w:t>
            </w:r>
            <w:r>
              <w:rPr>
                <w:rFonts w:hint="eastAsia" w:eastAsia="黑体"/>
                <w:sz w:val="24"/>
                <w:lang w:val="pt-BR"/>
              </w:rPr>
              <w:t xml:space="preserve">                           </w:t>
            </w:r>
            <w:r>
              <w:rPr>
                <w:rFonts w:eastAsia="黑体"/>
                <w:sz w:val="24"/>
                <w:lang w:val="pt-BR"/>
              </w:rPr>
              <w:t xml:space="preserve">        项目概况一览表</w:t>
            </w:r>
          </w:p>
          <w:tbl>
            <w:tblPr>
              <w:tblStyle w:val="19"/>
              <w:tblW w:w="9117" w:type="dxa"/>
              <w:jc w:val="center"/>
              <w:tblLayout w:type="autofit"/>
              <w:tblCellMar>
                <w:top w:w="0" w:type="dxa"/>
                <w:left w:w="108" w:type="dxa"/>
                <w:bottom w:w="0" w:type="dxa"/>
                <w:right w:w="108" w:type="dxa"/>
              </w:tblCellMar>
            </w:tblPr>
            <w:tblGrid>
              <w:gridCol w:w="734"/>
              <w:gridCol w:w="1790"/>
              <w:gridCol w:w="6593"/>
            </w:tblGrid>
            <w:tr>
              <w:tblPrEx>
                <w:tblCellMar>
                  <w:top w:w="0" w:type="dxa"/>
                  <w:left w:w="108" w:type="dxa"/>
                  <w:bottom w:w="0" w:type="dxa"/>
                  <w:right w:w="108" w:type="dxa"/>
                </w:tblCellMar>
              </w:tblPrEx>
              <w:trPr>
                <w:trHeight w:val="397" w:hRule="atLeast"/>
                <w:jc w:val="center"/>
              </w:trPr>
              <w:tc>
                <w:tcPr>
                  <w:tcW w:w="734" w:type="dxa"/>
                  <w:tcBorders>
                    <w:top w:val="single" w:color="000000" w:sz="8" w:space="0"/>
                    <w:bottom w:val="single" w:color="000000" w:sz="4" w:space="0"/>
                    <w:right w:val="single" w:color="000000" w:sz="4" w:space="0"/>
                  </w:tcBorders>
                  <w:shd w:val="clear" w:color="auto" w:fill="auto"/>
                  <w:vAlign w:val="center"/>
                </w:tcPr>
                <w:p>
                  <w:pPr>
                    <w:jc w:val="center"/>
                    <w:rPr>
                      <w:b/>
                      <w:szCs w:val="21"/>
                      <w:lang w:val="pt-BR"/>
                    </w:rPr>
                  </w:pPr>
                  <w:r>
                    <w:rPr>
                      <w:b/>
                      <w:szCs w:val="21"/>
                      <w:lang w:val="pt-BR"/>
                    </w:rPr>
                    <w:t>序号</w:t>
                  </w:r>
                </w:p>
              </w:tc>
              <w:tc>
                <w:tcPr>
                  <w:tcW w:w="1790"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lang w:val="pt-BR"/>
                    </w:rPr>
                  </w:pPr>
                  <w:r>
                    <w:rPr>
                      <w:b/>
                      <w:szCs w:val="21"/>
                      <w:lang w:val="pt-BR"/>
                    </w:rPr>
                    <w:t>项目</w:t>
                  </w:r>
                </w:p>
              </w:tc>
              <w:tc>
                <w:tcPr>
                  <w:tcW w:w="6593" w:type="dxa"/>
                  <w:tcBorders>
                    <w:top w:val="single" w:color="000000" w:sz="8" w:space="0"/>
                    <w:left w:val="single" w:color="000000" w:sz="4" w:space="0"/>
                    <w:bottom w:val="single" w:color="000000" w:sz="4" w:space="0"/>
                  </w:tcBorders>
                  <w:shd w:val="clear" w:color="auto" w:fill="auto"/>
                  <w:vAlign w:val="center"/>
                </w:tcPr>
                <w:p>
                  <w:pPr>
                    <w:jc w:val="center"/>
                    <w:rPr>
                      <w:b/>
                      <w:szCs w:val="21"/>
                      <w:lang w:val="pt-BR"/>
                    </w:rPr>
                  </w:pPr>
                  <w:r>
                    <w:rPr>
                      <w:b/>
                      <w:szCs w:val="21"/>
                      <w:lang w:val="pt-BR"/>
                    </w:rPr>
                    <w:t>内容</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1</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right="-231" w:firstLine="420" w:firstLineChars="200"/>
                    <w:rPr>
                      <w:szCs w:val="21"/>
                    </w:rPr>
                  </w:pPr>
                  <w:r>
                    <w:rPr>
                      <w:szCs w:val="21"/>
                    </w:rPr>
                    <w:t>项目名称</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b/>
                      <w:szCs w:val="21"/>
                    </w:rPr>
                  </w:pPr>
                  <w:r>
                    <w:rPr>
                      <w:szCs w:val="21"/>
                    </w:rPr>
                    <w:t>年产8亿只电池密封圈、2.5亿只负极底扩建项目</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2</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产品方案</w:t>
                  </w:r>
                </w:p>
              </w:tc>
              <w:tc>
                <w:tcPr>
                  <w:tcW w:w="6593" w:type="dxa"/>
                  <w:tcBorders>
                    <w:top w:val="single" w:color="000000" w:sz="4" w:space="0"/>
                    <w:left w:val="single" w:color="000000" w:sz="4" w:space="0"/>
                    <w:bottom w:val="single" w:color="000000" w:sz="4" w:space="0"/>
                  </w:tcBorders>
                  <w:shd w:val="clear" w:color="auto" w:fill="auto"/>
                  <w:vAlign w:val="center"/>
                </w:tcPr>
                <w:p>
                  <w:pPr>
                    <w:ind w:right="-232"/>
                    <w:jc w:val="center"/>
                    <w:rPr>
                      <w:szCs w:val="21"/>
                    </w:rPr>
                  </w:pPr>
                  <w:r>
                    <w:rPr>
                      <w:szCs w:val="21"/>
                    </w:rPr>
                    <w:t>生产</w:t>
                  </w:r>
                  <w:r>
                    <w:rPr>
                      <w:rFonts w:hint="eastAsia"/>
                      <w:szCs w:val="21"/>
                    </w:rPr>
                    <w:t>电池密封圈8亿只</w:t>
                  </w:r>
                  <w:r>
                    <w:rPr>
                      <w:szCs w:val="21"/>
                    </w:rPr>
                    <w:t>/a、</w:t>
                  </w:r>
                  <w:r>
                    <w:rPr>
                      <w:rFonts w:hint="eastAsia"/>
                      <w:szCs w:val="21"/>
                    </w:rPr>
                    <w:t>负极底2.5亿只/a</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3</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建设性质</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szCs w:val="21"/>
                    </w:rPr>
                  </w:pPr>
                  <w:r>
                    <w:rPr>
                      <w:szCs w:val="21"/>
                    </w:rPr>
                    <w:t>扩建</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4</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建设单位</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szCs w:val="21"/>
                    </w:rPr>
                  </w:pPr>
                  <w:r>
                    <w:rPr>
                      <w:szCs w:val="21"/>
                    </w:rPr>
                    <w:t>新乡市碧阔塑业有限公司</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5</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项目地址</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szCs w:val="21"/>
                    </w:rPr>
                  </w:pPr>
                  <w:r>
                    <w:rPr>
                      <w:szCs w:val="21"/>
                    </w:rPr>
                    <w:t>新乡市凤泉区大块镇小块村西1658号</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6</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占地面积</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szCs w:val="21"/>
                    </w:rPr>
                  </w:pPr>
                  <w:r>
                    <w:rPr>
                      <w:szCs w:val="21"/>
                    </w:rPr>
                    <w:t>1024m</w:t>
                  </w:r>
                  <w:r>
                    <w:rPr>
                      <w:szCs w:val="21"/>
                      <w:vertAlign w:val="superscript"/>
                    </w:rPr>
                    <w:t>2</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7</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lang w:val="pt-BR"/>
                    </w:rPr>
                  </w:pPr>
                  <w:r>
                    <w:rPr>
                      <w:szCs w:val="21"/>
                      <w:lang w:val="pt-BR"/>
                    </w:rPr>
                    <w:t>总投资（万元）</w:t>
                  </w:r>
                </w:p>
              </w:tc>
              <w:tc>
                <w:tcPr>
                  <w:tcW w:w="6593" w:type="dxa"/>
                  <w:tcBorders>
                    <w:top w:val="single" w:color="000000" w:sz="4" w:space="0"/>
                    <w:left w:val="single" w:color="000000" w:sz="4" w:space="0"/>
                    <w:bottom w:val="single" w:color="000000" w:sz="4" w:space="0"/>
                  </w:tcBorders>
                  <w:shd w:val="clear" w:color="auto" w:fill="auto"/>
                  <w:vAlign w:val="center"/>
                </w:tcPr>
                <w:p>
                  <w:pPr>
                    <w:ind w:right="-231"/>
                    <w:jc w:val="center"/>
                    <w:rPr>
                      <w:szCs w:val="21"/>
                    </w:rPr>
                  </w:pPr>
                  <w:r>
                    <w:rPr>
                      <w:szCs w:val="21"/>
                    </w:rPr>
                    <w:t>200</w:t>
                  </w:r>
                </w:p>
              </w:tc>
            </w:tr>
            <w:tr>
              <w:tblPrEx>
                <w:tblCellMar>
                  <w:top w:w="0" w:type="dxa"/>
                  <w:left w:w="108" w:type="dxa"/>
                  <w:bottom w:w="0" w:type="dxa"/>
                  <w:right w:w="108" w:type="dxa"/>
                </w:tblCellMar>
              </w:tblPrEx>
              <w:trPr>
                <w:trHeight w:val="397" w:hRule="atLeast"/>
                <w:jc w:val="center"/>
              </w:trPr>
              <w:tc>
                <w:tcPr>
                  <w:tcW w:w="734" w:type="dxa"/>
                  <w:tcBorders>
                    <w:top w:val="single" w:color="000000" w:sz="4" w:space="0"/>
                    <w:bottom w:val="single" w:color="000000" w:sz="8" w:space="0"/>
                    <w:right w:val="single" w:color="000000" w:sz="4" w:space="0"/>
                  </w:tcBorders>
                  <w:shd w:val="clear" w:color="auto" w:fill="auto"/>
                  <w:vAlign w:val="center"/>
                </w:tcPr>
                <w:p>
                  <w:pPr>
                    <w:jc w:val="center"/>
                    <w:rPr>
                      <w:szCs w:val="21"/>
                      <w:lang w:val="pt-BR"/>
                    </w:rPr>
                  </w:pPr>
                  <w:r>
                    <w:rPr>
                      <w:szCs w:val="21"/>
                      <w:lang w:val="pt-BR"/>
                    </w:rPr>
                    <w:t>8</w:t>
                  </w:r>
                </w:p>
              </w:tc>
              <w:tc>
                <w:tcPr>
                  <w:tcW w:w="179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lang w:val="pt-BR"/>
                    </w:rPr>
                  </w:pPr>
                  <w:r>
                    <w:rPr>
                      <w:szCs w:val="21"/>
                      <w:lang w:val="pt-BR"/>
                    </w:rPr>
                    <w:t>定员与工作制度</w:t>
                  </w:r>
                </w:p>
              </w:tc>
              <w:tc>
                <w:tcPr>
                  <w:tcW w:w="6593" w:type="dxa"/>
                  <w:tcBorders>
                    <w:top w:val="single" w:color="000000" w:sz="4" w:space="0"/>
                    <w:left w:val="single" w:color="000000" w:sz="4" w:space="0"/>
                    <w:bottom w:val="single" w:color="000000" w:sz="8" w:space="0"/>
                  </w:tcBorders>
                  <w:shd w:val="clear" w:color="auto" w:fill="auto"/>
                  <w:vAlign w:val="center"/>
                </w:tcPr>
                <w:p>
                  <w:pPr>
                    <w:ind w:right="-231"/>
                    <w:jc w:val="center"/>
                    <w:rPr>
                      <w:szCs w:val="21"/>
                    </w:rPr>
                  </w:pPr>
                  <w:r>
                    <w:rPr>
                      <w:rFonts w:hint="eastAsia"/>
                      <w:szCs w:val="21"/>
                    </w:rPr>
                    <w:t>本项目</w:t>
                  </w:r>
                  <w:r>
                    <w:rPr>
                      <w:szCs w:val="21"/>
                    </w:rPr>
                    <w:t>需</w:t>
                  </w:r>
                  <w:r>
                    <w:rPr>
                      <w:rFonts w:hint="eastAsia"/>
                      <w:szCs w:val="21"/>
                    </w:rPr>
                    <w:t>新增</w:t>
                  </w:r>
                  <w:r>
                    <w:rPr>
                      <w:szCs w:val="21"/>
                    </w:rPr>
                    <w:t>员工</w:t>
                  </w:r>
                  <w:r>
                    <w:rPr>
                      <w:rFonts w:hint="eastAsia"/>
                      <w:szCs w:val="21"/>
                    </w:rPr>
                    <w:t>10</w:t>
                  </w:r>
                  <w:r>
                    <w:rPr>
                      <w:szCs w:val="21"/>
                    </w:rPr>
                    <w:t>人，</w:t>
                  </w:r>
                  <w:r>
                    <w:rPr>
                      <w:rFonts w:hint="eastAsia"/>
                      <w:szCs w:val="21"/>
                    </w:rPr>
                    <w:t>两</w:t>
                  </w:r>
                  <w:r>
                    <w:rPr>
                      <w:szCs w:val="21"/>
                    </w:rPr>
                    <w:t>班生产，年工作</w:t>
                  </w:r>
                  <w:r>
                    <w:rPr>
                      <w:rFonts w:hint="eastAsia"/>
                      <w:szCs w:val="21"/>
                    </w:rPr>
                    <w:t>300</w:t>
                  </w:r>
                  <w:r>
                    <w:rPr>
                      <w:szCs w:val="21"/>
                    </w:rPr>
                    <w:t>天</w:t>
                  </w:r>
                </w:p>
              </w:tc>
            </w:tr>
          </w:tbl>
          <w:p>
            <w:pPr>
              <w:spacing w:line="460" w:lineRule="exact"/>
              <w:ind w:firstLine="482"/>
              <w:rPr>
                <w:rFonts w:asciiTheme="majorEastAsia" w:hAnsiTheme="majorEastAsia" w:eastAsiaTheme="majorEastAsia"/>
                <w:b/>
                <w:sz w:val="24"/>
                <w:lang w:val="pt-BR"/>
              </w:rPr>
            </w:pPr>
            <w:r>
              <w:rPr>
                <w:rFonts w:eastAsiaTheme="majorEastAsia"/>
                <w:b/>
                <w:sz w:val="24"/>
                <w:lang w:val="pt-BR"/>
              </w:rPr>
              <w:t>2</w:t>
            </w:r>
            <w:r>
              <w:rPr>
                <w:rFonts w:hAnsiTheme="majorEastAsia" w:eastAsiaTheme="majorEastAsia"/>
                <w:b/>
                <w:sz w:val="24"/>
                <w:lang w:val="pt-BR"/>
              </w:rPr>
              <w:t>、项目建设情</w:t>
            </w:r>
            <w:r>
              <w:rPr>
                <w:rFonts w:asciiTheme="majorEastAsia" w:hAnsiTheme="majorEastAsia"/>
                <w:b/>
                <w:sz w:val="24"/>
                <w:lang w:val="pt-BR"/>
              </w:rPr>
              <w:t>况及项目组成</w:t>
            </w:r>
          </w:p>
          <w:p>
            <w:pPr>
              <w:spacing w:line="460" w:lineRule="exact"/>
              <w:ind w:firstLine="480"/>
              <w:rPr>
                <w:sz w:val="24"/>
              </w:rPr>
            </w:pPr>
            <w:r>
              <w:rPr>
                <w:sz w:val="24"/>
              </w:rPr>
              <w:t>经过现场勘查，本次项目拟</w:t>
            </w:r>
            <w:r>
              <w:rPr>
                <w:rFonts w:hint="eastAsia"/>
                <w:sz w:val="24"/>
              </w:rPr>
              <w:t>利用</w:t>
            </w:r>
            <w:r>
              <w:rPr>
                <w:sz w:val="24"/>
              </w:rPr>
              <w:t>现有厂房，电池负极底项目与现有项目共用生产车间</w:t>
            </w:r>
            <w:r>
              <w:rPr>
                <w:rFonts w:hint="eastAsia"/>
                <w:sz w:val="24"/>
              </w:rPr>
              <w:t>，并将1座现有的仓库作为电池密封圈生产车间使用。</w:t>
            </w:r>
            <w:r>
              <w:rPr>
                <w:sz w:val="24"/>
              </w:rPr>
              <w:t>目前，设备</w:t>
            </w:r>
            <w:r>
              <w:rPr>
                <w:rFonts w:hint="eastAsia"/>
                <w:sz w:val="24"/>
              </w:rPr>
              <w:t>未</w:t>
            </w:r>
            <w:r>
              <w:rPr>
                <w:sz w:val="24"/>
              </w:rPr>
              <w:t>安装，不具备生产能力</w:t>
            </w:r>
            <w:r>
              <w:rPr>
                <w:rFonts w:hint="eastAsia"/>
                <w:sz w:val="24"/>
              </w:rPr>
              <w:t>，</w:t>
            </w:r>
            <w:r>
              <w:rPr>
                <w:sz w:val="24"/>
              </w:rPr>
              <w:t>不</w:t>
            </w:r>
            <w:r>
              <w:rPr>
                <w:rFonts w:hint="eastAsia"/>
                <w:sz w:val="24"/>
              </w:rPr>
              <w:t>属于</w:t>
            </w:r>
            <w:r>
              <w:rPr>
                <w:sz w:val="24"/>
              </w:rPr>
              <w:t>未批先建。现场照片如</w:t>
            </w:r>
            <w:r>
              <w:rPr>
                <w:rFonts w:hint="eastAsia"/>
                <w:sz w:val="24"/>
              </w:rPr>
              <w:t>下图</w:t>
            </w:r>
            <w:r>
              <w:rPr>
                <w:sz w:val="24"/>
              </w:rPr>
              <w:t>。</w:t>
            </w:r>
          </w:p>
          <w:p>
            <w:pPr>
              <w:spacing w:line="440" w:lineRule="exact"/>
              <w:rPr>
                <w:b/>
                <w:sz w:val="24"/>
                <w:lang w:val="pt-BR"/>
              </w:rPr>
            </w:pPr>
            <w:r>
              <w:rPr>
                <w:b/>
                <w:sz w:val="24"/>
              </w:rPr>
              <w:pict>
                <v:shape id="_x0000_s1642" o:spid="_x0000_s1642" o:spt="202" type="#_x0000_t202" style="position:absolute;left:0pt;margin-left:6.35pt;margin-top:8.45pt;height:156.7pt;width:230.25pt;z-index:251780096;mso-width-relative:page;mso-height-relative:page;" filled="f" stroked="f" coordsize="21600,21600">
                  <v:path/>
                  <v:fill on="f" focussize="0,0"/>
                  <v:stroke on="f" weight="1pt" color="#FF0000" joinstyle="miter"/>
                  <v:imagedata o:title=""/>
                  <o:lock v:ext="edit"/>
                  <v:textbox>
                    <w:txbxContent>
                      <w:p>
                        <w:r>
                          <w:drawing>
                            <wp:inline distT="0" distB="0" distL="0" distR="0">
                              <wp:extent cx="2614295" cy="1645285"/>
                              <wp:effectExtent l="19050" t="19050" r="14113" b="11502"/>
                              <wp:docPr id="2" name="图片 3" descr="C:\Users\Administrator\Desktop\微信图片_202004131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微信图片_20200413101840.jpg"/>
                                      <pic:cNvPicPr>
                                        <a:picLocks noChangeAspect="1" noChangeArrowheads="1"/>
                                      </pic:cNvPicPr>
                                    </pic:nvPicPr>
                                    <pic:blipFill>
                                      <a:blip r:embed="rId16"/>
                                      <a:srcRect r="8671"/>
                                      <a:stretch>
                                        <a:fillRect/>
                                      </a:stretch>
                                    </pic:blipFill>
                                    <pic:spPr>
                                      <a:xfrm>
                                        <a:off x="0" y="0"/>
                                        <a:ext cx="2618557" cy="1648221"/>
                                      </a:xfrm>
                                      <a:prstGeom prst="rect">
                                        <a:avLst/>
                                      </a:prstGeom>
                                      <a:noFill/>
                                      <a:ln w="9525">
                                        <a:solidFill>
                                          <a:schemeClr val="tx1"/>
                                        </a:solidFill>
                                        <a:miter lim="800000"/>
                                        <a:headEnd/>
                                        <a:tailEnd/>
                                      </a:ln>
                                    </pic:spPr>
                                  </pic:pic>
                                </a:graphicData>
                              </a:graphic>
                            </wp:inline>
                          </w:drawing>
                        </w:r>
                      </w:p>
                    </w:txbxContent>
                  </v:textbox>
                </v:shape>
              </w:pict>
            </w:r>
            <w:r>
              <w:rPr>
                <w:rFonts w:ascii="黑体" w:hAnsi="黑体" w:eastAsia="黑体"/>
                <w:sz w:val="24"/>
              </w:rPr>
              <w:pict>
                <v:shape id="_x0000_s1643" o:spid="_x0000_s1643" o:spt="202" type="#_x0000_t202" style="position:absolute;left:0pt;margin-left:223.4pt;margin-top:9.1pt;height:156.7pt;width:240.65pt;z-index:251781120;mso-width-relative:page;mso-height-relative:page;" filled="f" stroked="f" coordsize="21600,21600">
                  <v:path/>
                  <v:fill on="f" focussize="0,0"/>
                  <v:stroke on="f" weight="1pt" color="#FF0000" joinstyle="miter"/>
                  <v:imagedata o:title=""/>
                  <o:lock v:ext="edit"/>
                  <v:textbox>
                    <w:txbxContent>
                      <w:p>
                        <w:r>
                          <w:drawing>
                            <wp:inline distT="0" distB="0" distL="0" distR="0">
                              <wp:extent cx="2747010" cy="1632585"/>
                              <wp:effectExtent l="19050" t="19050" r="15185" b="24537"/>
                              <wp:docPr id="10" name="图片 5" descr="C:\Users\Administrator\Desktop\微信图片_202004131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esktop\微信图片_20200413101846.jpg"/>
                                      <pic:cNvPicPr>
                                        <a:picLocks noChangeAspect="1" noChangeArrowheads="1"/>
                                      </pic:cNvPicPr>
                                    </pic:nvPicPr>
                                    <pic:blipFill>
                                      <a:blip r:embed="rId17"/>
                                      <a:srcRect r="5324"/>
                                      <a:stretch>
                                        <a:fillRect/>
                                      </a:stretch>
                                    </pic:blipFill>
                                    <pic:spPr>
                                      <a:xfrm>
                                        <a:off x="0" y="0"/>
                                        <a:ext cx="2748654" cy="1633757"/>
                                      </a:xfrm>
                                      <a:prstGeom prst="rect">
                                        <a:avLst/>
                                      </a:prstGeom>
                                      <a:noFill/>
                                      <a:ln w="9525">
                                        <a:solidFill>
                                          <a:schemeClr val="tx1"/>
                                        </a:solidFill>
                                        <a:miter lim="800000"/>
                                        <a:headEnd/>
                                        <a:tailEnd/>
                                      </a:ln>
                                    </pic:spPr>
                                  </pic:pic>
                                </a:graphicData>
                              </a:graphic>
                            </wp:inline>
                          </w:drawing>
                        </w:r>
                      </w:p>
                    </w:txbxContent>
                  </v:textbox>
                </v:shape>
              </w:pict>
            </w:r>
          </w:p>
          <w:p>
            <w:pPr>
              <w:spacing w:line="440" w:lineRule="exact"/>
              <w:ind w:firstLine="482"/>
              <w:rPr>
                <w:b/>
                <w:sz w:val="24"/>
                <w:lang w:val="pt-BR"/>
              </w:rPr>
            </w:pPr>
          </w:p>
          <w:p>
            <w:pPr>
              <w:spacing w:line="440" w:lineRule="exact"/>
              <w:ind w:firstLine="482"/>
              <w:rPr>
                <w:b/>
                <w:sz w:val="24"/>
                <w:lang w:val="pt-BR"/>
              </w:rPr>
            </w:pPr>
          </w:p>
          <w:p>
            <w:pPr>
              <w:spacing w:line="440" w:lineRule="exact"/>
              <w:ind w:firstLine="482"/>
              <w:rPr>
                <w:b/>
                <w:sz w:val="24"/>
                <w:lang w:val="pt-BR"/>
              </w:rPr>
            </w:pPr>
          </w:p>
          <w:p>
            <w:pPr>
              <w:spacing w:line="440" w:lineRule="exact"/>
              <w:ind w:firstLine="482"/>
              <w:rPr>
                <w:b/>
                <w:sz w:val="24"/>
                <w:lang w:val="pt-BR"/>
              </w:rPr>
            </w:pPr>
          </w:p>
          <w:p>
            <w:pPr>
              <w:spacing w:line="440" w:lineRule="exact"/>
              <w:ind w:firstLine="482"/>
              <w:rPr>
                <w:b/>
                <w:sz w:val="24"/>
                <w:lang w:val="pt-BR"/>
              </w:rPr>
            </w:pPr>
          </w:p>
          <w:p>
            <w:pPr>
              <w:spacing w:line="440" w:lineRule="exact"/>
              <w:rPr>
                <w:b/>
                <w:sz w:val="24"/>
                <w:lang w:val="pt-BR"/>
              </w:rPr>
            </w:pPr>
          </w:p>
          <w:p>
            <w:pPr>
              <w:spacing w:line="440" w:lineRule="exact"/>
              <w:ind w:firstLine="480" w:firstLineChars="200"/>
              <w:rPr>
                <w:rFonts w:eastAsia="黑体"/>
                <w:sz w:val="24"/>
                <w:lang w:val="pt-BR"/>
              </w:rPr>
            </w:pPr>
            <w:r>
              <w:rPr>
                <w:rFonts w:eastAsia="黑体"/>
                <w:sz w:val="24"/>
                <w:lang w:val="pt-BR"/>
              </w:rPr>
              <w:t>图</w:t>
            </w:r>
            <w:r>
              <w:rPr>
                <w:rFonts w:hint="eastAsia" w:eastAsia="黑体"/>
                <w:sz w:val="24"/>
                <w:lang w:val="pt-BR"/>
              </w:rPr>
              <w:t>2</w:t>
            </w:r>
            <w:r>
              <w:rPr>
                <w:rFonts w:eastAsia="黑体"/>
                <w:sz w:val="24"/>
                <w:lang w:val="pt-BR"/>
              </w:rPr>
              <w:t xml:space="preserve">  电池</w:t>
            </w:r>
            <w:r>
              <w:rPr>
                <w:rFonts w:hint="eastAsia" w:eastAsia="黑体"/>
                <w:sz w:val="24"/>
                <w:lang w:val="pt-BR"/>
              </w:rPr>
              <w:t>负极底</w:t>
            </w:r>
            <w:r>
              <w:rPr>
                <w:rFonts w:eastAsia="黑体"/>
                <w:sz w:val="24"/>
                <w:lang w:val="pt-BR"/>
              </w:rPr>
              <w:t>厂房现状环境示意图图</w:t>
            </w:r>
            <w:r>
              <w:rPr>
                <w:rFonts w:hint="eastAsia" w:eastAsia="黑体"/>
                <w:sz w:val="24"/>
                <w:lang w:val="pt-BR"/>
              </w:rPr>
              <w:t>3</w:t>
            </w:r>
            <w:r>
              <w:rPr>
                <w:rFonts w:eastAsia="黑体"/>
                <w:sz w:val="24"/>
                <w:lang w:val="pt-BR"/>
              </w:rPr>
              <w:t xml:space="preserve">  仓库现状环境示意图</w:t>
            </w:r>
          </w:p>
          <w:p>
            <w:pPr>
              <w:spacing w:beforeLines="50" w:line="440" w:lineRule="exact"/>
              <w:ind w:firstLine="601"/>
              <w:jc w:val="left"/>
              <w:rPr>
                <w:rFonts w:eastAsia="黑体"/>
                <w:sz w:val="24"/>
                <w:szCs w:val="20"/>
              </w:rPr>
            </w:pPr>
            <w:r>
              <w:rPr>
                <w:rFonts w:eastAsia="黑体"/>
                <w:sz w:val="24"/>
                <w:szCs w:val="20"/>
              </w:rPr>
              <w:t xml:space="preserve">表4                 </w:t>
            </w:r>
            <w:r>
              <w:rPr>
                <w:rFonts w:hint="eastAsia" w:eastAsia="黑体"/>
                <w:sz w:val="24"/>
                <w:szCs w:val="20"/>
              </w:rPr>
              <w:t xml:space="preserve">                   </w:t>
            </w:r>
            <w:r>
              <w:rPr>
                <w:rFonts w:eastAsia="黑体"/>
                <w:sz w:val="24"/>
                <w:szCs w:val="20"/>
              </w:rPr>
              <w:t xml:space="preserve">    项目工程情况一览表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5"/>
              <w:gridCol w:w="1134"/>
              <w:gridCol w:w="1134"/>
              <w:gridCol w:w="3685"/>
              <w:gridCol w:w="2627"/>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645" w:type="dxa"/>
                  <w:shd w:val="clear" w:color="auto" w:fill="auto"/>
                  <w:vAlign w:val="center"/>
                </w:tcPr>
                <w:p>
                  <w:pPr>
                    <w:jc w:val="center"/>
                    <w:rPr>
                      <w:b/>
                      <w:szCs w:val="21"/>
                    </w:rPr>
                  </w:pPr>
                  <w:r>
                    <w:rPr>
                      <w:b/>
                      <w:szCs w:val="21"/>
                    </w:rPr>
                    <w:t>序号</w:t>
                  </w:r>
                </w:p>
              </w:tc>
              <w:tc>
                <w:tcPr>
                  <w:tcW w:w="1134" w:type="dxa"/>
                  <w:shd w:val="clear" w:color="auto" w:fill="auto"/>
                  <w:vAlign w:val="center"/>
                </w:tcPr>
                <w:p>
                  <w:pPr>
                    <w:jc w:val="center"/>
                    <w:rPr>
                      <w:b/>
                      <w:szCs w:val="21"/>
                    </w:rPr>
                  </w:pPr>
                  <w:r>
                    <w:rPr>
                      <w:b/>
                      <w:szCs w:val="21"/>
                    </w:rPr>
                    <w:t>项目</w:t>
                  </w:r>
                </w:p>
              </w:tc>
              <w:tc>
                <w:tcPr>
                  <w:tcW w:w="1134" w:type="dxa"/>
                  <w:shd w:val="clear" w:color="auto" w:fill="auto"/>
                  <w:vAlign w:val="center"/>
                </w:tcPr>
                <w:p>
                  <w:pPr>
                    <w:jc w:val="center"/>
                    <w:rPr>
                      <w:b/>
                      <w:szCs w:val="21"/>
                    </w:rPr>
                  </w:pPr>
                  <w:r>
                    <w:rPr>
                      <w:b/>
                      <w:szCs w:val="21"/>
                    </w:rPr>
                    <w:t>建设内容</w:t>
                  </w:r>
                </w:p>
              </w:tc>
              <w:tc>
                <w:tcPr>
                  <w:tcW w:w="3685" w:type="dxa"/>
                  <w:shd w:val="clear" w:color="auto" w:fill="auto"/>
                  <w:vAlign w:val="center"/>
                </w:tcPr>
                <w:p>
                  <w:pPr>
                    <w:jc w:val="center"/>
                    <w:rPr>
                      <w:b/>
                      <w:szCs w:val="21"/>
                    </w:rPr>
                  </w:pPr>
                  <w:r>
                    <w:rPr>
                      <w:b/>
                      <w:szCs w:val="21"/>
                    </w:rPr>
                    <w:t>规模或面积（m</w:t>
                  </w:r>
                  <w:r>
                    <w:rPr>
                      <w:b/>
                      <w:szCs w:val="21"/>
                      <w:vertAlign w:val="superscript"/>
                    </w:rPr>
                    <w:t>2</w:t>
                  </w:r>
                  <w:r>
                    <w:rPr>
                      <w:b/>
                      <w:szCs w:val="21"/>
                    </w:rPr>
                    <w:t>）</w:t>
                  </w:r>
                </w:p>
              </w:tc>
              <w:tc>
                <w:tcPr>
                  <w:tcW w:w="2627" w:type="dxa"/>
                  <w:shd w:val="clear" w:color="auto" w:fill="auto"/>
                  <w:vAlign w:val="center"/>
                </w:tcPr>
                <w:p>
                  <w:pPr>
                    <w:jc w:val="center"/>
                    <w:rPr>
                      <w:b/>
                      <w:szCs w:val="21"/>
                    </w:rPr>
                  </w:pPr>
                  <w:r>
                    <w:rPr>
                      <w:b/>
                      <w:szCs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restart"/>
                  <w:shd w:val="clear" w:color="auto" w:fill="auto"/>
                  <w:vAlign w:val="center"/>
                </w:tcPr>
                <w:p>
                  <w:pPr>
                    <w:jc w:val="center"/>
                    <w:rPr>
                      <w:szCs w:val="21"/>
                    </w:rPr>
                  </w:pPr>
                  <w:r>
                    <w:rPr>
                      <w:szCs w:val="21"/>
                    </w:rPr>
                    <w:t>1</w:t>
                  </w:r>
                </w:p>
              </w:tc>
              <w:tc>
                <w:tcPr>
                  <w:tcW w:w="1134" w:type="dxa"/>
                  <w:vMerge w:val="restart"/>
                  <w:shd w:val="clear" w:color="auto" w:fill="auto"/>
                  <w:vAlign w:val="center"/>
                </w:tcPr>
                <w:p>
                  <w:pPr>
                    <w:jc w:val="center"/>
                    <w:rPr>
                      <w:szCs w:val="21"/>
                    </w:rPr>
                  </w:pPr>
                  <w:r>
                    <w:rPr>
                      <w:szCs w:val="21"/>
                    </w:rPr>
                    <w:t>主体工程</w:t>
                  </w:r>
                </w:p>
              </w:tc>
              <w:tc>
                <w:tcPr>
                  <w:tcW w:w="1134" w:type="dxa"/>
                  <w:vMerge w:val="restart"/>
                  <w:shd w:val="clear" w:color="auto" w:fill="auto"/>
                  <w:vAlign w:val="center"/>
                </w:tcPr>
                <w:p>
                  <w:pPr>
                    <w:jc w:val="center"/>
                    <w:rPr>
                      <w:szCs w:val="21"/>
                    </w:rPr>
                  </w:pPr>
                  <w:r>
                    <w:rPr>
                      <w:szCs w:val="21"/>
                    </w:rPr>
                    <w:t>生产车间</w:t>
                  </w:r>
                </w:p>
              </w:tc>
              <w:tc>
                <w:tcPr>
                  <w:tcW w:w="3685" w:type="dxa"/>
                  <w:shd w:val="clear" w:color="auto" w:fill="auto"/>
                  <w:vAlign w:val="center"/>
                </w:tcPr>
                <w:p>
                  <w:pPr>
                    <w:jc w:val="center"/>
                    <w:rPr>
                      <w:szCs w:val="21"/>
                    </w:rPr>
                  </w:pPr>
                  <w:r>
                    <w:rPr>
                      <w:rFonts w:hint="eastAsia"/>
                      <w:szCs w:val="21"/>
                    </w:rPr>
                    <w:t>塑料生产车间，1栋3F</w:t>
                  </w:r>
                  <w:r>
                    <w:rPr>
                      <w:szCs w:val="21"/>
                    </w:rPr>
                    <w:t>，</w:t>
                  </w:r>
                </w:p>
                <w:p>
                  <w:pPr>
                    <w:jc w:val="center"/>
                    <w:rPr>
                      <w:szCs w:val="21"/>
                    </w:rPr>
                  </w:pPr>
                  <w:r>
                    <w:rPr>
                      <w:szCs w:val="21"/>
                    </w:rPr>
                    <w:t>占地面积</w:t>
                  </w:r>
                  <w:r>
                    <w:rPr>
                      <w:rFonts w:hint="eastAsia"/>
                      <w:szCs w:val="21"/>
                    </w:rPr>
                    <w:t>512m</w:t>
                  </w:r>
                  <w:r>
                    <w:rPr>
                      <w:rFonts w:hint="eastAsia"/>
                      <w:szCs w:val="21"/>
                      <w:vertAlign w:val="superscript"/>
                    </w:rPr>
                    <w:t>2</w:t>
                  </w:r>
                  <w:r>
                    <w:rPr>
                      <w:rFonts w:hint="eastAsia"/>
                      <w:szCs w:val="21"/>
                    </w:rPr>
                    <w:t>（40</w:t>
                  </w:r>
                  <w:r>
                    <w:rPr>
                      <w:szCs w:val="21"/>
                    </w:rPr>
                    <w:t>m×</w:t>
                  </w:r>
                  <w:r>
                    <w:rPr>
                      <w:rFonts w:hint="eastAsia"/>
                      <w:szCs w:val="21"/>
                    </w:rPr>
                    <w:t>12.8</w:t>
                  </w:r>
                  <w:r>
                    <w:rPr>
                      <w:szCs w:val="21"/>
                    </w:rPr>
                    <w:t>m</w:t>
                  </w:r>
                  <w:r>
                    <w:rPr>
                      <w:rFonts w:hint="eastAsia"/>
                      <w:szCs w:val="21"/>
                    </w:rPr>
                    <w:t>）</w:t>
                  </w:r>
                </w:p>
              </w:tc>
              <w:tc>
                <w:tcPr>
                  <w:tcW w:w="2627" w:type="dxa"/>
                  <w:shd w:val="clear" w:color="auto" w:fill="auto"/>
                  <w:vAlign w:val="center"/>
                </w:tcPr>
                <w:p>
                  <w:pPr>
                    <w:jc w:val="center"/>
                    <w:rPr>
                      <w:szCs w:val="21"/>
                    </w:rPr>
                  </w:pPr>
                  <w:r>
                    <w:rPr>
                      <w:szCs w:val="21"/>
                    </w:rPr>
                    <w:t>依托现有</w:t>
                  </w:r>
                  <w:r>
                    <w:rPr>
                      <w:rFonts w:hint="eastAsia"/>
                      <w:szCs w:val="21"/>
                    </w:rPr>
                    <w:t>，</w:t>
                  </w:r>
                  <w:r>
                    <w:rPr>
                      <w:szCs w:val="21"/>
                    </w:rPr>
                    <w:t>塑料生产车间包含现有塑料罩体项目及本次电池密封圈项目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3685" w:type="dxa"/>
                  <w:shd w:val="clear" w:color="auto" w:fill="auto"/>
                  <w:vAlign w:val="center"/>
                </w:tcPr>
                <w:p>
                  <w:pPr>
                    <w:jc w:val="center"/>
                    <w:rPr>
                      <w:szCs w:val="21"/>
                    </w:rPr>
                  </w:pPr>
                  <w:r>
                    <w:rPr>
                      <w:rFonts w:hint="eastAsia"/>
                      <w:szCs w:val="21"/>
                    </w:rPr>
                    <w:t>电池负极底车间，1栋2F，</w:t>
                  </w:r>
                </w:p>
                <w:p>
                  <w:pPr>
                    <w:jc w:val="center"/>
                    <w:rPr>
                      <w:szCs w:val="21"/>
                    </w:rPr>
                  </w:pPr>
                  <w:r>
                    <w:rPr>
                      <w:rFonts w:hint="eastAsia"/>
                      <w:szCs w:val="21"/>
                    </w:rPr>
                    <w:t>占地面积512m</w:t>
                  </w:r>
                  <w:r>
                    <w:rPr>
                      <w:rFonts w:hint="eastAsia"/>
                      <w:szCs w:val="21"/>
                      <w:vertAlign w:val="superscript"/>
                    </w:rPr>
                    <w:t>2</w:t>
                  </w:r>
                  <w:r>
                    <w:rPr>
                      <w:rFonts w:hint="eastAsia"/>
                      <w:szCs w:val="21"/>
                    </w:rPr>
                    <w:t>（40</w:t>
                  </w:r>
                  <w:r>
                    <w:rPr>
                      <w:szCs w:val="21"/>
                    </w:rPr>
                    <w:t>m×</w:t>
                  </w:r>
                  <w:r>
                    <w:rPr>
                      <w:rFonts w:hint="eastAsia"/>
                      <w:szCs w:val="21"/>
                    </w:rPr>
                    <w:t>12.8</w:t>
                  </w:r>
                  <w:r>
                    <w:rPr>
                      <w:szCs w:val="21"/>
                    </w:rPr>
                    <w:t>m</w:t>
                  </w:r>
                  <w:r>
                    <w:rPr>
                      <w:rFonts w:hint="eastAsia"/>
                      <w:szCs w:val="21"/>
                    </w:rPr>
                    <w:t>）</w:t>
                  </w:r>
                </w:p>
              </w:tc>
              <w:tc>
                <w:tcPr>
                  <w:tcW w:w="2627" w:type="dxa"/>
                  <w:shd w:val="clear" w:color="auto" w:fill="auto"/>
                  <w:vAlign w:val="center"/>
                </w:tcPr>
                <w:p>
                  <w:pPr>
                    <w:jc w:val="center"/>
                    <w:rPr>
                      <w:szCs w:val="21"/>
                    </w:rPr>
                  </w:pPr>
                  <w:r>
                    <w:rPr>
                      <w:szCs w:val="21"/>
                    </w:rPr>
                    <w:t>利用现有仓库改为电池负极底生产车间</w:t>
                  </w:r>
                  <w:r>
                    <w:rPr>
                      <w:rFonts w:hint="eastAsia"/>
                      <w:szCs w:val="21"/>
                    </w:rPr>
                    <w:t>，车间</w:t>
                  </w:r>
                  <w:r>
                    <w:rPr>
                      <w:szCs w:val="21"/>
                    </w:rPr>
                    <w:t>包含现有及新建的电池负极底项目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restart"/>
                  <w:shd w:val="clear" w:color="auto" w:fill="auto"/>
                  <w:vAlign w:val="center"/>
                </w:tcPr>
                <w:p>
                  <w:pPr>
                    <w:jc w:val="center"/>
                    <w:rPr>
                      <w:szCs w:val="21"/>
                    </w:rPr>
                  </w:pPr>
                  <w:r>
                    <w:rPr>
                      <w:szCs w:val="21"/>
                    </w:rPr>
                    <w:t>2</w:t>
                  </w:r>
                </w:p>
              </w:tc>
              <w:tc>
                <w:tcPr>
                  <w:tcW w:w="1134" w:type="dxa"/>
                  <w:vMerge w:val="restart"/>
                  <w:shd w:val="clear" w:color="auto" w:fill="auto"/>
                  <w:vAlign w:val="center"/>
                </w:tcPr>
                <w:p>
                  <w:pPr>
                    <w:jc w:val="center"/>
                    <w:rPr>
                      <w:szCs w:val="21"/>
                    </w:rPr>
                  </w:pPr>
                  <w:r>
                    <w:rPr>
                      <w:szCs w:val="21"/>
                    </w:rPr>
                    <w:t>环保工程</w:t>
                  </w:r>
                </w:p>
              </w:tc>
              <w:tc>
                <w:tcPr>
                  <w:tcW w:w="1134" w:type="dxa"/>
                  <w:shd w:val="clear" w:color="auto" w:fill="auto"/>
                  <w:vAlign w:val="center"/>
                </w:tcPr>
                <w:p>
                  <w:pPr>
                    <w:jc w:val="center"/>
                    <w:rPr>
                      <w:szCs w:val="21"/>
                    </w:rPr>
                  </w:pPr>
                  <w:r>
                    <w:rPr>
                      <w:szCs w:val="21"/>
                    </w:rPr>
                    <w:t>废气治理措施</w:t>
                  </w:r>
                </w:p>
              </w:tc>
              <w:tc>
                <w:tcPr>
                  <w:tcW w:w="3685" w:type="dxa"/>
                  <w:shd w:val="clear" w:color="auto" w:fill="auto"/>
                  <w:vAlign w:val="center"/>
                </w:tcPr>
                <w:p>
                  <w:pPr>
                    <w:jc w:val="center"/>
                    <w:rPr>
                      <w:szCs w:val="21"/>
                    </w:rPr>
                  </w:pPr>
                  <w:r>
                    <w:rPr>
                      <w:szCs w:val="21"/>
                    </w:rPr>
                    <w:t>注塑废气：</w:t>
                  </w:r>
                  <w:r>
                    <w:rPr>
                      <w:rFonts w:hint="eastAsia"/>
                      <w:szCs w:val="21"/>
                    </w:rPr>
                    <w:t>注塑区域密闭，废气经负压收集</w:t>
                  </w:r>
                  <w:r>
                    <w:rPr>
                      <w:szCs w:val="21"/>
                    </w:rPr>
                    <w:t>+UV光催化氧化装置+活性炭吸附装置+15m高排气筒</w:t>
                  </w:r>
                </w:p>
              </w:tc>
              <w:tc>
                <w:tcPr>
                  <w:tcW w:w="2627" w:type="dxa"/>
                  <w:shd w:val="clear" w:color="auto" w:fill="auto"/>
                  <w:vAlign w:val="center"/>
                </w:tcPr>
                <w:p>
                  <w:pPr>
                    <w:jc w:val="center"/>
                    <w:rPr>
                      <w:szCs w:val="21"/>
                    </w:rPr>
                  </w:pPr>
                  <w:r>
                    <w:rPr>
                      <w:szCs w:val="21"/>
                    </w:rPr>
                    <w:t>排气筒依托现有</w:t>
                  </w:r>
                  <w:r>
                    <w:rPr>
                      <w:rFonts w:hint="eastAsia"/>
                      <w:szCs w:val="21"/>
                    </w:rPr>
                    <w:t>，</w:t>
                  </w:r>
                  <w:r>
                    <w:rPr>
                      <w:szCs w:val="21"/>
                    </w:rPr>
                    <w:t>其他均为新建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shd w:val="clear" w:color="auto" w:fill="auto"/>
                  <w:vAlign w:val="center"/>
                </w:tcPr>
                <w:p>
                  <w:pPr>
                    <w:jc w:val="center"/>
                    <w:rPr>
                      <w:szCs w:val="21"/>
                      <w:highlight w:val="yellow"/>
                    </w:rPr>
                  </w:pPr>
                  <w:r>
                    <w:rPr>
                      <w:szCs w:val="21"/>
                    </w:rPr>
                    <w:t>废水治理设施</w:t>
                  </w:r>
                </w:p>
              </w:tc>
              <w:tc>
                <w:tcPr>
                  <w:tcW w:w="3685" w:type="dxa"/>
                  <w:shd w:val="clear" w:color="auto" w:fill="auto"/>
                  <w:vAlign w:val="center"/>
                </w:tcPr>
                <w:p>
                  <w:pPr>
                    <w:pStyle w:val="126"/>
                    <w:spacing w:line="320" w:lineRule="exact"/>
                    <w:rPr>
                      <w:szCs w:val="21"/>
                    </w:rPr>
                  </w:pPr>
                  <w:r>
                    <w:rPr>
                      <w:rFonts w:hint="eastAsia"/>
                      <w:szCs w:val="21"/>
                    </w:rPr>
                    <w:t>化粪池（10m</w:t>
                  </w:r>
                  <w:r>
                    <w:rPr>
                      <w:rFonts w:hint="eastAsia"/>
                      <w:szCs w:val="21"/>
                      <w:vertAlign w:val="superscript"/>
                    </w:rPr>
                    <w:t>3</w:t>
                  </w:r>
                  <w:r>
                    <w:rPr>
                      <w:rFonts w:hint="eastAsia"/>
                      <w:szCs w:val="21"/>
                    </w:rPr>
                    <w:t>）</w:t>
                  </w:r>
                </w:p>
              </w:tc>
              <w:tc>
                <w:tcPr>
                  <w:tcW w:w="2627" w:type="dxa"/>
                  <w:shd w:val="clear" w:color="auto" w:fill="auto"/>
                  <w:vAlign w:val="center"/>
                </w:tcPr>
                <w:p>
                  <w:pPr>
                    <w:pStyle w:val="126"/>
                    <w:spacing w:line="320" w:lineRule="exact"/>
                    <w:rPr>
                      <w:szCs w:val="21"/>
                    </w:rPr>
                  </w:pPr>
                  <w:r>
                    <w:rPr>
                      <w:szCs w:val="21"/>
                    </w:rPr>
                    <w:t>利用现有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shd w:val="clear" w:color="auto" w:fill="auto"/>
                  <w:vAlign w:val="center"/>
                </w:tcPr>
                <w:p>
                  <w:pPr>
                    <w:jc w:val="center"/>
                    <w:rPr>
                      <w:szCs w:val="21"/>
                    </w:rPr>
                  </w:pPr>
                  <w:r>
                    <w:rPr>
                      <w:szCs w:val="21"/>
                    </w:rPr>
                    <w:t>噪声治理设施</w:t>
                  </w:r>
                </w:p>
              </w:tc>
              <w:tc>
                <w:tcPr>
                  <w:tcW w:w="3685" w:type="dxa"/>
                  <w:shd w:val="clear" w:color="auto" w:fill="auto"/>
                  <w:vAlign w:val="center"/>
                </w:tcPr>
                <w:p>
                  <w:pPr>
                    <w:jc w:val="center"/>
                    <w:rPr>
                      <w:szCs w:val="21"/>
                    </w:rPr>
                  </w:pPr>
                  <w:r>
                    <w:rPr>
                      <w:szCs w:val="21"/>
                    </w:rPr>
                    <w:t>厂房密闭隔声，设备减振、隔音，距离衰减等措施</w:t>
                  </w:r>
                </w:p>
              </w:tc>
              <w:tc>
                <w:tcPr>
                  <w:tcW w:w="2627" w:type="dxa"/>
                  <w:shd w:val="clear" w:color="auto" w:fill="auto"/>
                  <w:vAlign w:val="center"/>
                </w:tcPr>
                <w:p>
                  <w:pPr>
                    <w:jc w:val="center"/>
                    <w:rPr>
                      <w:szCs w:val="21"/>
                    </w:rPr>
                  </w:pPr>
                  <w:r>
                    <w:rPr>
                      <w:szCs w:val="21"/>
                    </w:rPr>
                    <w:t>利用现有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vMerge w:val="restart"/>
                  <w:shd w:val="clear" w:color="auto" w:fill="auto"/>
                  <w:vAlign w:val="center"/>
                </w:tcPr>
                <w:p>
                  <w:pPr>
                    <w:jc w:val="center"/>
                    <w:rPr>
                      <w:szCs w:val="21"/>
                    </w:rPr>
                  </w:pPr>
                  <w:r>
                    <w:rPr>
                      <w:szCs w:val="21"/>
                    </w:rPr>
                    <w:t>固废治理措施</w:t>
                  </w:r>
                </w:p>
              </w:tc>
              <w:tc>
                <w:tcPr>
                  <w:tcW w:w="3685" w:type="dxa"/>
                  <w:shd w:val="clear" w:color="auto" w:fill="auto"/>
                  <w:vAlign w:val="center"/>
                </w:tcPr>
                <w:p>
                  <w:pPr>
                    <w:jc w:val="center"/>
                    <w:rPr>
                      <w:szCs w:val="21"/>
                    </w:rPr>
                  </w:pPr>
                  <w:r>
                    <w:rPr>
                      <w:szCs w:val="21"/>
                    </w:rPr>
                    <w:t>一般固废暂存区1座（5m</w:t>
                  </w:r>
                  <w:r>
                    <w:rPr>
                      <w:szCs w:val="21"/>
                      <w:vertAlign w:val="superscript"/>
                    </w:rPr>
                    <w:t>2</w:t>
                  </w:r>
                  <w:r>
                    <w:rPr>
                      <w:szCs w:val="21"/>
                    </w:rPr>
                    <w:t>）</w:t>
                  </w:r>
                </w:p>
              </w:tc>
              <w:tc>
                <w:tcPr>
                  <w:tcW w:w="2627" w:type="dxa"/>
                  <w:shd w:val="clear" w:color="auto" w:fill="auto"/>
                  <w:vAlign w:val="center"/>
                </w:tcPr>
                <w:p>
                  <w:pPr>
                    <w:jc w:val="center"/>
                    <w:rPr>
                      <w:szCs w:val="21"/>
                    </w:rPr>
                  </w:pPr>
                  <w:r>
                    <w:rPr>
                      <w:szCs w:val="21"/>
                    </w:rPr>
                    <w:t>利用现有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3685" w:type="dxa"/>
                  <w:shd w:val="clear" w:color="auto" w:fill="auto"/>
                  <w:vAlign w:val="center"/>
                </w:tcPr>
                <w:p>
                  <w:pPr>
                    <w:jc w:val="center"/>
                    <w:rPr>
                      <w:szCs w:val="21"/>
                    </w:rPr>
                  </w:pPr>
                  <w:r>
                    <w:rPr>
                      <w:szCs w:val="21"/>
                    </w:rPr>
                    <w:t>危废暂存间1间（5m</w:t>
                  </w:r>
                  <w:r>
                    <w:rPr>
                      <w:szCs w:val="21"/>
                      <w:vertAlign w:val="superscript"/>
                    </w:rPr>
                    <w:t>2</w:t>
                  </w:r>
                  <w:r>
                    <w:rPr>
                      <w:szCs w:val="21"/>
                    </w:rPr>
                    <w:t>）</w:t>
                  </w:r>
                </w:p>
              </w:tc>
              <w:tc>
                <w:tcPr>
                  <w:tcW w:w="2627" w:type="dxa"/>
                  <w:shd w:val="clear" w:color="auto" w:fill="auto"/>
                  <w:vAlign w:val="center"/>
                </w:tcPr>
                <w:p>
                  <w:pPr>
                    <w:jc w:val="center"/>
                    <w:rPr>
                      <w:szCs w:val="21"/>
                    </w:rPr>
                  </w:pPr>
                  <w:r>
                    <w:rPr>
                      <w:szCs w:val="21"/>
                    </w:rPr>
                    <w:t>新建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restart"/>
                  <w:shd w:val="clear" w:color="auto" w:fill="auto"/>
                  <w:vAlign w:val="center"/>
                </w:tcPr>
                <w:p>
                  <w:pPr>
                    <w:jc w:val="center"/>
                    <w:rPr>
                      <w:szCs w:val="21"/>
                    </w:rPr>
                  </w:pPr>
                  <w:r>
                    <w:rPr>
                      <w:szCs w:val="21"/>
                    </w:rPr>
                    <w:t>3</w:t>
                  </w:r>
                </w:p>
              </w:tc>
              <w:tc>
                <w:tcPr>
                  <w:tcW w:w="1134" w:type="dxa"/>
                  <w:vMerge w:val="restart"/>
                  <w:shd w:val="clear" w:color="auto" w:fill="auto"/>
                  <w:vAlign w:val="center"/>
                </w:tcPr>
                <w:p>
                  <w:pPr>
                    <w:jc w:val="center"/>
                    <w:rPr>
                      <w:szCs w:val="21"/>
                    </w:rPr>
                  </w:pPr>
                  <w:r>
                    <w:rPr>
                      <w:szCs w:val="21"/>
                    </w:rPr>
                    <w:t>公用工程</w:t>
                  </w:r>
                </w:p>
              </w:tc>
              <w:tc>
                <w:tcPr>
                  <w:tcW w:w="1134" w:type="dxa"/>
                  <w:shd w:val="clear" w:color="auto" w:fill="auto"/>
                  <w:vAlign w:val="center"/>
                </w:tcPr>
                <w:p>
                  <w:pPr>
                    <w:jc w:val="center"/>
                    <w:rPr>
                      <w:szCs w:val="21"/>
                    </w:rPr>
                  </w:pPr>
                  <w:r>
                    <w:rPr>
                      <w:szCs w:val="21"/>
                    </w:rPr>
                    <w:t>给水</w:t>
                  </w:r>
                </w:p>
              </w:tc>
              <w:tc>
                <w:tcPr>
                  <w:tcW w:w="3685" w:type="dxa"/>
                  <w:shd w:val="clear" w:color="auto" w:fill="auto"/>
                  <w:vAlign w:val="center"/>
                </w:tcPr>
                <w:p>
                  <w:pPr>
                    <w:ind w:right="-231"/>
                    <w:jc w:val="center"/>
                    <w:rPr>
                      <w:szCs w:val="21"/>
                    </w:rPr>
                  </w:pPr>
                  <w:r>
                    <w:rPr>
                      <w:rFonts w:hint="eastAsia"/>
                      <w:kern w:val="36"/>
                      <w:szCs w:val="21"/>
                    </w:rPr>
                    <w:t>自备水井</w:t>
                  </w:r>
                </w:p>
              </w:tc>
              <w:tc>
                <w:tcPr>
                  <w:tcW w:w="2627" w:type="dxa"/>
                  <w:shd w:val="clear" w:color="auto" w:fill="auto"/>
                  <w:vAlign w:val="center"/>
                </w:tcPr>
                <w:p>
                  <w:pPr>
                    <w:jc w:val="center"/>
                    <w:rPr>
                      <w:kern w:val="36"/>
                      <w:szCs w:val="21"/>
                    </w:rPr>
                  </w:pPr>
                  <w:r>
                    <w:rPr>
                      <w:rFonts w:hint="eastAsia"/>
                      <w:kern w:val="36"/>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dxa"/>
                  <w:vMerge w:val="continue"/>
                  <w:shd w:val="clear" w:color="auto" w:fill="auto"/>
                  <w:vAlign w:val="center"/>
                </w:tcPr>
                <w:p>
                  <w:pPr>
                    <w:jc w:val="center"/>
                    <w:rPr>
                      <w:szCs w:val="21"/>
                    </w:rPr>
                  </w:pPr>
                </w:p>
              </w:tc>
              <w:tc>
                <w:tcPr>
                  <w:tcW w:w="1134" w:type="dxa"/>
                  <w:vMerge w:val="continue"/>
                  <w:shd w:val="clear" w:color="auto" w:fill="auto"/>
                  <w:vAlign w:val="center"/>
                </w:tcPr>
                <w:p>
                  <w:pPr>
                    <w:jc w:val="center"/>
                    <w:rPr>
                      <w:szCs w:val="21"/>
                    </w:rPr>
                  </w:pPr>
                </w:p>
              </w:tc>
              <w:tc>
                <w:tcPr>
                  <w:tcW w:w="1134" w:type="dxa"/>
                  <w:shd w:val="clear" w:color="auto" w:fill="auto"/>
                  <w:vAlign w:val="center"/>
                </w:tcPr>
                <w:p>
                  <w:pPr>
                    <w:jc w:val="center"/>
                    <w:rPr>
                      <w:szCs w:val="21"/>
                    </w:rPr>
                  </w:pPr>
                  <w:r>
                    <w:rPr>
                      <w:szCs w:val="21"/>
                    </w:rPr>
                    <w:t>供电</w:t>
                  </w:r>
                </w:p>
              </w:tc>
              <w:tc>
                <w:tcPr>
                  <w:tcW w:w="3685" w:type="dxa"/>
                  <w:shd w:val="clear" w:color="auto" w:fill="auto"/>
                  <w:vAlign w:val="center"/>
                </w:tcPr>
                <w:p>
                  <w:pPr>
                    <w:jc w:val="center"/>
                    <w:rPr>
                      <w:szCs w:val="21"/>
                    </w:rPr>
                  </w:pPr>
                  <w:r>
                    <w:rPr>
                      <w:rFonts w:hint="eastAsia"/>
                      <w:kern w:val="36"/>
                      <w:szCs w:val="21"/>
                    </w:rPr>
                    <w:t>大块镇</w:t>
                  </w:r>
                  <w:r>
                    <w:rPr>
                      <w:kern w:val="36"/>
                      <w:szCs w:val="21"/>
                    </w:rPr>
                    <w:t>统一供电</w:t>
                  </w:r>
                </w:p>
              </w:tc>
              <w:tc>
                <w:tcPr>
                  <w:tcW w:w="2627" w:type="dxa"/>
                  <w:shd w:val="clear" w:color="auto" w:fill="auto"/>
                  <w:vAlign w:val="center"/>
                </w:tcPr>
                <w:p>
                  <w:pPr>
                    <w:jc w:val="center"/>
                    <w:rPr>
                      <w:kern w:val="36"/>
                      <w:szCs w:val="21"/>
                    </w:rPr>
                  </w:pPr>
                  <w:r>
                    <w:rPr>
                      <w:rFonts w:hint="eastAsia"/>
                      <w:kern w:val="36"/>
                      <w:szCs w:val="21"/>
                    </w:rPr>
                    <w:t>/</w:t>
                  </w:r>
                </w:p>
              </w:tc>
            </w:tr>
          </w:tbl>
          <w:p>
            <w:pPr>
              <w:spacing w:line="440" w:lineRule="exact"/>
              <w:ind w:firstLine="472"/>
              <w:rPr>
                <w:rFonts w:eastAsiaTheme="majorEastAsia"/>
                <w:b/>
                <w:sz w:val="24"/>
                <w:lang w:val="pt-BR"/>
              </w:rPr>
            </w:pPr>
            <w:r>
              <w:rPr>
                <w:rFonts w:eastAsiaTheme="majorEastAsia"/>
                <w:b/>
                <w:sz w:val="24"/>
                <w:lang w:val="pt-BR"/>
              </w:rPr>
              <w:t>3</w:t>
            </w:r>
            <w:r>
              <w:rPr>
                <w:rFonts w:hAnsiTheme="majorEastAsia" w:eastAsiaTheme="majorEastAsia"/>
                <w:b/>
                <w:sz w:val="24"/>
                <w:lang w:val="pt-BR"/>
              </w:rPr>
              <w:t>、</w:t>
            </w:r>
            <w:r>
              <w:rPr>
                <w:rFonts w:eastAsiaTheme="majorEastAsia"/>
                <w:b/>
                <w:sz w:val="24"/>
                <w:lang w:val="pt-BR"/>
              </w:rPr>
              <w:t>产品明细</w:t>
            </w:r>
          </w:p>
          <w:p>
            <w:pPr>
              <w:spacing w:line="440" w:lineRule="exact"/>
              <w:ind w:firstLine="461"/>
              <w:jc w:val="left"/>
              <w:rPr>
                <w:sz w:val="24"/>
              </w:rPr>
            </w:pPr>
            <w:r>
              <w:rPr>
                <w:sz w:val="24"/>
              </w:rPr>
              <w:t>本项目产品明细见表5。</w:t>
            </w:r>
          </w:p>
          <w:p>
            <w:pPr>
              <w:snapToGrid w:val="0"/>
              <w:spacing w:line="440" w:lineRule="exact"/>
              <w:ind w:firstLine="600"/>
              <w:textAlignment w:val="baseline"/>
              <w:rPr>
                <w:rFonts w:eastAsia="黑体"/>
                <w:sz w:val="24"/>
              </w:rPr>
            </w:pPr>
            <w:r>
              <w:rPr>
                <w:rFonts w:eastAsia="黑体"/>
                <w:sz w:val="24"/>
              </w:rPr>
              <w:t>表5                 本项目产品明细一览表</w:t>
            </w:r>
          </w:p>
          <w:tbl>
            <w:tblPr>
              <w:tblStyle w:val="19"/>
              <w:tblW w:w="5000" w:type="pct"/>
              <w:jc w:val="center"/>
              <w:tblLayout w:type="autofit"/>
              <w:tblCellMar>
                <w:top w:w="0" w:type="dxa"/>
                <w:left w:w="108" w:type="dxa"/>
                <w:bottom w:w="0" w:type="dxa"/>
                <w:right w:w="108" w:type="dxa"/>
              </w:tblCellMar>
            </w:tblPr>
            <w:tblGrid>
              <w:gridCol w:w="2771"/>
              <w:gridCol w:w="2717"/>
              <w:gridCol w:w="3737"/>
            </w:tblGrid>
            <w:tr>
              <w:tblPrEx>
                <w:tblCellMar>
                  <w:top w:w="0" w:type="dxa"/>
                  <w:left w:w="108" w:type="dxa"/>
                  <w:bottom w:w="0" w:type="dxa"/>
                  <w:right w:w="108" w:type="dxa"/>
                </w:tblCellMar>
              </w:tblPrEx>
              <w:trPr>
                <w:cantSplit/>
                <w:trHeight w:val="454" w:hRule="atLeast"/>
                <w:tblHeader/>
                <w:jc w:val="center"/>
              </w:trPr>
              <w:tc>
                <w:tcPr>
                  <w:tcW w:w="2771" w:type="dxa"/>
                  <w:tcBorders>
                    <w:top w:val="single" w:color="000000" w:sz="8" w:space="0"/>
                    <w:bottom w:val="single" w:color="000000" w:sz="4" w:space="0"/>
                    <w:right w:val="single" w:color="000000" w:sz="4" w:space="0"/>
                  </w:tcBorders>
                  <w:shd w:val="clear" w:color="auto" w:fill="auto"/>
                  <w:vAlign w:val="center"/>
                </w:tcPr>
                <w:p>
                  <w:pPr>
                    <w:ind w:left="420" w:hanging="420"/>
                    <w:jc w:val="center"/>
                    <w:rPr>
                      <w:b/>
                      <w:szCs w:val="21"/>
                    </w:rPr>
                  </w:pPr>
                  <w:r>
                    <w:rPr>
                      <w:b/>
                      <w:szCs w:val="21"/>
                    </w:rPr>
                    <w:t>产品名称</w:t>
                  </w:r>
                </w:p>
              </w:tc>
              <w:tc>
                <w:tcPr>
                  <w:tcW w:w="2717" w:type="dxa"/>
                  <w:tcBorders>
                    <w:top w:val="single" w:color="000000" w:sz="8" w:space="0"/>
                    <w:left w:val="single" w:color="000000" w:sz="4" w:space="0"/>
                    <w:bottom w:val="single" w:color="000000" w:sz="4" w:space="0"/>
                    <w:right w:val="single" w:color="000000" w:sz="4" w:space="0"/>
                  </w:tcBorders>
                  <w:shd w:val="clear" w:color="auto" w:fill="auto"/>
                  <w:vAlign w:val="center"/>
                </w:tcPr>
                <w:p>
                  <w:pPr>
                    <w:ind w:left="420" w:hanging="420"/>
                    <w:jc w:val="center"/>
                    <w:rPr>
                      <w:b/>
                      <w:szCs w:val="21"/>
                    </w:rPr>
                  </w:pPr>
                  <w:r>
                    <w:rPr>
                      <w:b/>
                      <w:szCs w:val="21"/>
                    </w:rPr>
                    <w:t>产品规格</w:t>
                  </w:r>
                </w:p>
              </w:tc>
              <w:tc>
                <w:tcPr>
                  <w:tcW w:w="3737" w:type="dxa"/>
                  <w:tcBorders>
                    <w:top w:val="single" w:color="000000" w:sz="8" w:space="0"/>
                    <w:left w:val="single" w:color="000000" w:sz="4" w:space="0"/>
                    <w:bottom w:val="single" w:color="000000" w:sz="4" w:space="0"/>
                  </w:tcBorders>
                  <w:shd w:val="clear" w:color="auto" w:fill="auto"/>
                  <w:vAlign w:val="center"/>
                </w:tcPr>
                <w:p>
                  <w:pPr>
                    <w:jc w:val="center"/>
                    <w:rPr>
                      <w:b/>
                      <w:szCs w:val="21"/>
                    </w:rPr>
                  </w:pPr>
                  <w:r>
                    <w:rPr>
                      <w:b/>
                      <w:szCs w:val="21"/>
                    </w:rPr>
                    <w:t>年产量</w:t>
                  </w:r>
                </w:p>
              </w:tc>
            </w:tr>
            <w:tr>
              <w:tblPrEx>
                <w:tblCellMar>
                  <w:top w:w="0" w:type="dxa"/>
                  <w:left w:w="108" w:type="dxa"/>
                  <w:bottom w:w="0" w:type="dxa"/>
                  <w:right w:w="108" w:type="dxa"/>
                </w:tblCellMar>
              </w:tblPrEx>
              <w:trPr>
                <w:cantSplit/>
                <w:trHeight w:val="454" w:hRule="atLeast"/>
                <w:jc w:val="center"/>
              </w:trPr>
              <w:tc>
                <w:tcPr>
                  <w:tcW w:w="2771" w:type="dxa"/>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电池密封圈</w:t>
                  </w: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碱性电池密封圈</w:t>
                  </w:r>
                </w:p>
              </w:tc>
              <w:tc>
                <w:tcPr>
                  <w:tcW w:w="3737"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rFonts w:hint="eastAsia"/>
                      <w:szCs w:val="21"/>
                    </w:rPr>
                    <w:t>8亿只</w:t>
                  </w:r>
                </w:p>
              </w:tc>
            </w:tr>
            <w:tr>
              <w:tblPrEx>
                <w:tblCellMar>
                  <w:top w:w="0" w:type="dxa"/>
                  <w:left w:w="108" w:type="dxa"/>
                  <w:bottom w:w="0" w:type="dxa"/>
                  <w:right w:w="108" w:type="dxa"/>
                </w:tblCellMar>
              </w:tblPrEx>
              <w:trPr>
                <w:cantSplit/>
                <w:trHeight w:val="454" w:hRule="atLeast"/>
                <w:jc w:val="center"/>
              </w:trPr>
              <w:tc>
                <w:tcPr>
                  <w:tcW w:w="2771" w:type="dxa"/>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负极底</w:t>
                  </w: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p>
              </w:tc>
              <w:tc>
                <w:tcPr>
                  <w:tcW w:w="3737"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rFonts w:hint="eastAsia"/>
                      <w:szCs w:val="21"/>
                    </w:rPr>
                    <w:t>2.5亿只</w:t>
                  </w:r>
                </w:p>
              </w:tc>
            </w:tr>
            <w:tr>
              <w:tblPrEx>
                <w:tblCellMar>
                  <w:top w:w="0" w:type="dxa"/>
                  <w:left w:w="108" w:type="dxa"/>
                  <w:bottom w:w="0" w:type="dxa"/>
                  <w:right w:w="108" w:type="dxa"/>
                </w:tblCellMar>
              </w:tblPrEx>
              <w:trPr>
                <w:cantSplit/>
                <w:trHeight w:val="454" w:hRule="atLeast"/>
                <w:jc w:val="center"/>
              </w:trPr>
              <w:tc>
                <w:tcPr>
                  <w:tcW w:w="9225" w:type="dxa"/>
                  <w:gridSpan w:val="3"/>
                  <w:tcBorders>
                    <w:top w:val="single" w:color="000000" w:sz="4" w:space="0"/>
                    <w:bottom w:val="single" w:color="000000" w:sz="8" w:space="0"/>
                  </w:tcBorders>
                  <w:shd w:val="clear" w:color="auto" w:fill="auto"/>
                  <w:vAlign w:val="center"/>
                </w:tcPr>
                <w:p>
                  <w:pPr>
                    <w:jc w:val="center"/>
                    <w:rPr>
                      <w:szCs w:val="21"/>
                    </w:rPr>
                  </w:pPr>
                  <w:r>
                    <w:rPr>
                      <w:szCs w:val="21"/>
                    </w:rPr>
                    <w:t>生产</w:t>
                  </w:r>
                  <w:r>
                    <w:rPr>
                      <w:rFonts w:hint="eastAsia"/>
                      <w:szCs w:val="21"/>
                    </w:rPr>
                    <w:t>电池密封圈8亿只</w:t>
                  </w:r>
                  <w:r>
                    <w:rPr>
                      <w:szCs w:val="21"/>
                    </w:rPr>
                    <w:t>/a、</w:t>
                  </w:r>
                  <w:r>
                    <w:rPr>
                      <w:rFonts w:hint="eastAsia"/>
                      <w:szCs w:val="21"/>
                    </w:rPr>
                    <w:t>负极底2.5亿只/a</w:t>
                  </w:r>
                </w:p>
              </w:tc>
            </w:tr>
          </w:tbl>
          <w:p>
            <w:pPr>
              <w:spacing w:line="440" w:lineRule="exact"/>
              <w:ind w:firstLine="482"/>
              <w:rPr>
                <w:rFonts w:asciiTheme="majorEastAsia" w:hAnsiTheme="majorEastAsia"/>
                <w:b/>
                <w:sz w:val="24"/>
              </w:rPr>
            </w:pPr>
            <w:r>
              <w:rPr>
                <w:rFonts w:hAnsiTheme="majorEastAsia" w:eastAsiaTheme="majorEastAsia"/>
                <w:b/>
                <w:sz w:val="24"/>
                <w:lang w:val="pt-BR"/>
              </w:rPr>
              <w:t>4、</w:t>
            </w:r>
            <w:r>
              <w:rPr>
                <w:rFonts w:hAnsiTheme="majorEastAsia" w:eastAsiaTheme="majorEastAsia"/>
                <w:b/>
                <w:sz w:val="24"/>
              </w:rPr>
              <w:t>主要生产设</w:t>
            </w:r>
            <w:r>
              <w:rPr>
                <w:rFonts w:asciiTheme="majorEastAsia" w:hAnsiTheme="majorEastAsia"/>
                <w:b/>
                <w:sz w:val="24"/>
              </w:rPr>
              <w:t>备</w:t>
            </w:r>
          </w:p>
          <w:p>
            <w:pPr>
              <w:spacing w:line="460" w:lineRule="exact"/>
              <w:ind w:firstLine="598"/>
              <w:rPr>
                <w:rFonts w:eastAsia="黑体"/>
                <w:sz w:val="24"/>
              </w:rPr>
            </w:pPr>
            <w:r>
              <w:rPr>
                <w:rFonts w:eastAsia="黑体"/>
                <w:sz w:val="24"/>
              </w:rPr>
              <w:t xml:space="preserve">表6                </w:t>
            </w:r>
            <w:r>
              <w:rPr>
                <w:rFonts w:hint="eastAsia" w:eastAsia="黑体"/>
                <w:sz w:val="24"/>
              </w:rPr>
              <w:t xml:space="preserve">                  </w:t>
            </w:r>
            <w:r>
              <w:rPr>
                <w:rFonts w:eastAsia="黑体"/>
                <w:sz w:val="24"/>
              </w:rPr>
              <w:t xml:space="preserve">    主要生产设备一览表</w:t>
            </w:r>
          </w:p>
          <w:tbl>
            <w:tblPr>
              <w:tblStyle w:val="19"/>
              <w:tblW w:w="5000"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28"/>
              <w:gridCol w:w="567"/>
              <w:gridCol w:w="1985"/>
              <w:gridCol w:w="2268"/>
              <w:gridCol w:w="992"/>
              <w:gridCol w:w="248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rFonts w:eastAsiaTheme="minorEastAsia"/>
                      <w:b/>
                      <w:szCs w:val="21"/>
                    </w:rPr>
                  </w:pPr>
                  <w:r>
                    <w:rPr>
                      <w:rFonts w:hAnsiTheme="minorEastAsia" w:eastAsiaTheme="minorEastAsia"/>
                      <w:b/>
                      <w:szCs w:val="21"/>
                    </w:rPr>
                    <w:t>序号</w:t>
                  </w:r>
                </w:p>
              </w:tc>
              <w:tc>
                <w:tcPr>
                  <w:tcW w:w="2552" w:type="dxa"/>
                  <w:gridSpan w:val="2"/>
                  <w:shd w:val="clear" w:color="auto" w:fill="auto"/>
                  <w:vAlign w:val="center"/>
                </w:tcPr>
                <w:p>
                  <w:pPr>
                    <w:jc w:val="center"/>
                    <w:rPr>
                      <w:rFonts w:eastAsiaTheme="minorEastAsia"/>
                      <w:b/>
                      <w:szCs w:val="21"/>
                    </w:rPr>
                  </w:pPr>
                  <w:r>
                    <w:rPr>
                      <w:rFonts w:hAnsiTheme="minorEastAsia" w:eastAsiaTheme="minorEastAsia"/>
                      <w:b/>
                      <w:szCs w:val="21"/>
                    </w:rPr>
                    <w:t>设备名称</w:t>
                  </w:r>
                </w:p>
              </w:tc>
              <w:tc>
                <w:tcPr>
                  <w:tcW w:w="2268" w:type="dxa"/>
                  <w:shd w:val="clear" w:color="auto" w:fill="auto"/>
                  <w:vAlign w:val="center"/>
                </w:tcPr>
                <w:p>
                  <w:pPr>
                    <w:jc w:val="center"/>
                    <w:rPr>
                      <w:rFonts w:eastAsiaTheme="minorEastAsia"/>
                      <w:b/>
                      <w:szCs w:val="21"/>
                    </w:rPr>
                  </w:pPr>
                  <w:r>
                    <w:rPr>
                      <w:rFonts w:hAnsiTheme="minorEastAsia" w:eastAsiaTheme="minorEastAsia"/>
                      <w:b/>
                      <w:szCs w:val="21"/>
                    </w:rPr>
                    <w:t>型号</w:t>
                  </w:r>
                </w:p>
              </w:tc>
              <w:tc>
                <w:tcPr>
                  <w:tcW w:w="992" w:type="dxa"/>
                  <w:shd w:val="clear" w:color="auto" w:fill="auto"/>
                  <w:vAlign w:val="center"/>
                </w:tcPr>
                <w:p>
                  <w:pPr>
                    <w:jc w:val="center"/>
                    <w:rPr>
                      <w:rFonts w:eastAsiaTheme="minorEastAsia"/>
                      <w:b/>
                      <w:szCs w:val="21"/>
                    </w:rPr>
                  </w:pPr>
                  <w:r>
                    <w:rPr>
                      <w:rFonts w:hAnsiTheme="minorEastAsia" w:eastAsiaTheme="minorEastAsia"/>
                      <w:b/>
                      <w:szCs w:val="21"/>
                    </w:rPr>
                    <w:t>数量</w:t>
                  </w:r>
                </w:p>
              </w:tc>
              <w:tc>
                <w:tcPr>
                  <w:tcW w:w="2485" w:type="dxa"/>
                  <w:shd w:val="clear" w:color="auto" w:fill="auto"/>
                  <w:vAlign w:val="center"/>
                </w:tcPr>
                <w:p>
                  <w:pPr>
                    <w:jc w:val="center"/>
                    <w:rPr>
                      <w:rFonts w:eastAsiaTheme="minorEastAsia"/>
                      <w:b/>
                      <w:szCs w:val="21"/>
                    </w:rPr>
                  </w:pPr>
                  <w:r>
                    <w:rPr>
                      <w:rFonts w:hAnsiTheme="minorEastAsia" w:eastAsiaTheme="minorEastAsia"/>
                      <w:b/>
                      <w:szCs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25" w:type="dxa"/>
                  <w:gridSpan w:val="6"/>
                  <w:shd w:val="clear" w:color="auto" w:fill="auto"/>
                  <w:vAlign w:val="center"/>
                </w:tcPr>
                <w:p>
                  <w:pPr>
                    <w:jc w:val="center"/>
                    <w:rPr>
                      <w:rFonts w:hAnsiTheme="minorEastAsia" w:eastAsiaTheme="minorEastAsia"/>
                      <w:b/>
                      <w:szCs w:val="21"/>
                    </w:rPr>
                  </w:pPr>
                  <w:r>
                    <w:rPr>
                      <w:rFonts w:hAnsiTheme="minorEastAsia" w:eastAsiaTheme="minorEastAsia"/>
                      <w:b/>
                      <w:szCs w:val="21"/>
                    </w:rPr>
                    <w:t>依托现有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szCs w:val="21"/>
                    </w:rPr>
                    <w:t>1</w:t>
                  </w:r>
                </w:p>
              </w:tc>
              <w:tc>
                <w:tcPr>
                  <w:tcW w:w="2552" w:type="dxa"/>
                  <w:gridSpan w:val="2"/>
                  <w:shd w:val="clear" w:color="auto" w:fill="auto"/>
                  <w:vAlign w:val="center"/>
                </w:tcPr>
                <w:p>
                  <w:pPr>
                    <w:pStyle w:val="126"/>
                  </w:pPr>
                  <w:r>
                    <w:rPr>
                      <w:rFonts w:hint="eastAsia"/>
                    </w:rPr>
                    <w:t>上料机</w:t>
                  </w:r>
                </w:p>
              </w:tc>
              <w:tc>
                <w:tcPr>
                  <w:tcW w:w="2268" w:type="dxa"/>
                  <w:shd w:val="clear" w:color="auto" w:fill="auto"/>
                  <w:vAlign w:val="center"/>
                </w:tcPr>
                <w:p>
                  <w:pPr>
                    <w:pStyle w:val="126"/>
                  </w:pPr>
                  <w:r>
                    <w:rPr>
                      <w:rFonts w:hint="eastAsia"/>
                    </w:rPr>
                    <w:t>定制</w:t>
                  </w:r>
                </w:p>
              </w:tc>
              <w:tc>
                <w:tcPr>
                  <w:tcW w:w="992" w:type="dxa"/>
                  <w:shd w:val="clear" w:color="auto" w:fill="auto"/>
                  <w:vAlign w:val="center"/>
                </w:tcPr>
                <w:p>
                  <w:pPr>
                    <w:pStyle w:val="126"/>
                  </w:pPr>
                  <w:r>
                    <w:rPr>
                      <w:rFonts w:hint="eastAsia"/>
                    </w:rPr>
                    <w:t>10</w:t>
                  </w:r>
                </w:p>
              </w:tc>
              <w:tc>
                <w:tcPr>
                  <w:tcW w:w="2485" w:type="dxa"/>
                  <w:shd w:val="clear" w:color="auto" w:fill="auto"/>
                  <w:vAlign w:val="center"/>
                </w:tcPr>
                <w:p>
                  <w:pPr>
                    <w:pStyle w:val="126"/>
                  </w:pPr>
                  <w:r>
                    <w:rPr>
                      <w:rFonts w:hint="eastAsia"/>
                    </w:rPr>
                    <w:t>上料</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2</w:t>
                  </w:r>
                </w:p>
              </w:tc>
              <w:tc>
                <w:tcPr>
                  <w:tcW w:w="2552" w:type="dxa"/>
                  <w:gridSpan w:val="2"/>
                  <w:shd w:val="clear" w:color="auto" w:fill="auto"/>
                  <w:vAlign w:val="center"/>
                </w:tcPr>
                <w:p>
                  <w:pPr>
                    <w:pStyle w:val="126"/>
                  </w:pPr>
                  <w:r>
                    <w:rPr>
                      <w:rFonts w:hint="eastAsia"/>
                    </w:rPr>
                    <w:t>台钻</w:t>
                  </w:r>
                </w:p>
              </w:tc>
              <w:tc>
                <w:tcPr>
                  <w:tcW w:w="2268" w:type="dxa"/>
                  <w:shd w:val="clear" w:color="auto" w:fill="auto"/>
                  <w:vAlign w:val="center"/>
                </w:tcPr>
                <w:p>
                  <w:pPr>
                    <w:pStyle w:val="126"/>
                  </w:pPr>
                  <w:r>
                    <w:rPr>
                      <w:rFonts w:hint="eastAsia"/>
                    </w:rPr>
                    <w:t>定制</w:t>
                  </w:r>
                </w:p>
              </w:tc>
              <w:tc>
                <w:tcPr>
                  <w:tcW w:w="992" w:type="dxa"/>
                  <w:shd w:val="clear" w:color="auto" w:fill="auto"/>
                  <w:vAlign w:val="center"/>
                </w:tcPr>
                <w:p>
                  <w:pPr>
                    <w:pStyle w:val="126"/>
                  </w:pPr>
                  <w:r>
                    <w:rPr>
                      <w:rFonts w:hint="eastAsia"/>
                    </w:rPr>
                    <w:t>1</w:t>
                  </w:r>
                </w:p>
              </w:tc>
              <w:tc>
                <w:tcPr>
                  <w:tcW w:w="2485" w:type="dxa"/>
                  <w:shd w:val="clear" w:color="auto" w:fill="auto"/>
                  <w:vAlign w:val="center"/>
                </w:tcPr>
                <w:p>
                  <w:pPr>
                    <w:pStyle w:val="126"/>
                  </w:pPr>
                  <w:r>
                    <w:rPr>
                      <w:rFonts w:hint="eastAsia"/>
                    </w:rPr>
                    <w:t>打孔</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3</w:t>
                  </w:r>
                </w:p>
              </w:tc>
              <w:tc>
                <w:tcPr>
                  <w:tcW w:w="2552" w:type="dxa"/>
                  <w:gridSpan w:val="2"/>
                  <w:shd w:val="clear" w:color="auto" w:fill="auto"/>
                  <w:vAlign w:val="center"/>
                </w:tcPr>
                <w:p>
                  <w:pPr>
                    <w:pStyle w:val="126"/>
                  </w:pPr>
                  <w:r>
                    <w:rPr>
                      <w:rFonts w:hint="eastAsia"/>
                    </w:rPr>
                    <w:t>车床</w:t>
                  </w:r>
                </w:p>
              </w:tc>
              <w:tc>
                <w:tcPr>
                  <w:tcW w:w="2268" w:type="dxa"/>
                  <w:shd w:val="clear" w:color="auto" w:fill="auto"/>
                  <w:vAlign w:val="center"/>
                </w:tcPr>
                <w:p>
                  <w:pPr>
                    <w:pStyle w:val="126"/>
                  </w:pPr>
                  <w:r>
                    <w:rPr>
                      <w:rFonts w:hint="eastAsia"/>
                    </w:rPr>
                    <w:t>6132×750</w:t>
                  </w:r>
                </w:p>
              </w:tc>
              <w:tc>
                <w:tcPr>
                  <w:tcW w:w="992" w:type="dxa"/>
                  <w:shd w:val="clear" w:color="auto" w:fill="auto"/>
                  <w:vAlign w:val="center"/>
                </w:tcPr>
                <w:p>
                  <w:pPr>
                    <w:pStyle w:val="126"/>
                  </w:pPr>
                  <w:r>
                    <w:rPr>
                      <w:rFonts w:hint="eastAsia"/>
                    </w:rPr>
                    <w:t>1</w:t>
                  </w:r>
                </w:p>
              </w:tc>
              <w:tc>
                <w:tcPr>
                  <w:tcW w:w="2485" w:type="dxa"/>
                  <w:shd w:val="clear" w:color="auto" w:fill="auto"/>
                  <w:vAlign w:val="center"/>
                </w:tcPr>
                <w:p>
                  <w:pPr>
                    <w:pStyle w:val="126"/>
                  </w:pPr>
                  <w:r>
                    <w:rPr>
                      <w:rFonts w:hint="eastAsia"/>
                    </w:rPr>
                    <w:t>模具维修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4</w:t>
                  </w:r>
                </w:p>
              </w:tc>
              <w:tc>
                <w:tcPr>
                  <w:tcW w:w="2552" w:type="dxa"/>
                  <w:gridSpan w:val="2"/>
                  <w:shd w:val="clear" w:color="auto" w:fill="auto"/>
                  <w:vAlign w:val="center"/>
                </w:tcPr>
                <w:p>
                  <w:pPr>
                    <w:pStyle w:val="126"/>
                  </w:pPr>
                  <w:r>
                    <w:rPr>
                      <w:rFonts w:hint="eastAsia"/>
                    </w:rPr>
                    <w:t>内圆磨机</w:t>
                  </w:r>
                </w:p>
              </w:tc>
              <w:tc>
                <w:tcPr>
                  <w:tcW w:w="2268" w:type="dxa"/>
                  <w:shd w:val="clear" w:color="auto" w:fill="auto"/>
                  <w:vAlign w:val="center"/>
                </w:tcPr>
                <w:p>
                  <w:pPr>
                    <w:pStyle w:val="126"/>
                  </w:pPr>
                  <w:r>
                    <w:rPr>
                      <w:rFonts w:hint="eastAsia"/>
                    </w:rPr>
                    <w:t>定制</w:t>
                  </w:r>
                </w:p>
              </w:tc>
              <w:tc>
                <w:tcPr>
                  <w:tcW w:w="992" w:type="dxa"/>
                  <w:shd w:val="clear" w:color="auto" w:fill="auto"/>
                  <w:vAlign w:val="center"/>
                </w:tcPr>
                <w:p>
                  <w:pPr>
                    <w:pStyle w:val="126"/>
                  </w:pPr>
                  <w:r>
                    <w:rPr>
                      <w:rFonts w:hint="eastAsia"/>
                    </w:rPr>
                    <w:t>1</w:t>
                  </w:r>
                </w:p>
              </w:tc>
              <w:tc>
                <w:tcPr>
                  <w:tcW w:w="2485" w:type="dxa"/>
                  <w:shd w:val="clear" w:color="auto" w:fill="auto"/>
                  <w:vAlign w:val="center"/>
                </w:tcPr>
                <w:p>
                  <w:pPr>
                    <w:pStyle w:val="126"/>
                  </w:pPr>
                  <w:r>
                    <w:rPr>
                      <w:rFonts w:hint="eastAsia"/>
                    </w:rPr>
                    <w:t>修模具内圆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5</w:t>
                  </w:r>
                </w:p>
              </w:tc>
              <w:tc>
                <w:tcPr>
                  <w:tcW w:w="2552" w:type="dxa"/>
                  <w:gridSpan w:val="2"/>
                  <w:shd w:val="clear" w:color="auto" w:fill="auto"/>
                  <w:vAlign w:val="center"/>
                </w:tcPr>
                <w:p>
                  <w:pPr>
                    <w:pStyle w:val="126"/>
                  </w:pPr>
                  <w:r>
                    <w:rPr>
                      <w:rFonts w:hint="eastAsia"/>
                    </w:rPr>
                    <w:t>平面磨机</w:t>
                  </w:r>
                </w:p>
              </w:tc>
              <w:tc>
                <w:tcPr>
                  <w:tcW w:w="2268" w:type="dxa"/>
                  <w:shd w:val="clear" w:color="auto" w:fill="auto"/>
                  <w:vAlign w:val="center"/>
                </w:tcPr>
                <w:p>
                  <w:pPr>
                    <w:pStyle w:val="126"/>
                  </w:pPr>
                  <w:r>
                    <w:rPr>
                      <w:rFonts w:hint="eastAsia"/>
                    </w:rPr>
                    <w:t>定制</w:t>
                  </w:r>
                </w:p>
              </w:tc>
              <w:tc>
                <w:tcPr>
                  <w:tcW w:w="992" w:type="dxa"/>
                  <w:shd w:val="clear" w:color="auto" w:fill="auto"/>
                  <w:vAlign w:val="center"/>
                </w:tcPr>
                <w:p>
                  <w:pPr>
                    <w:pStyle w:val="126"/>
                  </w:pPr>
                  <w:r>
                    <w:rPr>
                      <w:rFonts w:hint="eastAsia"/>
                    </w:rPr>
                    <w:t>1</w:t>
                  </w:r>
                </w:p>
              </w:tc>
              <w:tc>
                <w:tcPr>
                  <w:tcW w:w="2485" w:type="dxa"/>
                  <w:shd w:val="clear" w:color="auto" w:fill="auto"/>
                  <w:vAlign w:val="center"/>
                </w:tcPr>
                <w:p>
                  <w:pPr>
                    <w:pStyle w:val="126"/>
                  </w:pPr>
                  <w:r>
                    <w:rPr>
                      <w:rFonts w:hint="eastAsia"/>
                    </w:rPr>
                    <w:t>修模具平面</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25" w:type="dxa"/>
                  <w:gridSpan w:val="6"/>
                  <w:shd w:val="clear" w:color="auto" w:fill="auto"/>
                  <w:vAlign w:val="center"/>
                </w:tcPr>
                <w:p>
                  <w:pPr>
                    <w:jc w:val="center"/>
                    <w:rPr>
                      <w:rFonts w:hAnsiTheme="minorEastAsia" w:eastAsiaTheme="minorEastAsia"/>
                      <w:b/>
                      <w:szCs w:val="21"/>
                    </w:rPr>
                  </w:pPr>
                  <w:r>
                    <w:rPr>
                      <w:rFonts w:hAnsiTheme="minorEastAsia" w:eastAsiaTheme="minorEastAsia"/>
                      <w:b/>
                      <w:szCs w:val="21"/>
                    </w:rPr>
                    <w:t>本次新增</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szCs w:val="21"/>
                    </w:rPr>
                    <w:t>1</w:t>
                  </w:r>
                </w:p>
              </w:tc>
              <w:tc>
                <w:tcPr>
                  <w:tcW w:w="567" w:type="dxa"/>
                  <w:vMerge w:val="restart"/>
                  <w:shd w:val="clear" w:color="auto" w:fill="auto"/>
                  <w:vAlign w:val="center"/>
                </w:tcPr>
                <w:p>
                  <w:pPr>
                    <w:jc w:val="center"/>
                    <w:rPr>
                      <w:rFonts w:hAnsiTheme="minorEastAsia" w:eastAsiaTheme="minorEastAsia"/>
                      <w:szCs w:val="21"/>
                    </w:rPr>
                  </w:pPr>
                  <w:r>
                    <w:rPr>
                      <w:rFonts w:hAnsiTheme="minorEastAsia" w:eastAsiaTheme="minorEastAsia"/>
                      <w:szCs w:val="21"/>
                    </w:rPr>
                    <w:t>电池密封圈</w:t>
                  </w: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拌料机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拌料</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吸料机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TAL-6</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自动上料装置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2</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除湿机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SD.H</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预热</w:t>
                  </w:r>
                  <w:r>
                    <w:rPr>
                      <w:rFonts w:hAnsiTheme="minorEastAsia" w:eastAsiaTheme="minorEastAsia"/>
                      <w:szCs w:val="21"/>
                    </w:rPr>
                    <w:t>原辅材料</w:t>
                  </w:r>
                  <w:r>
                    <w:rPr>
                      <w:rFonts w:hint="eastAsia" w:hAnsiTheme="minorEastAsia" w:eastAsiaTheme="minorEastAsia"/>
                      <w:szCs w:val="21"/>
                    </w:rPr>
                    <w:t>，</w:t>
                  </w:r>
                  <w:r>
                    <w:rPr>
                      <w:rFonts w:hAnsiTheme="minorEastAsia" w:eastAsiaTheme="minorEastAsia"/>
                      <w:szCs w:val="21"/>
                    </w:rPr>
                    <w:t>除湿</w:t>
                  </w:r>
                  <w:r>
                    <w:rPr>
                      <w:rFonts w:hint="eastAsia" w:hAnsiTheme="minorEastAsia" w:eastAsiaTheme="minorEastAsia"/>
                      <w:szCs w:val="21"/>
                    </w:rPr>
                    <w:t>，70℃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3</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AnsiTheme="minorEastAsia" w:eastAsiaTheme="minorEastAsia"/>
                      <w:szCs w:val="21"/>
                    </w:rPr>
                    <w:t>干燥机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THD-25U</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干燥温度为80℃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4</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注塑机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MA600/150</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20</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即塑料注射成型机</w:t>
                  </w:r>
                  <w:r>
                    <w:rPr>
                      <w:rFonts w:hint="eastAsia" w:hAnsiTheme="minorEastAsia" w:eastAsiaTheme="minorEastAsia"/>
                      <w:szCs w:val="21"/>
                    </w:rPr>
                    <w:t>，</w:t>
                  </w:r>
                  <w:r>
                    <w:rPr>
                      <w:rFonts w:hAnsiTheme="minorEastAsia" w:eastAsiaTheme="minorEastAsia"/>
                      <w:szCs w:val="21"/>
                    </w:rPr>
                    <w:t>注塑成型</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5</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密封圈</w:t>
                  </w:r>
                  <w:r>
                    <w:rPr>
                      <w:rFonts w:hAnsiTheme="minorEastAsia" w:eastAsiaTheme="minorEastAsia"/>
                      <w:szCs w:val="21"/>
                    </w:rPr>
                    <w:t>检查设备</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用于密封圈检验</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6</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JM手动</w:t>
                  </w:r>
                  <w:r>
                    <w:rPr>
                      <w:rFonts w:hAnsiTheme="minorEastAsia" w:eastAsiaTheme="minorEastAsia"/>
                      <w:szCs w:val="21"/>
                    </w:rPr>
                    <w:t>压力机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JM-32</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测试密封圈时将密封圈退出检验设备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7</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模温机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加热</w:t>
                  </w:r>
                  <w:r>
                    <w:rPr>
                      <w:rFonts w:hint="eastAsia" w:hAnsiTheme="minorEastAsia" w:eastAsiaTheme="minorEastAsia"/>
                      <w:szCs w:val="21"/>
                    </w:rPr>
                    <w:t>挤出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8</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AnsiTheme="minorEastAsia" w:eastAsiaTheme="minorEastAsia"/>
                      <w:szCs w:val="21"/>
                    </w:rPr>
                    <w:t>破碎机</w:t>
                  </w:r>
                </w:p>
              </w:tc>
              <w:tc>
                <w:tcPr>
                  <w:tcW w:w="2268"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将废边角料破碎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9</w:t>
                  </w:r>
                </w:p>
              </w:tc>
              <w:tc>
                <w:tcPr>
                  <w:tcW w:w="567" w:type="dxa"/>
                  <w:vMerge w:val="continue"/>
                  <w:shd w:val="clear" w:color="auto" w:fill="auto"/>
                  <w:vAlign w:val="center"/>
                </w:tcPr>
                <w:p>
                  <w:pPr>
                    <w:jc w:val="center"/>
                    <w:rPr>
                      <w:rFonts w:hAnsiTheme="minorEastAsia" w:eastAsiaTheme="minorEastAsia"/>
                      <w:szCs w:val="21"/>
                    </w:rPr>
                  </w:pPr>
                </w:p>
              </w:tc>
              <w:tc>
                <w:tcPr>
                  <w:tcW w:w="1985" w:type="dxa"/>
                  <w:shd w:val="clear" w:color="auto" w:fill="auto"/>
                  <w:vAlign w:val="center"/>
                </w:tcPr>
                <w:p>
                  <w:pPr>
                    <w:jc w:val="center"/>
                    <w:rPr>
                      <w:rFonts w:hAnsiTheme="minorEastAsia" w:eastAsiaTheme="minorEastAsia"/>
                      <w:szCs w:val="21"/>
                    </w:rPr>
                  </w:pPr>
                  <w:r>
                    <w:rPr>
                      <w:rFonts w:hAnsiTheme="minorEastAsia" w:eastAsiaTheme="minorEastAsia"/>
                      <w:szCs w:val="21"/>
                    </w:rPr>
                    <w:t>空压机</w:t>
                  </w:r>
                </w:p>
              </w:tc>
              <w:tc>
                <w:tcPr>
                  <w:tcW w:w="2268" w:type="dxa"/>
                  <w:shd w:val="clear" w:color="auto" w:fill="auto"/>
                  <w:vAlign w:val="center"/>
                </w:tcPr>
                <w:p>
                  <w:pPr>
                    <w:jc w:val="center"/>
                    <w:rPr>
                      <w:rFonts w:hAnsiTheme="minorEastAsia" w:eastAsiaTheme="minorEastAsia"/>
                      <w:szCs w:val="21"/>
                    </w:rPr>
                  </w:pPr>
                  <w:r>
                    <w:rPr>
                      <w:rFonts w:hint="eastAsia"/>
                    </w:rPr>
                    <w:t>ER303A</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1</w:t>
                  </w:r>
                </w:p>
              </w:tc>
              <w:tc>
                <w:tcPr>
                  <w:tcW w:w="2485"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928" w:type="dxa"/>
                  <w:shd w:val="clear" w:color="auto" w:fill="auto"/>
                  <w:vAlign w:val="center"/>
                </w:tcPr>
                <w:p>
                  <w:pPr>
                    <w:jc w:val="center"/>
                    <w:rPr>
                      <w:szCs w:val="21"/>
                    </w:rPr>
                  </w:pPr>
                  <w:r>
                    <w:rPr>
                      <w:rFonts w:hint="eastAsia"/>
                      <w:szCs w:val="21"/>
                    </w:rPr>
                    <w:t>10</w:t>
                  </w:r>
                </w:p>
              </w:tc>
              <w:tc>
                <w:tcPr>
                  <w:tcW w:w="567" w:type="dxa"/>
                  <w:shd w:val="clear" w:color="auto" w:fill="auto"/>
                  <w:vAlign w:val="center"/>
                </w:tcPr>
                <w:p>
                  <w:pPr>
                    <w:jc w:val="center"/>
                    <w:rPr>
                      <w:rFonts w:hAnsiTheme="minorEastAsia" w:eastAsiaTheme="minorEastAsia"/>
                      <w:szCs w:val="21"/>
                    </w:rPr>
                  </w:pPr>
                  <w:r>
                    <w:rPr>
                      <w:rFonts w:hAnsiTheme="minorEastAsia" w:eastAsiaTheme="minorEastAsia"/>
                      <w:szCs w:val="21"/>
                    </w:rPr>
                    <w:t>负极底</w:t>
                  </w:r>
                </w:p>
              </w:tc>
              <w:tc>
                <w:tcPr>
                  <w:tcW w:w="1985" w:type="dxa"/>
                  <w:shd w:val="clear" w:color="auto" w:fill="auto"/>
                  <w:vAlign w:val="center"/>
                </w:tcPr>
                <w:p>
                  <w:pPr>
                    <w:jc w:val="center"/>
                    <w:rPr>
                      <w:rFonts w:hAnsiTheme="minorEastAsia" w:eastAsiaTheme="minorEastAsia"/>
                      <w:szCs w:val="21"/>
                    </w:rPr>
                  </w:pPr>
                  <w:r>
                    <w:rPr>
                      <w:rFonts w:hAnsiTheme="minorEastAsia" w:eastAsiaTheme="minorEastAsia"/>
                      <w:szCs w:val="21"/>
                    </w:rPr>
                    <w:t>冲床</w:t>
                  </w:r>
                </w:p>
              </w:tc>
              <w:tc>
                <w:tcPr>
                  <w:tcW w:w="2268" w:type="dxa"/>
                  <w:shd w:val="clear" w:color="auto" w:fill="auto"/>
                  <w:vAlign w:val="center"/>
                </w:tcPr>
                <w:p>
                  <w:pPr>
                    <w:jc w:val="center"/>
                    <w:rPr>
                      <w:rFonts w:hAnsiTheme="minorEastAsia" w:eastAsiaTheme="minorEastAsia"/>
                      <w:szCs w:val="21"/>
                    </w:rPr>
                  </w:pPr>
                  <w:r>
                    <w:rPr>
                      <w:rFonts w:hAnsiTheme="minorEastAsia" w:eastAsiaTheme="minorEastAsia"/>
                      <w:szCs w:val="21"/>
                    </w:rPr>
                    <w:t>JB21S-25T</w:t>
                  </w:r>
                </w:p>
              </w:tc>
              <w:tc>
                <w:tcPr>
                  <w:tcW w:w="992" w:type="dxa"/>
                  <w:shd w:val="clear" w:color="auto" w:fill="auto"/>
                  <w:vAlign w:val="center"/>
                </w:tcPr>
                <w:p>
                  <w:pPr>
                    <w:jc w:val="center"/>
                    <w:rPr>
                      <w:rFonts w:hAnsiTheme="minorEastAsia" w:eastAsiaTheme="minorEastAsia"/>
                      <w:szCs w:val="21"/>
                    </w:rPr>
                  </w:pPr>
                  <w:r>
                    <w:rPr>
                      <w:rFonts w:hint="eastAsia" w:hAnsiTheme="minorEastAsia" w:eastAsiaTheme="minorEastAsia"/>
                      <w:szCs w:val="21"/>
                    </w:rPr>
                    <w:t>5</w:t>
                  </w:r>
                </w:p>
              </w:tc>
              <w:tc>
                <w:tcPr>
                  <w:tcW w:w="2485" w:type="dxa"/>
                  <w:shd w:val="clear" w:color="auto" w:fill="auto"/>
                  <w:vAlign w:val="center"/>
                </w:tcPr>
                <w:p>
                  <w:pPr>
                    <w:jc w:val="center"/>
                    <w:rPr>
                      <w:rFonts w:hAnsiTheme="minorEastAsia" w:eastAsiaTheme="minorEastAsia"/>
                      <w:szCs w:val="21"/>
                    </w:rPr>
                  </w:pPr>
                  <w:r>
                    <w:rPr>
                      <w:rFonts w:hAnsiTheme="minorEastAsia" w:eastAsiaTheme="minorEastAsia"/>
                      <w:szCs w:val="21"/>
                    </w:rPr>
                    <w:t>冲压</w:t>
                  </w:r>
                </w:p>
              </w:tc>
            </w:tr>
          </w:tbl>
          <w:p>
            <w:pPr>
              <w:spacing w:line="440" w:lineRule="exact"/>
              <w:ind w:firstLine="482"/>
              <w:rPr>
                <w:rFonts w:asciiTheme="majorEastAsia" w:hAnsiTheme="majorEastAsia" w:eastAsiaTheme="majorEastAsia"/>
                <w:b/>
                <w:sz w:val="24"/>
                <w:lang w:val="pt-BR"/>
              </w:rPr>
            </w:pPr>
            <w:r>
              <w:rPr>
                <w:rFonts w:hint="eastAsia" w:eastAsiaTheme="majorEastAsia"/>
                <w:b/>
                <w:sz w:val="24"/>
                <w:lang w:val="pt-BR"/>
              </w:rPr>
              <w:t>5</w:t>
            </w:r>
            <w:r>
              <w:rPr>
                <w:rFonts w:hAnsiTheme="majorEastAsia" w:eastAsiaTheme="majorEastAsia"/>
                <w:b/>
                <w:sz w:val="24"/>
                <w:lang w:val="pt-BR"/>
              </w:rPr>
              <w:t>、主要原辅材料、能</w:t>
            </w:r>
            <w:r>
              <w:rPr>
                <w:rFonts w:asciiTheme="majorEastAsia" w:hAnsiTheme="majorEastAsia"/>
                <w:b/>
                <w:sz w:val="24"/>
                <w:lang w:val="pt-BR"/>
              </w:rPr>
              <w:t>源消耗量</w:t>
            </w:r>
          </w:p>
          <w:p>
            <w:pPr>
              <w:spacing w:line="440" w:lineRule="exact"/>
              <w:ind w:firstLine="480"/>
              <w:rPr>
                <w:sz w:val="24"/>
              </w:rPr>
            </w:pPr>
            <w:r>
              <w:rPr>
                <w:sz w:val="24"/>
              </w:rPr>
              <w:t>项目主要原辅材料及能源消耗见表</w:t>
            </w:r>
            <w:r>
              <w:rPr>
                <w:rFonts w:hint="eastAsia"/>
                <w:sz w:val="24"/>
              </w:rPr>
              <w:t>7</w:t>
            </w:r>
            <w:r>
              <w:rPr>
                <w:sz w:val="24"/>
              </w:rPr>
              <w:t>。</w:t>
            </w:r>
          </w:p>
          <w:p>
            <w:pPr>
              <w:spacing w:line="440" w:lineRule="exact"/>
              <w:ind w:firstLine="480"/>
              <w:rPr>
                <w:sz w:val="24"/>
              </w:rPr>
            </w:pPr>
          </w:p>
          <w:p>
            <w:pPr>
              <w:spacing w:line="440" w:lineRule="exact"/>
              <w:ind w:firstLine="480"/>
              <w:rPr>
                <w:sz w:val="24"/>
              </w:rPr>
            </w:pPr>
          </w:p>
          <w:p>
            <w:pPr>
              <w:spacing w:line="440" w:lineRule="exact"/>
              <w:ind w:firstLine="480"/>
              <w:rPr>
                <w:sz w:val="24"/>
              </w:rPr>
            </w:pPr>
          </w:p>
          <w:p>
            <w:pPr>
              <w:spacing w:line="440" w:lineRule="exact"/>
              <w:ind w:firstLine="480"/>
              <w:rPr>
                <w:sz w:val="24"/>
              </w:rPr>
            </w:pPr>
          </w:p>
          <w:p>
            <w:pPr>
              <w:spacing w:line="440" w:lineRule="exact"/>
              <w:rPr>
                <w:sz w:val="24"/>
              </w:rPr>
            </w:pPr>
          </w:p>
          <w:p>
            <w:pPr>
              <w:spacing w:line="440" w:lineRule="exact"/>
              <w:ind w:firstLine="588"/>
              <w:rPr>
                <w:rFonts w:eastAsia="黑体"/>
                <w:sz w:val="24"/>
              </w:rPr>
            </w:pPr>
            <w:r>
              <w:rPr>
                <w:rFonts w:eastAsia="黑体"/>
                <w:sz w:val="24"/>
              </w:rPr>
              <w:t>表</w:t>
            </w:r>
            <w:r>
              <w:rPr>
                <w:rFonts w:hint="eastAsia" w:eastAsia="黑体"/>
                <w:sz w:val="24"/>
              </w:rPr>
              <w:t>7</w:t>
            </w:r>
            <w:r>
              <w:rPr>
                <w:rFonts w:eastAsia="黑体"/>
                <w:sz w:val="24"/>
              </w:rPr>
              <w:t xml:space="preserve"> </w:t>
            </w:r>
            <w:r>
              <w:rPr>
                <w:rFonts w:hint="eastAsia" w:eastAsia="黑体"/>
                <w:sz w:val="24"/>
              </w:rPr>
              <w:t xml:space="preserve">                                </w:t>
            </w:r>
            <w:r>
              <w:rPr>
                <w:rFonts w:eastAsia="黑体"/>
                <w:sz w:val="24"/>
              </w:rPr>
              <w:t xml:space="preserve"> 主要原辅材料用量一览表</w:t>
            </w:r>
          </w:p>
          <w:tbl>
            <w:tblPr>
              <w:tblStyle w:val="19"/>
              <w:tblW w:w="5000" w:type="pct"/>
              <w:jc w:val="center"/>
              <w:tblLayout w:type="autofit"/>
              <w:tblCellMar>
                <w:top w:w="0" w:type="dxa"/>
                <w:left w:w="108" w:type="dxa"/>
                <w:bottom w:w="0" w:type="dxa"/>
                <w:right w:w="108" w:type="dxa"/>
              </w:tblCellMar>
            </w:tblPr>
            <w:tblGrid>
              <w:gridCol w:w="677"/>
              <w:gridCol w:w="535"/>
              <w:gridCol w:w="1821"/>
              <w:gridCol w:w="2009"/>
              <w:gridCol w:w="1580"/>
              <w:gridCol w:w="2603"/>
            </w:tblGrid>
            <w:tr>
              <w:tblPrEx>
                <w:tblCellMar>
                  <w:top w:w="0" w:type="dxa"/>
                  <w:left w:w="108" w:type="dxa"/>
                  <w:bottom w:w="0" w:type="dxa"/>
                  <w:right w:w="108" w:type="dxa"/>
                </w:tblCellMar>
              </w:tblPrEx>
              <w:trPr>
                <w:trHeight w:val="397" w:hRule="atLeast"/>
                <w:jc w:val="center"/>
              </w:trPr>
              <w:tc>
                <w:tcPr>
                  <w:tcW w:w="1212" w:type="dxa"/>
                  <w:gridSpan w:val="2"/>
                  <w:tcBorders>
                    <w:top w:val="single" w:color="000000" w:sz="8" w:space="0"/>
                    <w:bottom w:val="single" w:color="000000" w:sz="4" w:space="0"/>
                    <w:right w:val="single" w:color="000000" w:sz="4" w:space="0"/>
                  </w:tcBorders>
                  <w:shd w:val="clear" w:color="auto" w:fill="auto"/>
                  <w:vAlign w:val="center"/>
                </w:tcPr>
                <w:p>
                  <w:pPr>
                    <w:jc w:val="center"/>
                    <w:rPr>
                      <w:b/>
                      <w:szCs w:val="21"/>
                    </w:rPr>
                  </w:pPr>
                  <w:r>
                    <w:rPr>
                      <w:b/>
                      <w:szCs w:val="21"/>
                    </w:rPr>
                    <w:t>分类</w:t>
                  </w:r>
                </w:p>
              </w:tc>
              <w:tc>
                <w:tcPr>
                  <w:tcW w:w="1821"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原料名称</w:t>
                  </w:r>
                </w:p>
              </w:tc>
              <w:tc>
                <w:tcPr>
                  <w:tcW w:w="2009"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规格、形态</w:t>
                  </w:r>
                </w:p>
              </w:tc>
              <w:tc>
                <w:tcPr>
                  <w:tcW w:w="1580"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年用量</w:t>
                  </w:r>
                  <w:r>
                    <w:rPr>
                      <w:rFonts w:hint="eastAsia"/>
                      <w:b/>
                      <w:szCs w:val="21"/>
                    </w:rPr>
                    <w:t>（t/a）</w:t>
                  </w:r>
                </w:p>
              </w:tc>
              <w:tc>
                <w:tcPr>
                  <w:tcW w:w="2603" w:type="dxa"/>
                  <w:tcBorders>
                    <w:top w:val="single" w:color="000000" w:sz="8" w:space="0"/>
                    <w:left w:val="single" w:color="000000" w:sz="4" w:space="0"/>
                    <w:bottom w:val="single" w:color="000000" w:sz="4" w:space="0"/>
                  </w:tcBorders>
                  <w:shd w:val="clear" w:color="auto" w:fill="auto"/>
                  <w:vAlign w:val="center"/>
                </w:tcPr>
                <w:p>
                  <w:pPr>
                    <w:jc w:val="center"/>
                    <w:rPr>
                      <w:b/>
                      <w:szCs w:val="21"/>
                    </w:rPr>
                  </w:pPr>
                  <w:r>
                    <w:rPr>
                      <w:b/>
                      <w:szCs w:val="21"/>
                    </w:rPr>
                    <w:t>备注</w:t>
                  </w:r>
                </w:p>
              </w:tc>
            </w:tr>
            <w:tr>
              <w:tblPrEx>
                <w:tblCellMar>
                  <w:top w:w="0" w:type="dxa"/>
                  <w:left w:w="108" w:type="dxa"/>
                  <w:bottom w:w="0" w:type="dxa"/>
                  <w:right w:w="108" w:type="dxa"/>
                </w:tblCellMar>
              </w:tblPrEx>
              <w:trPr>
                <w:trHeight w:val="397" w:hRule="atLeast"/>
                <w:jc w:val="center"/>
              </w:trPr>
              <w:tc>
                <w:tcPr>
                  <w:tcW w:w="677" w:type="dxa"/>
                  <w:vMerge w:val="restart"/>
                  <w:tcBorders>
                    <w:top w:val="single" w:color="000000" w:sz="4" w:space="0"/>
                    <w:right w:val="single" w:color="000000" w:sz="4" w:space="0"/>
                  </w:tcBorders>
                  <w:shd w:val="clear" w:color="auto" w:fill="auto"/>
                  <w:vAlign w:val="center"/>
                </w:tcPr>
                <w:p>
                  <w:pPr>
                    <w:jc w:val="center"/>
                    <w:rPr>
                      <w:szCs w:val="21"/>
                    </w:rPr>
                  </w:pPr>
                  <w:r>
                    <w:rPr>
                      <w:szCs w:val="21"/>
                    </w:rPr>
                    <w:t>原辅料</w:t>
                  </w:r>
                </w:p>
              </w:tc>
              <w:tc>
                <w:tcPr>
                  <w:tcW w:w="535" w:type="dxa"/>
                  <w:vMerge w:val="restart"/>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密封圈</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rPr>
                      <w:kern w:val="0"/>
                      <w:szCs w:val="21"/>
                    </w:rPr>
                    <w:t>聚丙烯</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rPr>
                      <w:rFonts w:hint="eastAsia"/>
                      <w:kern w:val="0"/>
                      <w:szCs w:val="21"/>
                    </w:rPr>
                    <w:t>25kg/袋、粒状</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szCs w:val="21"/>
                    </w:rPr>
                    <w:t>130</w:t>
                  </w:r>
                </w:p>
              </w:tc>
              <w:tc>
                <w:tcPr>
                  <w:tcW w:w="2603"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外购</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t>尼龙</w:t>
                  </w:r>
                  <w:r>
                    <w:rPr>
                      <w:rFonts w:hint="eastAsia"/>
                    </w:rPr>
                    <w:t>66</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rPr>
                      <w:rFonts w:hint="eastAsia"/>
                      <w:kern w:val="0"/>
                      <w:szCs w:val="21"/>
                    </w:rPr>
                    <w:t>25kg/袋、粒状</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szCs w:val="21"/>
                    </w:rPr>
                    <w:t>60</w:t>
                  </w:r>
                </w:p>
              </w:tc>
              <w:tc>
                <w:tcPr>
                  <w:tcW w:w="2603"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外购</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rPr>
                      <w:rFonts w:hint="eastAsia"/>
                      <w:kern w:val="0"/>
                      <w:szCs w:val="21"/>
                    </w:rPr>
                    <w:t>PC</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pPr>
                  <w:r>
                    <w:rPr>
                      <w:rFonts w:hint="eastAsia"/>
                      <w:kern w:val="0"/>
                      <w:szCs w:val="21"/>
                    </w:rPr>
                    <w:t>25kg/袋、粒状</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r>
                    <w:rPr>
                      <w:rFonts w:hint="eastAsia"/>
                      <w:szCs w:val="21"/>
                    </w:rPr>
                    <w:t>10</w:t>
                  </w:r>
                </w:p>
              </w:tc>
              <w:tc>
                <w:tcPr>
                  <w:tcW w:w="2603"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外购</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restart"/>
                  <w:tcBorders>
                    <w:top w:val="single" w:color="000000" w:sz="4" w:space="0"/>
                    <w:right w:val="single" w:color="000000" w:sz="4" w:space="0"/>
                  </w:tcBorders>
                  <w:shd w:val="clear" w:color="auto" w:fill="auto"/>
                  <w:vAlign w:val="center"/>
                </w:tcPr>
                <w:p>
                  <w:pPr>
                    <w:jc w:val="center"/>
                    <w:rPr>
                      <w:szCs w:val="21"/>
                    </w:rPr>
                  </w:pPr>
                  <w:r>
                    <w:rPr>
                      <w:szCs w:val="21"/>
                    </w:rPr>
                    <w:t>负极底</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钢带</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散装</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150</w:t>
                  </w:r>
                </w:p>
              </w:tc>
              <w:tc>
                <w:tcPr>
                  <w:tcW w:w="2603" w:type="dxa"/>
                  <w:tcBorders>
                    <w:top w:val="single" w:color="000000" w:sz="4" w:space="0"/>
                    <w:left w:val="single" w:color="000000" w:sz="4" w:space="0"/>
                    <w:bottom w:val="single" w:color="000000" w:sz="4" w:space="0"/>
                  </w:tcBorders>
                  <w:shd w:val="clear" w:color="auto" w:fill="auto"/>
                  <w:vAlign w:val="center"/>
                </w:tcPr>
                <w:p>
                  <w:pPr>
                    <w:pStyle w:val="126"/>
                  </w:pPr>
                  <w:r>
                    <w:rPr>
                      <w:rFonts w:hint="eastAsia"/>
                    </w:rPr>
                    <w:t>仓库堆放</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continue"/>
                  <w:tcBorders>
                    <w:top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液压油</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kern w:val="0"/>
                      <w:szCs w:val="21"/>
                    </w:rPr>
                    <w:t>15kg/</w:t>
                  </w:r>
                  <w:r>
                    <w:rPr>
                      <w:rFonts w:hint="eastAsia"/>
                    </w:rPr>
                    <w:t>桶、液体</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0.015</w:t>
                  </w:r>
                </w:p>
              </w:tc>
              <w:tc>
                <w:tcPr>
                  <w:tcW w:w="2603" w:type="dxa"/>
                  <w:tcBorders>
                    <w:top w:val="single" w:color="000000" w:sz="4" w:space="0"/>
                    <w:left w:val="single" w:color="000000" w:sz="4" w:space="0"/>
                    <w:bottom w:val="single" w:color="000000" w:sz="4" w:space="0"/>
                  </w:tcBorders>
                  <w:shd w:val="clear" w:color="auto" w:fill="auto"/>
                  <w:vAlign w:val="center"/>
                </w:tcPr>
                <w:p>
                  <w:pPr>
                    <w:pStyle w:val="126"/>
                  </w:pPr>
                  <w:r>
                    <w:rPr>
                      <w:rFonts w:hint="eastAsia"/>
                    </w:rPr>
                    <w:t>每年维修时更换一次</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continue"/>
                  <w:tcBorders>
                    <w:top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透明胶带</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50卷/箱</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3箱</w:t>
                  </w:r>
                </w:p>
              </w:tc>
              <w:tc>
                <w:tcPr>
                  <w:tcW w:w="2603" w:type="dxa"/>
                  <w:tcBorders>
                    <w:top w:val="single" w:color="000000" w:sz="4" w:space="0"/>
                    <w:left w:val="single" w:color="000000" w:sz="4" w:space="0"/>
                    <w:bottom w:val="single" w:color="000000" w:sz="4" w:space="0"/>
                  </w:tcBorders>
                  <w:shd w:val="clear" w:color="auto" w:fill="auto"/>
                  <w:vAlign w:val="center"/>
                </w:tcPr>
                <w:p>
                  <w:pPr>
                    <w:pStyle w:val="126"/>
                  </w:pPr>
                  <w:r>
                    <w:rPr>
                      <w:rFonts w:hint="eastAsia"/>
                    </w:rPr>
                    <w:t>打包装箱</w:t>
                  </w:r>
                </w:p>
              </w:tc>
            </w:tr>
            <w:tr>
              <w:tblPrEx>
                <w:tblCellMar>
                  <w:top w:w="0" w:type="dxa"/>
                  <w:left w:w="108" w:type="dxa"/>
                  <w:bottom w:w="0" w:type="dxa"/>
                  <w:right w:w="108" w:type="dxa"/>
                </w:tblCellMar>
              </w:tblPrEx>
              <w:trPr>
                <w:trHeight w:val="397" w:hRule="atLeast"/>
                <w:jc w:val="center"/>
              </w:trPr>
              <w:tc>
                <w:tcPr>
                  <w:tcW w:w="677" w:type="dxa"/>
                  <w:vMerge w:val="continue"/>
                  <w:tcBorders>
                    <w:right w:val="single" w:color="000000" w:sz="4" w:space="0"/>
                  </w:tcBorders>
                  <w:shd w:val="clear" w:color="auto" w:fill="auto"/>
                  <w:vAlign w:val="center"/>
                </w:tcPr>
                <w:p>
                  <w:pPr>
                    <w:jc w:val="center"/>
                    <w:rPr>
                      <w:szCs w:val="21"/>
                    </w:rPr>
                  </w:pPr>
                </w:p>
              </w:tc>
              <w:tc>
                <w:tcPr>
                  <w:tcW w:w="535" w:type="dxa"/>
                  <w:vMerge w:val="continue"/>
                  <w:tcBorders>
                    <w:top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塑料内衬袋</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18000个</w:t>
                  </w:r>
                </w:p>
              </w:tc>
              <w:tc>
                <w:tcPr>
                  <w:tcW w:w="2603" w:type="dxa"/>
                  <w:tcBorders>
                    <w:top w:val="single" w:color="000000" w:sz="4" w:space="0"/>
                    <w:left w:val="single" w:color="000000" w:sz="4" w:space="0"/>
                    <w:bottom w:val="single" w:color="000000" w:sz="4" w:space="0"/>
                  </w:tcBorders>
                  <w:shd w:val="clear" w:color="auto" w:fill="auto"/>
                  <w:vAlign w:val="center"/>
                </w:tcPr>
                <w:p>
                  <w:pPr>
                    <w:pStyle w:val="126"/>
                  </w:pPr>
                  <w:r>
                    <w:rPr>
                      <w:rFonts w:hint="eastAsia"/>
                    </w:rPr>
                    <w:t>袋装</w:t>
                  </w:r>
                </w:p>
              </w:tc>
            </w:tr>
            <w:tr>
              <w:tblPrEx>
                <w:tblCellMar>
                  <w:top w:w="0" w:type="dxa"/>
                  <w:left w:w="108" w:type="dxa"/>
                  <w:bottom w:w="0" w:type="dxa"/>
                  <w:right w:w="108" w:type="dxa"/>
                </w:tblCellMar>
              </w:tblPrEx>
              <w:trPr>
                <w:trHeight w:val="397" w:hRule="atLeast"/>
                <w:jc w:val="center"/>
              </w:trPr>
              <w:tc>
                <w:tcPr>
                  <w:tcW w:w="677" w:type="dxa"/>
                  <w:vMerge w:val="continue"/>
                  <w:tcBorders>
                    <w:bottom w:val="single" w:color="000000" w:sz="4" w:space="0"/>
                    <w:right w:val="single" w:color="000000" w:sz="4" w:space="0"/>
                  </w:tcBorders>
                  <w:shd w:val="clear" w:color="auto" w:fill="auto"/>
                  <w:vAlign w:val="center"/>
                </w:tcPr>
                <w:p>
                  <w:pPr>
                    <w:jc w:val="center"/>
                    <w:rPr>
                      <w:szCs w:val="21"/>
                    </w:rPr>
                  </w:pPr>
                </w:p>
              </w:tc>
              <w:tc>
                <w:tcPr>
                  <w:tcW w:w="535" w:type="dxa"/>
                  <w:vMerge w:val="continue"/>
                  <w:tcBorders>
                    <w:bottom w:val="single" w:color="000000" w:sz="4" w:space="0"/>
                    <w:right w:val="single" w:color="000000" w:sz="4" w:space="0"/>
                  </w:tcBorders>
                  <w:shd w:val="clear" w:color="auto" w:fill="auto"/>
                  <w:vAlign w:val="center"/>
                </w:tcPr>
                <w:p>
                  <w:pPr>
                    <w:jc w:val="center"/>
                    <w:rPr>
                      <w:szCs w:val="21"/>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纸箱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26"/>
                  </w:pPr>
                  <w:r>
                    <w:rPr>
                      <w:rFonts w:hint="eastAsia"/>
                    </w:rPr>
                    <w:t>180个</w:t>
                  </w:r>
                </w:p>
              </w:tc>
              <w:tc>
                <w:tcPr>
                  <w:tcW w:w="2603" w:type="dxa"/>
                  <w:tcBorders>
                    <w:top w:val="single" w:color="000000" w:sz="4" w:space="0"/>
                    <w:left w:val="single" w:color="000000" w:sz="4" w:space="0"/>
                    <w:bottom w:val="single" w:color="000000" w:sz="4" w:space="0"/>
                  </w:tcBorders>
                  <w:shd w:val="clear" w:color="auto" w:fill="auto"/>
                  <w:vAlign w:val="center"/>
                </w:tcPr>
                <w:p>
                  <w:pPr>
                    <w:pStyle w:val="126"/>
                  </w:pPr>
                  <w:r>
                    <w:rPr>
                      <w:rFonts w:hint="eastAsia"/>
                    </w:rPr>
                    <w:t>仓库堆放</w:t>
                  </w:r>
                </w:p>
              </w:tc>
            </w:tr>
            <w:tr>
              <w:tblPrEx>
                <w:tblCellMar>
                  <w:top w:w="0" w:type="dxa"/>
                  <w:left w:w="108" w:type="dxa"/>
                  <w:bottom w:w="0" w:type="dxa"/>
                  <w:right w:w="108" w:type="dxa"/>
                </w:tblCellMar>
              </w:tblPrEx>
              <w:trPr>
                <w:trHeight w:val="397" w:hRule="atLeast"/>
                <w:jc w:val="center"/>
              </w:trPr>
              <w:tc>
                <w:tcPr>
                  <w:tcW w:w="1212" w:type="dxa"/>
                  <w:gridSpan w:val="2"/>
                  <w:vMerge w:val="restart"/>
                  <w:tcBorders>
                    <w:top w:val="single" w:color="000000" w:sz="4" w:space="0"/>
                    <w:bottom w:val="single" w:color="000000" w:sz="4" w:space="0"/>
                    <w:right w:val="single" w:color="000000" w:sz="4" w:space="0"/>
                  </w:tcBorders>
                  <w:shd w:val="clear" w:color="auto" w:fill="auto"/>
                  <w:vAlign w:val="center"/>
                </w:tcPr>
                <w:p>
                  <w:pPr>
                    <w:jc w:val="center"/>
                  </w:pPr>
                  <w:r>
                    <w:t>能源</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水</w:t>
                  </w:r>
                </w:p>
              </w:tc>
              <w:tc>
                <w:tcPr>
                  <w:tcW w:w="35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300t</w:t>
                  </w:r>
                </w:p>
              </w:tc>
              <w:tc>
                <w:tcPr>
                  <w:tcW w:w="2603"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rFonts w:hint="eastAsia"/>
                      <w:kern w:val="36"/>
                      <w:szCs w:val="21"/>
                    </w:rPr>
                    <w:t>/</w:t>
                  </w:r>
                </w:p>
              </w:tc>
            </w:tr>
            <w:tr>
              <w:tblPrEx>
                <w:tblCellMar>
                  <w:top w:w="0" w:type="dxa"/>
                  <w:left w:w="108" w:type="dxa"/>
                  <w:bottom w:w="0" w:type="dxa"/>
                  <w:right w:w="108" w:type="dxa"/>
                </w:tblCellMar>
              </w:tblPrEx>
              <w:trPr>
                <w:trHeight w:val="397" w:hRule="atLeast"/>
                <w:jc w:val="center"/>
              </w:trPr>
              <w:tc>
                <w:tcPr>
                  <w:tcW w:w="1212" w:type="dxa"/>
                  <w:gridSpan w:val="2"/>
                  <w:vMerge w:val="continue"/>
                  <w:tcBorders>
                    <w:top w:val="single" w:color="000000" w:sz="4" w:space="0"/>
                    <w:bottom w:val="single" w:color="000000" w:sz="8" w:space="0"/>
                    <w:right w:val="single" w:color="000000" w:sz="4" w:space="0"/>
                  </w:tcBorders>
                  <w:shd w:val="clear" w:color="auto" w:fill="auto"/>
                  <w:vAlign w:val="center"/>
                </w:tcPr>
                <w:p>
                  <w:pPr>
                    <w:jc w:val="center"/>
                  </w:pPr>
                </w:p>
              </w:tc>
              <w:tc>
                <w:tcPr>
                  <w:tcW w:w="182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电</w:t>
                  </w:r>
                </w:p>
              </w:tc>
              <w:tc>
                <w:tcPr>
                  <w:tcW w:w="3589"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rFonts w:hint="eastAsia"/>
                      <w:szCs w:val="21"/>
                    </w:rPr>
                    <w:t>200</w:t>
                  </w:r>
                  <w:r>
                    <w:rPr>
                      <w:szCs w:val="21"/>
                    </w:rPr>
                    <w:t>万kW·h</w:t>
                  </w:r>
                </w:p>
              </w:tc>
              <w:tc>
                <w:tcPr>
                  <w:tcW w:w="2603" w:type="dxa"/>
                  <w:tcBorders>
                    <w:top w:val="single" w:color="000000" w:sz="4" w:space="0"/>
                    <w:left w:val="single" w:color="000000" w:sz="4" w:space="0"/>
                    <w:bottom w:val="single" w:color="000000" w:sz="8" w:space="0"/>
                  </w:tcBorders>
                  <w:shd w:val="clear" w:color="auto" w:fill="auto"/>
                  <w:vAlign w:val="center"/>
                </w:tcPr>
                <w:p>
                  <w:pPr>
                    <w:jc w:val="center"/>
                    <w:rPr>
                      <w:szCs w:val="21"/>
                    </w:rPr>
                  </w:pPr>
                  <w:r>
                    <w:rPr>
                      <w:szCs w:val="21"/>
                    </w:rPr>
                    <w:t>国家电网</w:t>
                  </w:r>
                </w:p>
              </w:tc>
            </w:tr>
          </w:tbl>
          <w:p>
            <w:pPr>
              <w:snapToGrid w:val="0"/>
              <w:spacing w:line="460" w:lineRule="exact"/>
              <w:ind w:firstLine="472"/>
              <w:textAlignment w:val="baseline"/>
              <w:rPr>
                <w:b/>
                <w:sz w:val="24"/>
              </w:rPr>
            </w:pPr>
            <w:r>
              <w:rPr>
                <w:b/>
                <w:sz w:val="24"/>
              </w:rPr>
              <w:t>原辅材料理化性质：</w:t>
            </w:r>
          </w:p>
          <w:p>
            <w:pPr>
              <w:autoSpaceDE w:val="0"/>
              <w:autoSpaceDN w:val="0"/>
              <w:adjustRightInd w:val="0"/>
              <w:snapToGrid w:val="0"/>
              <w:spacing w:line="520" w:lineRule="exact"/>
              <w:ind w:firstLine="482" w:firstLineChars="200"/>
              <w:textAlignment w:val="baseline"/>
              <w:rPr>
                <w:sz w:val="24"/>
              </w:rPr>
            </w:pPr>
            <w:r>
              <w:rPr>
                <w:rFonts w:hint="eastAsia"/>
                <w:b/>
                <w:sz w:val="24"/>
              </w:rPr>
              <w:t>①</w:t>
            </w:r>
            <w:r>
              <w:rPr>
                <w:b/>
                <w:sz w:val="24"/>
              </w:rPr>
              <w:t>聚丙烯</w:t>
            </w:r>
            <w:r>
              <w:rPr>
                <w:rFonts w:hint="eastAsia"/>
                <w:b/>
                <w:sz w:val="24"/>
              </w:rPr>
              <w:t>（</w:t>
            </w:r>
            <w:r>
              <w:rPr>
                <w:b/>
                <w:sz w:val="24"/>
              </w:rPr>
              <w:t>PP</w:t>
            </w:r>
            <w:r>
              <w:rPr>
                <w:rFonts w:hint="eastAsia"/>
                <w:b/>
                <w:sz w:val="24"/>
              </w:rPr>
              <w:t>）</w:t>
            </w:r>
            <w:r>
              <w:rPr>
                <w:rFonts w:hint="eastAsia"/>
                <w:sz w:val="24"/>
              </w:rPr>
              <w:t>：</w:t>
            </w:r>
            <w:r>
              <w:rPr>
                <w:sz w:val="24"/>
              </w:rPr>
              <w:t>由丙烯聚合而成的高分子化合物，</w:t>
            </w:r>
            <w:r>
              <w:rPr>
                <w:rFonts w:hint="eastAsia"/>
                <w:sz w:val="24"/>
              </w:rPr>
              <w:t>化学式：(</w:t>
            </w:r>
            <w:r>
              <w:rPr>
                <w:sz w:val="24"/>
              </w:rPr>
              <w:t>C</w:t>
            </w:r>
            <w:r>
              <w:rPr>
                <w:sz w:val="24"/>
                <w:vertAlign w:val="subscript"/>
              </w:rPr>
              <w:t>3</w:t>
            </w:r>
            <w:r>
              <w:rPr>
                <w:sz w:val="24"/>
              </w:rPr>
              <w:t>H</w:t>
            </w:r>
            <w:r>
              <w:rPr>
                <w:sz w:val="24"/>
                <w:vertAlign w:val="subscript"/>
              </w:rPr>
              <w:t>6</w:t>
            </w:r>
            <w:r>
              <w:rPr>
                <w:rFonts w:hint="eastAsia"/>
                <w:sz w:val="24"/>
              </w:rPr>
              <w:t>)</w:t>
            </w:r>
            <w:r>
              <w:rPr>
                <w:sz w:val="24"/>
                <w:vertAlign w:val="subscript"/>
              </w:rPr>
              <w:t>n</w:t>
            </w:r>
            <w:r>
              <w:rPr>
                <w:rFonts w:hint="eastAsia"/>
                <w:sz w:val="24"/>
              </w:rPr>
              <w:t xml:space="preserve"> 。通常为半透明无色固体，无臭、无毒。</w:t>
            </w:r>
            <w:r>
              <w:rPr>
                <w:sz w:val="24"/>
              </w:rPr>
              <w:t>比重</w:t>
            </w:r>
            <w:r>
              <w:rPr>
                <w:rFonts w:hint="eastAsia"/>
                <w:sz w:val="24"/>
              </w:rPr>
              <w:t>为</w:t>
            </w:r>
            <w:r>
              <w:rPr>
                <w:sz w:val="24"/>
              </w:rPr>
              <w:t>0.9-0.91g/cm</w:t>
            </w:r>
            <w:r>
              <w:rPr>
                <w:sz w:val="24"/>
                <w:vertAlign w:val="superscript"/>
              </w:rPr>
              <w:t>3</w:t>
            </w:r>
            <w:r>
              <w:rPr>
                <w:sz w:val="24"/>
              </w:rPr>
              <w:t>，</w:t>
            </w:r>
            <w:r>
              <w:rPr>
                <w:rFonts w:hint="eastAsia"/>
                <w:sz w:val="24"/>
              </w:rPr>
              <w:t>密度为0.90g/cm</w:t>
            </w:r>
            <w:r>
              <w:rPr>
                <w:rFonts w:hint="eastAsia"/>
                <w:sz w:val="24"/>
                <w:vertAlign w:val="superscript"/>
              </w:rPr>
              <w:t>3</w:t>
            </w:r>
            <w:r>
              <w:rPr>
                <w:rFonts w:hint="eastAsia"/>
                <w:sz w:val="24"/>
              </w:rPr>
              <w:t>，</w:t>
            </w:r>
            <w:r>
              <w:rPr>
                <w:sz w:val="24"/>
              </w:rPr>
              <w:t>成型收缩率</w:t>
            </w:r>
            <w:r>
              <w:rPr>
                <w:rFonts w:hint="eastAsia"/>
                <w:sz w:val="24"/>
              </w:rPr>
              <w:t>为</w:t>
            </w:r>
            <w:r>
              <w:rPr>
                <w:sz w:val="24"/>
              </w:rPr>
              <w:t>1.0～2.5%，加工温度在200-300</w:t>
            </w:r>
            <w:r>
              <w:rPr>
                <w:rFonts w:hint="eastAsia"/>
                <w:sz w:val="24"/>
              </w:rPr>
              <w:t>℃</w:t>
            </w:r>
            <w:r>
              <w:rPr>
                <w:sz w:val="24"/>
              </w:rPr>
              <w:t>左右，</w:t>
            </w:r>
            <w:r>
              <w:rPr>
                <w:rFonts w:hint="eastAsia"/>
                <w:sz w:val="24"/>
              </w:rPr>
              <w:t>抗张强度为30M</w:t>
            </w:r>
            <w:r>
              <w:rPr>
                <w:sz w:val="24"/>
              </w:rPr>
              <w:t>p</w:t>
            </w:r>
            <w:r>
              <w:rPr>
                <w:rFonts w:hint="eastAsia"/>
                <w:sz w:val="24"/>
              </w:rPr>
              <w:t>a，</w:t>
            </w:r>
            <w:r>
              <w:rPr>
                <w:sz w:val="24"/>
              </w:rPr>
              <w:t>有良好的热稳定性（分解温度为310</w:t>
            </w:r>
            <w:r>
              <w:rPr>
                <w:rFonts w:hint="eastAsia"/>
                <w:sz w:val="24"/>
              </w:rPr>
              <w:t>℃</w:t>
            </w:r>
            <w:r>
              <w:rPr>
                <w:sz w:val="24"/>
              </w:rPr>
              <w:t>）。</w:t>
            </w:r>
            <w:r>
              <w:rPr>
                <w:rFonts w:hint="eastAsia"/>
                <w:sz w:val="24"/>
                <w:szCs w:val="20"/>
                <w:lang w:val="pt-BR"/>
              </w:rPr>
              <w:t>熔点为</w:t>
            </w:r>
            <w:r>
              <w:rPr>
                <w:sz w:val="24"/>
                <w:szCs w:val="20"/>
                <w:lang w:val="pt-BR"/>
              </w:rPr>
              <w:t>164~170</w:t>
            </w:r>
            <w:r>
              <w:rPr>
                <w:rFonts w:hint="eastAsia"/>
                <w:sz w:val="24"/>
                <w:szCs w:val="20"/>
                <w:lang w:val="pt-BR"/>
              </w:rPr>
              <w:t>℃，热分解温度</w:t>
            </w:r>
            <w:r>
              <w:rPr>
                <w:rFonts w:hint="eastAsia"/>
                <w:sz w:val="24"/>
                <w:szCs w:val="20"/>
              </w:rPr>
              <w:t>为</w:t>
            </w:r>
            <w:r>
              <w:rPr>
                <w:sz w:val="24"/>
                <w:szCs w:val="20"/>
              </w:rPr>
              <w:t>350~380</w:t>
            </w:r>
            <w:r>
              <w:rPr>
                <w:rFonts w:hint="eastAsia"/>
                <w:sz w:val="24"/>
                <w:szCs w:val="20"/>
              </w:rPr>
              <w:t>℃。</w:t>
            </w:r>
            <w:r>
              <w:rPr>
                <w:rFonts w:hint="eastAsia"/>
                <w:sz w:val="24"/>
              </w:rPr>
              <w:t>由于聚丙烯的结构规整、结晶度较高、耐热、耐腐蚀，且强度、刚性和透明性均比聚乙烯好。是最轻的通用塑料之一。</w:t>
            </w:r>
            <w:r>
              <w:rPr>
                <w:sz w:val="24"/>
              </w:rPr>
              <w:t>PP塑料</w:t>
            </w:r>
            <w:r>
              <w:rPr>
                <w:rFonts w:hint="eastAsia"/>
                <w:sz w:val="24"/>
              </w:rPr>
              <w:t>主要用于：盆、桶、薄膜、编织袋、食品容器等制品。</w:t>
            </w:r>
            <w:r>
              <w:rPr>
                <w:sz w:val="24"/>
              </w:rPr>
              <w:t>分解过程中</w:t>
            </w:r>
            <w:r>
              <w:rPr>
                <w:rFonts w:hint="eastAsia"/>
                <w:sz w:val="24"/>
              </w:rPr>
              <w:t>会</w:t>
            </w:r>
            <w:r>
              <w:rPr>
                <w:sz w:val="24"/>
              </w:rPr>
              <w:t>产生</w:t>
            </w:r>
            <w:r>
              <w:rPr>
                <w:rFonts w:hint="eastAsia"/>
                <w:sz w:val="24"/>
              </w:rPr>
              <w:t>一些</w:t>
            </w:r>
            <w:r>
              <w:rPr>
                <w:sz w:val="24"/>
              </w:rPr>
              <w:t>废气，主要为丙烯单体。</w:t>
            </w:r>
          </w:p>
          <w:p>
            <w:pPr>
              <w:spacing w:line="520" w:lineRule="exact"/>
              <w:ind w:firstLine="482"/>
              <w:rPr>
                <w:sz w:val="24"/>
              </w:rPr>
            </w:pPr>
            <w:r>
              <w:rPr>
                <w:rFonts w:hint="eastAsia"/>
                <w:b/>
                <w:sz w:val="24"/>
              </w:rPr>
              <w:t>②尼龙66</w:t>
            </w:r>
            <w:r>
              <w:rPr>
                <w:rFonts w:hint="eastAsia"/>
                <w:sz w:val="24"/>
              </w:rPr>
              <w:t>：聚己二酰己二胺，一种热塑性树脂，白色固体，密度1.14，不溶于一般溶剂，仅溶于间苯甲酚等。机械强度和硬度很高，刚性很大，可用作工程塑料。分子主链的重复结构单元中，含有酰胺基(-CONH-)的一类热塑树脂。常制成圆柱状粒料，作塑料用的聚酰胺分子量一般为1.5万~2万。各种聚酰胺的共同特点是耐燃，抗张强度高（达104千帕），耐磨，电绝缘性好，耐热(热变形温度在150℃以上），熔点150~250℃，热分解温度大于 350℃。熔融态树脂的流动性高，相对密度1.05~1.15（加入填料可增至1.6），大都无毒。</w:t>
            </w:r>
          </w:p>
          <w:p>
            <w:pPr>
              <w:spacing w:line="520" w:lineRule="exact"/>
              <w:ind w:firstLine="482"/>
              <w:rPr>
                <w:b/>
                <w:sz w:val="24"/>
              </w:rPr>
            </w:pPr>
            <w:r>
              <w:rPr>
                <w:rFonts w:hint="eastAsia"/>
                <w:b/>
                <w:sz w:val="24"/>
              </w:rPr>
              <w:t>③聚碳酸酯（PC）：</w:t>
            </w:r>
            <w:r>
              <w:rPr>
                <w:rFonts w:hint="eastAsia"/>
                <w:sz w:val="24"/>
              </w:rPr>
              <w:t>是分子链中含有碳酸酯基的高分子聚合物，全称为2,2'-双（4-羟基苯基）丙烷聚碳酸酯，熔点为220-230℃，不溶于水。</w:t>
            </w:r>
          </w:p>
          <w:p>
            <w:pPr>
              <w:snapToGrid w:val="0"/>
              <w:spacing w:line="480" w:lineRule="exact"/>
              <w:ind w:firstLine="472"/>
              <w:rPr>
                <w:b/>
                <w:sz w:val="24"/>
              </w:rPr>
            </w:pPr>
            <w:r>
              <w:rPr>
                <w:rFonts w:hint="eastAsia"/>
                <w:b/>
                <w:sz w:val="24"/>
              </w:rPr>
              <w:t>五、与相关政策相符性分析</w:t>
            </w:r>
          </w:p>
          <w:p>
            <w:pPr>
              <w:snapToGrid w:val="0"/>
              <w:spacing w:line="480" w:lineRule="exact"/>
              <w:ind w:firstLine="472"/>
              <w:rPr>
                <w:b/>
                <w:sz w:val="24"/>
              </w:rPr>
            </w:pPr>
            <w:r>
              <w:rPr>
                <w:rFonts w:hint="eastAsia"/>
                <w:b/>
                <w:sz w:val="24"/>
              </w:rPr>
              <w:t>1</w:t>
            </w:r>
            <w:r>
              <w:rPr>
                <w:b/>
                <w:sz w:val="24"/>
              </w:rPr>
              <w:t>、与新环[2015]342号文对比分析</w:t>
            </w:r>
          </w:p>
          <w:p>
            <w:pPr>
              <w:spacing w:line="480" w:lineRule="exact"/>
              <w:ind w:firstLine="480"/>
              <w:rPr>
                <w:sz w:val="24"/>
              </w:rPr>
            </w:pPr>
            <w:r>
              <w:rPr>
                <w:sz w:val="24"/>
              </w:rPr>
              <w:t>与《新乡市环境保护局关于印发深化建设项目环境影响评价审批制度改革实施细则的通知》新环[2015]342号（以下简称《通知》）对照分析见表</w:t>
            </w:r>
            <w:r>
              <w:rPr>
                <w:rFonts w:hint="eastAsia"/>
                <w:sz w:val="24"/>
              </w:rPr>
              <w:t>8</w:t>
            </w:r>
            <w:r>
              <w:rPr>
                <w:sz w:val="24"/>
              </w:rPr>
              <w:t>。</w:t>
            </w:r>
          </w:p>
          <w:p>
            <w:pPr>
              <w:spacing w:line="440" w:lineRule="exact"/>
              <w:ind w:firstLine="720"/>
              <w:textAlignment w:val="baseline"/>
              <w:rPr>
                <w:rFonts w:eastAsia="黑体"/>
                <w:sz w:val="24"/>
              </w:rPr>
            </w:pPr>
            <w:r>
              <w:rPr>
                <w:rFonts w:eastAsia="黑体"/>
                <w:sz w:val="24"/>
              </w:rPr>
              <w:t>表</w:t>
            </w:r>
            <w:r>
              <w:rPr>
                <w:rFonts w:hint="eastAsia" w:eastAsia="黑体"/>
                <w:sz w:val="24"/>
              </w:rPr>
              <w:t>8</w:t>
            </w:r>
            <w:r>
              <w:rPr>
                <w:rFonts w:eastAsia="黑体"/>
                <w:sz w:val="24"/>
              </w:rPr>
              <w:t xml:space="preserve">    </w:t>
            </w:r>
            <w:r>
              <w:rPr>
                <w:rFonts w:hint="eastAsia" w:eastAsia="黑体"/>
                <w:sz w:val="24"/>
              </w:rPr>
              <w:t xml:space="preserve">                         </w:t>
            </w:r>
            <w:r>
              <w:rPr>
                <w:rFonts w:eastAsia="黑体"/>
                <w:sz w:val="24"/>
              </w:rPr>
              <w:t>与《通知》对比分析一览表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49"/>
              <w:gridCol w:w="1468"/>
              <w:gridCol w:w="3456"/>
              <w:gridCol w:w="1824"/>
              <w:gridCol w:w="122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shd w:val="clear" w:color="auto" w:fill="auto"/>
                  <w:vAlign w:val="center"/>
                </w:tcPr>
                <w:p>
                  <w:pPr>
                    <w:snapToGrid w:val="0"/>
                    <w:jc w:val="center"/>
                    <w:rPr>
                      <w:b/>
                      <w:szCs w:val="21"/>
                    </w:rPr>
                  </w:pPr>
                  <w:r>
                    <w:rPr>
                      <w:b/>
                      <w:szCs w:val="21"/>
                    </w:rPr>
                    <w:t>项目</w:t>
                  </w:r>
                </w:p>
              </w:tc>
              <w:tc>
                <w:tcPr>
                  <w:tcW w:w="4924" w:type="dxa"/>
                  <w:gridSpan w:val="2"/>
                  <w:shd w:val="clear" w:color="auto" w:fill="auto"/>
                  <w:vAlign w:val="center"/>
                </w:tcPr>
                <w:p>
                  <w:pPr>
                    <w:snapToGrid w:val="0"/>
                    <w:jc w:val="center"/>
                    <w:rPr>
                      <w:b/>
                      <w:szCs w:val="21"/>
                    </w:rPr>
                  </w:pPr>
                  <w:r>
                    <w:rPr>
                      <w:b/>
                      <w:szCs w:val="21"/>
                    </w:rPr>
                    <w:t>与本项目相关条文</w:t>
                  </w:r>
                </w:p>
              </w:tc>
              <w:tc>
                <w:tcPr>
                  <w:tcW w:w="1824" w:type="dxa"/>
                  <w:shd w:val="clear" w:color="auto" w:fill="auto"/>
                  <w:vAlign w:val="center"/>
                </w:tcPr>
                <w:p>
                  <w:pPr>
                    <w:snapToGrid w:val="0"/>
                    <w:jc w:val="center"/>
                    <w:rPr>
                      <w:b/>
                      <w:szCs w:val="21"/>
                    </w:rPr>
                  </w:pPr>
                  <w:r>
                    <w:rPr>
                      <w:b/>
                      <w:szCs w:val="21"/>
                    </w:rPr>
                    <w:t>本项目情况</w:t>
                  </w:r>
                </w:p>
              </w:tc>
              <w:tc>
                <w:tcPr>
                  <w:tcW w:w="1228" w:type="dxa"/>
                  <w:shd w:val="clear" w:color="auto" w:fill="auto"/>
                  <w:vAlign w:val="center"/>
                </w:tcPr>
                <w:p>
                  <w:pPr>
                    <w:snapToGrid w:val="0"/>
                    <w:jc w:val="center"/>
                    <w:rPr>
                      <w:b/>
                      <w:szCs w:val="21"/>
                    </w:rPr>
                  </w:pPr>
                  <w:r>
                    <w:rPr>
                      <w:b/>
                      <w:szCs w:val="21"/>
                    </w:rPr>
                    <w:t>对比结果</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restart"/>
                  <w:shd w:val="clear" w:color="auto" w:fill="auto"/>
                  <w:vAlign w:val="center"/>
                </w:tcPr>
                <w:p>
                  <w:pPr>
                    <w:snapToGrid w:val="0"/>
                    <w:jc w:val="center"/>
                    <w:rPr>
                      <w:szCs w:val="21"/>
                    </w:rPr>
                  </w:pPr>
                  <w:r>
                    <w:rPr>
                      <w:szCs w:val="21"/>
                    </w:rPr>
                    <w:t>新乡市</w:t>
                  </w:r>
                </w:p>
                <w:p>
                  <w:pPr>
                    <w:snapToGrid w:val="0"/>
                    <w:jc w:val="center"/>
                    <w:rPr>
                      <w:szCs w:val="21"/>
                    </w:rPr>
                  </w:pPr>
                  <w:r>
                    <w:rPr>
                      <w:szCs w:val="21"/>
                    </w:rPr>
                    <w:t>主体功</w:t>
                  </w:r>
                </w:p>
                <w:p>
                  <w:pPr>
                    <w:snapToGrid w:val="0"/>
                    <w:jc w:val="center"/>
                    <w:rPr>
                      <w:szCs w:val="21"/>
                    </w:rPr>
                  </w:pPr>
                  <w:r>
                    <w:rPr>
                      <w:szCs w:val="21"/>
                    </w:rPr>
                    <w:t>能区分</w:t>
                  </w:r>
                </w:p>
              </w:tc>
              <w:tc>
                <w:tcPr>
                  <w:tcW w:w="4924" w:type="dxa"/>
                  <w:gridSpan w:val="2"/>
                  <w:shd w:val="clear" w:color="auto" w:fill="auto"/>
                  <w:vAlign w:val="center"/>
                </w:tcPr>
                <w:p>
                  <w:pPr>
                    <w:jc w:val="left"/>
                    <w:rPr>
                      <w:szCs w:val="21"/>
                    </w:rPr>
                  </w:pPr>
                  <w:r>
                    <w:rPr>
                      <w:szCs w:val="21"/>
                    </w:rPr>
                    <w:t>工业准入优先区：我市范围内的省级产业集聚区、市级人民政府规范设立的专业园区。</w:t>
                  </w:r>
                </w:p>
              </w:tc>
              <w:tc>
                <w:tcPr>
                  <w:tcW w:w="1824" w:type="dxa"/>
                  <w:vMerge w:val="restart"/>
                  <w:shd w:val="clear" w:color="auto" w:fill="auto"/>
                  <w:vAlign w:val="center"/>
                </w:tcPr>
                <w:p>
                  <w:pPr>
                    <w:snapToGrid w:val="0"/>
                    <w:rPr>
                      <w:szCs w:val="21"/>
                    </w:rPr>
                  </w:pPr>
                  <w:r>
                    <w:rPr>
                      <w:szCs w:val="21"/>
                    </w:rPr>
                    <w:t>本项目位于</w:t>
                  </w:r>
                  <w:r>
                    <w:rPr>
                      <w:bCs/>
                      <w:szCs w:val="21"/>
                    </w:rPr>
                    <w:t>新乡市凤泉区大块镇小块村西1658号，</w:t>
                  </w:r>
                  <w:r>
                    <w:rPr>
                      <w:szCs w:val="21"/>
                      <w:lang w:val="zh-CN"/>
                    </w:rPr>
                    <w:t>选址不在</w:t>
                  </w:r>
                  <w:r>
                    <w:rPr>
                      <w:szCs w:val="21"/>
                    </w:rPr>
                    <w:t>河南省新乡市凤凰山省级森林公园范围内</w:t>
                  </w:r>
                </w:p>
              </w:tc>
              <w:tc>
                <w:tcPr>
                  <w:tcW w:w="1228" w:type="dxa"/>
                  <w:shd w:val="clear" w:color="auto" w:fill="auto"/>
                  <w:vAlign w:val="center"/>
                </w:tcPr>
                <w:p>
                  <w:pPr>
                    <w:snapToGrid w:val="0"/>
                    <w:jc w:val="center"/>
                    <w:rPr>
                      <w:szCs w:val="21"/>
                    </w:rPr>
                  </w:pPr>
                  <w:r>
                    <w:rPr>
                      <w:szCs w:val="21"/>
                    </w:rPr>
                    <w:t>不属于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jc w:val="center"/>
                    <w:rPr>
                      <w:szCs w:val="21"/>
                    </w:rPr>
                  </w:pPr>
                </w:p>
              </w:tc>
              <w:tc>
                <w:tcPr>
                  <w:tcW w:w="4924" w:type="dxa"/>
                  <w:gridSpan w:val="2"/>
                  <w:shd w:val="clear" w:color="auto" w:fill="auto"/>
                  <w:vAlign w:val="center"/>
                </w:tcPr>
                <w:p>
                  <w:pPr>
                    <w:jc w:val="left"/>
                    <w:rPr>
                      <w:szCs w:val="21"/>
                    </w:rPr>
                  </w:pPr>
                  <w:r>
                    <w:rPr>
                      <w:szCs w:val="21"/>
                    </w:rPr>
                    <w:t>城市人居功能区：新乡市市区（含平原城乡一体示范区）、县城建成区，以及规划区中以居住、商贸、文教科研为主的区域。</w:t>
                  </w:r>
                </w:p>
              </w:tc>
              <w:tc>
                <w:tcPr>
                  <w:tcW w:w="1824" w:type="dxa"/>
                  <w:vMerge w:val="continue"/>
                  <w:shd w:val="clear" w:color="auto" w:fill="auto"/>
                  <w:vAlign w:val="center"/>
                </w:tcPr>
                <w:p>
                  <w:pPr>
                    <w:snapToGrid w:val="0"/>
                    <w:rPr>
                      <w:szCs w:val="21"/>
                    </w:rPr>
                  </w:pPr>
                </w:p>
              </w:tc>
              <w:tc>
                <w:tcPr>
                  <w:tcW w:w="1228" w:type="dxa"/>
                  <w:shd w:val="clear" w:color="auto" w:fill="auto"/>
                  <w:vAlign w:val="center"/>
                </w:tcPr>
                <w:p>
                  <w:pPr>
                    <w:snapToGrid w:val="0"/>
                    <w:jc w:val="center"/>
                    <w:rPr>
                      <w:szCs w:val="21"/>
                    </w:rPr>
                  </w:pPr>
                  <w:r>
                    <w:rPr>
                      <w:szCs w:val="21"/>
                    </w:rPr>
                    <w:t>不属于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4924" w:type="dxa"/>
                  <w:gridSpan w:val="2"/>
                  <w:shd w:val="clear" w:color="auto" w:fill="auto"/>
                  <w:vAlign w:val="center"/>
                </w:tcPr>
                <w:p>
                  <w:pPr>
                    <w:jc w:val="left"/>
                    <w:rPr>
                      <w:szCs w:val="21"/>
                    </w:rPr>
                  </w:pPr>
                  <w:r>
                    <w:rPr>
                      <w:szCs w:val="21"/>
                    </w:rPr>
                    <w:t>农产品主产区：</w:t>
                  </w:r>
                  <w:r>
                    <w:rPr>
                      <w:szCs w:val="21"/>
                    </w:rPr>
                    <w:cr/>
                  </w:r>
                  <w:r>
                    <w:rPr>
                      <w:szCs w:val="21"/>
                    </w:rPr>
                    <w:t>辉县市、获嘉县、原阳县、延津县、封丘县。（不含产业集聚区、专业园区和县城建成区以及规划区中以居住、商贸、文教科研为主的区域）。</w:t>
                  </w:r>
                </w:p>
              </w:tc>
              <w:tc>
                <w:tcPr>
                  <w:tcW w:w="1824" w:type="dxa"/>
                  <w:vMerge w:val="continue"/>
                  <w:shd w:val="clear" w:color="auto" w:fill="auto"/>
                  <w:vAlign w:val="center"/>
                </w:tcPr>
                <w:p>
                  <w:pPr>
                    <w:snapToGrid w:val="0"/>
                    <w:rPr>
                      <w:szCs w:val="21"/>
                    </w:rPr>
                  </w:pPr>
                </w:p>
              </w:tc>
              <w:tc>
                <w:tcPr>
                  <w:tcW w:w="1228" w:type="dxa"/>
                  <w:shd w:val="clear" w:color="auto" w:fill="auto"/>
                  <w:vAlign w:val="center"/>
                </w:tcPr>
                <w:p>
                  <w:pPr>
                    <w:snapToGrid w:val="0"/>
                    <w:jc w:val="center"/>
                    <w:rPr>
                      <w:szCs w:val="21"/>
                    </w:rPr>
                  </w:pPr>
                  <w:r>
                    <w:rPr>
                      <w:rFonts w:hint="eastAsia"/>
                      <w:szCs w:val="21"/>
                    </w:rPr>
                    <w:t>参照执行</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1468" w:type="dxa"/>
                  <w:shd w:val="clear" w:color="auto" w:fill="auto"/>
                  <w:vAlign w:val="center"/>
                </w:tcPr>
                <w:p>
                  <w:pPr>
                    <w:snapToGrid w:val="0"/>
                    <w:jc w:val="center"/>
                    <w:rPr>
                      <w:szCs w:val="21"/>
                    </w:rPr>
                  </w:pPr>
                  <w:r>
                    <w:rPr>
                      <w:szCs w:val="21"/>
                    </w:rPr>
                    <w:t>禁止开发区</w:t>
                  </w:r>
                </w:p>
              </w:tc>
              <w:tc>
                <w:tcPr>
                  <w:tcW w:w="3456" w:type="dxa"/>
                  <w:shd w:val="clear" w:color="auto" w:fill="auto"/>
                  <w:vAlign w:val="center"/>
                </w:tcPr>
                <w:p>
                  <w:pPr>
                    <w:snapToGrid w:val="0"/>
                    <w:rPr>
                      <w:szCs w:val="21"/>
                    </w:rPr>
                  </w:pPr>
                  <w:r>
                    <w:rPr>
                      <w:szCs w:val="21"/>
                    </w:rPr>
                    <w:t>河南省新乡市凤凰山省级森林公园</w:t>
                  </w:r>
                </w:p>
              </w:tc>
              <w:tc>
                <w:tcPr>
                  <w:tcW w:w="1824" w:type="dxa"/>
                  <w:vMerge w:val="continue"/>
                  <w:shd w:val="clear" w:color="auto" w:fill="auto"/>
                  <w:vAlign w:val="center"/>
                </w:tcPr>
                <w:p>
                  <w:pPr>
                    <w:snapToGrid w:val="0"/>
                    <w:rPr>
                      <w:szCs w:val="21"/>
                    </w:rPr>
                  </w:pPr>
                </w:p>
              </w:tc>
              <w:tc>
                <w:tcPr>
                  <w:tcW w:w="1228" w:type="dxa"/>
                  <w:shd w:val="clear" w:color="auto" w:fill="auto"/>
                  <w:vAlign w:val="center"/>
                </w:tcPr>
                <w:p>
                  <w:pPr>
                    <w:snapToGrid w:val="0"/>
                    <w:jc w:val="center"/>
                    <w:rPr>
                      <w:szCs w:val="21"/>
                    </w:rPr>
                  </w:pPr>
                  <w:r>
                    <w:rPr>
                      <w:szCs w:val="21"/>
                    </w:rPr>
                    <w:t>不属于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restart"/>
                  <w:shd w:val="clear" w:color="auto" w:fill="auto"/>
                  <w:vAlign w:val="center"/>
                </w:tcPr>
                <w:p>
                  <w:pPr>
                    <w:snapToGrid w:val="0"/>
                    <w:rPr>
                      <w:szCs w:val="21"/>
                    </w:rPr>
                  </w:pPr>
                  <w:r>
                    <w:rPr>
                      <w:szCs w:val="21"/>
                    </w:rPr>
                    <w:t>新乡市集中水源地保护区</w:t>
                  </w:r>
                </w:p>
              </w:tc>
              <w:tc>
                <w:tcPr>
                  <w:tcW w:w="1468" w:type="dxa"/>
                  <w:shd w:val="clear" w:color="auto" w:fill="auto"/>
                  <w:vAlign w:val="center"/>
                </w:tcPr>
                <w:p>
                  <w:pPr>
                    <w:pStyle w:val="134"/>
                    <w:ind w:firstLine="0"/>
                    <w:jc w:val="center"/>
                    <w:rPr>
                      <w:rFonts w:ascii="Times New Roman" w:hAnsi="Times New Roman"/>
                      <w:kern w:val="2"/>
                    </w:rPr>
                  </w:pPr>
                  <w:r>
                    <w:rPr>
                      <w:rFonts w:ascii="Times New Roman"/>
                    </w:rPr>
                    <w:t>孟庄镇孟庄村地下水井群</w:t>
                  </w:r>
                </w:p>
              </w:tc>
              <w:tc>
                <w:tcPr>
                  <w:tcW w:w="3456" w:type="dxa"/>
                  <w:shd w:val="clear" w:color="auto" w:fill="auto"/>
                  <w:vAlign w:val="center"/>
                </w:tcPr>
                <w:p>
                  <w:pPr>
                    <w:pStyle w:val="134"/>
                    <w:ind w:firstLine="0"/>
                    <w:rPr>
                      <w:rFonts w:ascii="Times New Roman" w:hAnsi="Times New Roman"/>
                    </w:rPr>
                  </w:pPr>
                  <w:r>
                    <w:rPr>
                      <w:rFonts w:ascii="Times New Roman"/>
                    </w:rPr>
                    <w:t>孟庄镇孟庄村地下水井群位于孟庄村村内，该水源地只有</w:t>
                  </w:r>
                  <w:r>
                    <w:rPr>
                      <w:rFonts w:ascii="Times New Roman" w:hAnsi="Times New Roman"/>
                    </w:rPr>
                    <w:t>1</w:t>
                  </w:r>
                  <w:r>
                    <w:rPr>
                      <w:rFonts w:ascii="Times New Roman"/>
                    </w:rPr>
                    <w:t>眼井，为在用井，该井位于孟庄村村委会院内。</w:t>
                  </w:r>
                  <w:r>
                    <w:rPr>
                      <w:rFonts w:ascii="Times New Roman" w:hAnsi="Times New Roman"/>
                    </w:rPr>
                    <w:t>一级保护区：取省229道以南，水井外围150米区域。</w:t>
                  </w:r>
                </w:p>
              </w:tc>
              <w:tc>
                <w:tcPr>
                  <w:tcW w:w="1824" w:type="dxa"/>
                  <w:shd w:val="clear" w:color="auto" w:fill="auto"/>
                  <w:vAlign w:val="center"/>
                </w:tcPr>
                <w:p>
                  <w:pPr>
                    <w:snapToGrid w:val="0"/>
                    <w:jc w:val="left"/>
                    <w:rPr>
                      <w:kern w:val="0"/>
                      <w:szCs w:val="21"/>
                    </w:rPr>
                  </w:pPr>
                  <w:r>
                    <w:rPr>
                      <w:kern w:val="0"/>
                      <w:szCs w:val="21"/>
                    </w:rPr>
                    <w:t>本项目距</w:t>
                  </w:r>
                  <w:r>
                    <w:t>孟庄镇孟庄村地下水井群</w:t>
                  </w:r>
                  <w:r>
                    <w:rPr>
                      <w:kern w:val="0"/>
                      <w:szCs w:val="21"/>
                    </w:rPr>
                    <w:t>保护区一级保护区边界5.8km</w:t>
                  </w:r>
                </w:p>
              </w:tc>
              <w:tc>
                <w:tcPr>
                  <w:tcW w:w="1228" w:type="dxa"/>
                  <w:shd w:val="clear" w:color="auto" w:fill="auto"/>
                  <w:vAlign w:val="center"/>
                </w:tcPr>
                <w:p>
                  <w:pPr>
                    <w:snapToGrid w:val="0"/>
                    <w:rPr>
                      <w:szCs w:val="21"/>
                    </w:rPr>
                  </w:pPr>
                  <w:r>
                    <w:rPr>
                      <w:szCs w:val="21"/>
                    </w:rPr>
                    <w:t>不在保护区范围内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1468" w:type="dxa"/>
                  <w:shd w:val="clear" w:color="auto" w:fill="auto"/>
                  <w:vAlign w:val="center"/>
                </w:tcPr>
                <w:p>
                  <w:pPr>
                    <w:spacing w:line="320" w:lineRule="exact"/>
                    <w:jc w:val="center"/>
                    <w:rPr>
                      <w:szCs w:val="21"/>
                    </w:rPr>
                  </w:pPr>
                  <w:r>
                    <w:rPr>
                      <w:bCs/>
                      <w:color w:val="000000"/>
                      <w:szCs w:val="21"/>
                    </w:rPr>
                    <w:t>凤泉水厂地下水饮用水源保护区</w:t>
                  </w:r>
                </w:p>
              </w:tc>
              <w:tc>
                <w:tcPr>
                  <w:tcW w:w="3456" w:type="dxa"/>
                  <w:shd w:val="clear" w:color="auto" w:fill="auto"/>
                  <w:vAlign w:val="center"/>
                </w:tcPr>
                <w:p>
                  <w:pPr>
                    <w:spacing w:line="320" w:lineRule="exact"/>
                    <w:rPr>
                      <w:szCs w:val="21"/>
                    </w:rPr>
                  </w:pPr>
                  <w:r>
                    <w:rPr>
                      <w:bCs/>
                      <w:color w:val="000000"/>
                      <w:szCs w:val="21"/>
                    </w:rPr>
                    <w:t>一级保护区：以水厂东、西两院的院墙为界向外10米以及输水管线两侧10米的区域。二级保护区：东以团结路为界，其他三面以水厂院墙为界，向外100米的区域。</w:t>
                  </w:r>
                </w:p>
              </w:tc>
              <w:tc>
                <w:tcPr>
                  <w:tcW w:w="1824" w:type="dxa"/>
                  <w:shd w:val="clear" w:color="auto" w:fill="auto"/>
                  <w:vAlign w:val="center"/>
                </w:tcPr>
                <w:p>
                  <w:pPr>
                    <w:spacing w:line="320" w:lineRule="exact"/>
                    <w:rPr>
                      <w:bCs/>
                      <w:szCs w:val="21"/>
                    </w:rPr>
                  </w:pPr>
                  <w:r>
                    <w:rPr>
                      <w:bCs/>
                      <w:color w:val="000000"/>
                      <w:szCs w:val="21"/>
                    </w:rPr>
                    <w:t>本项目距凤泉水厂地下水饮用水源保护区二级保护区边界</w:t>
                  </w:r>
                  <w:r>
                    <w:rPr>
                      <w:rFonts w:hint="eastAsia"/>
                      <w:bCs/>
                      <w:color w:val="000000"/>
                      <w:szCs w:val="21"/>
                    </w:rPr>
                    <w:t>10.5k</w:t>
                  </w:r>
                  <w:r>
                    <w:rPr>
                      <w:bCs/>
                      <w:color w:val="000000"/>
                      <w:szCs w:val="21"/>
                    </w:rPr>
                    <w:t>m</w:t>
                  </w:r>
                </w:p>
              </w:tc>
              <w:tc>
                <w:tcPr>
                  <w:tcW w:w="1228" w:type="dxa"/>
                  <w:shd w:val="clear" w:color="auto" w:fill="auto"/>
                  <w:vAlign w:val="center"/>
                </w:tcPr>
                <w:p>
                  <w:pPr>
                    <w:spacing w:line="320" w:lineRule="exact"/>
                    <w:jc w:val="center"/>
                    <w:rPr>
                      <w:bCs/>
                      <w:szCs w:val="21"/>
                    </w:rPr>
                  </w:pPr>
                  <w:r>
                    <w:rPr>
                      <w:rFonts w:hint="eastAsia"/>
                      <w:bCs/>
                      <w:szCs w:val="21"/>
                    </w:rPr>
                    <w:t>不在保护区范围内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1468" w:type="dxa"/>
                  <w:shd w:val="clear" w:color="auto" w:fill="auto"/>
                  <w:vAlign w:val="center"/>
                </w:tcPr>
                <w:p>
                  <w:pPr>
                    <w:jc w:val="center"/>
                    <w:rPr>
                      <w:szCs w:val="21"/>
                    </w:rPr>
                  </w:pPr>
                  <w:r>
                    <w:t>南水北调工程</w:t>
                  </w:r>
                </w:p>
              </w:tc>
              <w:tc>
                <w:tcPr>
                  <w:tcW w:w="3456" w:type="dxa"/>
                  <w:shd w:val="clear" w:color="auto" w:fill="auto"/>
                  <w:vAlign w:val="center"/>
                </w:tcPr>
                <w:p>
                  <w:pPr>
                    <w:jc w:val="left"/>
                    <w:rPr>
                      <w:szCs w:val="21"/>
                    </w:rPr>
                  </w:pPr>
                  <w:r>
                    <w:t>距本项目最近为孟庄镇段，孟庄段一级保护区为两岸50米的区域，二级保护区为两岸</w:t>
                  </w:r>
                  <w:r>
                    <w:rPr>
                      <w:rFonts w:hint="eastAsia"/>
                    </w:rPr>
                    <w:t>15</w:t>
                  </w:r>
                  <w:r>
                    <w:t>0m的区域。</w:t>
                  </w:r>
                </w:p>
              </w:tc>
              <w:tc>
                <w:tcPr>
                  <w:tcW w:w="1824" w:type="dxa"/>
                  <w:shd w:val="clear" w:color="auto" w:fill="auto"/>
                  <w:vAlign w:val="center"/>
                </w:tcPr>
                <w:p>
                  <w:pPr>
                    <w:jc w:val="left"/>
                    <w:rPr>
                      <w:szCs w:val="21"/>
                    </w:rPr>
                  </w:pPr>
                  <w:r>
                    <w:t>项目距离南水北调工程二级保护区边界最近距离为</w:t>
                  </w:r>
                  <w:r>
                    <w:rPr>
                      <w:rFonts w:hint="eastAsia"/>
                    </w:rPr>
                    <w:t>7.1</w:t>
                  </w:r>
                  <w:r>
                    <w:t>km</w:t>
                  </w:r>
                </w:p>
              </w:tc>
              <w:tc>
                <w:tcPr>
                  <w:tcW w:w="1228" w:type="dxa"/>
                  <w:shd w:val="clear" w:color="auto" w:fill="auto"/>
                  <w:vAlign w:val="center"/>
                </w:tcPr>
                <w:p>
                  <w:pPr>
                    <w:snapToGrid w:val="0"/>
                    <w:rPr>
                      <w:szCs w:val="21"/>
                    </w:rPr>
                  </w:pPr>
                  <w:r>
                    <w:rPr>
                      <w:szCs w:val="21"/>
                    </w:rPr>
                    <w:t>不在保护区范围内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restart"/>
                  <w:shd w:val="clear" w:color="auto" w:fill="auto"/>
                  <w:vAlign w:val="center"/>
                </w:tcPr>
                <w:p>
                  <w:pPr>
                    <w:snapToGrid w:val="0"/>
                    <w:rPr>
                      <w:szCs w:val="21"/>
                    </w:rPr>
                  </w:pPr>
                  <w:r>
                    <w:rPr>
                      <w:szCs w:val="21"/>
                    </w:rPr>
                    <w:t>污染防治（控）重点单元</w:t>
                  </w:r>
                </w:p>
              </w:tc>
              <w:tc>
                <w:tcPr>
                  <w:tcW w:w="1468" w:type="dxa"/>
                  <w:shd w:val="clear" w:color="auto" w:fill="auto"/>
                  <w:vAlign w:val="center"/>
                </w:tcPr>
                <w:p>
                  <w:pPr>
                    <w:snapToGrid w:val="0"/>
                    <w:jc w:val="center"/>
                    <w:rPr>
                      <w:szCs w:val="21"/>
                    </w:rPr>
                  </w:pPr>
                  <w:r>
                    <w:rPr>
                      <w:szCs w:val="21"/>
                    </w:rPr>
                    <w:t>水污染</w:t>
                  </w:r>
                </w:p>
              </w:tc>
              <w:tc>
                <w:tcPr>
                  <w:tcW w:w="3456" w:type="dxa"/>
                  <w:shd w:val="clear" w:color="auto" w:fill="auto"/>
                  <w:vAlign w:val="center"/>
                </w:tcPr>
                <w:p>
                  <w:pPr>
                    <w:snapToGrid w:val="0"/>
                    <w:rPr>
                      <w:szCs w:val="21"/>
                    </w:rPr>
                  </w:pPr>
                  <w:r>
                    <w:rPr>
                      <w:szCs w:val="21"/>
                    </w:rPr>
                    <w:t>卫河流域：新乡市区、新乡县、卫辉市、辉县市、获嘉县</w:t>
                  </w:r>
                </w:p>
              </w:tc>
              <w:tc>
                <w:tcPr>
                  <w:tcW w:w="1824" w:type="dxa"/>
                  <w:vMerge w:val="restart"/>
                  <w:shd w:val="clear" w:color="auto" w:fill="auto"/>
                  <w:vAlign w:val="center"/>
                </w:tcPr>
                <w:p>
                  <w:pPr>
                    <w:snapToGrid w:val="0"/>
                    <w:rPr>
                      <w:szCs w:val="21"/>
                    </w:rPr>
                  </w:pPr>
                  <w:r>
                    <w:rPr>
                      <w:szCs w:val="21"/>
                    </w:rPr>
                    <w:t>项目选址位于新乡市凤泉区</w:t>
                  </w:r>
                </w:p>
              </w:tc>
              <w:tc>
                <w:tcPr>
                  <w:tcW w:w="1228" w:type="dxa"/>
                  <w:shd w:val="clear" w:color="auto" w:fill="auto"/>
                  <w:vAlign w:val="center"/>
                </w:tcPr>
                <w:p>
                  <w:pPr>
                    <w:snapToGrid w:val="0"/>
                    <w:jc w:val="center"/>
                    <w:rPr>
                      <w:szCs w:val="21"/>
                    </w:rPr>
                  </w:pPr>
                  <w:r>
                    <w:rPr>
                      <w:szCs w:val="21"/>
                    </w:rPr>
                    <w:t>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1468" w:type="dxa"/>
                  <w:shd w:val="clear" w:color="auto" w:fill="auto"/>
                  <w:vAlign w:val="center"/>
                </w:tcPr>
                <w:p>
                  <w:pPr>
                    <w:snapToGrid w:val="0"/>
                    <w:jc w:val="center"/>
                    <w:rPr>
                      <w:szCs w:val="21"/>
                    </w:rPr>
                  </w:pPr>
                  <w:r>
                    <w:rPr>
                      <w:szCs w:val="21"/>
                    </w:rPr>
                    <w:t>大气污染</w:t>
                  </w:r>
                </w:p>
              </w:tc>
              <w:tc>
                <w:tcPr>
                  <w:tcW w:w="3456" w:type="dxa"/>
                  <w:shd w:val="clear" w:color="auto" w:fill="auto"/>
                  <w:vAlign w:val="center"/>
                </w:tcPr>
                <w:p>
                  <w:pPr>
                    <w:snapToGrid w:val="0"/>
                    <w:rPr>
                      <w:szCs w:val="21"/>
                    </w:rPr>
                  </w:pPr>
                  <w:r>
                    <w:rPr>
                      <w:szCs w:val="21"/>
                    </w:rPr>
                    <w:t>新乡市域全部</w:t>
                  </w:r>
                </w:p>
              </w:tc>
              <w:tc>
                <w:tcPr>
                  <w:tcW w:w="1824" w:type="dxa"/>
                  <w:vMerge w:val="continue"/>
                  <w:shd w:val="clear" w:color="auto" w:fill="auto"/>
                  <w:vAlign w:val="center"/>
                </w:tcPr>
                <w:p>
                  <w:pPr>
                    <w:snapToGrid w:val="0"/>
                    <w:rPr>
                      <w:szCs w:val="21"/>
                    </w:rPr>
                  </w:pPr>
                </w:p>
              </w:tc>
              <w:tc>
                <w:tcPr>
                  <w:tcW w:w="1228" w:type="dxa"/>
                  <w:shd w:val="clear" w:color="auto" w:fill="auto"/>
                  <w:vAlign w:val="center"/>
                </w:tcPr>
                <w:p>
                  <w:pPr>
                    <w:snapToGrid w:val="0"/>
                    <w:jc w:val="center"/>
                    <w:rPr>
                      <w:szCs w:val="21"/>
                    </w:rPr>
                  </w:pPr>
                  <w:r>
                    <w:rPr>
                      <w:szCs w:val="21"/>
                    </w:rPr>
                    <w:t>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1468" w:type="dxa"/>
                  <w:shd w:val="clear" w:color="auto" w:fill="auto"/>
                  <w:vAlign w:val="center"/>
                </w:tcPr>
                <w:p>
                  <w:pPr>
                    <w:snapToGrid w:val="0"/>
                    <w:jc w:val="center"/>
                    <w:rPr>
                      <w:szCs w:val="21"/>
                    </w:rPr>
                  </w:pPr>
                  <w:r>
                    <w:rPr>
                      <w:szCs w:val="21"/>
                    </w:rPr>
                    <w:t>重金属污染</w:t>
                  </w:r>
                </w:p>
              </w:tc>
              <w:tc>
                <w:tcPr>
                  <w:tcW w:w="3456" w:type="dxa"/>
                  <w:shd w:val="clear" w:color="auto" w:fill="auto"/>
                  <w:vAlign w:val="center"/>
                </w:tcPr>
                <w:p>
                  <w:pPr>
                    <w:snapToGrid w:val="0"/>
                    <w:rPr>
                      <w:szCs w:val="21"/>
                    </w:rPr>
                  </w:pPr>
                  <w:r>
                    <w:rPr>
                      <w:szCs w:val="21"/>
                    </w:rPr>
                    <w:t>新乡县、凤泉区（铅镉污染控制区）</w:t>
                  </w:r>
                </w:p>
              </w:tc>
              <w:tc>
                <w:tcPr>
                  <w:tcW w:w="1824" w:type="dxa"/>
                  <w:vMerge w:val="continue"/>
                  <w:shd w:val="clear" w:color="auto" w:fill="auto"/>
                  <w:vAlign w:val="center"/>
                </w:tcPr>
                <w:p>
                  <w:pPr>
                    <w:snapToGrid w:val="0"/>
                    <w:rPr>
                      <w:szCs w:val="21"/>
                    </w:rPr>
                  </w:pPr>
                </w:p>
              </w:tc>
              <w:tc>
                <w:tcPr>
                  <w:tcW w:w="1228" w:type="dxa"/>
                  <w:shd w:val="clear" w:color="auto" w:fill="auto"/>
                  <w:vAlign w:val="center"/>
                </w:tcPr>
                <w:p>
                  <w:pPr>
                    <w:snapToGrid w:val="0"/>
                    <w:jc w:val="center"/>
                    <w:rPr>
                      <w:szCs w:val="21"/>
                    </w:rPr>
                  </w:pPr>
                  <w:r>
                    <w:rPr>
                      <w:szCs w:val="21"/>
                    </w:rPr>
                    <w:t>属于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restart"/>
                  <w:shd w:val="clear" w:color="auto" w:fill="auto"/>
                  <w:vAlign w:val="center"/>
                </w:tcPr>
                <w:p>
                  <w:pPr>
                    <w:snapToGrid w:val="0"/>
                    <w:rPr>
                      <w:szCs w:val="21"/>
                    </w:rPr>
                  </w:pPr>
                  <w:r>
                    <w:rPr>
                      <w:szCs w:val="21"/>
                    </w:rPr>
                    <w:t>工业项目分类</w:t>
                  </w:r>
                </w:p>
              </w:tc>
              <w:tc>
                <w:tcPr>
                  <w:tcW w:w="4924" w:type="dxa"/>
                  <w:gridSpan w:val="2"/>
                  <w:shd w:val="clear" w:color="auto" w:fill="auto"/>
                  <w:vAlign w:val="center"/>
                </w:tcPr>
                <w:p>
                  <w:pPr>
                    <w:snapToGrid w:val="0"/>
                    <w:jc w:val="left"/>
                    <w:rPr>
                      <w:szCs w:val="21"/>
                    </w:rPr>
                  </w:pPr>
                  <w:r>
                    <w:rPr>
                      <w:szCs w:val="21"/>
                    </w:rPr>
                    <w:t>一类工业项目</w:t>
                  </w:r>
                  <w:r>
                    <w:rPr>
                      <w:rFonts w:hint="eastAsia"/>
                      <w:szCs w:val="21"/>
                    </w:rPr>
                    <w:t>：</w:t>
                  </w:r>
                </w:p>
                <w:p>
                  <w:pPr>
                    <w:snapToGrid w:val="0"/>
                    <w:jc w:val="left"/>
                    <w:rPr>
                      <w:szCs w:val="21"/>
                    </w:rPr>
                  </w:pPr>
                  <w:r>
                    <w:rPr>
                      <w:bCs/>
                      <w:color w:val="000000"/>
                      <w:szCs w:val="21"/>
                    </w:rPr>
                    <w:t>机械电子</w:t>
                  </w:r>
                  <w:r>
                    <w:rPr>
                      <w:color w:val="000000"/>
                      <w:szCs w:val="21"/>
                    </w:rPr>
                    <w:t>（不含电镀、喷涂工艺的机械制造；不含分割、焊接、有机溶剂清洗工艺的电子元件、集成电路等生产）；</w:t>
                  </w:r>
                </w:p>
              </w:tc>
              <w:tc>
                <w:tcPr>
                  <w:tcW w:w="1824" w:type="dxa"/>
                  <w:shd w:val="clear" w:color="auto" w:fill="auto"/>
                  <w:vAlign w:val="center"/>
                </w:tcPr>
                <w:p>
                  <w:r>
                    <w:rPr>
                      <w:szCs w:val="21"/>
                    </w:rPr>
                    <w:t>本项目电池负极底产品</w:t>
                  </w:r>
                  <w:r>
                    <w:rPr>
                      <w:rFonts w:hint="eastAsia"/>
                      <w:szCs w:val="21"/>
                    </w:rPr>
                    <w:t>（机械电子）</w:t>
                  </w:r>
                  <w:r>
                    <w:rPr>
                      <w:szCs w:val="21"/>
                    </w:rPr>
                    <w:t>含冲压工艺</w:t>
                  </w:r>
                  <w:r>
                    <w:rPr>
                      <w:rFonts w:hint="eastAsia"/>
                      <w:szCs w:val="21"/>
                    </w:rPr>
                    <w:t>，不含电镀、喷涂工艺，属于一类工业项目；</w:t>
                  </w:r>
                </w:p>
              </w:tc>
              <w:tc>
                <w:tcPr>
                  <w:tcW w:w="1228" w:type="dxa"/>
                  <w:vMerge w:val="restart"/>
                  <w:shd w:val="clear" w:color="auto" w:fill="auto"/>
                  <w:vAlign w:val="center"/>
                </w:tcPr>
                <w:p>
                  <w:pPr>
                    <w:snapToGrid w:val="0"/>
                    <w:jc w:val="center"/>
                    <w:rPr>
                      <w:szCs w:val="21"/>
                    </w:rPr>
                  </w:pPr>
                  <w:r>
                    <w:t>综上</w:t>
                  </w:r>
                  <w:r>
                    <w:rPr>
                      <w:rFonts w:hint="eastAsia"/>
                    </w:rPr>
                    <w:t>，</w:t>
                  </w:r>
                  <w:r>
                    <w:t>本项目属于二类工业项目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dxa"/>
                  <w:vMerge w:val="continue"/>
                  <w:shd w:val="clear" w:color="auto" w:fill="auto"/>
                  <w:vAlign w:val="center"/>
                </w:tcPr>
                <w:p>
                  <w:pPr>
                    <w:snapToGrid w:val="0"/>
                    <w:rPr>
                      <w:szCs w:val="21"/>
                    </w:rPr>
                  </w:pPr>
                </w:p>
              </w:tc>
              <w:tc>
                <w:tcPr>
                  <w:tcW w:w="4924" w:type="dxa"/>
                  <w:gridSpan w:val="2"/>
                  <w:shd w:val="clear" w:color="auto" w:fill="auto"/>
                  <w:vAlign w:val="center"/>
                </w:tcPr>
                <w:p>
                  <w:pPr>
                    <w:snapToGrid w:val="0"/>
                    <w:jc w:val="left"/>
                    <w:rPr>
                      <w:szCs w:val="21"/>
                    </w:rPr>
                  </w:pPr>
                  <w:r>
                    <w:rPr>
                      <w:szCs w:val="21"/>
                    </w:rPr>
                    <w:t>二类工业项目</w:t>
                  </w:r>
                  <w:r>
                    <w:rPr>
                      <w:rFonts w:hint="eastAsia"/>
                      <w:szCs w:val="21"/>
                    </w:rPr>
                    <w:t>：</w:t>
                  </w:r>
                </w:p>
                <w:p>
                  <w:pPr>
                    <w:snapToGrid w:val="0"/>
                    <w:jc w:val="left"/>
                    <w:rPr>
                      <w:szCs w:val="21"/>
                    </w:rPr>
                  </w:pPr>
                  <w:r>
                    <w:rPr>
                      <w:szCs w:val="21"/>
                    </w:rPr>
                    <w:t>轻工类：含发酵工艺的粮食及饲料加工；屠宰；调味品、发酵制品制造；酒精饮料及酒类制造；果菜汁及其他软饮料制造；竹、藤、棕、草制品制造（含化学处理工艺的）；商品浆造纸；纸制品（含化学处理工艺的）；工艺品制造（含电镀、喷漆工艺和机加工的）；轮胎制造、再生橡胶制造、橡胶加工等污染和环境风险不高、污染物排放量不大的项目。</w:t>
                  </w:r>
                </w:p>
              </w:tc>
              <w:tc>
                <w:tcPr>
                  <w:tcW w:w="1824" w:type="dxa"/>
                  <w:shd w:val="clear" w:color="auto" w:fill="auto"/>
                  <w:vAlign w:val="center"/>
                </w:tcPr>
                <w:p>
                  <w:pPr>
                    <w:rPr>
                      <w:szCs w:val="21"/>
                    </w:rPr>
                  </w:pPr>
                  <w:r>
                    <w:rPr>
                      <w:rFonts w:hint="eastAsia"/>
                      <w:szCs w:val="21"/>
                    </w:rPr>
                    <w:t>电池密封圈产品（轻工类）含注塑工艺，</w:t>
                  </w:r>
                  <w:r>
                    <w:rPr>
                      <w:rFonts w:ascii="宋体" w:hAnsi="宋体"/>
                    </w:rPr>
                    <w:t>不在分类清单所列行业中，属于污染和环境风险不高、污染物排放量不大的项目</w:t>
                  </w:r>
                  <w:r>
                    <w:rPr>
                      <w:rFonts w:hint="eastAsia" w:ascii="宋体" w:hAnsi="宋体"/>
                    </w:rPr>
                    <w:t>，</w:t>
                  </w:r>
                  <w:r>
                    <w:rPr>
                      <w:rFonts w:ascii="宋体" w:hAnsi="宋体"/>
                    </w:rPr>
                    <w:t>属于二类工业项目</w:t>
                  </w:r>
                </w:p>
              </w:tc>
              <w:tc>
                <w:tcPr>
                  <w:tcW w:w="1228" w:type="dxa"/>
                  <w:vMerge w:val="continue"/>
                  <w:shd w:val="clear" w:color="auto" w:fill="auto"/>
                  <w:vAlign w:val="center"/>
                </w:tcPr>
                <w:p>
                  <w:pPr>
                    <w:snapToGrid w:val="0"/>
                    <w:jc w:val="center"/>
                  </w:pPr>
                </w:p>
              </w:tc>
            </w:tr>
          </w:tbl>
          <w:p>
            <w:pPr>
              <w:spacing w:line="440" w:lineRule="exact"/>
              <w:ind w:firstLine="600"/>
              <w:rPr>
                <w:sz w:val="24"/>
              </w:rPr>
            </w:pPr>
            <w:r>
              <w:rPr>
                <w:sz w:val="24"/>
              </w:rPr>
              <w:t>由表</w:t>
            </w:r>
            <w:r>
              <w:rPr>
                <w:rFonts w:hint="eastAsia"/>
                <w:sz w:val="24"/>
              </w:rPr>
              <w:t>8</w:t>
            </w:r>
            <w:r>
              <w:rPr>
                <w:sz w:val="24"/>
              </w:rPr>
              <w:t>可知，本项目不</w:t>
            </w:r>
            <w:r>
              <w:rPr>
                <w:sz w:val="24"/>
                <w:szCs w:val="20"/>
              </w:rPr>
              <w:t>属于《通知》内划定的工业准入优先区</w:t>
            </w:r>
            <w:r>
              <w:rPr>
                <w:rFonts w:hint="eastAsia"/>
                <w:sz w:val="24"/>
                <w:szCs w:val="20"/>
              </w:rPr>
              <w:t>、</w:t>
            </w:r>
            <w:r>
              <w:rPr>
                <w:sz w:val="24"/>
                <w:szCs w:val="20"/>
              </w:rPr>
              <w:t>城市人居功能区</w:t>
            </w:r>
            <w:r>
              <w:rPr>
                <w:rFonts w:hint="eastAsia"/>
                <w:sz w:val="24"/>
                <w:szCs w:val="20"/>
              </w:rPr>
              <w:t>、</w:t>
            </w:r>
            <w:r>
              <w:rPr>
                <w:sz w:val="24"/>
                <w:szCs w:val="20"/>
              </w:rPr>
              <w:t>农产品主产区和禁止开发区</w:t>
            </w:r>
            <w:r>
              <w:rPr>
                <w:rFonts w:hint="eastAsia"/>
                <w:sz w:val="24"/>
                <w:szCs w:val="20"/>
              </w:rPr>
              <w:t>，</w:t>
            </w:r>
            <w:r>
              <w:rPr>
                <w:sz w:val="24"/>
                <w:szCs w:val="20"/>
              </w:rPr>
              <w:t>根据相关说明中</w:t>
            </w:r>
            <w:r>
              <w:rPr>
                <w:rFonts w:hint="eastAsia"/>
                <w:sz w:val="24"/>
                <w:szCs w:val="20"/>
              </w:rPr>
              <w:t>“</w:t>
            </w:r>
            <w:r>
              <w:rPr>
                <w:rFonts w:hint="eastAsia"/>
                <w:sz w:val="24"/>
              </w:rPr>
              <w:t>本实施细则所列4种类型分区尚未涵盖的区域，参照农产品主产区的环境准入政策执行</w:t>
            </w:r>
            <w:r>
              <w:rPr>
                <w:rFonts w:hint="eastAsia"/>
                <w:sz w:val="24"/>
                <w:szCs w:val="20"/>
              </w:rPr>
              <w:t>”的规定</w:t>
            </w:r>
            <w:r>
              <w:rPr>
                <w:rFonts w:hint="eastAsia"/>
                <w:sz w:val="24"/>
              </w:rPr>
              <w:t>，本项目参照农产品主产区的环境准入政策要求执行，</w:t>
            </w:r>
            <w:r>
              <w:rPr>
                <w:sz w:val="24"/>
              </w:rPr>
              <w:t>相符性分析见表</w:t>
            </w:r>
            <w:r>
              <w:rPr>
                <w:rFonts w:hint="eastAsia"/>
                <w:sz w:val="24"/>
              </w:rPr>
              <w:t>9</w:t>
            </w:r>
            <w:r>
              <w:rPr>
                <w:sz w:val="24"/>
              </w:rPr>
              <w:t>。</w:t>
            </w:r>
          </w:p>
          <w:p>
            <w:pPr>
              <w:spacing w:line="440" w:lineRule="exact"/>
              <w:ind w:firstLine="600"/>
              <w:textAlignment w:val="baseline"/>
              <w:rPr>
                <w:rFonts w:eastAsia="黑体"/>
                <w:sz w:val="24"/>
              </w:rPr>
            </w:pPr>
            <w:r>
              <w:rPr>
                <w:rFonts w:eastAsia="黑体"/>
                <w:sz w:val="24"/>
              </w:rPr>
              <w:t>表</w:t>
            </w:r>
            <w:r>
              <w:rPr>
                <w:rFonts w:hint="eastAsia" w:eastAsia="黑体"/>
                <w:sz w:val="24"/>
              </w:rPr>
              <w:t xml:space="preserve">9                 </w:t>
            </w:r>
            <w:r>
              <w:rPr>
                <w:rFonts w:eastAsia="黑体"/>
                <w:sz w:val="24"/>
              </w:rPr>
              <w:t xml:space="preserve"> 与</w:t>
            </w:r>
            <w:r>
              <w:rPr>
                <w:rFonts w:hint="eastAsia" w:eastAsia="黑体"/>
                <w:sz w:val="24"/>
              </w:rPr>
              <w:t>农产品主产区环境准入政策</w:t>
            </w:r>
            <w:r>
              <w:rPr>
                <w:rFonts w:eastAsia="黑体"/>
                <w:sz w:val="24"/>
              </w:rPr>
              <w:t>要求相符性分析</w:t>
            </w:r>
          </w:p>
          <w:tbl>
            <w:tblPr>
              <w:tblStyle w:val="19"/>
              <w:tblW w:w="5000" w:type="pct"/>
              <w:jc w:val="center"/>
              <w:tblLayout w:type="autofit"/>
              <w:tblCellMar>
                <w:top w:w="0" w:type="dxa"/>
                <w:left w:w="108" w:type="dxa"/>
                <w:bottom w:w="0" w:type="dxa"/>
                <w:right w:w="108" w:type="dxa"/>
              </w:tblCellMar>
            </w:tblPr>
            <w:tblGrid>
              <w:gridCol w:w="674"/>
              <w:gridCol w:w="4790"/>
              <w:gridCol w:w="2770"/>
              <w:gridCol w:w="991"/>
            </w:tblGrid>
            <w:tr>
              <w:tblPrEx>
                <w:tblCellMar>
                  <w:top w:w="0" w:type="dxa"/>
                  <w:left w:w="108" w:type="dxa"/>
                  <w:bottom w:w="0" w:type="dxa"/>
                  <w:right w:w="108" w:type="dxa"/>
                </w:tblCellMar>
              </w:tblPrEx>
              <w:trPr>
                <w:trHeight w:val="454" w:hRule="atLeast"/>
                <w:jc w:val="center"/>
              </w:trPr>
              <w:tc>
                <w:tcPr>
                  <w:tcW w:w="674" w:type="dxa"/>
                  <w:tcBorders>
                    <w:top w:val="single" w:color="000000" w:sz="8" w:space="0"/>
                    <w:bottom w:val="single" w:color="000000" w:sz="4" w:space="0"/>
                    <w:right w:val="single" w:color="000000" w:sz="4" w:space="0"/>
                  </w:tcBorders>
                  <w:shd w:val="clear" w:color="auto" w:fill="auto"/>
                  <w:vAlign w:val="center"/>
                </w:tcPr>
                <w:p>
                  <w:pPr>
                    <w:snapToGrid w:val="0"/>
                    <w:jc w:val="center"/>
                    <w:textAlignment w:val="baseline"/>
                    <w:rPr>
                      <w:b/>
                      <w:szCs w:val="21"/>
                    </w:rPr>
                  </w:pPr>
                  <w:r>
                    <w:rPr>
                      <w:b/>
                      <w:szCs w:val="21"/>
                    </w:rPr>
                    <w:t>类别</w:t>
                  </w:r>
                </w:p>
              </w:tc>
              <w:tc>
                <w:tcPr>
                  <w:tcW w:w="4790"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b/>
                      <w:szCs w:val="21"/>
                    </w:rPr>
                  </w:pPr>
                  <w:r>
                    <w:rPr>
                      <w:b/>
                      <w:szCs w:val="21"/>
                    </w:rPr>
                    <w:t>内容</w:t>
                  </w:r>
                </w:p>
              </w:tc>
              <w:tc>
                <w:tcPr>
                  <w:tcW w:w="2770"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b/>
                      <w:szCs w:val="21"/>
                    </w:rPr>
                  </w:pPr>
                  <w:r>
                    <w:rPr>
                      <w:b/>
                      <w:szCs w:val="21"/>
                    </w:rPr>
                    <w:t>本项目</w:t>
                  </w:r>
                </w:p>
              </w:tc>
              <w:tc>
                <w:tcPr>
                  <w:tcW w:w="991" w:type="dxa"/>
                  <w:tcBorders>
                    <w:top w:val="single" w:color="000000" w:sz="8" w:space="0"/>
                    <w:left w:val="single" w:color="000000" w:sz="4" w:space="0"/>
                    <w:bottom w:val="single" w:color="000000" w:sz="4" w:space="0"/>
                  </w:tcBorders>
                  <w:shd w:val="clear" w:color="auto" w:fill="auto"/>
                  <w:vAlign w:val="center"/>
                </w:tcPr>
                <w:p>
                  <w:pPr>
                    <w:snapToGrid w:val="0"/>
                    <w:ind w:left="-109"/>
                    <w:jc w:val="center"/>
                    <w:textAlignment w:val="baseline"/>
                    <w:rPr>
                      <w:b/>
                      <w:szCs w:val="21"/>
                    </w:rPr>
                  </w:pPr>
                  <w:r>
                    <w:rPr>
                      <w:b/>
                      <w:szCs w:val="21"/>
                    </w:rPr>
                    <w:t>对比</w:t>
                  </w:r>
                </w:p>
                <w:p>
                  <w:pPr>
                    <w:snapToGrid w:val="0"/>
                    <w:ind w:left="-109"/>
                    <w:jc w:val="center"/>
                    <w:textAlignment w:val="baseline"/>
                    <w:rPr>
                      <w:b/>
                      <w:szCs w:val="21"/>
                    </w:rPr>
                  </w:pPr>
                  <w:r>
                    <w:rPr>
                      <w:b/>
                      <w:szCs w:val="21"/>
                    </w:rPr>
                    <w:t>结果</w:t>
                  </w:r>
                </w:p>
              </w:tc>
            </w:tr>
            <w:tr>
              <w:tblPrEx>
                <w:tblCellMar>
                  <w:top w:w="0" w:type="dxa"/>
                  <w:left w:w="108" w:type="dxa"/>
                  <w:bottom w:w="0" w:type="dxa"/>
                  <w:right w:w="108" w:type="dxa"/>
                </w:tblCellMar>
              </w:tblPrEx>
              <w:trPr>
                <w:trHeight w:val="454" w:hRule="atLeast"/>
                <w:jc w:val="center"/>
              </w:trPr>
              <w:tc>
                <w:tcPr>
                  <w:tcW w:w="674" w:type="dxa"/>
                  <w:vMerge w:val="restart"/>
                  <w:tcBorders>
                    <w:top w:val="single" w:color="000000" w:sz="4" w:space="0"/>
                    <w:bottom w:val="single" w:color="000000" w:sz="4" w:space="0"/>
                    <w:right w:val="single" w:color="000000" w:sz="4" w:space="0"/>
                  </w:tcBorders>
                  <w:shd w:val="clear" w:color="auto" w:fill="auto"/>
                  <w:vAlign w:val="center"/>
                </w:tcPr>
                <w:p>
                  <w:pPr>
                    <w:snapToGrid w:val="0"/>
                    <w:jc w:val="center"/>
                    <w:rPr>
                      <w:szCs w:val="21"/>
                    </w:rPr>
                  </w:pPr>
                  <w:r>
                    <w:rPr>
                      <w:szCs w:val="21"/>
                    </w:rPr>
                    <w:t>环</w:t>
                  </w:r>
                </w:p>
                <w:p>
                  <w:pPr>
                    <w:snapToGrid w:val="0"/>
                    <w:jc w:val="center"/>
                    <w:rPr>
                      <w:szCs w:val="21"/>
                    </w:rPr>
                  </w:pPr>
                  <w:r>
                    <w:rPr>
                      <w:szCs w:val="21"/>
                    </w:rPr>
                    <w:t>境</w:t>
                  </w:r>
                </w:p>
                <w:p>
                  <w:pPr>
                    <w:snapToGrid w:val="0"/>
                    <w:jc w:val="center"/>
                    <w:rPr>
                      <w:szCs w:val="21"/>
                    </w:rPr>
                  </w:pPr>
                  <w:r>
                    <w:rPr>
                      <w:szCs w:val="21"/>
                    </w:rPr>
                    <w:t>准</w:t>
                  </w:r>
                </w:p>
                <w:p>
                  <w:pPr>
                    <w:snapToGrid w:val="0"/>
                    <w:jc w:val="center"/>
                    <w:rPr>
                      <w:szCs w:val="21"/>
                    </w:rPr>
                  </w:pPr>
                  <w:r>
                    <w:rPr>
                      <w:szCs w:val="21"/>
                    </w:rPr>
                    <w:t>入</w:t>
                  </w:r>
                </w:p>
                <w:p>
                  <w:pPr>
                    <w:snapToGrid w:val="0"/>
                    <w:jc w:val="center"/>
                    <w:rPr>
                      <w:szCs w:val="21"/>
                    </w:rPr>
                  </w:pPr>
                  <w:r>
                    <w:rPr>
                      <w:szCs w:val="21"/>
                    </w:rPr>
                    <w:t>政</w:t>
                  </w:r>
                </w:p>
                <w:p>
                  <w:pPr>
                    <w:snapToGrid w:val="0"/>
                    <w:jc w:val="center"/>
                    <w:rPr>
                      <w:szCs w:val="21"/>
                    </w:rPr>
                  </w:pPr>
                  <w:r>
                    <w:rPr>
                      <w:szCs w:val="21"/>
                    </w:rPr>
                    <w:t>策</w:t>
                  </w:r>
                </w:p>
              </w:tc>
              <w:tc>
                <w:tcPr>
                  <w:tcW w:w="479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rPr>
                      <w:szCs w:val="21"/>
                    </w:rPr>
                  </w:pPr>
                  <w:r>
                    <w:rPr>
                      <w:rFonts w:hint="eastAsia"/>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right="-31" w:rightChars="-15"/>
                    <w:jc w:val="left"/>
                    <w:textAlignment w:val="baseline"/>
                    <w:rPr>
                      <w:szCs w:val="21"/>
                    </w:rPr>
                  </w:pPr>
                  <w:r>
                    <w:rPr>
                      <w:rFonts w:hint="eastAsia"/>
                      <w:szCs w:val="21"/>
                    </w:rPr>
                    <w:t>本项目为</w:t>
                  </w:r>
                  <w:r>
                    <w:rPr>
                      <w:szCs w:val="21"/>
                    </w:rPr>
                    <w:t>C2928 塑料零件制造</w:t>
                  </w:r>
                  <w:r>
                    <w:rPr>
                      <w:rFonts w:hint="eastAsia"/>
                      <w:szCs w:val="21"/>
                    </w:rPr>
                    <w:t>、C3399 其他未列明金属制品制造，应编制环境影响报告表，但不属于农副产品加工项目。</w:t>
                  </w:r>
                </w:p>
              </w:tc>
              <w:tc>
                <w:tcPr>
                  <w:tcW w:w="991" w:type="dxa"/>
                  <w:tcBorders>
                    <w:top w:val="single" w:color="000000" w:sz="4" w:space="0"/>
                    <w:left w:val="single" w:color="000000" w:sz="4" w:space="0"/>
                    <w:bottom w:val="single" w:color="000000" w:sz="4" w:space="0"/>
                  </w:tcBorders>
                  <w:shd w:val="clear" w:color="auto" w:fill="auto"/>
                  <w:vAlign w:val="center"/>
                </w:tcPr>
                <w:p>
                  <w:pPr>
                    <w:snapToGrid w:val="0"/>
                    <w:ind w:firstLine="105"/>
                    <w:jc w:val="center"/>
                    <w:textAlignment w:val="baseline"/>
                    <w:rPr>
                      <w:szCs w:val="21"/>
                    </w:rPr>
                  </w:pPr>
                  <w:r>
                    <w:rPr>
                      <w:rFonts w:hint="eastAsia"/>
                      <w:szCs w:val="21"/>
                    </w:rPr>
                    <w:t>不属于简化审批程序类的建设项目</w:t>
                  </w:r>
                </w:p>
              </w:tc>
            </w:tr>
            <w:tr>
              <w:tblPrEx>
                <w:tblCellMar>
                  <w:top w:w="0" w:type="dxa"/>
                  <w:left w:w="108" w:type="dxa"/>
                  <w:bottom w:w="0" w:type="dxa"/>
                  <w:right w:w="108" w:type="dxa"/>
                </w:tblCellMar>
              </w:tblPrEx>
              <w:trPr>
                <w:trHeight w:val="454" w:hRule="atLeast"/>
                <w:jc w:val="center"/>
              </w:trPr>
              <w:tc>
                <w:tcPr>
                  <w:tcW w:w="674" w:type="dxa"/>
                  <w:vMerge w:val="continue"/>
                  <w:tcBorders>
                    <w:top w:val="single" w:color="000000" w:sz="4" w:space="0"/>
                    <w:bottom w:val="single" w:color="000000" w:sz="4" w:space="0"/>
                    <w:right w:val="single" w:color="000000" w:sz="4" w:space="0"/>
                  </w:tcBorders>
                  <w:shd w:val="clear" w:color="auto" w:fill="auto"/>
                  <w:vAlign w:val="center"/>
                </w:tcPr>
                <w:p>
                  <w:pPr>
                    <w:snapToGrid w:val="0"/>
                    <w:ind w:firstLine="210"/>
                    <w:jc w:val="center"/>
                    <w:rPr>
                      <w:szCs w:val="21"/>
                    </w:rPr>
                  </w:pPr>
                </w:p>
              </w:tc>
              <w:tc>
                <w:tcPr>
                  <w:tcW w:w="4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Cs w:val="21"/>
                    </w:rPr>
                  </w:pPr>
                  <w:r>
                    <w:rPr>
                      <w:rFonts w:hint="eastAsia"/>
                    </w:rPr>
                    <w:t>严控重污染项目</w:t>
                  </w:r>
                  <w:r>
                    <w:rPr>
                      <w:rFonts w:hint="eastAsia"/>
                      <w:szCs w:val="21"/>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textAlignment w:val="baseline"/>
                    <w:rPr>
                      <w:szCs w:val="21"/>
                    </w:rPr>
                  </w:pPr>
                  <w:r>
                    <w:rPr>
                      <w:rFonts w:hint="eastAsia"/>
                      <w:bCs/>
                      <w:szCs w:val="21"/>
                    </w:rPr>
                    <w:t>本项目</w:t>
                  </w:r>
                  <w:r>
                    <w:rPr>
                      <w:rFonts w:hint="eastAsia"/>
                      <w:szCs w:val="21"/>
                    </w:rPr>
                    <w:t>属于二</w:t>
                  </w:r>
                  <w:r>
                    <w:rPr>
                      <w:szCs w:val="21"/>
                    </w:rPr>
                    <w:t>类工业项目</w:t>
                  </w:r>
                  <w:r>
                    <w:rPr>
                      <w:rFonts w:hint="eastAsia"/>
                      <w:szCs w:val="21"/>
                    </w:rPr>
                    <w:t>，</w:t>
                  </w:r>
                  <w:r>
                    <w:rPr>
                      <w:szCs w:val="21"/>
                    </w:rPr>
                    <w:t>不属于</w:t>
                  </w:r>
                  <w:r>
                    <w:rPr>
                      <w:rFonts w:hint="eastAsia"/>
                      <w:bCs/>
                      <w:szCs w:val="21"/>
                    </w:rPr>
                    <w:t>排放重金属、持久性有机污染物、挥发性有机污染物的行业。</w:t>
                  </w:r>
                </w:p>
              </w:tc>
              <w:tc>
                <w:tcPr>
                  <w:tcW w:w="991" w:type="dxa"/>
                  <w:tcBorders>
                    <w:top w:val="single" w:color="000000" w:sz="4" w:space="0"/>
                    <w:left w:val="single" w:color="000000" w:sz="4" w:space="0"/>
                    <w:bottom w:val="single" w:color="000000" w:sz="4" w:space="0"/>
                  </w:tcBorders>
                  <w:shd w:val="clear" w:color="auto" w:fill="auto"/>
                  <w:vAlign w:val="center"/>
                </w:tcPr>
                <w:p>
                  <w:pPr>
                    <w:snapToGrid w:val="0"/>
                    <w:ind w:firstLine="105"/>
                    <w:jc w:val="center"/>
                    <w:textAlignment w:val="baseline"/>
                    <w:rPr>
                      <w:szCs w:val="21"/>
                    </w:rPr>
                  </w:pPr>
                  <w:r>
                    <w:rPr>
                      <w:rFonts w:hint="eastAsia"/>
                    </w:rPr>
                    <w:t>不属于严控重污染类的建设项目</w:t>
                  </w:r>
                </w:p>
              </w:tc>
            </w:tr>
            <w:tr>
              <w:tblPrEx>
                <w:tblCellMar>
                  <w:top w:w="0" w:type="dxa"/>
                  <w:left w:w="108" w:type="dxa"/>
                  <w:bottom w:w="0" w:type="dxa"/>
                  <w:right w:w="108" w:type="dxa"/>
                </w:tblCellMar>
              </w:tblPrEx>
              <w:trPr>
                <w:trHeight w:val="454" w:hRule="atLeast"/>
                <w:jc w:val="center"/>
              </w:trPr>
              <w:tc>
                <w:tcPr>
                  <w:tcW w:w="674" w:type="dxa"/>
                  <w:vMerge w:val="continue"/>
                  <w:tcBorders>
                    <w:top w:val="single" w:color="000000" w:sz="4" w:space="0"/>
                    <w:bottom w:val="single" w:color="000000" w:sz="8" w:space="0"/>
                    <w:right w:val="single" w:color="000000" w:sz="4" w:space="0"/>
                  </w:tcBorders>
                  <w:shd w:val="clear" w:color="auto" w:fill="auto"/>
                  <w:vAlign w:val="center"/>
                </w:tcPr>
                <w:p>
                  <w:pPr>
                    <w:snapToGrid w:val="0"/>
                    <w:ind w:firstLine="210"/>
                    <w:jc w:val="center"/>
                    <w:rPr>
                      <w:szCs w:val="21"/>
                    </w:rPr>
                  </w:pPr>
                </w:p>
              </w:tc>
              <w:tc>
                <w:tcPr>
                  <w:tcW w:w="4790"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left"/>
                    <w:rPr>
                      <w:szCs w:val="21"/>
                    </w:rPr>
                  </w:pPr>
                  <w:r>
                    <w:rPr>
                      <w:rFonts w:hint="eastAsia"/>
                    </w:rPr>
                    <w:t>严控部分区域重污染项目</w:t>
                  </w:r>
                  <w:r>
                    <w:rPr>
                      <w:rFonts w:hint="eastAsia"/>
                      <w:szCs w:val="21"/>
                    </w:rPr>
                    <w:t>。在《水污染防治重点单元》区域内不予审批屠宰、酿造、含发酵工艺的粮食加工等废水排放量大且废水无法进入集中式污水处理厂处理的项目。</w:t>
                  </w:r>
                </w:p>
              </w:tc>
              <w:tc>
                <w:tcPr>
                  <w:tcW w:w="2770"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left"/>
                    <w:textAlignment w:val="baseline"/>
                    <w:rPr>
                      <w:szCs w:val="21"/>
                    </w:rPr>
                  </w:pPr>
                  <w:r>
                    <w:rPr>
                      <w:rFonts w:hint="eastAsia"/>
                      <w:szCs w:val="21"/>
                    </w:rPr>
                    <w:t>项目无生产废水排放，生活污水定期清运不外排。本项目位于《水污染防治重点单元》区域内，但不属于屠宰、酿造、含发酵工艺的粮食加工等废水排放量大且废水无法进入集中式污水处理厂处理的项目。</w:t>
                  </w:r>
                </w:p>
              </w:tc>
              <w:tc>
                <w:tcPr>
                  <w:tcW w:w="991" w:type="dxa"/>
                  <w:tcBorders>
                    <w:top w:val="single" w:color="000000" w:sz="4" w:space="0"/>
                    <w:left w:val="single" w:color="000000" w:sz="4" w:space="0"/>
                    <w:bottom w:val="single" w:color="000000" w:sz="8" w:space="0"/>
                  </w:tcBorders>
                  <w:shd w:val="clear" w:color="auto" w:fill="auto"/>
                  <w:vAlign w:val="center"/>
                </w:tcPr>
                <w:p>
                  <w:pPr>
                    <w:snapToGrid w:val="0"/>
                    <w:ind w:firstLine="105"/>
                    <w:jc w:val="center"/>
                    <w:textAlignment w:val="baseline"/>
                    <w:rPr>
                      <w:szCs w:val="21"/>
                    </w:rPr>
                  </w:pPr>
                  <w:r>
                    <w:rPr>
                      <w:rFonts w:hint="eastAsia"/>
                    </w:rPr>
                    <w:t>不属于严控部分区域重污染类的建设项目</w:t>
                  </w:r>
                </w:p>
              </w:tc>
            </w:tr>
          </w:tbl>
          <w:p>
            <w:pPr>
              <w:spacing w:line="440" w:lineRule="exact"/>
              <w:ind w:firstLine="461"/>
              <w:jc w:val="left"/>
              <w:rPr>
                <w:b/>
                <w:sz w:val="24"/>
              </w:rPr>
            </w:pPr>
            <w:r>
              <w:rPr>
                <w:sz w:val="24"/>
              </w:rPr>
              <w:t>由表</w:t>
            </w:r>
            <w:r>
              <w:rPr>
                <w:rFonts w:hint="eastAsia"/>
                <w:sz w:val="24"/>
              </w:rPr>
              <w:t>9</w:t>
            </w:r>
            <w:r>
              <w:rPr>
                <w:sz w:val="24"/>
              </w:rPr>
              <w:t>可知，本项目不属于《通知》中所列不予审批的项目，符合审批条件</w:t>
            </w:r>
            <w:r>
              <w:rPr>
                <w:b/>
                <w:sz w:val="24"/>
              </w:rPr>
              <w:t>。</w:t>
            </w:r>
          </w:p>
          <w:p>
            <w:pPr>
              <w:spacing w:line="440" w:lineRule="exact"/>
              <w:ind w:firstLine="482"/>
              <w:jc w:val="left"/>
              <w:rPr>
                <w:rFonts w:hAnsiTheme="majorEastAsia" w:eastAsiaTheme="majorEastAsia"/>
                <w:b/>
                <w:sz w:val="24"/>
              </w:rPr>
            </w:pPr>
            <w:r>
              <w:rPr>
                <w:rFonts w:hint="eastAsia"/>
                <w:b/>
                <w:sz w:val="24"/>
              </w:rPr>
              <w:t>2</w:t>
            </w:r>
            <w:r>
              <w:rPr>
                <w:b/>
                <w:sz w:val="24"/>
              </w:rPr>
              <w:t>、</w:t>
            </w:r>
            <w:r>
              <w:rPr>
                <w:rFonts w:hAnsiTheme="majorEastAsia" w:eastAsiaTheme="majorEastAsia"/>
                <w:b/>
                <w:sz w:val="24"/>
              </w:rPr>
              <w:t>与《新乡市环境污染防治攻坚战三年行动实施方案（</w:t>
            </w:r>
            <w:r>
              <w:rPr>
                <w:rFonts w:eastAsiaTheme="majorEastAsia"/>
                <w:b/>
                <w:sz w:val="24"/>
              </w:rPr>
              <w:t>2018-2020</w:t>
            </w:r>
            <w:r>
              <w:rPr>
                <w:rFonts w:hAnsiTheme="majorEastAsia" w:eastAsiaTheme="majorEastAsia"/>
                <w:b/>
                <w:sz w:val="24"/>
              </w:rPr>
              <w:t>年）》（新政</w:t>
            </w:r>
            <w:r>
              <w:rPr>
                <w:rFonts w:eastAsiaTheme="majorEastAsia"/>
                <w:b/>
                <w:sz w:val="24"/>
              </w:rPr>
              <w:t>[2018]11</w:t>
            </w:r>
            <w:r>
              <w:rPr>
                <w:rFonts w:hAnsiTheme="majorEastAsia" w:eastAsiaTheme="majorEastAsia"/>
                <w:b/>
                <w:sz w:val="24"/>
              </w:rPr>
              <w:t>号）（简称《新乡市三年行动方案》）对比分析</w:t>
            </w:r>
          </w:p>
          <w:p>
            <w:pPr>
              <w:spacing w:line="440" w:lineRule="exact"/>
              <w:ind w:firstLine="480"/>
              <w:textAlignment w:val="baseline"/>
              <w:rPr>
                <w:rFonts w:eastAsia="黑体"/>
                <w:sz w:val="24"/>
              </w:rPr>
            </w:pPr>
          </w:p>
          <w:p>
            <w:pPr>
              <w:spacing w:line="440" w:lineRule="exact"/>
              <w:ind w:firstLine="480"/>
              <w:textAlignment w:val="baseline"/>
              <w:rPr>
                <w:rFonts w:eastAsia="黑体"/>
                <w:sz w:val="24"/>
              </w:rPr>
            </w:pPr>
          </w:p>
          <w:p>
            <w:pPr>
              <w:spacing w:line="440" w:lineRule="exact"/>
              <w:ind w:firstLine="480"/>
              <w:textAlignment w:val="baseline"/>
              <w:rPr>
                <w:rFonts w:eastAsia="黑体"/>
                <w:sz w:val="24"/>
              </w:rPr>
            </w:pPr>
          </w:p>
          <w:p>
            <w:pPr>
              <w:spacing w:line="440" w:lineRule="exact"/>
              <w:ind w:firstLine="480"/>
              <w:textAlignment w:val="baseline"/>
              <w:rPr>
                <w:rFonts w:eastAsia="黑体"/>
                <w:sz w:val="24"/>
              </w:rPr>
            </w:pPr>
            <w:r>
              <w:rPr>
                <w:rFonts w:eastAsia="黑体"/>
                <w:sz w:val="24"/>
              </w:rPr>
              <w:t>表1</w:t>
            </w:r>
            <w:r>
              <w:rPr>
                <w:rFonts w:hint="eastAsia" w:eastAsia="黑体"/>
                <w:sz w:val="24"/>
              </w:rPr>
              <w:t>0</w:t>
            </w:r>
            <w:r>
              <w:rPr>
                <w:rFonts w:eastAsia="黑体"/>
                <w:sz w:val="24"/>
              </w:rPr>
              <w:t xml:space="preserve">  </w:t>
            </w:r>
            <w:r>
              <w:rPr>
                <w:rFonts w:hint="eastAsia" w:eastAsia="黑体"/>
                <w:sz w:val="24"/>
              </w:rPr>
              <w:t xml:space="preserve">                          </w:t>
            </w:r>
            <w:r>
              <w:rPr>
                <w:rFonts w:eastAsia="黑体"/>
                <w:sz w:val="24"/>
              </w:rPr>
              <w:t>与《新乡市三年行动方案》对比分析</w:t>
            </w:r>
          </w:p>
          <w:tbl>
            <w:tblPr>
              <w:tblStyle w:val="19"/>
              <w:tblW w:w="5000" w:type="pct"/>
              <w:jc w:val="center"/>
              <w:tblLayout w:type="autofit"/>
              <w:tblCellMar>
                <w:top w:w="0" w:type="dxa"/>
                <w:left w:w="108" w:type="dxa"/>
                <w:bottom w:w="0" w:type="dxa"/>
                <w:right w:w="108" w:type="dxa"/>
              </w:tblCellMar>
            </w:tblPr>
            <w:tblGrid>
              <w:gridCol w:w="884"/>
              <w:gridCol w:w="5006"/>
              <w:gridCol w:w="2595"/>
              <w:gridCol w:w="740"/>
            </w:tblGrid>
            <w:tr>
              <w:tblPrEx>
                <w:tblCellMar>
                  <w:top w:w="0" w:type="dxa"/>
                  <w:left w:w="108" w:type="dxa"/>
                  <w:bottom w:w="0" w:type="dxa"/>
                  <w:right w:w="108" w:type="dxa"/>
                </w:tblCellMar>
              </w:tblPrEx>
              <w:trPr>
                <w:trHeight w:val="397" w:hRule="atLeast"/>
                <w:jc w:val="center"/>
              </w:trPr>
              <w:tc>
                <w:tcPr>
                  <w:tcW w:w="5890" w:type="dxa"/>
                  <w:gridSpan w:val="2"/>
                  <w:tcBorders>
                    <w:top w:val="single" w:color="000000" w:sz="8" w:space="0"/>
                    <w:bottom w:val="single" w:color="000000" w:sz="4" w:space="0"/>
                    <w:right w:val="single" w:color="000000" w:sz="4" w:space="0"/>
                  </w:tcBorders>
                  <w:shd w:val="clear" w:color="auto" w:fill="auto"/>
                  <w:vAlign w:val="center"/>
                </w:tcPr>
                <w:p>
                  <w:pPr>
                    <w:snapToGrid w:val="0"/>
                    <w:jc w:val="center"/>
                    <w:rPr>
                      <w:b/>
                      <w:szCs w:val="21"/>
                    </w:rPr>
                  </w:pPr>
                  <w:r>
                    <w:rPr>
                      <w:b/>
                      <w:szCs w:val="21"/>
                    </w:rPr>
                    <w:t>与本项目相关条文</w:t>
                  </w:r>
                </w:p>
              </w:tc>
              <w:tc>
                <w:tcPr>
                  <w:tcW w:w="2595"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jc w:val="center"/>
                    <w:rPr>
                      <w:b/>
                      <w:szCs w:val="21"/>
                    </w:rPr>
                  </w:pPr>
                  <w:r>
                    <w:rPr>
                      <w:b/>
                      <w:szCs w:val="21"/>
                    </w:rPr>
                    <w:t>本项目情况</w:t>
                  </w:r>
                </w:p>
              </w:tc>
              <w:tc>
                <w:tcPr>
                  <w:tcW w:w="740" w:type="dxa"/>
                  <w:tcBorders>
                    <w:top w:val="single" w:color="000000" w:sz="8" w:space="0"/>
                    <w:left w:val="single" w:color="000000" w:sz="4" w:space="0"/>
                    <w:bottom w:val="single" w:color="000000" w:sz="4" w:space="0"/>
                  </w:tcBorders>
                  <w:shd w:val="clear" w:color="auto" w:fill="auto"/>
                  <w:vAlign w:val="center"/>
                </w:tcPr>
                <w:p>
                  <w:pPr>
                    <w:snapToGrid w:val="0"/>
                    <w:jc w:val="center"/>
                    <w:rPr>
                      <w:b/>
                      <w:szCs w:val="21"/>
                    </w:rPr>
                  </w:pPr>
                  <w:r>
                    <w:rPr>
                      <w:b/>
                      <w:szCs w:val="21"/>
                    </w:rPr>
                    <w:t>对比结果</w:t>
                  </w:r>
                </w:p>
              </w:tc>
            </w:tr>
            <w:tr>
              <w:tblPrEx>
                <w:tblCellMar>
                  <w:top w:w="0" w:type="dxa"/>
                  <w:left w:w="108" w:type="dxa"/>
                  <w:bottom w:w="0" w:type="dxa"/>
                  <w:right w:w="108" w:type="dxa"/>
                </w:tblCellMar>
              </w:tblPrEx>
              <w:trPr>
                <w:trHeight w:val="397" w:hRule="atLeast"/>
                <w:jc w:val="center"/>
              </w:trPr>
              <w:tc>
                <w:tcPr>
                  <w:tcW w:w="884" w:type="dxa"/>
                  <w:tcBorders>
                    <w:top w:val="single" w:color="000000" w:sz="4" w:space="0"/>
                    <w:bottom w:val="single" w:color="000000" w:sz="4" w:space="0"/>
                    <w:right w:val="single" w:color="000000" w:sz="4" w:space="0"/>
                  </w:tcBorders>
                  <w:shd w:val="clear" w:color="auto" w:fill="auto"/>
                  <w:vAlign w:val="center"/>
                </w:tcPr>
                <w:p>
                  <w:pPr>
                    <w:rPr>
                      <w:szCs w:val="21"/>
                    </w:rPr>
                  </w:pPr>
                  <w:r>
                    <w:rPr>
                      <w:szCs w:val="21"/>
                    </w:rPr>
                    <w:t>9.严格环境准入门槛</w:t>
                  </w:r>
                </w:p>
              </w:tc>
              <w:tc>
                <w:tcPr>
                  <w:tcW w:w="50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Cs w:val="21"/>
                    </w:rPr>
                  </w:pPr>
                  <w:r>
                    <w:rPr>
                      <w:szCs w:val="21"/>
                    </w:rPr>
                    <w:t>其他新、改、扩建排放 VOCs 的项目，应从源头加强控制，使用低（无） VOCs 含量的原辅材料，配套安装高效收集、治理设施，其中新建涉 VOCs 排放的工业企业要入园区，实行区域内 VOCs 排放总量倍量削减替代。</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rPr>
                      <w:szCs w:val="21"/>
                    </w:rPr>
                  </w:pPr>
                  <w:r>
                    <w:rPr>
                      <w:szCs w:val="21"/>
                    </w:rPr>
                    <w:t>本项目为扩建项目</w:t>
                  </w:r>
                  <w:r>
                    <w:rPr>
                      <w:rFonts w:hint="eastAsia"/>
                      <w:szCs w:val="21"/>
                    </w:rPr>
                    <w:t>，</w:t>
                  </w:r>
                  <w:r>
                    <w:rPr>
                      <w:szCs w:val="21"/>
                    </w:rPr>
                    <w:t>项目</w:t>
                  </w:r>
                  <w:r>
                    <w:rPr>
                      <w:szCs w:val="21"/>
                      <w:lang w:val="zh-CN"/>
                    </w:rPr>
                    <w:t>产生VOCs的工段配套</w:t>
                  </w:r>
                  <w:r>
                    <w:rPr>
                      <w:szCs w:val="21"/>
                    </w:rPr>
                    <w:t>安装收集</w:t>
                  </w:r>
                  <w:r>
                    <w:rPr>
                      <w:szCs w:val="21"/>
                      <w:lang w:val="zh-CN"/>
                    </w:rPr>
                    <w:t>、治理措施</w:t>
                  </w:r>
                  <w:r>
                    <w:rPr>
                      <w:rFonts w:hint="eastAsia"/>
                      <w:szCs w:val="21"/>
                      <w:lang w:val="zh-CN"/>
                    </w:rPr>
                    <w:t>，VOCs排放量使用现有项目削减量，</w:t>
                  </w:r>
                  <w:r>
                    <w:rPr>
                      <w:szCs w:val="21"/>
                      <w:lang w:val="zh-CN"/>
                    </w:rPr>
                    <w:t>本项目不新增</w:t>
                  </w:r>
                  <w:r>
                    <w:rPr>
                      <w:rFonts w:hint="eastAsia"/>
                      <w:szCs w:val="21"/>
                      <w:lang w:val="zh-CN"/>
                    </w:rPr>
                    <w:t>VOCs排放量</w:t>
                  </w:r>
                  <w:r>
                    <w:rPr>
                      <w:szCs w:val="21"/>
                      <w:lang w:val="zh-CN"/>
                    </w:rPr>
                    <w:t>。</w:t>
                  </w:r>
                </w:p>
              </w:tc>
              <w:tc>
                <w:tcPr>
                  <w:tcW w:w="740" w:type="dxa"/>
                  <w:tcBorders>
                    <w:top w:val="single" w:color="000000" w:sz="4" w:space="0"/>
                    <w:left w:val="single" w:color="000000" w:sz="4" w:space="0"/>
                    <w:bottom w:val="single" w:color="000000" w:sz="4" w:space="0"/>
                  </w:tcBorders>
                  <w:shd w:val="clear" w:color="auto" w:fill="auto"/>
                  <w:vAlign w:val="center"/>
                </w:tcPr>
                <w:p>
                  <w:pPr>
                    <w:snapToGrid w:val="0"/>
                    <w:jc w:val="center"/>
                    <w:rPr>
                      <w:szCs w:val="21"/>
                    </w:rPr>
                  </w:pPr>
                  <w:r>
                    <w:rPr>
                      <w:szCs w:val="21"/>
                    </w:rPr>
                    <w:t>符合</w:t>
                  </w:r>
                </w:p>
              </w:tc>
            </w:tr>
            <w:tr>
              <w:tblPrEx>
                <w:tblCellMar>
                  <w:top w:w="0" w:type="dxa"/>
                  <w:left w:w="108" w:type="dxa"/>
                  <w:bottom w:w="0" w:type="dxa"/>
                  <w:right w:w="108" w:type="dxa"/>
                </w:tblCellMar>
              </w:tblPrEx>
              <w:trPr>
                <w:trHeight w:val="397" w:hRule="atLeast"/>
                <w:jc w:val="center"/>
              </w:trPr>
              <w:tc>
                <w:tcPr>
                  <w:tcW w:w="884" w:type="dxa"/>
                  <w:vMerge w:val="restart"/>
                  <w:tcBorders>
                    <w:top w:val="single" w:color="000000" w:sz="4" w:space="0"/>
                    <w:right w:val="single" w:color="000000" w:sz="4" w:space="0"/>
                  </w:tcBorders>
                  <w:shd w:val="clear" w:color="auto" w:fill="auto"/>
                  <w:vAlign w:val="center"/>
                </w:tcPr>
                <w:p>
                  <w:pPr>
                    <w:rPr>
                      <w:szCs w:val="21"/>
                    </w:rPr>
                  </w:pPr>
                  <w:r>
                    <w:rPr>
                      <w:rFonts w:hint="eastAsia"/>
                      <w:szCs w:val="21"/>
                    </w:rPr>
                    <w:t>20.加快工业源VOCs治理</w:t>
                  </w:r>
                </w:p>
              </w:tc>
              <w:tc>
                <w:tcPr>
                  <w:tcW w:w="50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szCs w:val="21"/>
                    </w:rPr>
                  </w:pPr>
                  <w:r>
                    <w:rPr>
                      <w:szCs w:val="21"/>
                    </w:rPr>
                    <w:t>坚持源头减排、过程控制、末端治理和强化管理相结合的综合防治原则，深入开展工业 VOCs治理。对VOCs废气末端处理工艺进行提升改造，鼓励企业采用多种技术组合工艺，提高VOCs治理效率。低温等离子体技术、光催化技术仅适用于处理低浓度有机废气或恶臭气体。</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rPr>
                      <w:szCs w:val="21"/>
                    </w:rPr>
                  </w:pPr>
                  <w:r>
                    <w:rPr>
                      <w:szCs w:val="21"/>
                    </w:rPr>
                    <w:t>本项目产生的废气属于1000ppm以下的低浓度VOCs废气。废气采用多种技术组合治理工艺：</w:t>
                  </w:r>
                  <w:r>
                    <w:rPr>
                      <w:rFonts w:ascii="宋体" w:hAnsi="宋体"/>
                      <w:szCs w:val="21"/>
                    </w:rPr>
                    <w:t>“</w:t>
                  </w:r>
                  <w:r>
                    <w:rPr>
                      <w:szCs w:val="21"/>
                    </w:rPr>
                    <w:t>UV光催化氧化装置+活性炭吸附装置</w:t>
                  </w:r>
                  <w:r>
                    <w:rPr>
                      <w:rFonts w:ascii="宋体" w:hAnsi="宋体"/>
                      <w:szCs w:val="21"/>
                    </w:rPr>
                    <w:t>”</w:t>
                  </w:r>
                  <w:r>
                    <w:rPr>
                      <w:szCs w:val="21"/>
                    </w:rPr>
                    <w:t>进行处理</w:t>
                  </w:r>
                  <w:r>
                    <w:rPr>
                      <w:rFonts w:hint="eastAsia"/>
                      <w:szCs w:val="21"/>
                    </w:rPr>
                    <w:t>，</w:t>
                  </w:r>
                  <w:r>
                    <w:rPr>
                      <w:rFonts w:hint="eastAsia"/>
                    </w:rPr>
                    <w:t>处理效率为90%</w:t>
                  </w:r>
                  <w:r>
                    <w:rPr>
                      <w:szCs w:val="21"/>
                    </w:rPr>
                    <w:t>。</w:t>
                  </w:r>
                </w:p>
              </w:tc>
              <w:tc>
                <w:tcPr>
                  <w:tcW w:w="740" w:type="dxa"/>
                  <w:tcBorders>
                    <w:top w:val="single" w:color="000000" w:sz="4" w:space="0"/>
                    <w:left w:val="single" w:color="000000" w:sz="4" w:space="0"/>
                    <w:bottom w:val="single" w:color="000000" w:sz="4" w:space="0"/>
                  </w:tcBorders>
                  <w:shd w:val="clear" w:color="auto" w:fill="auto"/>
                  <w:vAlign w:val="center"/>
                </w:tcPr>
                <w:p>
                  <w:pPr>
                    <w:adjustRightInd w:val="0"/>
                    <w:snapToGrid w:val="0"/>
                    <w:jc w:val="center"/>
                    <w:rPr>
                      <w:szCs w:val="21"/>
                    </w:rPr>
                  </w:pPr>
                  <w:r>
                    <w:rPr>
                      <w:szCs w:val="21"/>
                    </w:rPr>
                    <w:t>符合</w:t>
                  </w:r>
                </w:p>
              </w:tc>
            </w:tr>
            <w:tr>
              <w:tblPrEx>
                <w:tblCellMar>
                  <w:top w:w="0" w:type="dxa"/>
                  <w:left w:w="108" w:type="dxa"/>
                  <w:bottom w:w="0" w:type="dxa"/>
                  <w:right w:w="108" w:type="dxa"/>
                </w:tblCellMar>
              </w:tblPrEx>
              <w:trPr>
                <w:trHeight w:val="397" w:hRule="atLeast"/>
                <w:jc w:val="center"/>
              </w:trPr>
              <w:tc>
                <w:tcPr>
                  <w:tcW w:w="884" w:type="dxa"/>
                  <w:vMerge w:val="continue"/>
                  <w:tcBorders>
                    <w:bottom w:val="single" w:color="000000" w:sz="8" w:space="0"/>
                    <w:right w:val="single" w:color="000000" w:sz="4" w:space="0"/>
                  </w:tcBorders>
                  <w:shd w:val="clear" w:color="auto" w:fill="auto"/>
                  <w:vAlign w:val="center"/>
                </w:tcPr>
                <w:p>
                  <w:pPr>
                    <w:rPr>
                      <w:szCs w:val="21"/>
                    </w:rPr>
                  </w:pPr>
                </w:p>
              </w:tc>
              <w:tc>
                <w:tcPr>
                  <w:tcW w:w="5006" w:type="dxa"/>
                  <w:tcBorders>
                    <w:top w:val="single" w:color="000000" w:sz="4" w:space="0"/>
                    <w:left w:val="single" w:color="000000" w:sz="4" w:space="0"/>
                    <w:bottom w:val="single" w:color="000000" w:sz="8" w:space="0"/>
                    <w:right w:val="single" w:color="000000" w:sz="4" w:space="0"/>
                  </w:tcBorders>
                  <w:shd w:val="clear" w:color="auto" w:fill="auto"/>
                  <w:vAlign w:val="center"/>
                </w:tcPr>
                <w:p>
                  <w:pPr>
                    <w:rPr>
                      <w:szCs w:val="21"/>
                    </w:rPr>
                  </w:pPr>
                  <w:r>
                    <w:rPr>
                      <w:rFonts w:hint="eastAsia"/>
                      <w:szCs w:val="21"/>
                    </w:rPr>
                    <w:t>（4）</w:t>
                  </w:r>
                  <w:r>
                    <w:rPr>
                      <w:szCs w:val="21"/>
                    </w:rPr>
                    <w:t>强化其他工业行业 VOCs 综合治理</w:t>
                  </w:r>
                </w:p>
                <w:p>
                  <w:pPr>
                    <w:ind w:firstLine="420" w:firstLineChars="200"/>
                    <w:rPr>
                      <w:szCs w:val="21"/>
                      <w:lang w:bidi="zh-CN"/>
                    </w:rPr>
                  </w:pPr>
                  <w:r>
                    <w:rPr>
                      <w:szCs w:val="21"/>
                    </w:rPr>
                    <w:t>加强对纺织印染、木材加工等行业的VOCs治理力度，全面提升企业清洁生产水平。纺织印染行业应重点加强化纤纺丝、热定型、涂层等工序VOCs 排放治理</w:t>
                  </w:r>
                  <w:r>
                    <w:rPr>
                      <w:rFonts w:hint="eastAsia"/>
                      <w:szCs w:val="21"/>
                    </w:rPr>
                    <w:t>；</w:t>
                  </w:r>
                  <w:r>
                    <w:rPr>
                      <w:szCs w:val="21"/>
                    </w:rPr>
                    <w:t>木材加工行业应重点加强干燥、涂胶、热压过程VOCs 排放治理。有机原料、中间产品与成品全部密闭储存，有效控制产品储存VOCs逸散。产生VOCs的工序须密闭操作，并对相关废气进行有效收集和处理，建设吸附回收、吸附燃烧等高效治理设施，确保稳定达标排放。</w:t>
                  </w:r>
                </w:p>
              </w:tc>
              <w:tc>
                <w:tcPr>
                  <w:tcW w:w="2595" w:type="dxa"/>
                  <w:tcBorders>
                    <w:top w:val="single" w:color="000000" w:sz="4" w:space="0"/>
                    <w:left w:val="single" w:color="000000" w:sz="4" w:space="0"/>
                    <w:bottom w:val="single" w:color="000000" w:sz="8" w:space="0"/>
                    <w:right w:val="single" w:color="000000" w:sz="4" w:space="0"/>
                  </w:tcBorders>
                  <w:shd w:val="clear" w:color="auto" w:fill="auto"/>
                  <w:vAlign w:val="center"/>
                </w:tcPr>
                <w:p>
                  <w:pPr>
                    <w:adjustRightInd w:val="0"/>
                    <w:snapToGrid w:val="0"/>
                    <w:rPr>
                      <w:szCs w:val="21"/>
                    </w:rPr>
                  </w:pPr>
                  <w:r>
                    <w:rPr>
                      <w:szCs w:val="21"/>
                    </w:rPr>
                    <w:t>本项目属C2928 塑料零件制造</w:t>
                  </w:r>
                  <w:r>
                    <w:rPr>
                      <w:rFonts w:hint="eastAsia"/>
                      <w:szCs w:val="21"/>
                    </w:rPr>
                    <w:t>，注塑工序</w:t>
                  </w:r>
                  <w:r>
                    <w:rPr>
                      <w:bCs/>
                      <w:szCs w:val="21"/>
                    </w:rPr>
                    <w:t>有</w:t>
                  </w:r>
                  <w:r>
                    <w:rPr>
                      <w:szCs w:val="21"/>
                    </w:rPr>
                    <w:t>VOCs排放</w:t>
                  </w:r>
                  <w:r>
                    <w:rPr>
                      <w:bCs/>
                      <w:szCs w:val="21"/>
                    </w:rPr>
                    <w:t>，</w:t>
                  </w:r>
                  <w:r>
                    <w:rPr>
                      <w:rFonts w:hint="eastAsia"/>
                      <w:szCs w:val="21"/>
                    </w:rPr>
                    <w:t>评价要求将注塑区域密闭，废气采用负压收集，</w:t>
                  </w:r>
                  <w:r>
                    <w:rPr>
                      <w:rFonts w:hint="eastAsia"/>
                      <w:bCs/>
                      <w:szCs w:val="21"/>
                    </w:rPr>
                    <w:t>通过</w:t>
                  </w:r>
                  <w:r>
                    <w:rPr>
                      <w:szCs w:val="21"/>
                    </w:rPr>
                    <w:t>UV光催化氧化装置+活性炭吸附的组合工艺</w:t>
                  </w:r>
                  <w:r>
                    <w:rPr>
                      <w:bCs/>
                      <w:szCs w:val="21"/>
                    </w:rPr>
                    <w:t>处理</w:t>
                  </w:r>
                  <w:r>
                    <w:rPr>
                      <w:rFonts w:hint="eastAsia"/>
                      <w:bCs/>
                      <w:szCs w:val="21"/>
                    </w:rPr>
                    <w:t>，</w:t>
                  </w:r>
                  <w:r>
                    <w:rPr>
                      <w:bCs/>
                      <w:kern w:val="0"/>
                      <w:szCs w:val="21"/>
                    </w:rPr>
                    <w:t>能够做到有效收集和处理，并建设有吸附等高效治理措施</w:t>
                  </w:r>
                  <w:r>
                    <w:rPr>
                      <w:rFonts w:hint="eastAsia"/>
                      <w:bCs/>
                      <w:kern w:val="0"/>
                      <w:szCs w:val="21"/>
                    </w:rPr>
                    <w:t>，</w:t>
                  </w:r>
                  <w:r>
                    <w:rPr>
                      <w:bCs/>
                      <w:szCs w:val="21"/>
                    </w:rPr>
                    <w:t>能够做到稳定达标排放</w:t>
                  </w:r>
                  <w:r>
                    <w:rPr>
                      <w:bCs/>
                      <w:kern w:val="0"/>
                      <w:szCs w:val="21"/>
                    </w:rPr>
                    <w:t>。</w:t>
                  </w:r>
                </w:p>
              </w:tc>
              <w:tc>
                <w:tcPr>
                  <w:tcW w:w="740" w:type="dxa"/>
                  <w:tcBorders>
                    <w:top w:val="single" w:color="000000" w:sz="4" w:space="0"/>
                    <w:left w:val="single" w:color="000000" w:sz="4" w:space="0"/>
                    <w:bottom w:val="single" w:color="000000" w:sz="8" w:space="0"/>
                  </w:tcBorders>
                  <w:shd w:val="clear" w:color="auto" w:fill="auto"/>
                  <w:vAlign w:val="center"/>
                </w:tcPr>
                <w:p>
                  <w:pPr>
                    <w:adjustRightInd w:val="0"/>
                    <w:snapToGrid w:val="0"/>
                    <w:jc w:val="center"/>
                    <w:rPr>
                      <w:szCs w:val="21"/>
                    </w:rPr>
                  </w:pPr>
                  <w:r>
                    <w:rPr>
                      <w:szCs w:val="21"/>
                    </w:rPr>
                    <w:t>符合</w:t>
                  </w:r>
                </w:p>
              </w:tc>
            </w:tr>
          </w:tbl>
          <w:p>
            <w:pPr>
              <w:spacing w:line="460" w:lineRule="exact"/>
              <w:ind w:firstLine="480"/>
              <w:jc w:val="left"/>
              <w:rPr>
                <w:rFonts w:eastAsiaTheme="majorEastAsia"/>
                <w:sz w:val="24"/>
              </w:rPr>
            </w:pPr>
            <w:r>
              <w:rPr>
                <w:rFonts w:asciiTheme="majorEastAsia" w:hAnsiTheme="majorEastAsia"/>
                <w:sz w:val="24"/>
              </w:rPr>
              <w:t>由</w:t>
            </w:r>
            <w:r>
              <w:rPr>
                <w:rFonts w:hAnsiTheme="majorEastAsia" w:eastAsiaTheme="majorEastAsia"/>
                <w:sz w:val="24"/>
              </w:rPr>
              <w:t>上表可知，本项目符合《新乡市三年行动方案（2018-2020年）》（新政[2018]11号）相关要求。</w:t>
            </w:r>
          </w:p>
          <w:p>
            <w:pPr>
              <w:autoSpaceDN w:val="0"/>
              <w:spacing w:line="440" w:lineRule="exact"/>
              <w:ind w:firstLine="482" w:firstLineChars="200"/>
              <w:rPr>
                <w:b/>
                <w:kern w:val="0"/>
                <w:sz w:val="24"/>
              </w:rPr>
            </w:pPr>
            <w:r>
              <w:rPr>
                <w:rFonts w:hint="eastAsia"/>
                <w:b/>
                <w:sz w:val="24"/>
              </w:rPr>
              <w:t>3</w:t>
            </w:r>
            <w:r>
              <w:rPr>
                <w:b/>
                <w:sz w:val="24"/>
              </w:rPr>
              <w:t>、</w:t>
            </w:r>
            <w:r>
              <w:rPr>
                <w:b/>
                <w:kern w:val="0"/>
                <w:sz w:val="24"/>
              </w:rPr>
              <w:t>本项目与《新乡市环境污染防治攻坚指挥部办公室关于印发新乡市2019年大气污染防治攻坚战实施方案的通知》（</w:t>
            </w:r>
            <w:r>
              <w:rPr>
                <w:b/>
                <w:bCs/>
                <w:kern w:val="0"/>
                <w:sz w:val="24"/>
              </w:rPr>
              <w:t>新环攻坚办[2019]74号</w:t>
            </w:r>
            <w:r>
              <w:rPr>
                <w:b/>
                <w:kern w:val="0"/>
                <w:sz w:val="24"/>
              </w:rPr>
              <w:t>）（以下简称《通知》）对比分析</w:t>
            </w:r>
          </w:p>
          <w:p>
            <w:pPr>
              <w:widowControl/>
              <w:snapToGrid w:val="0"/>
              <w:spacing w:line="400" w:lineRule="exact"/>
              <w:ind w:firstLine="480" w:firstLineChars="200"/>
              <w:jc w:val="left"/>
              <w:rPr>
                <w:rFonts w:eastAsia="黑体"/>
                <w:kern w:val="0"/>
                <w:sz w:val="24"/>
              </w:rPr>
            </w:pPr>
            <w:r>
              <w:rPr>
                <w:rFonts w:eastAsia="黑体"/>
                <w:kern w:val="0"/>
                <w:sz w:val="24"/>
              </w:rPr>
              <w:t>表1</w:t>
            </w:r>
            <w:r>
              <w:rPr>
                <w:rFonts w:hint="eastAsia" w:eastAsia="黑体"/>
                <w:kern w:val="0"/>
                <w:sz w:val="24"/>
              </w:rPr>
              <w:t>1</w:t>
            </w:r>
            <w:r>
              <w:rPr>
                <w:rFonts w:eastAsia="黑体"/>
                <w:kern w:val="0"/>
                <w:sz w:val="24"/>
              </w:rPr>
              <w:t xml:space="preserve">    </w:t>
            </w:r>
            <w:r>
              <w:rPr>
                <w:rFonts w:hint="eastAsia" w:eastAsia="黑体"/>
                <w:kern w:val="0"/>
                <w:sz w:val="24"/>
              </w:rPr>
              <w:t xml:space="preserve">                           </w:t>
            </w:r>
            <w:r>
              <w:rPr>
                <w:rFonts w:eastAsia="黑体"/>
                <w:kern w:val="0"/>
                <w:sz w:val="24"/>
              </w:rPr>
              <w:t>本项目与《通知》对比分析一览表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4834"/>
              <w:gridCol w:w="2659"/>
              <w:gridCol w:w="96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6" w:type="dxa"/>
                  <w:gridSpan w:val="2"/>
                  <w:vAlign w:val="center"/>
                </w:tcPr>
                <w:p>
                  <w:pPr>
                    <w:widowControl/>
                    <w:jc w:val="center"/>
                    <w:rPr>
                      <w:b/>
                      <w:kern w:val="0"/>
                      <w:szCs w:val="21"/>
                    </w:rPr>
                  </w:pPr>
                  <w:r>
                    <w:rPr>
                      <w:b/>
                      <w:kern w:val="0"/>
                      <w:szCs w:val="21"/>
                    </w:rPr>
                    <w:t>《通知》中与本项目有关的内容</w:t>
                  </w:r>
                </w:p>
              </w:tc>
              <w:tc>
                <w:tcPr>
                  <w:tcW w:w="2659" w:type="dxa"/>
                  <w:vAlign w:val="center"/>
                </w:tcPr>
                <w:p>
                  <w:pPr>
                    <w:widowControl/>
                    <w:jc w:val="center"/>
                    <w:rPr>
                      <w:b/>
                      <w:kern w:val="0"/>
                      <w:szCs w:val="21"/>
                    </w:rPr>
                  </w:pPr>
                  <w:r>
                    <w:rPr>
                      <w:b/>
                      <w:kern w:val="0"/>
                      <w:szCs w:val="21"/>
                    </w:rPr>
                    <w:t>本项目情况</w:t>
                  </w:r>
                </w:p>
              </w:tc>
              <w:tc>
                <w:tcPr>
                  <w:tcW w:w="960" w:type="dxa"/>
                  <w:vAlign w:val="center"/>
                </w:tcPr>
                <w:p>
                  <w:pPr>
                    <w:widowControl/>
                    <w:jc w:val="left"/>
                    <w:rPr>
                      <w:b/>
                      <w:kern w:val="0"/>
                      <w:szCs w:val="21"/>
                    </w:rPr>
                  </w:pPr>
                  <w:r>
                    <w:rPr>
                      <w:b/>
                      <w:kern w:val="0"/>
                      <w:szCs w:val="21"/>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widowControl/>
                    <w:jc w:val="center"/>
                    <w:rPr>
                      <w:kern w:val="0"/>
                      <w:szCs w:val="21"/>
                    </w:rPr>
                  </w:pPr>
                  <w:r>
                    <w:rPr>
                      <w:kern w:val="0"/>
                      <w:szCs w:val="21"/>
                    </w:rPr>
                    <w:t>31、开展工业企业无组织排放治理</w:t>
                  </w:r>
                </w:p>
              </w:tc>
              <w:tc>
                <w:tcPr>
                  <w:tcW w:w="4834" w:type="dxa"/>
                  <w:vAlign w:val="center"/>
                </w:tcPr>
                <w:p>
                  <w:pPr>
                    <w:widowControl/>
                    <w:jc w:val="left"/>
                    <w:rPr>
                      <w:kern w:val="0"/>
                      <w:szCs w:val="21"/>
                    </w:rPr>
                  </w:pPr>
                  <w:r>
                    <w:rPr>
                      <w:kern w:val="0"/>
                      <w:szCs w:val="21"/>
                    </w:rPr>
                    <w:t>2019年10月底前，全市工业企业完成物料运输、生产工艺、堆场环节的无组织排放深度治理，全面实现“五到位、一密闭”。“五到位”即：</w:t>
                  </w:r>
                  <w:r>
                    <w:rPr>
                      <w:rFonts w:hint="eastAsia"/>
                      <w:kern w:val="0"/>
                      <w:szCs w:val="21"/>
                    </w:rPr>
                    <w:t>①</w:t>
                  </w:r>
                  <w:r>
                    <w:rPr>
                      <w:kern w:val="0"/>
                      <w:szCs w:val="21"/>
                    </w:rPr>
                    <w:t>生产过程收尘到位，生产工艺产尘点设置集气罩并配备除尘设施，不能有可见烟尘外逸；</w:t>
                  </w:r>
                  <w:r>
                    <w:rPr>
                      <w:rFonts w:hint="eastAsia"/>
                      <w:kern w:val="0"/>
                      <w:szCs w:val="21"/>
                    </w:rPr>
                    <w:t>②</w:t>
                  </w:r>
                  <w:r>
                    <w:rPr>
                      <w:kern w:val="0"/>
                      <w:szCs w:val="21"/>
                    </w:rPr>
                    <w:t>物料运输抑尘到位，粉状、粒状物料及燃料运输采用密闭皮带、密闭通廊、管状带式输送机或密闭车厢、真空罐车、气力输送等密闭方式，汽车、火车、皮带输送机等卸料点设置集气罩或密闭罩，并配备除尘设施；</w:t>
                  </w:r>
                  <w:r>
                    <w:rPr>
                      <w:rFonts w:hint="eastAsia"/>
                      <w:kern w:val="0"/>
                      <w:szCs w:val="21"/>
                    </w:rPr>
                    <w:t>③</w:t>
                  </w:r>
                  <w:r>
                    <w:rPr>
                      <w:kern w:val="0"/>
                      <w:szCs w:val="21"/>
                    </w:rPr>
                    <w:t>厂区道路除尘到位，路面实施硬化，定时进行洒水清扫，出口处配备车轮和车身清洗装置；</w:t>
                  </w:r>
                  <w:r>
                    <w:rPr>
                      <w:rFonts w:hint="eastAsia"/>
                      <w:kern w:val="0"/>
                      <w:szCs w:val="21"/>
                    </w:rPr>
                    <w:t>④</w:t>
                  </w:r>
                  <w:r>
                    <w:rPr>
                      <w:kern w:val="0"/>
                      <w:szCs w:val="21"/>
                    </w:rPr>
                    <w:t>裸露土地绿化到位，厂区内可见裸露土地全部绿化，确实不能绿化的尽可能硬化；</w:t>
                  </w:r>
                  <w:r>
                    <w:rPr>
                      <w:rFonts w:hint="eastAsia"/>
                      <w:kern w:val="0"/>
                      <w:szCs w:val="21"/>
                    </w:rPr>
                    <w:t>⑤</w:t>
                  </w:r>
                  <w:r>
                    <w:rPr>
                      <w:kern w:val="0"/>
                      <w:szCs w:val="21"/>
                    </w:rPr>
                    <w:t>无组织排放监控到位，因企制宜安装视频、空气微站、降尘缸、TSP（总悬浮颗粒物）等监控设施。“一密闭”即：厂区内贮存的各类易产生粉尘的物料及燃料全部密闭，禁止露天堆放。</w:t>
                  </w:r>
                </w:p>
              </w:tc>
              <w:tc>
                <w:tcPr>
                  <w:tcW w:w="2659" w:type="dxa"/>
                  <w:vAlign w:val="center"/>
                </w:tcPr>
                <w:p>
                  <w:pPr>
                    <w:rPr>
                      <w:bCs/>
                      <w:kern w:val="0"/>
                      <w:szCs w:val="21"/>
                    </w:rPr>
                  </w:pPr>
                  <w:r>
                    <w:rPr>
                      <w:kern w:val="0"/>
                      <w:szCs w:val="21"/>
                    </w:rPr>
                    <w:t>本项目能够做到</w:t>
                  </w:r>
                  <w:r>
                    <w:rPr>
                      <w:rFonts w:hint="eastAsia"/>
                      <w:kern w:val="0"/>
                      <w:szCs w:val="21"/>
                    </w:rPr>
                    <w:t>“五到位、一密闭”：①本项目</w:t>
                  </w:r>
                  <w:r>
                    <w:rPr>
                      <w:kern w:val="0"/>
                      <w:szCs w:val="21"/>
                    </w:rPr>
                    <w:t>无可见烟尘外逸</w:t>
                  </w:r>
                  <w:r>
                    <w:rPr>
                      <w:rFonts w:hint="eastAsia"/>
                      <w:kern w:val="0"/>
                      <w:szCs w:val="21"/>
                    </w:rPr>
                    <w:t>；②原辅材料均为颗粒状，均采用自动上料，并采取全密闭管道运输；③</w:t>
                  </w:r>
                  <w:r>
                    <w:rPr>
                      <w:kern w:val="0"/>
                      <w:szCs w:val="21"/>
                    </w:rPr>
                    <w:t>厂区道路已除尘到位</w:t>
                  </w:r>
                  <w:r>
                    <w:rPr>
                      <w:rFonts w:hint="eastAsia"/>
                      <w:kern w:val="0"/>
                      <w:szCs w:val="21"/>
                    </w:rPr>
                    <w:t>，</w:t>
                  </w:r>
                  <w:r>
                    <w:rPr>
                      <w:kern w:val="0"/>
                      <w:szCs w:val="21"/>
                    </w:rPr>
                    <w:t>路面全部硬化</w:t>
                  </w:r>
                  <w:r>
                    <w:rPr>
                      <w:rFonts w:hint="eastAsia"/>
                      <w:kern w:val="0"/>
                      <w:szCs w:val="21"/>
                    </w:rPr>
                    <w:t>，厂房及仓库均全部硬化，</w:t>
                  </w:r>
                  <w:r>
                    <w:rPr>
                      <w:kern w:val="0"/>
                      <w:szCs w:val="21"/>
                    </w:rPr>
                    <w:t>定时洒水清扫</w:t>
                  </w:r>
                  <w:r>
                    <w:rPr>
                      <w:rFonts w:hint="eastAsia"/>
                      <w:kern w:val="0"/>
                      <w:szCs w:val="21"/>
                    </w:rPr>
                    <w:t>；④</w:t>
                  </w:r>
                  <w:r>
                    <w:rPr>
                      <w:kern w:val="0"/>
                      <w:szCs w:val="21"/>
                    </w:rPr>
                    <w:t>裸露土地已全部绿化到位</w:t>
                  </w:r>
                  <w:r>
                    <w:rPr>
                      <w:rFonts w:hint="eastAsia"/>
                      <w:kern w:val="0"/>
                      <w:szCs w:val="21"/>
                    </w:rPr>
                    <w:t>，</w:t>
                  </w:r>
                  <w:r>
                    <w:rPr>
                      <w:kern w:val="0"/>
                      <w:szCs w:val="21"/>
                    </w:rPr>
                    <w:t>厂区内可见裸露土地全部绿化</w:t>
                  </w:r>
                  <w:r>
                    <w:rPr>
                      <w:rFonts w:hint="eastAsia"/>
                      <w:kern w:val="0"/>
                      <w:szCs w:val="21"/>
                    </w:rPr>
                    <w:t>；⑤</w:t>
                  </w:r>
                  <w:r>
                    <w:rPr>
                      <w:bCs/>
                      <w:kern w:val="0"/>
                      <w:szCs w:val="21"/>
                    </w:rPr>
                    <w:t>企业应按照要求安装无组织在线监控设施。</w:t>
                  </w:r>
                </w:p>
                <w:p>
                  <w:pPr>
                    <w:rPr>
                      <w:kern w:val="0"/>
                      <w:szCs w:val="21"/>
                    </w:rPr>
                  </w:pPr>
                  <w:r>
                    <w:rPr>
                      <w:rFonts w:hint="eastAsia"/>
                      <w:bCs/>
                      <w:kern w:val="0"/>
                      <w:szCs w:val="21"/>
                    </w:rPr>
                    <w:t>“一密闭”：</w:t>
                  </w:r>
                  <w:r>
                    <w:rPr>
                      <w:rFonts w:hint="eastAsia"/>
                      <w:kern w:val="0"/>
                      <w:szCs w:val="21"/>
                    </w:rPr>
                    <w:t>物料拟全部</w:t>
                  </w:r>
                  <w:r>
                    <w:rPr>
                      <w:kern w:val="0"/>
                      <w:szCs w:val="21"/>
                    </w:rPr>
                    <w:t>存放于密闭仓库内</w:t>
                  </w:r>
                  <w:r>
                    <w:rPr>
                      <w:rFonts w:hint="eastAsia"/>
                      <w:kern w:val="0"/>
                      <w:szCs w:val="21"/>
                    </w:rPr>
                    <w:t>。</w:t>
                  </w:r>
                </w:p>
              </w:tc>
              <w:tc>
                <w:tcPr>
                  <w:tcW w:w="960" w:type="dxa"/>
                  <w:vAlign w:val="center"/>
                </w:tcPr>
                <w:p>
                  <w:pPr>
                    <w:widowControl/>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widowControl/>
                    <w:jc w:val="left"/>
                    <w:rPr>
                      <w:kern w:val="0"/>
                      <w:szCs w:val="21"/>
                    </w:rPr>
                  </w:pPr>
                  <w:r>
                    <w:rPr>
                      <w:kern w:val="0"/>
                      <w:szCs w:val="21"/>
                    </w:rPr>
                    <w:t>33、开展VOCs专项治理</w:t>
                  </w:r>
                </w:p>
              </w:tc>
              <w:tc>
                <w:tcPr>
                  <w:tcW w:w="4834" w:type="dxa"/>
                  <w:vAlign w:val="center"/>
                </w:tcPr>
                <w:p>
                  <w:pPr>
                    <w:widowControl/>
                    <w:jc w:val="left"/>
                    <w:outlineLvl w:val="0"/>
                    <w:rPr>
                      <w:kern w:val="0"/>
                      <w:szCs w:val="21"/>
                    </w:rPr>
                  </w:pPr>
                  <w:r>
                    <w:rPr>
                      <w:kern w:val="0"/>
                      <w:szCs w:val="21"/>
                    </w:rPr>
                    <w:t>2019年6月底前，全市石油化学、石油炼制、表面涂装、印刷、化工、制药等工业企业，全面完成VOCs无组织排放治理，原料、中间产品与成品应密闭储存，排放VOCs的生产工序要在密闭空间或设备中实施，对产生的含VOCs废气进行净化处理，达到河南省工业企业挥发性有机物专项治理工作中排放建议值要求。8月底前，全市石油化学、石油炼制企业完成VOCs深度治理和第二轮LDAR（泄漏检测与修复）治理，石油炼制企业VOCs排放要达到《石油炼制工业污染物排放标准（GB31570—2015）》特别排放限值要求，石油化学企业VOCs排放要达到《石油化学行业污染物排放标准（GB31571—2015）》特别排放限值要求。12月底前，省辖市建成区全面淘汰开启式干洗机。</w:t>
                  </w:r>
                </w:p>
              </w:tc>
              <w:tc>
                <w:tcPr>
                  <w:tcW w:w="2659" w:type="dxa"/>
                  <w:vAlign w:val="center"/>
                </w:tcPr>
                <w:p>
                  <w:pPr>
                    <w:widowControl/>
                    <w:jc w:val="left"/>
                    <w:rPr>
                      <w:kern w:val="0"/>
                      <w:szCs w:val="21"/>
                    </w:rPr>
                  </w:pPr>
                  <w:r>
                    <w:rPr>
                      <w:kern w:val="0"/>
                      <w:szCs w:val="21"/>
                    </w:rPr>
                    <w:t>本项目属于</w:t>
                  </w:r>
                  <w:r>
                    <w:rPr>
                      <w:bCs/>
                      <w:kern w:val="0"/>
                      <w:szCs w:val="21"/>
                    </w:rPr>
                    <w:t>C2928 塑料零件制造，废气为非甲烷总烃，废气收集后经UV光催化氧化装置+活性炭吸附装置处理后有组织排放，废气排放满足</w:t>
                  </w:r>
                  <w:r>
                    <w:rPr>
                      <w:kern w:val="0"/>
                      <w:szCs w:val="21"/>
                    </w:rPr>
                    <w:t>河南省工业企业挥发性有机物专项治理工作中排放建议值要求。</w:t>
                  </w:r>
                </w:p>
              </w:tc>
              <w:tc>
                <w:tcPr>
                  <w:tcW w:w="960" w:type="dxa"/>
                  <w:vAlign w:val="center"/>
                </w:tcPr>
                <w:p>
                  <w:pPr>
                    <w:widowControl/>
                    <w:jc w:val="center"/>
                    <w:rPr>
                      <w:kern w:val="0"/>
                      <w:szCs w:val="21"/>
                    </w:rPr>
                  </w:pPr>
                  <w:r>
                    <w:rPr>
                      <w:kern w:val="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widowControl/>
                    <w:jc w:val="left"/>
                    <w:rPr>
                      <w:kern w:val="0"/>
                      <w:szCs w:val="21"/>
                    </w:rPr>
                  </w:pPr>
                  <w:r>
                    <w:rPr>
                      <w:kern w:val="0"/>
                      <w:szCs w:val="21"/>
                    </w:rPr>
                    <w:t>43、加快构建工业企业全方位监控体系</w:t>
                  </w:r>
                </w:p>
              </w:tc>
              <w:tc>
                <w:tcPr>
                  <w:tcW w:w="4834" w:type="dxa"/>
                  <w:vAlign w:val="center"/>
                </w:tcPr>
                <w:p>
                  <w:pPr>
                    <w:widowControl/>
                    <w:jc w:val="left"/>
                    <w:rPr>
                      <w:kern w:val="0"/>
                      <w:szCs w:val="21"/>
                    </w:rPr>
                  </w:pPr>
                  <w:r>
                    <w:rPr>
                      <w:kern w:val="0"/>
                      <w:szCs w:val="21"/>
                    </w:rPr>
                    <w:t>开展VOCs排放监控。构建工业企业VOCs排放监控体系，依据《固定污染源废气非甲烷总烃连续监测系统技术要求及检测方法（HJ 1013—2018）》，制定VOCs在线监控设备安装、运行、比对及联网技术规范；将石油炼制、石油化学、包装印刷、工业涂装、化工等VOCs 排放重点企业纳入重点排污单位名录，12月底前，安装VOCs排放自动监控设备并与环保部门联网，实现石化、现代煤化工等行业LDAR相关无组织排放数据与环保监管部门共享，基本实现重点涉VOCs企业排放监控全覆盖。</w:t>
                  </w:r>
                </w:p>
              </w:tc>
              <w:tc>
                <w:tcPr>
                  <w:tcW w:w="2659" w:type="dxa"/>
                  <w:vAlign w:val="center"/>
                </w:tcPr>
                <w:p>
                  <w:pPr>
                    <w:widowControl/>
                    <w:jc w:val="left"/>
                    <w:rPr>
                      <w:bCs/>
                      <w:kern w:val="0"/>
                      <w:szCs w:val="21"/>
                    </w:rPr>
                  </w:pPr>
                  <w:r>
                    <w:rPr>
                      <w:kern w:val="0"/>
                      <w:szCs w:val="21"/>
                    </w:rPr>
                    <w:t>本项目属于</w:t>
                  </w:r>
                  <w:r>
                    <w:rPr>
                      <w:bCs/>
                      <w:kern w:val="0"/>
                      <w:szCs w:val="21"/>
                    </w:rPr>
                    <w:t>C2928 塑料零件制造</w:t>
                  </w:r>
                  <w:r>
                    <w:rPr>
                      <w:rFonts w:hint="eastAsia"/>
                      <w:bCs/>
                      <w:kern w:val="0"/>
                      <w:szCs w:val="21"/>
                    </w:rPr>
                    <w:t>，</w:t>
                  </w:r>
                  <w:r>
                    <w:rPr>
                      <w:szCs w:val="21"/>
                    </w:rPr>
                    <w:t>非包装印刷、工业涂装、化工等行业，</w:t>
                  </w:r>
                  <w:r>
                    <w:rPr>
                      <w:kern w:val="0"/>
                      <w:szCs w:val="21"/>
                    </w:rPr>
                    <w:t>不属于重点排污单位名录</w:t>
                  </w:r>
                  <w:r>
                    <w:rPr>
                      <w:szCs w:val="21"/>
                    </w:rPr>
                    <w:t>。评价提出，项目建成后</w:t>
                  </w:r>
                  <w:r>
                    <w:rPr>
                      <w:bCs/>
                      <w:szCs w:val="21"/>
                    </w:rPr>
                    <w:t>按照要求，安装</w:t>
                  </w:r>
                  <w:r>
                    <w:rPr>
                      <w:szCs w:val="21"/>
                    </w:rPr>
                    <w:t>自动监控设施</w:t>
                  </w:r>
                  <w:r>
                    <w:rPr>
                      <w:bCs/>
                      <w:szCs w:val="21"/>
                    </w:rPr>
                    <w:t>。</w:t>
                  </w:r>
                </w:p>
              </w:tc>
              <w:tc>
                <w:tcPr>
                  <w:tcW w:w="960" w:type="dxa"/>
                  <w:vAlign w:val="center"/>
                </w:tcPr>
                <w:p>
                  <w:pPr>
                    <w:widowControl/>
                    <w:jc w:val="center"/>
                    <w:rPr>
                      <w:kern w:val="0"/>
                      <w:szCs w:val="21"/>
                    </w:rPr>
                  </w:pPr>
                  <w:r>
                    <w:rPr>
                      <w:kern w:val="0"/>
                      <w:szCs w:val="21"/>
                    </w:rPr>
                    <w:t>符合</w:t>
                  </w:r>
                </w:p>
              </w:tc>
            </w:tr>
          </w:tbl>
          <w:p>
            <w:pPr>
              <w:spacing w:line="400" w:lineRule="exact"/>
              <w:ind w:firstLine="480" w:firstLineChars="200"/>
              <w:rPr>
                <w:kern w:val="0"/>
                <w:sz w:val="24"/>
              </w:rPr>
            </w:pPr>
            <w:r>
              <w:rPr>
                <w:kern w:val="0"/>
                <w:sz w:val="24"/>
              </w:rPr>
              <w:t>由上表可知，本项目符合《通知》的要求。</w:t>
            </w:r>
          </w:p>
          <w:p>
            <w:pPr>
              <w:spacing w:line="440" w:lineRule="exact"/>
              <w:ind w:firstLine="503"/>
              <w:textAlignment w:val="baseline"/>
              <w:rPr>
                <w:b/>
                <w:sz w:val="24"/>
              </w:rPr>
            </w:pPr>
            <w:r>
              <w:rPr>
                <w:rFonts w:hint="eastAsia"/>
                <w:b/>
                <w:sz w:val="24"/>
              </w:rPr>
              <w:t>4、</w:t>
            </w:r>
            <w:r>
              <w:rPr>
                <w:b/>
                <w:sz w:val="24"/>
              </w:rPr>
              <w:t>本项目与《</w:t>
            </w:r>
            <w:r>
              <w:rPr>
                <w:rFonts w:hint="eastAsia"/>
                <w:b/>
                <w:sz w:val="24"/>
              </w:rPr>
              <w:t>新乡市生态环境局</w:t>
            </w:r>
            <w:r>
              <w:rPr>
                <w:b/>
                <w:sz w:val="24"/>
              </w:rPr>
              <w:t>关于印发</w:t>
            </w:r>
            <w:r>
              <w:rPr>
                <w:rFonts w:hint="eastAsia"/>
                <w:b/>
                <w:sz w:val="24"/>
              </w:rPr>
              <w:t>新乡市</w:t>
            </w:r>
            <w:r>
              <w:rPr>
                <w:b/>
                <w:sz w:val="24"/>
              </w:rPr>
              <w:t>2019年</w:t>
            </w:r>
            <w:r>
              <w:rPr>
                <w:rFonts w:hint="eastAsia"/>
                <w:b/>
                <w:sz w:val="24"/>
              </w:rPr>
              <w:t>工业企业无组织排放</w:t>
            </w:r>
            <w:r>
              <w:rPr>
                <w:b/>
                <w:sz w:val="24"/>
              </w:rPr>
              <w:t>治理方案的通知》（以下简称《通知》）的对比分析</w:t>
            </w:r>
          </w:p>
          <w:p>
            <w:pPr>
              <w:snapToGrid w:val="0"/>
              <w:spacing w:line="440" w:lineRule="exact"/>
              <w:ind w:firstLine="480" w:firstLineChars="200"/>
              <w:rPr>
                <w:sz w:val="24"/>
                <w:szCs w:val="28"/>
              </w:rPr>
            </w:pPr>
            <w:r>
              <w:rPr>
                <w:sz w:val="24"/>
                <w:szCs w:val="28"/>
              </w:rPr>
              <w:t>本项目不</w:t>
            </w:r>
            <w:r>
              <w:rPr>
                <w:rFonts w:hint="eastAsia"/>
                <w:sz w:val="24"/>
                <w:szCs w:val="28"/>
              </w:rPr>
              <w:t>存在无组织排放</w:t>
            </w:r>
            <w:r>
              <w:rPr>
                <w:sz w:val="24"/>
                <w:szCs w:val="28"/>
              </w:rPr>
              <w:t>，本项目符合《通知》中“</w:t>
            </w:r>
            <w:r>
              <w:rPr>
                <w:rFonts w:hint="eastAsia"/>
                <w:sz w:val="24"/>
                <w:szCs w:val="28"/>
              </w:rPr>
              <w:t>新乡市</w:t>
            </w:r>
            <w:r>
              <w:rPr>
                <w:sz w:val="24"/>
                <w:szCs w:val="28"/>
              </w:rPr>
              <w:t>2019年</w:t>
            </w:r>
            <w:r>
              <w:rPr>
                <w:rFonts w:hint="eastAsia"/>
                <w:sz w:val="24"/>
                <w:szCs w:val="28"/>
              </w:rPr>
              <w:t>工业企业无组织排放</w:t>
            </w:r>
            <w:r>
              <w:rPr>
                <w:sz w:val="24"/>
                <w:szCs w:val="28"/>
              </w:rPr>
              <w:t>治理方案”的相关内容，具体对比分析如下：</w:t>
            </w:r>
          </w:p>
          <w:p>
            <w:pPr>
              <w:snapToGrid w:val="0"/>
              <w:spacing w:line="440" w:lineRule="exact"/>
              <w:ind w:firstLine="480" w:firstLineChars="200"/>
              <w:rPr>
                <w:sz w:val="24"/>
                <w:szCs w:val="28"/>
              </w:rPr>
            </w:pPr>
          </w:p>
          <w:p>
            <w:pPr>
              <w:snapToGrid w:val="0"/>
              <w:spacing w:line="440" w:lineRule="exact"/>
              <w:ind w:firstLine="480" w:firstLineChars="200"/>
              <w:rPr>
                <w:sz w:val="24"/>
                <w:szCs w:val="28"/>
              </w:rPr>
            </w:pPr>
          </w:p>
          <w:p>
            <w:pPr>
              <w:snapToGrid w:val="0"/>
              <w:spacing w:line="440" w:lineRule="exact"/>
              <w:ind w:firstLine="480" w:firstLineChars="200"/>
              <w:rPr>
                <w:sz w:val="24"/>
                <w:szCs w:val="28"/>
              </w:rPr>
            </w:pPr>
          </w:p>
          <w:p>
            <w:pPr>
              <w:snapToGrid w:val="0"/>
              <w:spacing w:line="440" w:lineRule="exact"/>
              <w:ind w:firstLine="480" w:firstLineChars="200"/>
              <w:rPr>
                <w:sz w:val="24"/>
                <w:szCs w:val="28"/>
              </w:rPr>
            </w:pPr>
          </w:p>
          <w:p>
            <w:pPr>
              <w:snapToGrid w:val="0"/>
              <w:spacing w:line="440" w:lineRule="exact"/>
              <w:ind w:firstLine="480" w:firstLineChars="200"/>
              <w:rPr>
                <w:sz w:val="24"/>
                <w:szCs w:val="28"/>
              </w:rPr>
            </w:pPr>
          </w:p>
          <w:p>
            <w:pPr>
              <w:snapToGrid w:val="0"/>
              <w:spacing w:line="440" w:lineRule="exact"/>
              <w:ind w:firstLine="480" w:firstLineChars="200"/>
              <w:rPr>
                <w:sz w:val="24"/>
                <w:szCs w:val="28"/>
              </w:rPr>
            </w:pPr>
          </w:p>
          <w:p>
            <w:pPr>
              <w:snapToGrid w:val="0"/>
              <w:spacing w:line="440" w:lineRule="exact"/>
              <w:ind w:firstLine="480" w:firstLineChars="200"/>
              <w:rPr>
                <w:rFonts w:eastAsia="黑体"/>
                <w:sz w:val="24"/>
              </w:rPr>
            </w:pPr>
            <w:r>
              <w:rPr>
                <w:rFonts w:hAnsi="黑体" w:eastAsia="黑体"/>
                <w:sz w:val="24"/>
              </w:rPr>
              <w:t>表</w:t>
            </w:r>
            <w:r>
              <w:rPr>
                <w:rFonts w:hint="eastAsia" w:eastAsia="黑体"/>
                <w:sz w:val="24"/>
              </w:rPr>
              <w:t xml:space="preserve">12                          </w:t>
            </w:r>
            <w:r>
              <w:rPr>
                <w:rFonts w:hAnsi="黑体" w:eastAsia="黑体"/>
                <w:sz w:val="24"/>
              </w:rPr>
              <w:t>本项目与《通知》对比分析一览表</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4678"/>
              <w:gridCol w:w="2473"/>
              <w:gridCol w:w="9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4" w:type="dxa"/>
                  <w:gridSpan w:val="2"/>
                  <w:vAlign w:val="center"/>
                </w:tcPr>
                <w:p>
                  <w:pPr>
                    <w:jc w:val="center"/>
                    <w:rPr>
                      <w:b/>
                    </w:rPr>
                  </w:pPr>
                  <w:r>
                    <w:rPr>
                      <w:b/>
                    </w:rPr>
                    <w:t>《通知》中与本项目有关的内容</w:t>
                  </w:r>
                </w:p>
              </w:tc>
              <w:tc>
                <w:tcPr>
                  <w:tcW w:w="2473" w:type="dxa"/>
                  <w:vAlign w:val="center"/>
                </w:tcPr>
                <w:p>
                  <w:pPr>
                    <w:jc w:val="center"/>
                    <w:rPr>
                      <w:b/>
                    </w:rPr>
                  </w:pPr>
                  <w:r>
                    <w:rPr>
                      <w:b/>
                    </w:rPr>
                    <w:t>本项目情况</w:t>
                  </w:r>
                </w:p>
              </w:tc>
              <w:tc>
                <w:tcPr>
                  <w:tcW w:w="950" w:type="dxa"/>
                  <w:vAlign w:val="center"/>
                </w:tcPr>
                <w:p>
                  <w:pPr>
                    <w:rPr>
                      <w:b/>
                    </w:rPr>
                  </w:pPr>
                  <w:r>
                    <w:rPr>
                      <w:b/>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Align w:val="center"/>
                </w:tcPr>
                <w:p>
                  <w:pPr>
                    <w:jc w:val="center"/>
                  </w:pPr>
                  <w:r>
                    <w:rPr>
                      <w:rFonts w:hint="eastAsia"/>
                    </w:rPr>
                    <w:t>二</w:t>
                  </w:r>
                  <w:r>
                    <w:t>、</w:t>
                  </w:r>
                  <w:r>
                    <w:rPr>
                      <w:rFonts w:hint="eastAsia"/>
                    </w:rPr>
                    <w:t>治理</w:t>
                  </w:r>
                  <w:r>
                    <w:t>目标</w:t>
                  </w:r>
                </w:p>
              </w:tc>
              <w:tc>
                <w:tcPr>
                  <w:tcW w:w="4678" w:type="dxa"/>
                  <w:vAlign w:val="center"/>
                </w:tcPr>
                <w:p>
                  <w:r>
                    <w:rPr>
                      <w:rFonts w:hint="eastAsia"/>
                    </w:rPr>
                    <w:t>2019年10月底前，完成物料运输、生产工艺、堆场环节的无组织排放深度治理，推动全市涉气企业全面实现“五到位、一密闭”</w:t>
                  </w:r>
                  <w:r>
                    <w:t>。</w:t>
                  </w:r>
                </w:p>
                <w:p>
                  <w:r>
                    <w:rPr>
                      <w:rFonts w:hint="eastAsia"/>
                    </w:rPr>
                    <w:t>2019年6月底前，全面完成重点行业VOCs无组织排放治理，原料、中间产品与成品应密闭储存，排放VOCs的生产工序要在密闭空间或设备中实施，对产生的含VOCs废气进行净化处理，做到达标排放。</w:t>
                  </w:r>
                </w:p>
              </w:tc>
              <w:tc>
                <w:tcPr>
                  <w:tcW w:w="2473" w:type="dxa"/>
                  <w:vAlign w:val="center"/>
                </w:tcPr>
                <w:p>
                  <w:pPr>
                    <w:rPr>
                      <w:szCs w:val="21"/>
                    </w:rPr>
                  </w:pPr>
                  <w:r>
                    <w:rPr>
                      <w:szCs w:val="21"/>
                    </w:rPr>
                    <w:t>本项目物料全密闭运输进厂，项目建设后，将严格按照</w:t>
                  </w:r>
                  <w:r>
                    <w:rPr>
                      <w:rFonts w:ascii="宋体" w:hAnsi="宋体"/>
                      <w:szCs w:val="21"/>
                    </w:rPr>
                    <w:t>“五到位、一密闭”</w:t>
                  </w:r>
                  <w:r>
                    <w:rPr>
                      <w:szCs w:val="21"/>
                    </w:rPr>
                    <w:t>进行管理。</w:t>
                  </w:r>
                </w:p>
                <w:p>
                  <w:r>
                    <w:rPr>
                      <w:rFonts w:hint="eastAsia"/>
                      <w:szCs w:val="21"/>
                    </w:rPr>
                    <w:t>本项目产生VOCs的工序为注塑工段，注塑区域密闭，废气经负压收集后，由</w:t>
                  </w:r>
                  <w:r>
                    <w:rPr>
                      <w:szCs w:val="21"/>
                    </w:rPr>
                    <w:t>UV光催化氧化装置+活性炭吸附装置进行治理</w:t>
                  </w:r>
                  <w:r>
                    <w:rPr>
                      <w:rFonts w:hint="eastAsia"/>
                      <w:szCs w:val="21"/>
                    </w:rPr>
                    <w:t>，</w:t>
                  </w:r>
                  <w:r>
                    <w:rPr>
                      <w:szCs w:val="21"/>
                    </w:rPr>
                    <w:t>经</w:t>
                  </w:r>
                  <w:r>
                    <w:rPr>
                      <w:rFonts w:hint="eastAsia"/>
                      <w:szCs w:val="21"/>
                    </w:rPr>
                    <w:t>15m</w:t>
                  </w:r>
                  <w:r>
                    <w:rPr>
                      <w:szCs w:val="21"/>
                    </w:rPr>
                    <w:t>排气筒有组织排放</w:t>
                  </w:r>
                  <w:r>
                    <w:rPr>
                      <w:rFonts w:hint="eastAsia"/>
                      <w:szCs w:val="21"/>
                    </w:rPr>
                    <w:t>。</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Align w:val="center"/>
                </w:tcPr>
                <w:p>
                  <w:pPr>
                    <w:jc w:val="left"/>
                    <w:rPr>
                      <w:szCs w:val="21"/>
                    </w:rPr>
                  </w:pPr>
                  <w:r>
                    <w:rPr>
                      <w:szCs w:val="21"/>
                    </w:rPr>
                    <w:t>五、整治标准</w:t>
                  </w:r>
                </w:p>
                <w:p>
                  <w:pPr>
                    <w:jc w:val="left"/>
                    <w:rPr>
                      <w:szCs w:val="21"/>
                    </w:rPr>
                  </w:pPr>
                  <w:r>
                    <w:rPr>
                      <w:szCs w:val="21"/>
                    </w:rPr>
                    <w:t>5.1无组织排放污染物控制措施要求</w:t>
                  </w:r>
                </w:p>
              </w:tc>
              <w:tc>
                <w:tcPr>
                  <w:tcW w:w="4678" w:type="dxa"/>
                  <w:vAlign w:val="center"/>
                </w:tcPr>
                <w:p>
                  <w: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车间不能有可见烟尘外逸；汽车、火车、皮带输送机等卸料点设置集气罩或密闭罩，并配备除尘设施；料场路面应实施硬化，出口处配备车轮和车身清洗装置。</w:t>
                  </w:r>
                </w:p>
              </w:tc>
              <w:tc>
                <w:tcPr>
                  <w:tcW w:w="2473" w:type="dxa"/>
                  <w:vAlign w:val="center"/>
                </w:tcPr>
                <w:p>
                  <w:r>
                    <w:t>本项目原辅材料中无粉状、粒状物料及燃料</w:t>
                  </w:r>
                  <w:r>
                    <w:rPr>
                      <w:rFonts w:hint="eastAsia"/>
                    </w:rPr>
                    <w:t>，</w:t>
                  </w:r>
                  <w:r>
                    <w:t>无上料粉尘产生</w:t>
                  </w:r>
                  <w:r>
                    <w:rPr>
                      <w:rFonts w:hint="eastAsia"/>
                    </w:rPr>
                    <w:t>；本项目的</w:t>
                  </w:r>
                  <w:r>
                    <w:t>块状物料均采用入棚入仓等方式进行存储</w:t>
                  </w:r>
                  <w:r>
                    <w:rPr>
                      <w:rFonts w:hint="eastAsia"/>
                    </w:rPr>
                    <w:t>；</w:t>
                  </w:r>
                  <w:r>
                    <w:t>无可见烟尘外逸。</w:t>
                  </w:r>
                </w:p>
                <w:p>
                  <w:r>
                    <w:t>厂区地面已全部硬化</w:t>
                  </w:r>
                  <w:r>
                    <w:rPr>
                      <w:rFonts w:hint="eastAsia"/>
                      <w:szCs w:val="21"/>
                      <w:lang w:val="pt-BR"/>
                    </w:rPr>
                    <w:t>，</w:t>
                  </w:r>
                  <w:r>
                    <w:rPr>
                      <w:szCs w:val="21"/>
                      <w:lang w:val="pt-BR"/>
                    </w:rPr>
                    <w:t>并安排每班打</w:t>
                  </w:r>
                  <w:r>
                    <w:rPr>
                      <w:rFonts w:hint="eastAsia"/>
                      <w:szCs w:val="21"/>
                      <w:lang w:val="pt-BR"/>
                    </w:rPr>
                    <w:t>扫</w:t>
                  </w:r>
                  <w:r>
                    <w:rPr>
                      <w:szCs w:val="21"/>
                      <w:lang w:val="pt-BR"/>
                    </w:rPr>
                    <w:t>厂区卫生</w:t>
                  </w:r>
                  <w:r>
                    <w:t>。</w:t>
                  </w:r>
                </w:p>
                <w:p>
                  <w:pPr>
                    <w:jc w:val="left"/>
                    <w:rPr>
                      <w:szCs w:val="21"/>
                    </w:rPr>
                  </w:pPr>
                  <w:r>
                    <w:t>厂区各生产车间均为全密闭车间。</w:t>
                  </w:r>
                </w:p>
              </w:tc>
              <w:tc>
                <w:tcPr>
                  <w:tcW w:w="950" w:type="dxa"/>
                  <w:vAlign w:val="center"/>
                </w:tcPr>
                <w:p>
                  <w:pPr>
                    <w:jc w:val="center"/>
                  </w:pPr>
                  <w:r>
                    <w:t>符合</w:t>
                  </w:r>
                </w:p>
              </w:tc>
            </w:tr>
          </w:tbl>
          <w:p>
            <w:pPr>
              <w:spacing w:line="460" w:lineRule="exact"/>
              <w:ind w:firstLine="480" w:firstLineChars="200"/>
              <w:jc w:val="left"/>
              <w:rPr>
                <w:sz w:val="24"/>
              </w:rPr>
            </w:pPr>
            <w:r>
              <w:rPr>
                <w:sz w:val="24"/>
              </w:rPr>
              <w:t>由上表可知，本项目符合《通知》的要求</w:t>
            </w:r>
            <w:r>
              <w:rPr>
                <w:rFonts w:hint="eastAsia"/>
                <w:sz w:val="24"/>
              </w:rPr>
              <w:t>。</w:t>
            </w:r>
          </w:p>
          <w:p>
            <w:pPr>
              <w:spacing w:line="440" w:lineRule="exact"/>
              <w:ind w:firstLine="602"/>
              <w:textAlignment w:val="baseline"/>
              <w:rPr>
                <w:b/>
                <w:sz w:val="24"/>
              </w:rPr>
            </w:pPr>
            <w:r>
              <w:rPr>
                <w:rFonts w:hint="eastAsia"/>
                <w:b/>
                <w:sz w:val="24"/>
              </w:rPr>
              <w:t>5、</w:t>
            </w:r>
            <w:r>
              <w:rPr>
                <w:b/>
                <w:sz w:val="24"/>
              </w:rPr>
              <w:t>本项目与《河南省生态环境厅关于印发河南省工业大气污染防治6个专项方案的通知（豫环文[2019]84号）》的对比分析</w:t>
            </w:r>
          </w:p>
          <w:p>
            <w:pPr>
              <w:spacing w:line="460" w:lineRule="exact"/>
              <w:ind w:firstLine="480"/>
              <w:jc w:val="left"/>
              <w:rPr>
                <w:sz w:val="24"/>
              </w:rPr>
            </w:pPr>
            <w:r>
              <w:rPr>
                <w:sz w:val="24"/>
              </w:rPr>
              <w:t>2019年4月9日河南省生态环境厅发布了《河南省生态环境厅关于印发河南省工业大气污染防治6个专项方案的通知》，与本项目相关的为《河南省2019年挥发性有机物治理方案》和《河南省2019年</w:t>
            </w:r>
            <w:r>
              <w:rPr>
                <w:rFonts w:hint="eastAsia"/>
                <w:sz w:val="24"/>
              </w:rPr>
              <w:t>工业企业无组织</w:t>
            </w:r>
            <w:r>
              <w:rPr>
                <w:sz w:val="24"/>
              </w:rPr>
              <w:t>排放治理方案》，本项目情况与其相关内容的对比情况见表1</w:t>
            </w:r>
            <w:r>
              <w:rPr>
                <w:rFonts w:hint="eastAsia"/>
                <w:sz w:val="24"/>
              </w:rPr>
              <w:t>3、表14</w:t>
            </w:r>
            <w:r>
              <w:rPr>
                <w:sz w:val="24"/>
              </w:rPr>
              <w:t>。</w:t>
            </w:r>
          </w:p>
          <w:p>
            <w:pPr>
              <w:spacing w:line="460" w:lineRule="exact"/>
              <w:ind w:firstLine="480"/>
              <w:jc w:val="left"/>
              <w:rPr>
                <w:sz w:val="24"/>
              </w:rPr>
            </w:pPr>
          </w:p>
          <w:p>
            <w:pPr>
              <w:spacing w:line="460" w:lineRule="exact"/>
              <w:ind w:firstLine="480"/>
              <w:jc w:val="left"/>
              <w:rPr>
                <w:sz w:val="24"/>
              </w:rPr>
            </w:pPr>
          </w:p>
          <w:p>
            <w:pPr>
              <w:spacing w:line="460" w:lineRule="exact"/>
              <w:ind w:firstLine="480"/>
              <w:jc w:val="left"/>
              <w:rPr>
                <w:sz w:val="24"/>
              </w:rPr>
            </w:pPr>
          </w:p>
          <w:p>
            <w:pPr>
              <w:spacing w:line="460" w:lineRule="exact"/>
              <w:ind w:firstLine="480"/>
              <w:jc w:val="left"/>
              <w:rPr>
                <w:sz w:val="24"/>
              </w:rPr>
            </w:pPr>
          </w:p>
          <w:p>
            <w:pPr>
              <w:spacing w:line="460" w:lineRule="exact"/>
              <w:ind w:firstLine="480"/>
              <w:jc w:val="left"/>
              <w:rPr>
                <w:sz w:val="24"/>
              </w:rPr>
            </w:pPr>
          </w:p>
          <w:p>
            <w:pPr>
              <w:spacing w:line="460" w:lineRule="exact"/>
              <w:ind w:firstLine="480"/>
              <w:jc w:val="left"/>
              <w:rPr>
                <w:sz w:val="24"/>
              </w:rPr>
            </w:pPr>
          </w:p>
          <w:p>
            <w:pPr>
              <w:spacing w:line="440" w:lineRule="exact"/>
              <w:ind w:firstLine="600"/>
              <w:textAlignment w:val="baseline"/>
              <w:rPr>
                <w:rFonts w:eastAsia="黑体"/>
                <w:sz w:val="24"/>
              </w:rPr>
            </w:pPr>
            <w:r>
              <w:rPr>
                <w:rFonts w:eastAsia="黑体"/>
                <w:sz w:val="24"/>
              </w:rPr>
              <w:t>表</w:t>
            </w:r>
            <w:r>
              <w:rPr>
                <w:rFonts w:hint="eastAsia" w:eastAsia="黑体"/>
                <w:sz w:val="24"/>
              </w:rPr>
              <w:t>13</w:t>
            </w:r>
            <w:r>
              <w:rPr>
                <w:rFonts w:eastAsia="黑体"/>
                <w:sz w:val="24"/>
              </w:rPr>
              <w:t xml:space="preserve">         与《河南省2019年挥发性有机物治理方案》对比分析一览表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4716"/>
              <w:gridCol w:w="2424"/>
              <w:gridCol w:w="91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890" w:type="dxa"/>
                  <w:gridSpan w:val="2"/>
                  <w:shd w:val="clear" w:color="auto" w:fill="auto"/>
                  <w:vAlign w:val="center"/>
                </w:tcPr>
                <w:p>
                  <w:pPr>
                    <w:jc w:val="center"/>
                    <w:rPr>
                      <w:b/>
                      <w:szCs w:val="21"/>
                    </w:rPr>
                  </w:pPr>
                  <w:r>
                    <w:rPr>
                      <w:b/>
                      <w:szCs w:val="21"/>
                    </w:rPr>
                    <w:t>与本项目相关条文</w:t>
                  </w:r>
                </w:p>
              </w:tc>
              <w:tc>
                <w:tcPr>
                  <w:tcW w:w="2424" w:type="dxa"/>
                  <w:shd w:val="clear" w:color="auto" w:fill="auto"/>
                  <w:vAlign w:val="center"/>
                </w:tcPr>
                <w:p>
                  <w:pPr>
                    <w:jc w:val="center"/>
                    <w:rPr>
                      <w:b/>
                      <w:szCs w:val="21"/>
                    </w:rPr>
                  </w:pPr>
                  <w:r>
                    <w:rPr>
                      <w:b/>
                      <w:szCs w:val="21"/>
                    </w:rPr>
                    <w:t>本项目情况</w:t>
                  </w:r>
                </w:p>
              </w:tc>
              <w:tc>
                <w:tcPr>
                  <w:tcW w:w="911" w:type="dxa"/>
                  <w:shd w:val="clear" w:color="auto" w:fill="auto"/>
                  <w:vAlign w:val="center"/>
                </w:tcPr>
                <w:p>
                  <w:pPr>
                    <w:jc w:val="center"/>
                    <w:rPr>
                      <w:b/>
                      <w:szCs w:val="21"/>
                    </w:rPr>
                  </w:pPr>
                  <w:r>
                    <w:rPr>
                      <w:b/>
                      <w:szCs w:val="21"/>
                    </w:rPr>
                    <w:t>对比</w:t>
                  </w:r>
                </w:p>
                <w:p>
                  <w:pPr>
                    <w:jc w:val="center"/>
                    <w:rPr>
                      <w:b/>
                      <w:szCs w:val="21"/>
                    </w:rPr>
                  </w:pPr>
                  <w:r>
                    <w:rPr>
                      <w:b/>
                      <w:szCs w:val="21"/>
                    </w:rPr>
                    <w:t>结果</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4" w:type="dxa"/>
                  <w:shd w:val="clear" w:color="auto" w:fill="auto"/>
                  <w:vAlign w:val="center"/>
                </w:tcPr>
                <w:p>
                  <w:pPr>
                    <w:jc w:val="center"/>
                    <w:rPr>
                      <w:szCs w:val="21"/>
                    </w:rPr>
                  </w:pPr>
                  <w:r>
                    <w:rPr>
                      <w:szCs w:val="21"/>
                    </w:rPr>
                    <w:t>一</w:t>
                  </w:r>
                  <w:r>
                    <w:rPr>
                      <w:rFonts w:hint="eastAsia"/>
                      <w:szCs w:val="21"/>
                    </w:rPr>
                    <w:t>、（一）总体要求。</w:t>
                  </w:r>
                </w:p>
              </w:tc>
              <w:tc>
                <w:tcPr>
                  <w:tcW w:w="4716" w:type="dxa"/>
                  <w:shd w:val="clear" w:color="auto" w:fill="auto"/>
                  <w:vAlign w:val="center"/>
                </w:tcPr>
                <w:p>
                  <w:pPr>
                    <w:spacing w:line="280" w:lineRule="exact"/>
                    <w:rPr>
                      <w:szCs w:val="21"/>
                    </w:rPr>
                  </w:pPr>
                  <w:r>
                    <w:t>以改善环境空气质量为核心，坚持源头控制、过程管理、末端治理和强化减排相结合的全方位综合治理原则，大力推进原辅材料源头替代，深入开展涉VOCs重点行业提标改造工作，持续进行VOCs整治专项执法检查，逐步推广VOCs在线监测设施建设，全面建成VOCs综合防控体系，大幅减少VOCs排放总量。</w:t>
                  </w:r>
                </w:p>
              </w:tc>
              <w:tc>
                <w:tcPr>
                  <w:tcW w:w="2424" w:type="dxa"/>
                  <w:shd w:val="clear" w:color="auto" w:fill="auto"/>
                  <w:vAlign w:val="center"/>
                </w:tcPr>
                <w:p>
                  <w:pPr>
                    <w:rPr>
                      <w:szCs w:val="21"/>
                    </w:rPr>
                  </w:pPr>
                  <w:r>
                    <w:rPr>
                      <w:rFonts w:hint="eastAsia"/>
                      <w:szCs w:val="21"/>
                    </w:rPr>
                    <w:t>本项目产生VOCs的工序为注塑工段，注塑区域密闭，废气经负压收集后，由</w:t>
                  </w:r>
                  <w:r>
                    <w:rPr>
                      <w:szCs w:val="21"/>
                    </w:rPr>
                    <w:t>UV光催化氧化装置+活性炭吸附装置进行治理</w:t>
                  </w:r>
                  <w:r>
                    <w:rPr>
                      <w:rFonts w:hint="eastAsia"/>
                      <w:szCs w:val="21"/>
                    </w:rPr>
                    <w:t>，</w:t>
                  </w:r>
                  <w:r>
                    <w:rPr>
                      <w:szCs w:val="21"/>
                    </w:rPr>
                    <w:t>经</w:t>
                  </w:r>
                  <w:r>
                    <w:rPr>
                      <w:rFonts w:hint="eastAsia"/>
                      <w:szCs w:val="21"/>
                    </w:rPr>
                    <w:t>15m</w:t>
                  </w:r>
                  <w:r>
                    <w:rPr>
                      <w:szCs w:val="21"/>
                    </w:rPr>
                    <w:t>排气筒有组织排放</w:t>
                  </w:r>
                  <w:r>
                    <w:rPr>
                      <w:rFonts w:hint="eastAsia"/>
                      <w:szCs w:val="21"/>
                    </w:rPr>
                    <w:t>。</w:t>
                  </w:r>
                  <w:r>
                    <w:rPr>
                      <w:szCs w:val="21"/>
                    </w:rPr>
                    <w:t>项目建成后</w:t>
                  </w:r>
                  <w:r>
                    <w:rPr>
                      <w:rFonts w:hint="eastAsia"/>
                      <w:szCs w:val="21"/>
                    </w:rPr>
                    <w:t>，</w:t>
                  </w:r>
                  <w:r>
                    <w:rPr>
                      <w:szCs w:val="21"/>
                    </w:rPr>
                    <w:t>企业应</w:t>
                  </w:r>
                  <w:r>
                    <w:rPr>
                      <w:rFonts w:hint="eastAsia"/>
                      <w:szCs w:val="21"/>
                    </w:rPr>
                    <w:t>按照</w:t>
                  </w:r>
                  <w:r>
                    <w:rPr>
                      <w:szCs w:val="21"/>
                    </w:rPr>
                    <w:t>要求安装</w:t>
                  </w:r>
                  <w:r>
                    <w:t>VOCs在线监测设施</w:t>
                  </w:r>
                  <w:r>
                    <w:rPr>
                      <w:szCs w:val="21"/>
                    </w:rPr>
                    <w:t>。</w:t>
                  </w:r>
                </w:p>
              </w:tc>
              <w:tc>
                <w:tcPr>
                  <w:tcW w:w="911" w:type="dxa"/>
                  <w:shd w:val="clear" w:color="auto" w:fill="auto"/>
                  <w:vAlign w:val="center"/>
                </w:tcPr>
                <w:p>
                  <w:pPr>
                    <w:jc w:val="center"/>
                    <w:rPr>
                      <w:szCs w:val="21"/>
                    </w:rPr>
                  </w:pPr>
                  <w:r>
                    <w:rPr>
                      <w:szCs w:val="21"/>
                    </w:rPr>
                    <w:t>符合</w:t>
                  </w:r>
                </w:p>
                <w:p>
                  <w:pPr>
                    <w:jc w:val="center"/>
                    <w:rPr>
                      <w:szCs w:val="21"/>
                    </w:rPr>
                  </w:pPr>
                  <w:r>
                    <w:rPr>
                      <w:szCs w:val="21"/>
                    </w:rPr>
                    <w:t>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4" w:type="dxa"/>
                  <w:shd w:val="clear" w:color="auto" w:fill="auto"/>
                  <w:vAlign w:val="center"/>
                </w:tcPr>
                <w:p>
                  <w:pPr>
                    <w:jc w:val="center"/>
                    <w:rPr>
                      <w:szCs w:val="21"/>
                    </w:rPr>
                  </w:pPr>
                  <w:r>
                    <w:rPr>
                      <w:szCs w:val="21"/>
                    </w:rPr>
                    <w:t>一、（二）工作目标。</w:t>
                  </w:r>
                </w:p>
              </w:tc>
              <w:tc>
                <w:tcPr>
                  <w:tcW w:w="4716" w:type="dxa"/>
                  <w:shd w:val="clear" w:color="auto" w:fill="auto"/>
                  <w:vAlign w:val="center"/>
                </w:tcPr>
                <w:p>
                  <w:pPr>
                    <w:spacing w:line="280" w:lineRule="exact"/>
                    <w:rPr>
                      <w:szCs w:val="21"/>
                    </w:rPr>
                  </w:pPr>
                  <w:r>
                    <w:rPr>
                      <w:szCs w:val="21"/>
                    </w:rPr>
                    <w:t>2019 年6月底前，全省石油化学、石油炼制、工业涂装、包装印刷、化工、制药等工业企业，全面完成VOCs污染治理；8月底前，全省石油化学、石油炼制企业完成VOCs深度治理和泄漏检测与修复（LDAR）治理；12月底前，省辖市建成区全面淘汰开启式干洗机。</w:t>
                  </w:r>
                </w:p>
              </w:tc>
              <w:tc>
                <w:tcPr>
                  <w:tcW w:w="2424" w:type="dxa"/>
                  <w:shd w:val="clear" w:color="auto" w:fill="auto"/>
                  <w:vAlign w:val="center"/>
                </w:tcPr>
                <w:p>
                  <w:pPr>
                    <w:rPr>
                      <w:szCs w:val="21"/>
                    </w:rPr>
                  </w:pPr>
                  <w:r>
                    <w:rPr>
                      <w:szCs w:val="21"/>
                    </w:rPr>
                    <w:t>本项目属于</w:t>
                  </w:r>
                  <w:r>
                    <w:rPr>
                      <w:bCs/>
                      <w:kern w:val="0"/>
                      <w:szCs w:val="21"/>
                    </w:rPr>
                    <w:t>C2928 塑料零件制造</w:t>
                  </w:r>
                  <w:r>
                    <w:rPr>
                      <w:szCs w:val="21"/>
                    </w:rPr>
                    <w:t>，不属于石油化学、石油炼制、工业涂装、包装印刷、化工、制药等工业企业</w:t>
                  </w:r>
                  <w:r>
                    <w:rPr>
                      <w:rFonts w:hint="eastAsia"/>
                      <w:szCs w:val="21"/>
                    </w:rPr>
                    <w:t>。</w:t>
                  </w:r>
                </w:p>
              </w:tc>
              <w:tc>
                <w:tcPr>
                  <w:tcW w:w="911" w:type="dxa"/>
                  <w:shd w:val="clear" w:color="auto" w:fill="auto"/>
                  <w:vAlign w:val="center"/>
                </w:tcPr>
                <w:p>
                  <w:pPr>
                    <w:jc w:val="center"/>
                    <w:rPr>
                      <w:szCs w:val="21"/>
                    </w:rPr>
                  </w:pPr>
                  <w:r>
                    <w:rPr>
                      <w:szCs w:val="21"/>
                    </w:rPr>
                    <w:t>符合</w:t>
                  </w:r>
                </w:p>
                <w:p>
                  <w:pPr>
                    <w:jc w:val="center"/>
                    <w:rPr>
                      <w:szCs w:val="21"/>
                    </w:rPr>
                  </w:pPr>
                  <w:r>
                    <w:rPr>
                      <w:szCs w:val="21"/>
                    </w:rPr>
                    <w:t>要求</w:t>
                  </w:r>
                </w:p>
              </w:tc>
            </w:tr>
          </w:tbl>
          <w:p>
            <w:pPr>
              <w:spacing w:line="440" w:lineRule="exact"/>
              <w:ind w:firstLine="600"/>
              <w:textAlignment w:val="baseline"/>
              <w:rPr>
                <w:rFonts w:eastAsia="黑体"/>
                <w:sz w:val="24"/>
              </w:rPr>
            </w:pPr>
            <w:r>
              <w:rPr>
                <w:rFonts w:eastAsia="黑体"/>
                <w:sz w:val="24"/>
              </w:rPr>
              <w:t>表1</w:t>
            </w:r>
            <w:r>
              <w:rPr>
                <w:rFonts w:hint="eastAsia" w:eastAsia="黑体"/>
                <w:sz w:val="24"/>
              </w:rPr>
              <w:t>4</w:t>
            </w:r>
            <w:r>
              <w:rPr>
                <w:rFonts w:eastAsia="黑体"/>
                <w:sz w:val="24"/>
              </w:rPr>
              <w:t xml:space="preserve"> </w:t>
            </w:r>
            <w:r>
              <w:rPr>
                <w:rFonts w:hint="eastAsia" w:eastAsia="黑体"/>
                <w:sz w:val="24"/>
              </w:rPr>
              <w:t xml:space="preserve">  </w:t>
            </w:r>
            <w:r>
              <w:rPr>
                <w:rFonts w:eastAsia="黑体"/>
                <w:sz w:val="24"/>
              </w:rPr>
              <w:t>与《河南省2019年工业企业无组织排放治理方案》对比分析一览表</w:t>
            </w:r>
          </w:p>
          <w:tbl>
            <w:tblPr>
              <w:tblStyle w:val="19"/>
              <w:tblW w:w="9156"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4549"/>
              <w:gridCol w:w="2538"/>
              <w:gridCol w:w="90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14" w:type="dxa"/>
                  <w:gridSpan w:val="2"/>
                  <w:shd w:val="clear" w:color="auto" w:fill="auto"/>
                  <w:vAlign w:val="center"/>
                </w:tcPr>
                <w:p>
                  <w:pPr>
                    <w:jc w:val="center"/>
                    <w:rPr>
                      <w:b/>
                      <w:szCs w:val="21"/>
                    </w:rPr>
                  </w:pPr>
                  <w:r>
                    <w:rPr>
                      <w:b/>
                      <w:szCs w:val="21"/>
                    </w:rPr>
                    <w:t>与本项目相关条文</w:t>
                  </w:r>
                </w:p>
              </w:tc>
              <w:tc>
                <w:tcPr>
                  <w:tcW w:w="2538" w:type="dxa"/>
                  <w:shd w:val="clear" w:color="auto" w:fill="auto"/>
                  <w:vAlign w:val="center"/>
                </w:tcPr>
                <w:p>
                  <w:pPr>
                    <w:jc w:val="center"/>
                    <w:rPr>
                      <w:b/>
                      <w:szCs w:val="21"/>
                    </w:rPr>
                  </w:pPr>
                  <w:r>
                    <w:rPr>
                      <w:b/>
                      <w:szCs w:val="21"/>
                    </w:rPr>
                    <w:t>本项目情况</w:t>
                  </w:r>
                </w:p>
              </w:tc>
              <w:tc>
                <w:tcPr>
                  <w:tcW w:w="904" w:type="dxa"/>
                  <w:shd w:val="clear" w:color="auto" w:fill="auto"/>
                  <w:vAlign w:val="center"/>
                </w:tcPr>
                <w:p>
                  <w:pPr>
                    <w:jc w:val="center"/>
                    <w:rPr>
                      <w:b/>
                      <w:szCs w:val="21"/>
                    </w:rPr>
                  </w:pPr>
                  <w:r>
                    <w:rPr>
                      <w:b/>
                      <w:szCs w:val="21"/>
                    </w:rPr>
                    <w:t>对比</w:t>
                  </w:r>
                </w:p>
                <w:p>
                  <w:pPr>
                    <w:jc w:val="center"/>
                    <w:rPr>
                      <w:b/>
                      <w:szCs w:val="21"/>
                    </w:rPr>
                  </w:pPr>
                  <w:r>
                    <w:rPr>
                      <w:b/>
                      <w:szCs w:val="21"/>
                    </w:rPr>
                    <w:t>结果</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76" w:hRule="atLeast"/>
                <w:jc w:val="center"/>
              </w:trPr>
              <w:tc>
                <w:tcPr>
                  <w:tcW w:w="1165" w:type="dxa"/>
                  <w:shd w:val="clear" w:color="auto" w:fill="auto"/>
                  <w:vAlign w:val="center"/>
                </w:tcPr>
                <w:p>
                  <w:pPr>
                    <w:jc w:val="center"/>
                    <w:rPr>
                      <w:szCs w:val="21"/>
                    </w:rPr>
                  </w:pPr>
                  <w:r>
                    <w:rPr>
                      <w:szCs w:val="21"/>
                    </w:rPr>
                    <w:t>二</w:t>
                  </w:r>
                  <w:r>
                    <w:rPr>
                      <w:rFonts w:hint="eastAsia"/>
                      <w:szCs w:val="21"/>
                    </w:rPr>
                    <w:t>、</w:t>
                  </w:r>
                  <w:r>
                    <w:rPr>
                      <w:szCs w:val="21"/>
                    </w:rPr>
                    <w:t>工作目标。</w:t>
                  </w:r>
                </w:p>
              </w:tc>
              <w:tc>
                <w:tcPr>
                  <w:tcW w:w="4549" w:type="dxa"/>
                  <w:shd w:val="clear" w:color="auto" w:fill="auto"/>
                  <w:vAlign w:val="center"/>
                </w:tcPr>
                <w:p>
                  <w:pPr>
                    <w:spacing w:line="280" w:lineRule="exact"/>
                    <w:ind w:firstLine="210" w:firstLineChars="100"/>
                    <w:rPr>
                      <w:szCs w:val="21"/>
                    </w:rPr>
                  </w:pPr>
                  <w:r>
                    <w:rPr>
                      <w:rFonts w:hint="eastAsia"/>
                      <w:szCs w:val="21"/>
                    </w:rPr>
                    <w:t>针对原料运输、贮存、装卸、混合、转运、加装、工艺过程、产品出料、包装等各个生产环节存在的无组织排放污染问题，进行全流程控制、收集、净化处理，同步安装视频监控和相应的污染物排放监测设备，2019年10月底前，全省工业企业完成物料运输、生产工艺、堆场环节的无组织排放深度治理，全面实现“五到位、一密闭”（生产过程收尘到位，物料运输抑尘到位，厂区道路除尘到位，裸露土地绿化到位，无组织排放监控到位；厂区内贮存的各类易产生粉尘的物料及燃料全部密闭）。全面提升污染治理水平，污染物排放总量显著减少，打造行业标杆，全面提升企业形象，促进全省经济高质量发展。</w:t>
                  </w:r>
                </w:p>
              </w:tc>
              <w:tc>
                <w:tcPr>
                  <w:tcW w:w="2538" w:type="dxa"/>
                  <w:shd w:val="clear" w:color="auto" w:fill="auto"/>
                  <w:vAlign w:val="center"/>
                </w:tcPr>
                <w:p>
                  <w:pPr>
                    <w:rPr>
                      <w:b/>
                      <w:szCs w:val="21"/>
                      <w:u w:val="single"/>
                    </w:rPr>
                  </w:pPr>
                  <w:r>
                    <w:rPr>
                      <w:rFonts w:hint="eastAsia"/>
                      <w:b/>
                      <w:szCs w:val="21"/>
                      <w:u w:val="single"/>
                    </w:rPr>
                    <w:t>本项目应安装视频监控及用电量监控，并按照要求安装非甲烷总烃在线监测设备；</w:t>
                  </w:r>
                </w:p>
                <w:p>
                  <w:pPr>
                    <w:rPr>
                      <w:szCs w:val="21"/>
                    </w:rPr>
                  </w:pPr>
                  <w:r>
                    <w:rPr>
                      <w:rFonts w:hint="eastAsia"/>
                      <w:szCs w:val="21"/>
                    </w:rPr>
                    <w:t>本项目可做到“五到位、一密闭”的要求；</w:t>
                  </w:r>
                </w:p>
                <w:p>
                  <w:pPr>
                    <w:rPr>
                      <w:szCs w:val="21"/>
                    </w:rPr>
                  </w:pPr>
                  <w:r>
                    <w:rPr>
                      <w:szCs w:val="21"/>
                    </w:rPr>
                    <w:t>本项目属于</w:t>
                  </w:r>
                  <w:r>
                    <w:rPr>
                      <w:bCs/>
                      <w:kern w:val="0"/>
                      <w:szCs w:val="21"/>
                    </w:rPr>
                    <w:t>C2928 塑料零件制造</w:t>
                  </w:r>
                  <w:r>
                    <w:rPr>
                      <w:rFonts w:hint="eastAsia"/>
                      <w:szCs w:val="21"/>
                    </w:rPr>
                    <w:t>，生产过程无粉尘产生，厂区道路已除尘到位，裸露土地已绿化到位，物料均于密闭的仓库内存放。</w:t>
                  </w:r>
                </w:p>
              </w:tc>
              <w:tc>
                <w:tcPr>
                  <w:tcW w:w="904" w:type="dxa"/>
                  <w:shd w:val="clear" w:color="auto" w:fill="auto"/>
                  <w:vAlign w:val="center"/>
                </w:tcPr>
                <w:p>
                  <w:pPr>
                    <w:jc w:val="center"/>
                    <w:rPr>
                      <w:szCs w:val="21"/>
                    </w:rPr>
                  </w:pPr>
                  <w:r>
                    <w:rPr>
                      <w:szCs w:val="21"/>
                    </w:rPr>
                    <w:t>符合</w:t>
                  </w:r>
                </w:p>
                <w:p>
                  <w:pPr>
                    <w:jc w:val="center"/>
                    <w:rPr>
                      <w:szCs w:val="21"/>
                    </w:rPr>
                  </w:pPr>
                  <w:r>
                    <w:rPr>
                      <w:szCs w:val="21"/>
                    </w:rPr>
                    <w:t>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165" w:type="dxa"/>
                  <w:vMerge w:val="restart"/>
                  <w:shd w:val="clear" w:color="auto" w:fill="auto"/>
                  <w:vAlign w:val="center"/>
                </w:tcPr>
                <w:p>
                  <w:pPr>
                    <w:jc w:val="center"/>
                    <w:rPr>
                      <w:szCs w:val="21"/>
                    </w:rPr>
                  </w:pPr>
                  <w:r>
                    <w:rPr>
                      <w:rFonts w:hint="eastAsia"/>
                      <w:szCs w:val="21"/>
                    </w:rPr>
                    <w:t>附：十六、</w:t>
                  </w:r>
                  <w:r>
                    <w:rPr>
                      <w:szCs w:val="21"/>
                    </w:rPr>
                    <w:t>其他行业无组织排放治理标准</w:t>
                  </w:r>
                </w:p>
              </w:tc>
              <w:tc>
                <w:tcPr>
                  <w:tcW w:w="4549" w:type="dxa"/>
                  <w:shd w:val="clear" w:color="auto" w:fill="auto"/>
                  <w:vAlign w:val="center"/>
                </w:tcPr>
                <w:p>
                  <w:pPr>
                    <w:spacing w:line="280" w:lineRule="exact"/>
                    <w:rPr>
                      <w:szCs w:val="21"/>
                    </w:rPr>
                  </w:pPr>
                  <w:r>
                    <w:rPr>
                      <w:rFonts w:hint="eastAsia"/>
                      <w:szCs w:val="21"/>
                    </w:rPr>
                    <w:t>（一）料场密闭治理：所有物料（包括原辅料、半成品、成品）进库存放，厂界内无露天堆放物料。料场安装喷干雾抑尘设施。所有地面完成硬化，并保证除物料堆放区域外没有明显积尘。每个下料口设置独立集气罩，配套的除尘设施不与其他工序混用。</w:t>
                  </w:r>
                </w:p>
              </w:tc>
              <w:tc>
                <w:tcPr>
                  <w:tcW w:w="2538" w:type="dxa"/>
                  <w:shd w:val="clear" w:color="auto" w:fill="auto"/>
                  <w:vAlign w:val="center"/>
                </w:tcPr>
                <w:p>
                  <w:pPr>
                    <w:rPr>
                      <w:szCs w:val="21"/>
                    </w:rPr>
                  </w:pPr>
                  <w:r>
                    <w:rPr>
                      <w:szCs w:val="21"/>
                    </w:rPr>
                    <w:t>本项目属于</w:t>
                  </w:r>
                  <w:r>
                    <w:rPr>
                      <w:bCs/>
                      <w:kern w:val="0"/>
                      <w:szCs w:val="21"/>
                    </w:rPr>
                    <w:t>C2928 塑料零件制造</w:t>
                  </w:r>
                  <w:r>
                    <w:rPr>
                      <w:szCs w:val="21"/>
                    </w:rPr>
                    <w:t>，所有物料均置于封闭的仓库内</w:t>
                  </w:r>
                  <w:r>
                    <w:rPr>
                      <w:rFonts w:hint="eastAsia"/>
                      <w:szCs w:val="21"/>
                    </w:rPr>
                    <w:t>，</w:t>
                  </w:r>
                  <w:r>
                    <w:rPr>
                      <w:szCs w:val="21"/>
                    </w:rPr>
                    <w:t>无露天堆放现象</w:t>
                  </w:r>
                  <w:r>
                    <w:rPr>
                      <w:rFonts w:hint="eastAsia"/>
                      <w:szCs w:val="21"/>
                    </w:rPr>
                    <w:t>；</w:t>
                  </w:r>
                </w:p>
                <w:p>
                  <w:pPr>
                    <w:rPr>
                      <w:szCs w:val="21"/>
                    </w:rPr>
                  </w:pPr>
                  <w:r>
                    <w:rPr>
                      <w:rFonts w:hint="eastAsia"/>
                      <w:szCs w:val="21"/>
                    </w:rPr>
                    <w:t>地面全部硬化，物料无明显积尘；</w:t>
                  </w:r>
                </w:p>
                <w:p>
                  <w:pPr>
                    <w:rPr>
                      <w:szCs w:val="21"/>
                    </w:rPr>
                  </w:pPr>
                  <w:r>
                    <w:rPr>
                      <w:rFonts w:hint="eastAsia"/>
                      <w:szCs w:val="21"/>
                    </w:rPr>
                    <w:t>本项目原料为颗粒聚丙烯、尼龙66、PC等，无下料废气产生。</w:t>
                  </w:r>
                </w:p>
              </w:tc>
              <w:tc>
                <w:tcPr>
                  <w:tcW w:w="904" w:type="dxa"/>
                  <w:shd w:val="clear" w:color="auto" w:fill="auto"/>
                  <w:vAlign w:val="center"/>
                </w:tcPr>
                <w:p>
                  <w:pPr>
                    <w:jc w:val="center"/>
                    <w:rPr>
                      <w:szCs w:val="21"/>
                    </w:rPr>
                  </w:pPr>
                  <w:r>
                    <w:rPr>
                      <w:szCs w:val="21"/>
                    </w:rPr>
                    <w:t>符合</w:t>
                  </w:r>
                </w:p>
                <w:p>
                  <w:pPr>
                    <w:jc w:val="center"/>
                    <w:rPr>
                      <w:szCs w:val="21"/>
                    </w:rPr>
                  </w:pPr>
                  <w:r>
                    <w:rPr>
                      <w:szCs w:val="21"/>
                    </w:rPr>
                    <w:t>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165" w:type="dxa"/>
                  <w:vMerge w:val="continue"/>
                  <w:shd w:val="clear" w:color="auto" w:fill="auto"/>
                  <w:vAlign w:val="center"/>
                </w:tcPr>
                <w:p>
                  <w:pPr>
                    <w:jc w:val="center"/>
                    <w:rPr>
                      <w:szCs w:val="21"/>
                    </w:rPr>
                  </w:pPr>
                </w:p>
              </w:tc>
              <w:tc>
                <w:tcPr>
                  <w:tcW w:w="4549" w:type="dxa"/>
                  <w:shd w:val="clear" w:color="auto" w:fill="auto"/>
                  <w:vAlign w:val="center"/>
                </w:tcPr>
                <w:p>
                  <w:pPr>
                    <w:spacing w:line="280" w:lineRule="exact"/>
                    <w:rPr>
                      <w:szCs w:val="21"/>
                    </w:rPr>
                  </w:pPr>
                  <w:r>
                    <w:rPr>
                      <w:rFonts w:hint="eastAsia"/>
                      <w:szCs w:val="21"/>
                    </w:rPr>
                    <w:t>（三）生产环节治理：物料上料、破碎、筛分、混料等生产过程中的产尘点应在封闭的厂房内进行二次封闭，并安装集气设施和除尘设施。在生产过程中的产生 VOC</w:t>
                  </w:r>
                  <w:r>
                    <w:rPr>
                      <w:rFonts w:hint="eastAsia"/>
                      <w:szCs w:val="21"/>
                      <w:vertAlign w:val="subscript"/>
                    </w:rPr>
                    <w:t xml:space="preserve">S </w:t>
                  </w:r>
                  <w:r>
                    <w:rPr>
                      <w:rFonts w:hint="eastAsia"/>
                      <w:szCs w:val="21"/>
                    </w:rPr>
                    <w:t>的工序应在封闭的厂房内进行二次封闭，并安装集气设施和 VOC</w:t>
                  </w:r>
                  <w:r>
                    <w:rPr>
                      <w:rFonts w:hint="eastAsia"/>
                      <w:szCs w:val="21"/>
                      <w:vertAlign w:val="subscript"/>
                    </w:rPr>
                    <w:t>S</w:t>
                  </w:r>
                  <w:r>
                    <w:rPr>
                      <w:rFonts w:hint="eastAsia"/>
                      <w:szCs w:val="21"/>
                    </w:rPr>
                    <w:t xml:space="preserve"> 处理设施。</w:t>
                  </w:r>
                </w:p>
              </w:tc>
              <w:tc>
                <w:tcPr>
                  <w:tcW w:w="2538" w:type="dxa"/>
                  <w:shd w:val="clear" w:color="auto" w:fill="auto"/>
                  <w:vAlign w:val="center"/>
                </w:tcPr>
                <w:p>
                  <w:pPr>
                    <w:rPr>
                      <w:szCs w:val="21"/>
                    </w:rPr>
                  </w:pPr>
                  <w:r>
                    <w:rPr>
                      <w:szCs w:val="21"/>
                    </w:rPr>
                    <w:t>本项目投料为颗粒态的</w:t>
                  </w:r>
                  <w:r>
                    <w:rPr>
                      <w:rFonts w:hint="eastAsia"/>
                      <w:szCs w:val="21"/>
                    </w:rPr>
                    <w:t>聚丙烯、尼龙66、PC</w:t>
                  </w:r>
                  <w:r>
                    <w:rPr>
                      <w:szCs w:val="21"/>
                    </w:rPr>
                    <w:t>等</w:t>
                  </w:r>
                  <w:r>
                    <w:rPr>
                      <w:rFonts w:hint="eastAsia"/>
                      <w:szCs w:val="21"/>
                    </w:rPr>
                    <w:t>，</w:t>
                  </w:r>
                  <w:r>
                    <w:rPr>
                      <w:szCs w:val="21"/>
                    </w:rPr>
                    <w:t>无上料粉尘产生</w:t>
                  </w:r>
                  <w:r>
                    <w:rPr>
                      <w:rFonts w:hint="eastAsia"/>
                      <w:szCs w:val="21"/>
                    </w:rPr>
                    <w:t>；</w:t>
                  </w:r>
                  <w:r>
                    <w:rPr>
                      <w:szCs w:val="21"/>
                    </w:rPr>
                    <w:t>破碎工序</w:t>
                  </w:r>
                  <w:r>
                    <w:rPr>
                      <w:rFonts w:hint="eastAsia"/>
                      <w:szCs w:val="21"/>
                    </w:rPr>
                    <w:t>仅破碎为大颗粒物料，破碎车间密闭；将注塑区域密闭，废气采用负压收集，收集的非甲烷总烃经</w:t>
                  </w:r>
                  <w:r>
                    <w:rPr>
                      <w:szCs w:val="21"/>
                    </w:rPr>
                    <w:t>UV光催化氧化装置+活性炭吸附装置进行治理</w:t>
                  </w:r>
                  <w:r>
                    <w:rPr>
                      <w:rFonts w:hint="eastAsia"/>
                      <w:szCs w:val="21"/>
                    </w:rPr>
                    <w:t>，</w:t>
                  </w:r>
                  <w:r>
                    <w:rPr>
                      <w:szCs w:val="21"/>
                    </w:rPr>
                    <w:t>经排气筒有组织排放</w:t>
                  </w:r>
                  <w:r>
                    <w:rPr>
                      <w:rFonts w:hint="eastAsia"/>
                      <w:szCs w:val="21"/>
                    </w:rPr>
                    <w:t>。</w:t>
                  </w:r>
                </w:p>
              </w:tc>
              <w:tc>
                <w:tcPr>
                  <w:tcW w:w="904" w:type="dxa"/>
                  <w:shd w:val="clear" w:color="auto" w:fill="auto"/>
                  <w:vAlign w:val="center"/>
                </w:tcPr>
                <w:p>
                  <w:pPr>
                    <w:jc w:val="center"/>
                    <w:rPr>
                      <w:szCs w:val="21"/>
                    </w:rPr>
                  </w:pPr>
                  <w:r>
                    <w:rPr>
                      <w:szCs w:val="21"/>
                    </w:rPr>
                    <w:t>符合</w:t>
                  </w:r>
                </w:p>
                <w:p>
                  <w:pPr>
                    <w:jc w:val="center"/>
                    <w:rPr>
                      <w:szCs w:val="21"/>
                    </w:rPr>
                  </w:pPr>
                  <w:r>
                    <w:rPr>
                      <w:szCs w:val="21"/>
                    </w:rPr>
                    <w:t>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165" w:type="dxa"/>
                  <w:vMerge w:val="continue"/>
                  <w:shd w:val="clear" w:color="auto" w:fill="auto"/>
                  <w:vAlign w:val="center"/>
                </w:tcPr>
                <w:p>
                  <w:pPr>
                    <w:jc w:val="center"/>
                    <w:rPr>
                      <w:szCs w:val="21"/>
                    </w:rPr>
                  </w:pPr>
                </w:p>
              </w:tc>
              <w:tc>
                <w:tcPr>
                  <w:tcW w:w="4549" w:type="dxa"/>
                  <w:shd w:val="clear" w:color="auto" w:fill="auto"/>
                  <w:vAlign w:val="center"/>
                </w:tcPr>
                <w:p>
                  <w:pPr>
                    <w:spacing w:line="280" w:lineRule="exact"/>
                    <w:rPr>
                      <w:szCs w:val="21"/>
                    </w:rPr>
                  </w:pPr>
                  <w:r>
                    <w:rPr>
                      <w:rFonts w:hint="eastAsia"/>
                      <w:szCs w:val="21"/>
                    </w:rPr>
                    <w:t>（四）厂区、车辆治理：厂区道路硬化，平整无破损，无积尘，厂区无裸露空地，闲置裸露空地绿化。对厂区道路定期洒水清扫。</w:t>
                  </w:r>
                </w:p>
              </w:tc>
              <w:tc>
                <w:tcPr>
                  <w:tcW w:w="2538" w:type="dxa"/>
                  <w:shd w:val="clear" w:color="auto" w:fill="auto"/>
                  <w:vAlign w:val="center"/>
                </w:tcPr>
                <w:p>
                  <w:pPr>
                    <w:rPr>
                      <w:szCs w:val="21"/>
                    </w:rPr>
                  </w:pPr>
                  <w:r>
                    <w:rPr>
                      <w:szCs w:val="21"/>
                    </w:rPr>
                    <w:t>厂区道路全部硬化</w:t>
                  </w:r>
                  <w:r>
                    <w:rPr>
                      <w:rFonts w:hint="eastAsia"/>
                      <w:szCs w:val="21"/>
                    </w:rPr>
                    <w:t>，</w:t>
                  </w:r>
                  <w:r>
                    <w:rPr>
                      <w:szCs w:val="21"/>
                    </w:rPr>
                    <w:t>闲置空地全部绿化</w:t>
                  </w:r>
                  <w:r>
                    <w:rPr>
                      <w:rFonts w:hint="eastAsia"/>
                      <w:szCs w:val="21"/>
                    </w:rPr>
                    <w:t>，</w:t>
                  </w:r>
                  <w:r>
                    <w:rPr>
                      <w:szCs w:val="21"/>
                    </w:rPr>
                    <w:t>厂区道路定期洒水清扫</w:t>
                  </w:r>
                  <w:r>
                    <w:rPr>
                      <w:rFonts w:hint="eastAsia"/>
                      <w:szCs w:val="21"/>
                    </w:rPr>
                    <w:t>。</w:t>
                  </w:r>
                </w:p>
              </w:tc>
              <w:tc>
                <w:tcPr>
                  <w:tcW w:w="904" w:type="dxa"/>
                  <w:shd w:val="clear" w:color="auto" w:fill="auto"/>
                  <w:vAlign w:val="center"/>
                </w:tcPr>
                <w:p>
                  <w:pPr>
                    <w:jc w:val="center"/>
                    <w:rPr>
                      <w:szCs w:val="21"/>
                    </w:rPr>
                  </w:pPr>
                  <w:r>
                    <w:rPr>
                      <w:szCs w:val="21"/>
                    </w:rPr>
                    <w:t>符合</w:t>
                  </w:r>
                </w:p>
                <w:p>
                  <w:pPr>
                    <w:jc w:val="center"/>
                    <w:rPr>
                      <w:szCs w:val="21"/>
                    </w:rPr>
                  </w:pPr>
                  <w:r>
                    <w:rPr>
                      <w:szCs w:val="21"/>
                    </w:rPr>
                    <w:t>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165" w:type="dxa"/>
                  <w:vMerge w:val="continue"/>
                  <w:shd w:val="clear" w:color="auto" w:fill="auto"/>
                  <w:vAlign w:val="center"/>
                </w:tcPr>
                <w:p>
                  <w:pPr>
                    <w:jc w:val="center"/>
                    <w:rPr>
                      <w:szCs w:val="21"/>
                    </w:rPr>
                  </w:pPr>
                </w:p>
              </w:tc>
              <w:tc>
                <w:tcPr>
                  <w:tcW w:w="4549" w:type="dxa"/>
                  <w:shd w:val="clear" w:color="auto" w:fill="auto"/>
                  <w:vAlign w:val="center"/>
                </w:tcPr>
                <w:p>
                  <w:pPr>
                    <w:spacing w:line="280" w:lineRule="exact"/>
                    <w:rPr>
                      <w:szCs w:val="21"/>
                    </w:rPr>
                  </w:pPr>
                  <w:r>
                    <w:rPr>
                      <w:rFonts w:hint="eastAsia"/>
                      <w:szCs w:val="21"/>
                    </w:rPr>
                    <w:t>（五）建设完善监测系统：因企制宜安装视频、空气微站、降尘缸、TSP（总悬浮颗粒物）等监控设施。安装在线监测、监控和空气质量监测等综合监控信息平台，主要排放数据等应在企业显眼位置随时公开。</w:t>
                  </w:r>
                </w:p>
              </w:tc>
              <w:tc>
                <w:tcPr>
                  <w:tcW w:w="2538" w:type="dxa"/>
                  <w:shd w:val="clear" w:color="auto" w:fill="auto"/>
                  <w:vAlign w:val="center"/>
                </w:tcPr>
                <w:p>
                  <w:pPr>
                    <w:rPr>
                      <w:szCs w:val="21"/>
                    </w:rPr>
                  </w:pPr>
                  <w:r>
                    <w:rPr>
                      <w:kern w:val="0"/>
                      <w:szCs w:val="21"/>
                    </w:rPr>
                    <w:t>本项目</w:t>
                  </w:r>
                  <w:r>
                    <w:rPr>
                      <w:rFonts w:hint="eastAsia"/>
                      <w:kern w:val="0"/>
                      <w:szCs w:val="21"/>
                    </w:rPr>
                    <w:t>粉碎位于密闭车间内，无粉尘外逸</w:t>
                  </w:r>
                  <w:r>
                    <w:rPr>
                      <w:kern w:val="0"/>
                      <w:szCs w:val="21"/>
                    </w:rPr>
                    <w:t>。</w:t>
                  </w:r>
                </w:p>
              </w:tc>
              <w:tc>
                <w:tcPr>
                  <w:tcW w:w="904" w:type="dxa"/>
                  <w:shd w:val="clear" w:color="auto" w:fill="auto"/>
                  <w:vAlign w:val="center"/>
                </w:tcPr>
                <w:p>
                  <w:pPr>
                    <w:jc w:val="center"/>
                    <w:rPr>
                      <w:szCs w:val="21"/>
                    </w:rPr>
                  </w:pPr>
                  <w:r>
                    <w:rPr>
                      <w:szCs w:val="21"/>
                    </w:rPr>
                    <w:t>符合</w:t>
                  </w:r>
                </w:p>
                <w:p>
                  <w:pPr>
                    <w:jc w:val="center"/>
                    <w:rPr>
                      <w:szCs w:val="21"/>
                    </w:rPr>
                  </w:pPr>
                  <w:r>
                    <w:rPr>
                      <w:szCs w:val="21"/>
                    </w:rPr>
                    <w:t>要求</w:t>
                  </w:r>
                </w:p>
              </w:tc>
            </w:tr>
          </w:tbl>
          <w:p>
            <w:pPr>
              <w:spacing w:line="440" w:lineRule="exact"/>
              <w:ind w:firstLine="503"/>
              <w:textAlignment w:val="baseline"/>
              <w:rPr>
                <w:b/>
                <w:sz w:val="24"/>
              </w:rPr>
            </w:pPr>
            <w:r>
              <w:rPr>
                <w:rFonts w:hint="eastAsia"/>
                <w:sz w:val="24"/>
              </w:rPr>
              <w:t>由上表可知，本项目符合</w:t>
            </w:r>
            <w:r>
              <w:rPr>
                <w:sz w:val="24"/>
              </w:rPr>
              <w:t>《河南省生态环境厅关于印发河南省工业大气污染防治6个专项方案的通知》及其相关条文的要求</w:t>
            </w:r>
            <w:r>
              <w:rPr>
                <w:rFonts w:hint="eastAsia"/>
                <w:sz w:val="24"/>
              </w:rPr>
              <w:t>。</w:t>
            </w:r>
          </w:p>
          <w:p>
            <w:pPr>
              <w:spacing w:line="440" w:lineRule="exact"/>
              <w:ind w:firstLine="602"/>
              <w:textAlignment w:val="baseline"/>
              <w:rPr>
                <w:b/>
                <w:sz w:val="24"/>
              </w:rPr>
            </w:pPr>
            <w:r>
              <w:rPr>
                <w:rFonts w:hint="eastAsia"/>
                <w:b/>
                <w:sz w:val="24"/>
              </w:rPr>
              <w:t>6</w:t>
            </w:r>
            <w:r>
              <w:rPr>
                <w:b/>
                <w:sz w:val="24"/>
              </w:rPr>
              <w:t>、与生态环境部发布的《关于印发&lt;京津冀及周边地区2018-2019 年秋冬季大气污染综合治理攻坚行动方案&gt;的通知》（环大气[2018]100号）（以下简称《通知》）对照分析</w:t>
            </w:r>
          </w:p>
          <w:p>
            <w:pPr>
              <w:adjustRightInd w:val="0"/>
              <w:snapToGrid w:val="0"/>
              <w:spacing w:line="440" w:lineRule="exact"/>
              <w:ind w:firstLine="480" w:firstLineChars="200"/>
              <w:rPr>
                <w:rFonts w:eastAsia="黑体"/>
                <w:sz w:val="24"/>
              </w:rPr>
            </w:pPr>
            <w:r>
              <w:rPr>
                <w:rFonts w:eastAsia="黑体"/>
                <w:sz w:val="24"/>
              </w:rPr>
              <w:t>表1</w:t>
            </w:r>
            <w:r>
              <w:rPr>
                <w:rFonts w:hint="eastAsia" w:eastAsia="黑体"/>
                <w:sz w:val="24"/>
              </w:rPr>
              <w:t xml:space="preserve">5                                     </w:t>
            </w:r>
            <w:r>
              <w:rPr>
                <w:rFonts w:eastAsia="黑体"/>
                <w:sz w:val="24"/>
              </w:rPr>
              <w:t>项目与《通知》相符性分析</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4861"/>
              <w:gridCol w:w="2172"/>
              <w:gridCol w:w="116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noWrap/>
                  <w:vAlign w:val="center"/>
                </w:tcPr>
                <w:p>
                  <w:pPr>
                    <w:adjustRightInd w:val="0"/>
                    <w:snapToGrid w:val="0"/>
                    <w:contextualSpacing/>
                    <w:jc w:val="center"/>
                    <w:rPr>
                      <w:b/>
                      <w:bCs/>
                      <w:sz w:val="24"/>
                    </w:rPr>
                  </w:pPr>
                  <w:r>
                    <w:rPr>
                      <w:b/>
                      <w:bCs/>
                      <w:kern w:val="0"/>
                      <w:szCs w:val="21"/>
                    </w:rPr>
                    <w:t>类别</w:t>
                  </w:r>
                </w:p>
              </w:tc>
              <w:tc>
                <w:tcPr>
                  <w:tcW w:w="4822" w:type="dxa"/>
                  <w:noWrap/>
                  <w:vAlign w:val="center"/>
                </w:tcPr>
                <w:p>
                  <w:pPr>
                    <w:adjustRightInd w:val="0"/>
                    <w:snapToGrid w:val="0"/>
                    <w:contextualSpacing/>
                    <w:jc w:val="center"/>
                    <w:rPr>
                      <w:b/>
                      <w:bCs/>
                      <w:sz w:val="24"/>
                    </w:rPr>
                  </w:pPr>
                  <w:r>
                    <w:rPr>
                      <w:b/>
                      <w:bCs/>
                      <w:kern w:val="0"/>
                      <w:szCs w:val="21"/>
                    </w:rPr>
                    <w:t>《京津冀及周边地区2018-2019 年秋冬季大气污染综合治理攻坚行动方案》中有关要求</w:t>
                  </w:r>
                </w:p>
              </w:tc>
              <w:tc>
                <w:tcPr>
                  <w:tcW w:w="2155" w:type="dxa"/>
                  <w:noWrap/>
                  <w:vAlign w:val="center"/>
                </w:tcPr>
                <w:p>
                  <w:pPr>
                    <w:adjustRightInd w:val="0"/>
                    <w:snapToGrid w:val="0"/>
                    <w:contextualSpacing/>
                    <w:jc w:val="center"/>
                    <w:rPr>
                      <w:b/>
                      <w:bCs/>
                      <w:sz w:val="24"/>
                    </w:rPr>
                  </w:pPr>
                  <w:r>
                    <w:rPr>
                      <w:b/>
                      <w:bCs/>
                      <w:kern w:val="0"/>
                      <w:szCs w:val="21"/>
                    </w:rPr>
                    <w:t>企业建设情况</w:t>
                  </w:r>
                </w:p>
              </w:tc>
              <w:tc>
                <w:tcPr>
                  <w:tcW w:w="1155" w:type="dxa"/>
                  <w:noWrap/>
                  <w:vAlign w:val="center"/>
                </w:tcPr>
                <w:p>
                  <w:pPr>
                    <w:adjustRightInd w:val="0"/>
                    <w:snapToGrid w:val="0"/>
                    <w:contextualSpacing/>
                    <w:jc w:val="center"/>
                    <w:rPr>
                      <w:b/>
                      <w:bCs/>
                      <w:sz w:val="24"/>
                    </w:rPr>
                  </w:pPr>
                  <w:r>
                    <w:rPr>
                      <w:b/>
                      <w:bCs/>
                      <w:kern w:val="0"/>
                      <w:szCs w:val="21"/>
                    </w:rPr>
                    <w:t>对比结论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noWrap/>
                  <w:vAlign w:val="center"/>
                </w:tcPr>
                <w:p>
                  <w:pPr>
                    <w:adjustRightInd w:val="0"/>
                    <w:snapToGrid w:val="0"/>
                    <w:contextualSpacing/>
                    <w:jc w:val="center"/>
                    <w:rPr>
                      <w:bCs/>
                      <w:kern w:val="0"/>
                      <w:szCs w:val="21"/>
                    </w:rPr>
                  </w:pPr>
                  <w:r>
                    <w:rPr>
                      <w:bCs/>
                      <w:kern w:val="0"/>
                      <w:szCs w:val="21"/>
                    </w:rPr>
                    <w:t>一、总体要求</w:t>
                  </w:r>
                </w:p>
              </w:tc>
              <w:tc>
                <w:tcPr>
                  <w:tcW w:w="4822" w:type="dxa"/>
                  <w:noWrap/>
                </w:tcPr>
                <w:p>
                  <w:pPr>
                    <w:adjustRightInd w:val="0"/>
                    <w:snapToGrid w:val="0"/>
                    <w:contextualSpacing/>
                    <w:rPr>
                      <w:bCs/>
                      <w:kern w:val="0"/>
                      <w:szCs w:val="21"/>
                    </w:rPr>
                  </w:pPr>
                  <w:r>
                    <w:rPr>
                      <w:bCs/>
                      <w:kern w:val="0"/>
                      <w:szCs w:val="21"/>
                    </w:rPr>
                    <w:t>实施范围：</w:t>
                  </w:r>
                  <w:r>
                    <w:rPr>
                      <w:kern w:val="0"/>
                      <w:szCs w:val="21"/>
                    </w:rPr>
                    <w:t>京津冀及周边地区，包含北京市，天津市，河北省石家庄、唐山、邯郸、邢台、保定、沧州、廊坊、衡水市，山西省太原、阳泉、长治、晋城市，山东省济南、淄博、济宁、德州、聊城、滨州、菏泽市，河南省郑州、开封、安阳、鹤壁、新乡、焦作、濮阳市（以下简称“2+26”城市，含河北省定州市、辛集市，河南省济源市）。</w:t>
                  </w:r>
                </w:p>
              </w:tc>
              <w:tc>
                <w:tcPr>
                  <w:tcW w:w="2155" w:type="dxa"/>
                  <w:noWrap/>
                  <w:vAlign w:val="center"/>
                </w:tcPr>
                <w:p>
                  <w:pPr>
                    <w:adjustRightInd w:val="0"/>
                    <w:snapToGrid w:val="0"/>
                    <w:contextualSpacing/>
                    <w:rPr>
                      <w:b/>
                      <w:bCs/>
                      <w:kern w:val="0"/>
                      <w:szCs w:val="21"/>
                    </w:rPr>
                  </w:pPr>
                  <w:r>
                    <w:rPr>
                      <w:kern w:val="0"/>
                      <w:szCs w:val="21"/>
                    </w:rPr>
                    <w:t>本项目位于河南省新乡市凤泉区</w:t>
                  </w:r>
                  <w:r>
                    <w:rPr>
                      <w:rFonts w:hint="eastAsia"/>
                      <w:kern w:val="0"/>
                      <w:szCs w:val="21"/>
                    </w:rPr>
                    <w:t>，</w:t>
                  </w:r>
                  <w:r>
                    <w:rPr>
                      <w:kern w:val="0"/>
                      <w:szCs w:val="21"/>
                    </w:rPr>
                    <w:t>位于实施范围内</w:t>
                  </w:r>
                  <w:r>
                    <w:rPr>
                      <w:rFonts w:hint="eastAsia"/>
                      <w:kern w:val="0"/>
                      <w:szCs w:val="21"/>
                    </w:rPr>
                    <w:t>。</w:t>
                  </w:r>
                </w:p>
              </w:tc>
              <w:tc>
                <w:tcPr>
                  <w:tcW w:w="1155" w:type="dxa"/>
                  <w:noWrap/>
                  <w:vAlign w:val="center"/>
                </w:tcPr>
                <w:p>
                  <w:pPr>
                    <w:adjustRightInd w:val="0"/>
                    <w:snapToGrid w:val="0"/>
                    <w:contextualSpacing/>
                    <w:jc w:val="center"/>
                    <w:rPr>
                      <w:b/>
                      <w:bCs/>
                      <w:kern w:val="0"/>
                      <w:szCs w:val="21"/>
                    </w:rPr>
                  </w:pPr>
                  <w:r>
                    <w:rPr>
                      <w:rFonts w:hint="eastAsia"/>
                      <w:kern w:val="0"/>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noWrap/>
                  <w:vAlign w:val="center"/>
                </w:tcPr>
                <w:p>
                  <w:pPr>
                    <w:adjustRightInd w:val="0"/>
                    <w:snapToGrid w:val="0"/>
                    <w:contextualSpacing/>
                    <w:rPr>
                      <w:kern w:val="0"/>
                      <w:szCs w:val="21"/>
                    </w:rPr>
                  </w:pPr>
                  <w:r>
                    <w:rPr>
                      <w:bCs/>
                      <w:kern w:val="0"/>
                      <w:szCs w:val="21"/>
                    </w:rPr>
                    <w:t>（一）调整优化产业结构</w:t>
                  </w:r>
                </w:p>
              </w:tc>
              <w:tc>
                <w:tcPr>
                  <w:tcW w:w="4822" w:type="dxa"/>
                  <w:noWrap/>
                  <w:vAlign w:val="center"/>
                </w:tcPr>
                <w:p>
                  <w:pPr>
                    <w:numPr>
                      <w:ilvl w:val="0"/>
                      <w:numId w:val="1"/>
                    </w:numPr>
                    <w:adjustRightInd w:val="0"/>
                    <w:snapToGrid w:val="0"/>
                    <w:contextualSpacing/>
                    <w:rPr>
                      <w:kern w:val="0"/>
                      <w:szCs w:val="21"/>
                    </w:rPr>
                  </w:pPr>
                  <w:r>
                    <w:rPr>
                      <w:bCs/>
                      <w:kern w:val="0"/>
                      <w:szCs w:val="21"/>
                    </w:rPr>
                    <w:t>严控 “ 两高 ” 行业产能。</w:t>
                  </w:r>
                  <w:r>
                    <w:rPr>
                      <w:kern w:val="0"/>
                      <w:szCs w:val="21"/>
                    </w:rPr>
                    <w:t>加快城市建成区重污染企业搬迁改造或关闭退出，推动实施一批水泥、玻璃、焦化、化工等重污染企业搬迁工程。城市建成区钢铁企业要切实采取彻底关停、转型发展、就地改造、域外搬迁等方式实施分类处置。钢铁等重污染企业搬迁应重点向区外转移。唐山、邯郸、安阳市不允许新建、扩建单纯新增产能的钢铁项目，禁止省外钢铁企业搬迁转移至该地。</w:t>
                  </w:r>
                </w:p>
              </w:tc>
              <w:tc>
                <w:tcPr>
                  <w:tcW w:w="2155" w:type="dxa"/>
                  <w:noWrap/>
                  <w:vAlign w:val="center"/>
                </w:tcPr>
                <w:p>
                  <w:pPr>
                    <w:adjustRightInd w:val="0"/>
                    <w:snapToGrid w:val="0"/>
                    <w:contextualSpacing/>
                    <w:rPr>
                      <w:kern w:val="0"/>
                      <w:szCs w:val="21"/>
                      <w:highlight w:val="yellow"/>
                    </w:rPr>
                  </w:pPr>
                  <w:r>
                    <w:rPr>
                      <w:kern w:val="0"/>
                      <w:szCs w:val="21"/>
                    </w:rPr>
                    <w:t>本项目位于新乡市凤泉区大块镇小块村西1658号</w:t>
                  </w:r>
                  <w:r>
                    <w:rPr>
                      <w:rFonts w:hint="eastAsia"/>
                      <w:kern w:val="0"/>
                      <w:szCs w:val="21"/>
                    </w:rPr>
                    <w:t>，属于</w:t>
                  </w:r>
                  <w:r>
                    <w:rPr>
                      <w:kern w:val="0"/>
                      <w:szCs w:val="21"/>
                    </w:rPr>
                    <w:t>C2928  塑料零件制造</w:t>
                  </w:r>
                  <w:r>
                    <w:rPr>
                      <w:rFonts w:hint="eastAsia"/>
                      <w:bCs/>
                      <w:kern w:val="0"/>
                      <w:szCs w:val="21"/>
                    </w:rPr>
                    <w:t>，</w:t>
                  </w:r>
                  <w:r>
                    <w:rPr>
                      <w:szCs w:val="21"/>
                    </w:rPr>
                    <w:t>不属于“两高”行业，不属于禁止建设项目</w:t>
                  </w:r>
                  <w:r>
                    <w:rPr>
                      <w:rFonts w:hint="eastAsia"/>
                      <w:szCs w:val="21"/>
                    </w:rPr>
                    <w:t>。</w:t>
                  </w:r>
                </w:p>
              </w:tc>
              <w:tc>
                <w:tcPr>
                  <w:tcW w:w="1155" w:type="dxa"/>
                  <w:noWrap/>
                  <w:vAlign w:val="center"/>
                </w:tcPr>
                <w:p>
                  <w:pPr>
                    <w:adjustRightInd w:val="0"/>
                    <w:snapToGrid w:val="0"/>
                    <w:contextualSpacing/>
                    <w:jc w:val="center"/>
                    <w:rPr>
                      <w:kern w:val="0"/>
                      <w:szCs w:val="21"/>
                      <w:highlight w:val="yellow"/>
                    </w:rPr>
                  </w:pPr>
                  <w:r>
                    <w:rPr>
                      <w:kern w:val="0"/>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dxa"/>
                  <w:noWrap/>
                  <w:vAlign w:val="center"/>
                </w:tcPr>
                <w:p>
                  <w:pPr>
                    <w:adjustRightInd w:val="0"/>
                    <w:snapToGrid w:val="0"/>
                    <w:contextualSpacing/>
                    <w:rPr>
                      <w:bCs/>
                      <w:kern w:val="0"/>
                      <w:szCs w:val="21"/>
                    </w:rPr>
                  </w:pPr>
                  <w:r>
                    <w:rPr>
                      <w:rFonts w:hint="eastAsia"/>
                      <w:bCs/>
                      <w:kern w:val="0"/>
                      <w:szCs w:val="21"/>
                    </w:rPr>
                    <w:t>（ 七）实施 VOCs  综合治理专项行动。</w:t>
                  </w:r>
                </w:p>
              </w:tc>
              <w:tc>
                <w:tcPr>
                  <w:tcW w:w="4822" w:type="dxa"/>
                  <w:noWrap/>
                  <w:vAlign w:val="center"/>
                </w:tcPr>
                <w:p>
                  <w:pPr>
                    <w:adjustRightInd w:val="0"/>
                    <w:snapToGrid w:val="0"/>
                    <w:contextualSpacing/>
                    <w:rPr>
                      <w:bCs/>
                      <w:kern w:val="0"/>
                      <w:szCs w:val="21"/>
                    </w:rPr>
                  </w:pPr>
                  <w:r>
                    <w:rPr>
                      <w:rFonts w:hint="eastAsia"/>
                      <w:bCs/>
                      <w:kern w:val="0"/>
                      <w:szCs w:val="21"/>
                    </w:rPr>
                    <w:t>19. 深入推进重点行业VOCs  专项整治。河南省重点推进煤化工、农药、制药、橡胶制品、工业涂装等行业 VOCs 综合治理，完成治理任务 126 家。</w:t>
                  </w:r>
                </w:p>
                <w:p>
                  <w:pPr>
                    <w:adjustRightInd w:val="0"/>
                    <w:snapToGrid w:val="0"/>
                    <w:contextualSpacing/>
                    <w:rPr>
                      <w:bCs/>
                      <w:kern w:val="0"/>
                      <w:szCs w:val="21"/>
                    </w:rPr>
                  </w:pPr>
                  <w:r>
                    <w:rPr>
                      <w:rFonts w:hint="eastAsia"/>
                      <w:bCs/>
                      <w:kern w:val="0"/>
                      <w:szCs w:val="21"/>
                    </w:rPr>
                    <w:t>21. 强化VOCs  无组织排放管控。加强工艺过程无组织排放控制。VOCs 物料应储存于密闭储罐或密闭容器中，并采用密闭管道或密闭容器输送；离心、过滤单元操作采用密闭式离心机、压滤机等设备，干燥单元操作采用密闭干燥设备，设备排气孔排放 VOCs 应收集处理；反应尾气、蒸馏装置不凝尾气等工艺排气，以及工艺容器的置换气、吹扫气、抽真空排气等应收集处理。</w:t>
                  </w:r>
                </w:p>
              </w:tc>
              <w:tc>
                <w:tcPr>
                  <w:tcW w:w="2155" w:type="dxa"/>
                  <w:noWrap/>
                  <w:vAlign w:val="center"/>
                </w:tcPr>
                <w:p>
                  <w:pPr>
                    <w:adjustRightInd w:val="0"/>
                    <w:snapToGrid w:val="0"/>
                    <w:contextualSpacing/>
                    <w:rPr>
                      <w:bCs/>
                      <w:kern w:val="0"/>
                      <w:szCs w:val="21"/>
                    </w:rPr>
                  </w:pPr>
                  <w:r>
                    <w:rPr>
                      <w:kern w:val="0"/>
                      <w:szCs w:val="21"/>
                    </w:rPr>
                    <w:t>本项目属于C2928  塑料零件制造</w:t>
                  </w:r>
                  <w:r>
                    <w:rPr>
                      <w:rFonts w:hint="eastAsia"/>
                      <w:kern w:val="0"/>
                      <w:szCs w:val="21"/>
                    </w:rPr>
                    <w:t>，</w:t>
                  </w:r>
                  <w:r>
                    <w:rPr>
                      <w:kern w:val="0"/>
                      <w:szCs w:val="21"/>
                    </w:rPr>
                    <w:t>不属于</w:t>
                  </w:r>
                  <w:r>
                    <w:rPr>
                      <w:rFonts w:hint="eastAsia"/>
                      <w:bCs/>
                      <w:kern w:val="0"/>
                      <w:szCs w:val="21"/>
                    </w:rPr>
                    <w:t>煤化工、农药、制药、橡胶制品、工业涂装等行业。</w:t>
                  </w:r>
                </w:p>
                <w:p>
                  <w:pPr>
                    <w:adjustRightInd w:val="0"/>
                    <w:snapToGrid w:val="0"/>
                    <w:contextualSpacing/>
                    <w:rPr>
                      <w:kern w:val="0"/>
                      <w:szCs w:val="21"/>
                    </w:rPr>
                  </w:pPr>
                  <w:r>
                    <w:rPr>
                      <w:rFonts w:hint="eastAsia"/>
                      <w:bCs/>
                      <w:kern w:val="0"/>
                      <w:szCs w:val="21"/>
                    </w:rPr>
                    <w:t>本项目VOCs物料均存放于密闭的厂房内，有机废气经收集后</w:t>
                  </w:r>
                  <w:r>
                    <w:t>采</w:t>
                  </w:r>
                  <w:r>
                    <w:rPr>
                      <w:szCs w:val="21"/>
                    </w:rPr>
                    <w:t>用UV光催化氧化装置+活性炭吸附装置措施进行治理，经</w:t>
                  </w:r>
                  <w:r>
                    <w:rPr>
                      <w:rFonts w:hint="eastAsia"/>
                      <w:szCs w:val="21"/>
                    </w:rPr>
                    <w:t>15m排气筒有组织排放。</w:t>
                  </w:r>
                </w:p>
              </w:tc>
              <w:tc>
                <w:tcPr>
                  <w:tcW w:w="1155" w:type="dxa"/>
                  <w:noWrap/>
                  <w:vAlign w:val="center"/>
                </w:tcPr>
                <w:p>
                  <w:pPr>
                    <w:adjustRightInd w:val="0"/>
                    <w:snapToGrid w:val="0"/>
                    <w:contextualSpacing/>
                    <w:jc w:val="center"/>
                    <w:rPr>
                      <w:kern w:val="0"/>
                      <w:szCs w:val="21"/>
                    </w:rPr>
                  </w:pPr>
                  <w:r>
                    <w:rPr>
                      <w:kern w:val="0"/>
                      <w:szCs w:val="21"/>
                    </w:rPr>
                    <w:t>符合</w:t>
                  </w:r>
                </w:p>
              </w:tc>
            </w:tr>
          </w:tbl>
          <w:p>
            <w:pPr>
              <w:pStyle w:val="148"/>
              <w:adjustRightInd w:val="0"/>
              <w:snapToGrid w:val="0"/>
              <w:spacing w:line="460" w:lineRule="exact"/>
              <w:ind w:firstLine="480" w:firstLineChars="200"/>
              <w:rPr>
                <w:rFonts w:ascii="Times New Roman" w:hAnsi="Times New Roman" w:eastAsia="宋体"/>
                <w:sz w:val="24"/>
              </w:rPr>
            </w:pPr>
            <w:r>
              <w:rPr>
                <w:rFonts w:ascii="Times New Roman" w:hAnsi="Times New Roman" w:eastAsia="宋体"/>
                <w:sz w:val="24"/>
              </w:rPr>
              <w:t>经对照分析，本项目建设符合《京津冀及周边地区</w:t>
            </w:r>
            <w:r>
              <w:rPr>
                <w:rFonts w:ascii="Times New Roman" w:hAnsi="Times New Roman"/>
                <w:sz w:val="24"/>
              </w:rPr>
              <w:t xml:space="preserve">2018-2019 </w:t>
            </w:r>
            <w:r>
              <w:rPr>
                <w:rFonts w:ascii="Times New Roman" w:hAnsi="Times New Roman" w:eastAsia="宋体"/>
                <w:sz w:val="24"/>
              </w:rPr>
              <w:t>年秋冬季大气污染综合治理攻坚行动方案》（环大气</w:t>
            </w:r>
            <w:r>
              <w:rPr>
                <w:rFonts w:ascii="Times New Roman" w:hAnsi="Times New Roman"/>
                <w:sz w:val="24"/>
              </w:rPr>
              <w:t>[2018]100</w:t>
            </w:r>
            <w:r>
              <w:rPr>
                <w:rFonts w:ascii="Times New Roman" w:hAnsi="Times New Roman" w:eastAsia="宋体"/>
                <w:sz w:val="24"/>
              </w:rPr>
              <w:t>号）相关要求。</w:t>
            </w:r>
          </w:p>
          <w:p>
            <w:pPr>
              <w:snapToGrid w:val="0"/>
              <w:spacing w:line="480" w:lineRule="exact"/>
              <w:ind w:firstLine="482"/>
              <w:rPr>
                <w:b/>
                <w:sz w:val="24"/>
                <w:lang w:val="pt-BR"/>
              </w:rPr>
            </w:pPr>
            <w:r>
              <w:rPr>
                <w:rFonts w:hint="eastAsia"/>
                <w:b/>
                <w:sz w:val="24"/>
              </w:rPr>
              <w:t>7</w:t>
            </w:r>
            <w:r>
              <w:rPr>
                <w:b/>
                <w:sz w:val="24"/>
              </w:rPr>
              <w:t>、与《</w:t>
            </w:r>
            <w:r>
              <w:rPr>
                <w:rFonts w:ascii="宋体" w:hAnsi="宋体"/>
                <w:b/>
                <w:sz w:val="24"/>
              </w:rPr>
              <w:t>“十三五”</w:t>
            </w:r>
            <w:r>
              <w:rPr>
                <w:b/>
                <w:sz w:val="24"/>
              </w:rPr>
              <w:t>挥发性有机物污染防治工作方案》的对照分析</w:t>
            </w:r>
          </w:p>
          <w:p>
            <w:pPr>
              <w:snapToGrid w:val="0"/>
              <w:spacing w:line="460" w:lineRule="exact"/>
              <w:ind w:firstLine="480"/>
              <w:textAlignment w:val="baseline"/>
              <w:rPr>
                <w:sz w:val="24"/>
              </w:rPr>
            </w:pPr>
            <w:r>
              <w:rPr>
                <w:sz w:val="24"/>
              </w:rPr>
              <w:t>本项目与环境保护部、国家发展和改革委员会、财政部、交通运输部、国家质量监督检验检疫总局、国家能源局共同下发的关于印发《“十三五”挥发性有机物污染防治工作方案》的通知（环大气[2017]121号）中的相关要求进行对照，具体内容见下表。</w:t>
            </w:r>
          </w:p>
          <w:p>
            <w:pPr>
              <w:spacing w:line="520" w:lineRule="exact"/>
              <w:ind w:firstLine="600"/>
              <w:rPr>
                <w:rFonts w:eastAsia="黑体"/>
                <w:sz w:val="24"/>
              </w:rPr>
            </w:pPr>
            <w:r>
              <w:rPr>
                <w:rFonts w:eastAsia="黑体"/>
                <w:sz w:val="24"/>
              </w:rPr>
              <w:t>表1</w:t>
            </w:r>
            <w:r>
              <w:rPr>
                <w:rFonts w:hint="eastAsia" w:eastAsia="黑体"/>
                <w:sz w:val="24"/>
              </w:rPr>
              <w:t>6</w:t>
            </w:r>
            <w:r>
              <w:rPr>
                <w:rFonts w:eastAsia="黑体"/>
                <w:sz w:val="24"/>
              </w:rPr>
              <w:t xml:space="preserve">  </w:t>
            </w:r>
            <w:r>
              <w:rPr>
                <w:rFonts w:hint="eastAsia" w:eastAsia="黑体"/>
                <w:sz w:val="24"/>
              </w:rPr>
              <w:t xml:space="preserve">  </w:t>
            </w:r>
            <w:r>
              <w:rPr>
                <w:rFonts w:eastAsia="黑体"/>
                <w:sz w:val="24"/>
              </w:rPr>
              <w:t>本项目《与“十三五”挥发性有机物污染防治工作方案》的对比</w:t>
            </w:r>
          </w:p>
          <w:tbl>
            <w:tblPr>
              <w:tblStyle w:val="19"/>
              <w:tblW w:w="9224"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9"/>
              <w:gridCol w:w="5384"/>
              <w:gridCol w:w="1701"/>
              <w:gridCol w:w="135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89" w:type="dxa"/>
                  <w:shd w:val="clear" w:color="auto" w:fill="auto"/>
                  <w:vAlign w:val="center"/>
                </w:tcPr>
                <w:p>
                  <w:pPr>
                    <w:jc w:val="center"/>
                    <w:rPr>
                      <w:rFonts w:eastAsiaTheme="minorEastAsia"/>
                      <w:b/>
                    </w:rPr>
                  </w:pPr>
                  <w:r>
                    <w:rPr>
                      <w:rFonts w:hAnsiTheme="minorHAnsi" w:eastAsiaTheme="minorEastAsia"/>
                      <w:b/>
                    </w:rPr>
                    <w:t>项目</w:t>
                  </w:r>
                </w:p>
              </w:tc>
              <w:tc>
                <w:tcPr>
                  <w:tcW w:w="5384" w:type="dxa"/>
                  <w:shd w:val="clear" w:color="auto" w:fill="auto"/>
                  <w:vAlign w:val="center"/>
                </w:tcPr>
                <w:p>
                  <w:pPr>
                    <w:jc w:val="center"/>
                    <w:rPr>
                      <w:rFonts w:eastAsiaTheme="minorEastAsia"/>
                      <w:b/>
                    </w:rPr>
                  </w:pPr>
                  <w:r>
                    <w:rPr>
                      <w:rFonts w:hAnsiTheme="minorHAnsi" w:eastAsiaTheme="minorEastAsia"/>
                      <w:b/>
                    </w:rPr>
                    <w:t>与本项目相关条文</w:t>
                  </w:r>
                </w:p>
              </w:tc>
              <w:tc>
                <w:tcPr>
                  <w:tcW w:w="1701" w:type="dxa"/>
                  <w:shd w:val="clear" w:color="auto" w:fill="auto"/>
                  <w:vAlign w:val="center"/>
                </w:tcPr>
                <w:p>
                  <w:pPr>
                    <w:jc w:val="center"/>
                    <w:rPr>
                      <w:rFonts w:eastAsiaTheme="minorEastAsia"/>
                      <w:b/>
                    </w:rPr>
                  </w:pPr>
                  <w:r>
                    <w:rPr>
                      <w:rFonts w:hAnsiTheme="minorHAnsi" w:eastAsiaTheme="minorEastAsia"/>
                      <w:b/>
                    </w:rPr>
                    <w:t>本项目情况</w:t>
                  </w:r>
                </w:p>
              </w:tc>
              <w:tc>
                <w:tcPr>
                  <w:tcW w:w="1350" w:type="dxa"/>
                  <w:shd w:val="clear" w:color="auto" w:fill="auto"/>
                  <w:vAlign w:val="center"/>
                </w:tcPr>
                <w:p>
                  <w:pPr>
                    <w:jc w:val="center"/>
                    <w:rPr>
                      <w:rFonts w:eastAsiaTheme="minorEastAsia"/>
                      <w:b/>
                    </w:rPr>
                  </w:pPr>
                  <w:r>
                    <w:rPr>
                      <w:rFonts w:hAnsiTheme="minorHAnsi" w:eastAsiaTheme="minorEastAsia"/>
                      <w:b/>
                    </w:rPr>
                    <w:t>对比结果</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89" w:type="dxa"/>
                  <w:vMerge w:val="restart"/>
                  <w:shd w:val="clear" w:color="auto" w:fill="auto"/>
                  <w:vAlign w:val="center"/>
                </w:tcPr>
                <w:p>
                  <w:pPr>
                    <w:jc w:val="center"/>
                    <w:rPr>
                      <w:rFonts w:eastAsiaTheme="minorEastAsia"/>
                    </w:rPr>
                  </w:pPr>
                  <w:r>
                    <w:rPr>
                      <w:rFonts w:hAnsiTheme="minorHAnsi" w:eastAsiaTheme="minorEastAsia"/>
                    </w:rPr>
                    <w:t>三、治理重点</w:t>
                  </w:r>
                </w:p>
              </w:tc>
              <w:tc>
                <w:tcPr>
                  <w:tcW w:w="5384" w:type="dxa"/>
                  <w:shd w:val="clear" w:color="auto" w:fill="auto"/>
                  <w:vAlign w:val="center"/>
                </w:tcPr>
                <w:p>
                  <w:pPr>
                    <w:rPr>
                      <w:rFonts w:eastAsiaTheme="minorEastAsia"/>
                    </w:rPr>
                  </w:pPr>
                  <w:r>
                    <w:rPr>
                      <w:rFonts w:hAnsiTheme="minorHAnsi" w:eastAsiaTheme="minorEastAsia"/>
                    </w:rPr>
                    <w:t>（一）重点地区。京津冀及周边、长三角、珠三角、成渝、武汉及其周边、辽宁中部、陕西关中、长株潭等区域，涉及北京、天津、河北、辽宁、上海、江苏、浙江、安徽、山东、河南、广东、湖北、湖南、重庆、四川、陕西等</w:t>
                  </w:r>
                  <w:r>
                    <w:rPr>
                      <w:rFonts w:eastAsiaTheme="minorEastAsia"/>
                    </w:rPr>
                    <w:t xml:space="preserve">16 </w:t>
                  </w:r>
                  <w:r>
                    <w:rPr>
                      <w:rFonts w:hAnsiTheme="minorHAnsi" w:eastAsiaTheme="minorEastAsia"/>
                    </w:rPr>
                    <w:t>个省（市）。</w:t>
                  </w:r>
                </w:p>
              </w:tc>
              <w:tc>
                <w:tcPr>
                  <w:tcW w:w="1701" w:type="dxa"/>
                  <w:shd w:val="clear" w:color="auto" w:fill="auto"/>
                  <w:vAlign w:val="center"/>
                </w:tcPr>
                <w:p>
                  <w:pPr>
                    <w:jc w:val="center"/>
                    <w:rPr>
                      <w:rFonts w:eastAsiaTheme="minorEastAsia"/>
                    </w:rPr>
                  </w:pPr>
                  <w:r>
                    <w:rPr>
                      <w:rFonts w:hAnsiTheme="minorHAnsi" w:eastAsiaTheme="minorEastAsia"/>
                    </w:rPr>
                    <w:t>本项目位于新乡市凤泉区大块镇小块村西1658号</w:t>
                  </w:r>
                </w:p>
              </w:tc>
              <w:tc>
                <w:tcPr>
                  <w:tcW w:w="1350" w:type="dxa"/>
                  <w:shd w:val="clear" w:color="auto" w:fill="auto"/>
                  <w:vAlign w:val="center"/>
                </w:tcPr>
                <w:p>
                  <w:pPr>
                    <w:jc w:val="center"/>
                    <w:rPr>
                      <w:rFonts w:eastAsiaTheme="minorEastAsia"/>
                    </w:rPr>
                  </w:pPr>
                  <w:r>
                    <w:rPr>
                      <w:rFonts w:hAnsiTheme="minorHAnsi" w:eastAsiaTheme="minorEastAsia"/>
                    </w:rPr>
                    <w:t>属于重点地区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89" w:type="dxa"/>
                  <w:vMerge w:val="continue"/>
                  <w:shd w:val="clear" w:color="auto" w:fill="auto"/>
                  <w:vAlign w:val="center"/>
                </w:tcPr>
                <w:p>
                  <w:pPr>
                    <w:jc w:val="center"/>
                    <w:rPr>
                      <w:rFonts w:eastAsiaTheme="minorEastAsia"/>
                    </w:rPr>
                  </w:pPr>
                </w:p>
              </w:tc>
              <w:tc>
                <w:tcPr>
                  <w:tcW w:w="5384" w:type="dxa"/>
                  <w:shd w:val="clear" w:color="auto" w:fill="auto"/>
                  <w:vAlign w:val="center"/>
                </w:tcPr>
                <w:p>
                  <w:pPr>
                    <w:rPr>
                      <w:rFonts w:eastAsiaTheme="minorEastAsia"/>
                    </w:rPr>
                  </w:pPr>
                  <w:r>
                    <w:rPr>
                      <w:rFonts w:hAnsiTheme="minorHAnsi" w:eastAsiaTheme="minorEastAsia"/>
                    </w:rPr>
                    <w:t>（二）重点行业。重点推进石化、化工、包装印刷、工业涂装等重点行业以及机动车、油品储运销等交通源</w:t>
                  </w:r>
                  <w:r>
                    <w:rPr>
                      <w:rFonts w:eastAsiaTheme="minorEastAsia"/>
                    </w:rPr>
                    <w:t xml:space="preserve">VOCs </w:t>
                  </w:r>
                  <w:r>
                    <w:rPr>
                      <w:rFonts w:hAnsiTheme="minorHAnsi" w:eastAsiaTheme="minorEastAsia"/>
                    </w:rPr>
                    <w:t>污染防治，实施一批重点工程。各地应结合自身产业结构特征、</w:t>
                  </w:r>
                  <w:r>
                    <w:rPr>
                      <w:rFonts w:eastAsiaTheme="minorEastAsia"/>
                    </w:rPr>
                    <w:t xml:space="preserve">VOCs </w:t>
                  </w:r>
                  <w:r>
                    <w:rPr>
                      <w:rFonts w:hAnsiTheme="minorHAnsi" w:eastAsiaTheme="minorEastAsia"/>
                    </w:rPr>
                    <w:t>排放来源等，确定本地</w:t>
                  </w:r>
                  <w:r>
                    <w:rPr>
                      <w:rFonts w:eastAsiaTheme="minorEastAsia"/>
                    </w:rPr>
                    <w:t xml:space="preserve">VOCs </w:t>
                  </w:r>
                  <w:r>
                    <w:rPr>
                      <w:rFonts w:hAnsiTheme="minorHAnsi" w:eastAsiaTheme="minorEastAsia"/>
                    </w:rPr>
                    <w:t>控制重点行业；充分考虑行业产能利用率、生产工艺特征以及污染物排放情况等，结合环境空气质量季节性变化特征，研究制定行业生产调控措施。</w:t>
                  </w:r>
                </w:p>
              </w:tc>
              <w:tc>
                <w:tcPr>
                  <w:tcW w:w="1701" w:type="dxa"/>
                  <w:shd w:val="clear" w:color="auto" w:fill="auto"/>
                  <w:vAlign w:val="center"/>
                </w:tcPr>
                <w:p>
                  <w:pPr>
                    <w:jc w:val="center"/>
                    <w:rPr>
                      <w:rFonts w:eastAsiaTheme="minorEastAsia"/>
                    </w:rPr>
                  </w:pPr>
                  <w:r>
                    <w:rPr>
                      <w:rFonts w:hAnsiTheme="minorHAnsi" w:eastAsiaTheme="minorEastAsia"/>
                    </w:rPr>
                    <w:t>本项目密封圈产品属于涉</w:t>
                  </w:r>
                  <w:r>
                    <w:rPr>
                      <w:rFonts w:hint="eastAsia" w:hAnsiTheme="minorHAnsi" w:eastAsiaTheme="minorEastAsia"/>
                    </w:rPr>
                    <w:t>VOCs的行业，属于</w:t>
                  </w:r>
                  <w:r>
                    <w:rPr>
                      <w:kern w:val="0"/>
                      <w:szCs w:val="21"/>
                    </w:rPr>
                    <w:t>C2928 塑料零件制造</w:t>
                  </w:r>
                </w:p>
              </w:tc>
              <w:tc>
                <w:tcPr>
                  <w:tcW w:w="1350" w:type="dxa"/>
                  <w:shd w:val="clear" w:color="auto" w:fill="auto"/>
                  <w:vAlign w:val="center"/>
                </w:tcPr>
                <w:p>
                  <w:pPr>
                    <w:jc w:val="center"/>
                    <w:rPr>
                      <w:rFonts w:eastAsiaTheme="minorEastAsia"/>
                    </w:rPr>
                  </w:pPr>
                  <w:r>
                    <w:rPr>
                      <w:rFonts w:hAnsiTheme="minorHAnsi" w:eastAsiaTheme="minorEastAsia"/>
                    </w:rPr>
                    <w:t>不属于重点行业</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89" w:type="dxa"/>
                  <w:vMerge w:val="continue"/>
                  <w:shd w:val="clear" w:color="auto" w:fill="auto"/>
                  <w:vAlign w:val="center"/>
                </w:tcPr>
                <w:p>
                  <w:pPr>
                    <w:jc w:val="center"/>
                    <w:rPr>
                      <w:rFonts w:eastAsiaTheme="minorEastAsia"/>
                    </w:rPr>
                  </w:pPr>
                </w:p>
              </w:tc>
              <w:tc>
                <w:tcPr>
                  <w:tcW w:w="5384" w:type="dxa"/>
                  <w:shd w:val="clear" w:color="auto" w:fill="auto"/>
                  <w:vAlign w:val="center"/>
                </w:tcPr>
                <w:p>
                  <w:pPr>
                    <w:rPr>
                      <w:rFonts w:eastAsiaTheme="minorEastAsia"/>
                    </w:rPr>
                  </w:pPr>
                  <w:r>
                    <w:rPr>
                      <w:rFonts w:hAnsiTheme="minorHAnsi" w:eastAsiaTheme="minorEastAsia"/>
                    </w:rPr>
                    <w:t>（三）重点污染物。加强活性强的</w:t>
                  </w:r>
                  <w:r>
                    <w:rPr>
                      <w:rFonts w:eastAsiaTheme="minorEastAsia"/>
                    </w:rPr>
                    <w:t xml:space="preserve">VOCs </w:t>
                  </w:r>
                  <w:r>
                    <w:rPr>
                      <w:rFonts w:hAnsiTheme="minorHAnsi" w:eastAsiaTheme="minorEastAsia"/>
                    </w:rPr>
                    <w:t>排放控制，主要为芳香烃、烯烃、炔烃、醛类等。</w:t>
                  </w:r>
                </w:p>
              </w:tc>
              <w:tc>
                <w:tcPr>
                  <w:tcW w:w="1701" w:type="dxa"/>
                  <w:shd w:val="clear" w:color="auto" w:fill="auto"/>
                  <w:vAlign w:val="center"/>
                </w:tcPr>
                <w:p>
                  <w:pPr>
                    <w:jc w:val="center"/>
                    <w:rPr>
                      <w:rFonts w:eastAsiaTheme="minorEastAsia"/>
                    </w:rPr>
                  </w:pPr>
                  <w:r>
                    <w:rPr>
                      <w:rFonts w:hAnsiTheme="minorHAnsi" w:eastAsiaTheme="minorEastAsia"/>
                    </w:rPr>
                    <w:t>本项目废气污染物为</w:t>
                  </w:r>
                  <w:r>
                    <w:rPr>
                      <w:rFonts w:hint="eastAsia" w:hAnsiTheme="minorHAnsi" w:eastAsiaTheme="minorEastAsia"/>
                    </w:rPr>
                    <w:t>烃类</w:t>
                  </w:r>
                  <w:r>
                    <w:rPr>
                      <w:rFonts w:hAnsiTheme="minorHAnsi" w:eastAsiaTheme="minorEastAsia"/>
                    </w:rPr>
                    <w:t>。</w:t>
                  </w:r>
                </w:p>
              </w:tc>
              <w:tc>
                <w:tcPr>
                  <w:tcW w:w="1350" w:type="dxa"/>
                  <w:shd w:val="clear" w:color="auto" w:fill="auto"/>
                  <w:vAlign w:val="center"/>
                </w:tcPr>
                <w:p>
                  <w:pPr>
                    <w:jc w:val="center"/>
                    <w:rPr>
                      <w:rFonts w:eastAsiaTheme="minorEastAsia"/>
                    </w:rPr>
                  </w:pPr>
                  <w:r>
                    <w:t>属于重点污染物</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89" w:type="dxa"/>
                  <w:shd w:val="clear" w:color="auto" w:fill="auto"/>
                  <w:vAlign w:val="center"/>
                </w:tcPr>
                <w:p>
                  <w:pPr>
                    <w:jc w:val="center"/>
                    <w:rPr>
                      <w:rFonts w:eastAsiaTheme="minorEastAsia"/>
                    </w:rPr>
                  </w:pPr>
                  <w:r>
                    <w:rPr>
                      <w:rFonts w:hAnsiTheme="minorHAnsi" w:eastAsiaTheme="minorEastAsia"/>
                    </w:rPr>
                    <w:t>四、主要任务</w:t>
                  </w:r>
                </w:p>
              </w:tc>
              <w:tc>
                <w:tcPr>
                  <w:tcW w:w="5384" w:type="dxa"/>
                  <w:shd w:val="clear" w:color="auto" w:fill="auto"/>
                  <w:vAlign w:val="center"/>
                </w:tcPr>
                <w:p>
                  <w:pPr>
                    <w:rPr>
                      <w:rFonts w:eastAsiaTheme="minorEastAsia"/>
                    </w:rPr>
                  </w:pPr>
                  <w:r>
                    <w:rPr>
                      <w:rFonts w:hAnsiTheme="minorHAnsi" w:eastAsiaTheme="minorEastAsia"/>
                    </w:rPr>
                    <w:t>（一）加大产业结构调整力度。</w:t>
                  </w:r>
                </w:p>
                <w:p>
                  <w:pPr>
                    <w:rPr>
                      <w:rFonts w:eastAsiaTheme="minorEastAsia"/>
                    </w:rPr>
                  </w:pPr>
                  <w:r>
                    <w:rPr>
                      <w:rFonts w:eastAsiaTheme="minorEastAsia"/>
                    </w:rPr>
                    <w:t>1.</w:t>
                  </w:r>
                  <w:r>
                    <w:rPr>
                      <w:rFonts w:hAnsiTheme="minorHAnsi" w:eastAsiaTheme="minorEastAsia"/>
                    </w:rPr>
                    <w:t>加快推进</w:t>
                  </w:r>
                  <w:r>
                    <w:rPr>
                      <w:rFonts w:eastAsiaTheme="minorEastAsia"/>
                    </w:rPr>
                    <w:t xml:space="preserve"> “ </w:t>
                  </w:r>
                  <w:r>
                    <w:rPr>
                      <w:rFonts w:hAnsiTheme="minorHAnsi" w:eastAsiaTheme="minorEastAsia"/>
                    </w:rPr>
                    <w:t>散乱污</w:t>
                  </w:r>
                  <w:r>
                    <w:rPr>
                      <w:rFonts w:eastAsiaTheme="minorEastAsia"/>
                    </w:rPr>
                    <w:t xml:space="preserve"> ” </w:t>
                  </w:r>
                  <w:r>
                    <w:rPr>
                      <w:rFonts w:hAnsiTheme="minorHAnsi" w:eastAsiaTheme="minorEastAsia"/>
                    </w:rPr>
                    <w:t>企业综合整治。涉</w:t>
                  </w:r>
                  <w:r>
                    <w:rPr>
                      <w:rFonts w:eastAsiaTheme="minorEastAsia"/>
                    </w:rPr>
                    <w:t xml:space="preserve">VOCs </w:t>
                  </w:r>
                  <w:r>
                    <w:rPr>
                      <w:rFonts w:hAnsiTheme="minorHAnsi" w:eastAsiaTheme="minorEastAsia"/>
                    </w:rPr>
                    <w:t>排放的</w:t>
                  </w:r>
                  <w:r>
                    <w:rPr>
                      <w:rFonts w:eastAsiaTheme="minorEastAsia"/>
                    </w:rPr>
                    <w:t>“</w:t>
                  </w:r>
                  <w:r>
                    <w:rPr>
                      <w:rFonts w:hAnsiTheme="minorHAnsi" w:eastAsiaTheme="minorEastAsia"/>
                    </w:rPr>
                    <w:t>散乱污</w:t>
                  </w:r>
                  <w:r>
                    <w:rPr>
                      <w:rFonts w:eastAsiaTheme="minorEastAsia"/>
                    </w:rPr>
                    <w:t>”</w:t>
                  </w:r>
                  <w:r>
                    <w:rPr>
                      <w:rFonts w:hAnsiTheme="minorHAnsi" w:eastAsiaTheme="minorEastAsia"/>
                    </w:rPr>
                    <w:t>企业主要为涂料、油墨、合成革、橡胶制品、塑料制品、化纤生产等化工企业，使用溶剂型涂料、油墨、胶粘剂和其他有机溶剂的印刷、家具、钢结构、人造板、注塑等制造加工企业，以及露天喷涂汽车维修作业等。</w:t>
                  </w:r>
                </w:p>
                <w:p>
                  <w:pPr>
                    <w:rPr>
                      <w:rFonts w:eastAsiaTheme="minorEastAsia"/>
                    </w:rPr>
                  </w:pPr>
                  <w:r>
                    <w:rPr>
                      <w:rFonts w:eastAsiaTheme="minorEastAsia"/>
                    </w:rPr>
                    <w:t xml:space="preserve">2. </w:t>
                  </w:r>
                  <w:r>
                    <w:rPr>
                      <w:rFonts w:hAnsiTheme="minorHAnsi" w:eastAsiaTheme="minorEastAsia"/>
                    </w:rPr>
                    <w:t>严格建设项目环境准入。提高</w:t>
                  </w:r>
                  <w:r>
                    <w:rPr>
                      <w:rFonts w:eastAsiaTheme="minorEastAsia"/>
                    </w:rPr>
                    <w:t xml:space="preserve">VOCs </w:t>
                  </w:r>
                  <w:r>
                    <w:rPr>
                      <w:rFonts w:hAnsiTheme="minorHAnsi" w:eastAsiaTheme="minorEastAsia"/>
                    </w:rPr>
                    <w:t>排放重点行业环保准入门槛，严格控制新增污染物排放量。重点地区要严格限制石化、化工、包装印刷、工业涂装等高</w:t>
                  </w:r>
                  <w:r>
                    <w:rPr>
                      <w:rFonts w:eastAsiaTheme="minorEastAsia"/>
                    </w:rPr>
                    <w:t xml:space="preserve">VOCs </w:t>
                  </w:r>
                  <w:r>
                    <w:rPr>
                      <w:rFonts w:hAnsiTheme="minorHAnsi" w:eastAsiaTheme="minorEastAsia"/>
                    </w:rPr>
                    <w:t>排放建设项目。新建涉</w:t>
                  </w:r>
                  <w:r>
                    <w:rPr>
                      <w:rFonts w:eastAsiaTheme="minorEastAsia"/>
                    </w:rPr>
                    <w:t xml:space="preserve">VOCs </w:t>
                  </w:r>
                  <w:r>
                    <w:rPr>
                      <w:rFonts w:hAnsiTheme="minorHAnsi" w:eastAsiaTheme="minorEastAsia"/>
                    </w:rPr>
                    <w:t>排放的工业企业要入园区。未纳入《石化产业规划布局方案》的新建炼化项目一律不得建设。</w:t>
                  </w:r>
                </w:p>
                <w:p>
                  <w:pPr>
                    <w:rPr>
                      <w:rFonts w:eastAsiaTheme="minorEastAsia"/>
                    </w:rPr>
                  </w:pPr>
                  <w:r>
                    <w:rPr>
                      <w:rFonts w:hAnsiTheme="minorHAnsi" w:eastAsiaTheme="minorEastAsia"/>
                    </w:rPr>
                    <w:t>严格涉</w:t>
                  </w:r>
                  <w:r>
                    <w:rPr>
                      <w:rFonts w:eastAsiaTheme="minorEastAsia"/>
                    </w:rPr>
                    <w:t xml:space="preserve">VOCs </w:t>
                  </w:r>
                  <w:r>
                    <w:rPr>
                      <w:rFonts w:hAnsiTheme="minorHAnsi" w:eastAsiaTheme="minorEastAsia"/>
                    </w:rPr>
                    <w:t>建设项目环境影响评价，实行区域内</w:t>
                  </w:r>
                  <w:r>
                    <w:rPr>
                      <w:rFonts w:eastAsiaTheme="minorEastAsia"/>
                    </w:rPr>
                    <w:t xml:space="preserve">VOCs </w:t>
                  </w:r>
                  <w:r>
                    <w:rPr>
                      <w:rFonts w:hAnsiTheme="minorHAnsi" w:eastAsiaTheme="minorEastAsia"/>
                    </w:rPr>
                    <w:t>排放等量或倍量削减替代，并将替代方案落实到企业排污许可证中，纳入环境执法管理。</w:t>
                  </w:r>
                </w:p>
                <w:p>
                  <w:pPr>
                    <w:rPr>
                      <w:rFonts w:hAnsiTheme="minorHAnsi" w:eastAsiaTheme="minorEastAsia"/>
                    </w:rPr>
                  </w:pPr>
                  <w:r>
                    <w:rPr>
                      <w:rFonts w:hAnsiTheme="minorHAnsi" w:eastAsiaTheme="minorEastAsia"/>
                    </w:rPr>
                    <w:t>新、改、扩建涉</w:t>
                  </w:r>
                  <w:r>
                    <w:rPr>
                      <w:rFonts w:eastAsiaTheme="minorEastAsia"/>
                    </w:rPr>
                    <w:t xml:space="preserve">VOCs </w:t>
                  </w:r>
                  <w:r>
                    <w:rPr>
                      <w:rFonts w:hAnsiTheme="minorHAnsi" w:eastAsiaTheme="minorEastAsia"/>
                    </w:rPr>
                    <w:t>排放项目，应从源头加强控制，使用低（无）</w:t>
                  </w:r>
                  <w:r>
                    <w:rPr>
                      <w:rFonts w:eastAsiaTheme="minorEastAsia"/>
                    </w:rPr>
                    <w:t xml:space="preserve">VOCs </w:t>
                  </w:r>
                  <w:r>
                    <w:rPr>
                      <w:rFonts w:hAnsiTheme="minorHAnsi" w:eastAsiaTheme="minorEastAsia"/>
                    </w:rPr>
                    <w:t>含量的原辅材料，加强废气收集，安装高效治理设施。</w:t>
                  </w:r>
                </w:p>
              </w:tc>
              <w:tc>
                <w:tcPr>
                  <w:tcW w:w="1701" w:type="dxa"/>
                  <w:shd w:val="clear" w:color="auto" w:fill="auto"/>
                  <w:vAlign w:val="center"/>
                </w:tcPr>
                <w:p>
                  <w:pPr>
                    <w:rPr>
                      <w:rFonts w:eastAsiaTheme="minorEastAsia"/>
                    </w:rPr>
                  </w:pPr>
                  <w:r>
                    <w:rPr>
                      <w:rFonts w:eastAsiaTheme="minorEastAsia"/>
                    </w:rPr>
                    <w:t>1.本项目</w:t>
                  </w:r>
                  <w:r>
                    <w:rPr>
                      <w:szCs w:val="21"/>
                    </w:rPr>
                    <w:t>为</w:t>
                  </w:r>
                  <w:r>
                    <w:rPr>
                      <w:kern w:val="0"/>
                      <w:szCs w:val="21"/>
                    </w:rPr>
                    <w:t>C2928 塑料零件制造</w:t>
                  </w:r>
                  <w:r>
                    <w:rPr>
                      <w:szCs w:val="21"/>
                    </w:rPr>
                    <w:t>，无印刷工序，不属于“散乱污”企业</w:t>
                  </w:r>
                  <w:r>
                    <w:rPr>
                      <w:rFonts w:eastAsiaTheme="minorEastAsia"/>
                    </w:rPr>
                    <w:t>；</w:t>
                  </w:r>
                </w:p>
                <w:p>
                  <w:r>
                    <w:t>2.本项目属于扩建项目</w:t>
                  </w:r>
                  <w:r>
                    <w:rPr>
                      <w:rFonts w:hint="eastAsia"/>
                    </w:rPr>
                    <w:t>，</w:t>
                  </w:r>
                  <w:r>
                    <w:t>不属于新建项目</w:t>
                  </w:r>
                  <w:r>
                    <w:rPr>
                      <w:rFonts w:hint="eastAsia"/>
                    </w:rPr>
                    <w:t>。</w:t>
                  </w:r>
                </w:p>
                <w:p>
                  <w:pPr>
                    <w:rPr>
                      <w:rFonts w:eastAsiaTheme="minorEastAsia"/>
                    </w:rPr>
                  </w:pPr>
                  <w:r>
                    <w:t>本项目</w:t>
                  </w:r>
                  <w:r>
                    <w:rPr>
                      <w:rFonts w:hint="eastAsia"/>
                    </w:rPr>
                    <w:t>不新增</w:t>
                  </w:r>
                  <w:r>
                    <w:t>VOCs排放量；本项目使用原料均为低VOCs含量的原辅材料，同时配套废气收集、治理措施。</w:t>
                  </w:r>
                </w:p>
              </w:tc>
              <w:tc>
                <w:tcPr>
                  <w:tcW w:w="1350" w:type="dxa"/>
                  <w:shd w:val="clear" w:color="auto" w:fill="auto"/>
                  <w:vAlign w:val="center"/>
                </w:tcPr>
                <w:p>
                  <w:pPr>
                    <w:jc w:val="center"/>
                    <w:rPr>
                      <w:rFonts w:eastAsiaTheme="minorEastAsia"/>
                    </w:rPr>
                  </w:pPr>
                  <w:r>
                    <w:rPr>
                      <w:rFonts w:hAnsiTheme="minorHAnsi" w:eastAsiaTheme="minorEastAsia"/>
                    </w:rPr>
                    <w:t>符合建设项目环境准入条件。</w:t>
                  </w:r>
                </w:p>
              </w:tc>
            </w:tr>
          </w:tbl>
          <w:p>
            <w:pPr>
              <w:spacing w:line="460" w:lineRule="exact"/>
              <w:ind w:firstLine="480"/>
              <w:jc w:val="left"/>
              <w:rPr>
                <w:sz w:val="24"/>
              </w:rPr>
            </w:pPr>
            <w:r>
              <w:rPr>
                <w:sz w:val="24"/>
              </w:rPr>
              <w:t>由上表可知，本项目建设符合《“十三五”挥发性有机物污染防治工作方案》的通知中的相关要求。</w:t>
            </w:r>
          </w:p>
          <w:p>
            <w:pPr>
              <w:spacing w:line="460" w:lineRule="exact"/>
              <w:ind w:firstLine="482" w:firstLineChars="200"/>
              <w:jc w:val="left"/>
              <w:rPr>
                <w:b/>
                <w:sz w:val="24"/>
              </w:rPr>
            </w:pPr>
            <w:r>
              <w:rPr>
                <w:rFonts w:hint="eastAsia"/>
                <w:b/>
                <w:sz w:val="24"/>
              </w:rPr>
              <w:t>8、</w:t>
            </w:r>
            <w:r>
              <w:rPr>
                <w:b/>
                <w:sz w:val="24"/>
              </w:rPr>
              <w:t>本项目与《</w:t>
            </w:r>
            <w:r>
              <w:rPr>
                <w:rFonts w:hint="eastAsia"/>
                <w:b/>
                <w:sz w:val="24"/>
              </w:rPr>
              <w:t>挥发性有机物无组织排放控制标准</w:t>
            </w:r>
            <w:r>
              <w:rPr>
                <w:b/>
                <w:sz w:val="24"/>
              </w:rPr>
              <w:t>》</w:t>
            </w:r>
            <w:r>
              <w:rPr>
                <w:rFonts w:hint="eastAsia"/>
                <w:b/>
                <w:sz w:val="24"/>
              </w:rPr>
              <w:t>（GB37822-2019）（以下简称《控制标准》）的对比分析</w:t>
            </w:r>
          </w:p>
          <w:p>
            <w:pPr>
              <w:snapToGrid w:val="0"/>
              <w:spacing w:line="440" w:lineRule="exact"/>
              <w:ind w:firstLine="480" w:firstLineChars="200"/>
              <w:rPr>
                <w:rFonts w:hAnsi="黑体" w:eastAsia="黑体"/>
                <w:sz w:val="24"/>
              </w:rPr>
            </w:pPr>
            <w:r>
              <w:rPr>
                <w:rFonts w:hint="eastAsia" w:hAnsi="黑体" w:eastAsia="黑体"/>
                <w:sz w:val="24"/>
              </w:rPr>
              <w:t xml:space="preserve">表17                </w:t>
            </w:r>
            <w:r>
              <w:rPr>
                <w:rFonts w:hAnsi="黑体" w:eastAsia="黑体"/>
                <w:sz w:val="24"/>
              </w:rPr>
              <w:t>与</w:t>
            </w:r>
            <w:r>
              <w:rPr>
                <w:rFonts w:hint="eastAsia" w:hAnsi="黑体" w:eastAsia="黑体"/>
                <w:sz w:val="24"/>
              </w:rPr>
              <w:t>《挥发性有机物无组织排放控制标准》</w:t>
            </w:r>
            <w:r>
              <w:rPr>
                <w:rFonts w:hAnsi="黑体" w:eastAsia="黑体"/>
                <w:sz w:val="24"/>
              </w:rPr>
              <w:t>对照情况一览表</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3969"/>
              <w:gridCol w:w="3182"/>
              <w:gridCol w:w="9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5" w:type="dxa"/>
                  <w:gridSpan w:val="2"/>
                  <w:vAlign w:val="center"/>
                </w:tcPr>
                <w:p>
                  <w:pPr>
                    <w:jc w:val="center"/>
                    <w:rPr>
                      <w:b/>
                    </w:rPr>
                  </w:pPr>
                  <w:r>
                    <w:rPr>
                      <w:b/>
                    </w:rPr>
                    <w:t>《</w:t>
                  </w:r>
                  <w:r>
                    <w:rPr>
                      <w:rFonts w:hint="eastAsia"/>
                      <w:b/>
                    </w:rPr>
                    <w:t>控制标准</w:t>
                  </w:r>
                  <w:r>
                    <w:rPr>
                      <w:b/>
                    </w:rPr>
                    <w:t>》中与本项目有关的内容</w:t>
                  </w:r>
                </w:p>
              </w:tc>
              <w:tc>
                <w:tcPr>
                  <w:tcW w:w="3182" w:type="dxa"/>
                  <w:vAlign w:val="center"/>
                </w:tcPr>
                <w:p>
                  <w:pPr>
                    <w:jc w:val="center"/>
                    <w:rPr>
                      <w:b/>
                    </w:rPr>
                  </w:pPr>
                  <w:r>
                    <w:rPr>
                      <w:b/>
                    </w:rPr>
                    <w:t>本项目情况</w:t>
                  </w:r>
                </w:p>
              </w:tc>
              <w:tc>
                <w:tcPr>
                  <w:tcW w:w="950" w:type="dxa"/>
                  <w:vAlign w:val="center"/>
                </w:tcPr>
                <w:p>
                  <w:pPr>
                    <w:rPr>
                      <w:b/>
                    </w:rPr>
                  </w:pPr>
                  <w:r>
                    <w:rPr>
                      <w:b/>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Align w:val="center"/>
                </w:tcPr>
                <w:p>
                  <w:pPr>
                    <w:rPr>
                      <w:szCs w:val="21"/>
                    </w:rPr>
                  </w:pPr>
                  <w:r>
                    <w:rPr>
                      <w:rFonts w:hint="eastAsia"/>
                      <w:szCs w:val="21"/>
                    </w:rPr>
                    <w:t>5.VOCs物料储存无组织排放控制要求</w:t>
                  </w:r>
                </w:p>
              </w:tc>
              <w:tc>
                <w:tcPr>
                  <w:tcW w:w="3969" w:type="dxa"/>
                  <w:vAlign w:val="center"/>
                </w:tcPr>
                <w:p>
                  <w:pPr>
                    <w:rPr>
                      <w:szCs w:val="21"/>
                    </w:rPr>
                  </w:pPr>
                  <w:r>
                    <w:rPr>
                      <w:rFonts w:hint="eastAsia"/>
                      <w:szCs w:val="21"/>
                    </w:rPr>
                    <w:t>5.1.1 VOCs物料应储存于密闭的容器、包装袋、储罐、储库、料仓中。</w:t>
                  </w:r>
                </w:p>
              </w:tc>
              <w:tc>
                <w:tcPr>
                  <w:tcW w:w="3182" w:type="dxa"/>
                  <w:vAlign w:val="center"/>
                </w:tcPr>
                <w:p>
                  <w:pPr>
                    <w:adjustRightInd w:val="0"/>
                    <w:snapToGrid w:val="0"/>
                    <w:rPr>
                      <w:szCs w:val="21"/>
                    </w:rPr>
                  </w:pPr>
                  <w:r>
                    <w:rPr>
                      <w:rFonts w:hint="eastAsia"/>
                      <w:szCs w:val="21"/>
                    </w:rPr>
                    <w:t>本项目涉及VOCs物料为聚丙烯、尼龙66、PC等，均在密闭的包装袋内储存，暂存于料库中备用。</w:t>
                  </w:r>
                </w:p>
              </w:tc>
              <w:tc>
                <w:tcPr>
                  <w:tcW w:w="950" w:type="dxa"/>
                  <w:vAlign w:val="center"/>
                </w:tcPr>
                <w:p>
                  <w:pPr>
                    <w:adjustRightInd w:val="0"/>
                    <w:snapToGrid w:val="0"/>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restart"/>
                  <w:vAlign w:val="center"/>
                </w:tcPr>
                <w:p>
                  <w:pPr>
                    <w:jc w:val="center"/>
                    <w:rPr>
                      <w:szCs w:val="21"/>
                    </w:rPr>
                  </w:pPr>
                  <w:r>
                    <w:rPr>
                      <w:rFonts w:hint="eastAsia"/>
                      <w:szCs w:val="21"/>
                    </w:rPr>
                    <w:t>7、工艺工程VOC</w:t>
                  </w:r>
                  <w:r>
                    <w:rPr>
                      <w:rFonts w:hint="eastAsia"/>
                      <w:szCs w:val="21"/>
                      <w:vertAlign w:val="subscript"/>
                    </w:rPr>
                    <w:t>S</w:t>
                  </w:r>
                  <w:r>
                    <w:rPr>
                      <w:rFonts w:hint="eastAsia"/>
                      <w:szCs w:val="21"/>
                    </w:rPr>
                    <w:t>无组织排放控制要求</w:t>
                  </w:r>
                </w:p>
              </w:tc>
              <w:tc>
                <w:tcPr>
                  <w:tcW w:w="3969" w:type="dxa"/>
                  <w:vAlign w:val="center"/>
                </w:tcPr>
                <w:p>
                  <w:pPr>
                    <w:rPr>
                      <w:szCs w:val="21"/>
                    </w:rPr>
                  </w:pPr>
                  <w:r>
                    <w:rPr>
                      <w:rFonts w:hint="eastAsia"/>
                      <w:szCs w:val="21"/>
                    </w:rPr>
                    <w:t xml:space="preserve">7.1.5配料加工和含VOCs产品的包装VOCs物料混合、搅拌、研磨、造粒、切片、压块等配料加工过程,以及含VOCs产品的包装(灌袋分装)过程应采用密闭设备或在密闭空间内操作,废气应排至VOCs废气收集处理系统:无法密闭时,应采取局部气体收集措施,废气应排至VOCs废气收集处理系统。 </w:t>
                  </w:r>
                </w:p>
              </w:tc>
              <w:tc>
                <w:tcPr>
                  <w:tcW w:w="3182" w:type="dxa"/>
                  <w:vAlign w:val="center"/>
                </w:tcPr>
                <w:p>
                  <w:pPr>
                    <w:adjustRightInd w:val="0"/>
                    <w:snapToGrid w:val="0"/>
                    <w:rPr>
                      <w:szCs w:val="21"/>
                    </w:rPr>
                  </w:pPr>
                  <w:r>
                    <w:rPr>
                      <w:rFonts w:hint="eastAsia"/>
                      <w:szCs w:val="21"/>
                    </w:rPr>
                    <w:t>本项目产生VOCs的工序为注塑工段，评价要求对注塑区域密闭，废气采用负压抽吸后，由</w:t>
                  </w:r>
                  <w:r>
                    <w:rPr>
                      <w:szCs w:val="21"/>
                    </w:rPr>
                    <w:t>UV光催化氧化装置+活性炭吸附装置进行治理</w:t>
                  </w:r>
                  <w:r>
                    <w:rPr>
                      <w:rFonts w:hint="eastAsia"/>
                      <w:szCs w:val="21"/>
                    </w:rPr>
                    <w:t>，</w:t>
                  </w:r>
                  <w:r>
                    <w:rPr>
                      <w:szCs w:val="21"/>
                    </w:rPr>
                    <w:t>经排气筒有组织排放</w:t>
                  </w:r>
                  <w:r>
                    <w:rPr>
                      <w:rFonts w:hint="eastAsia"/>
                      <w:szCs w:val="21"/>
                    </w:rPr>
                    <w:t>。</w:t>
                  </w:r>
                </w:p>
              </w:tc>
              <w:tc>
                <w:tcPr>
                  <w:tcW w:w="950" w:type="dxa"/>
                  <w:vAlign w:val="center"/>
                </w:tcPr>
                <w:p>
                  <w:pPr>
                    <w:adjustRightInd w:val="0"/>
                    <w:snapToGrid w:val="0"/>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center"/>
                    <w:rPr>
                      <w:szCs w:val="21"/>
                    </w:rPr>
                  </w:pPr>
                </w:p>
              </w:tc>
              <w:tc>
                <w:tcPr>
                  <w:tcW w:w="3969" w:type="dxa"/>
                  <w:vAlign w:val="center"/>
                </w:tcPr>
                <w:p>
                  <w:pPr>
                    <w:rPr>
                      <w:szCs w:val="21"/>
                    </w:rPr>
                  </w:pPr>
                  <w:r>
                    <w:rPr>
                      <w:szCs w:val="21"/>
                    </w:rPr>
                    <w:t>7.2</w:t>
                  </w:r>
                  <w:r>
                    <w:rPr>
                      <w:rFonts w:hint="eastAsia"/>
                      <w:szCs w:val="21"/>
                    </w:rPr>
                    <w:t>含</w:t>
                  </w:r>
                  <w:r>
                    <w:rPr>
                      <w:szCs w:val="21"/>
                    </w:rPr>
                    <w:t xml:space="preserve">VOCs </w:t>
                  </w:r>
                  <w:r>
                    <w:rPr>
                      <w:rFonts w:hint="eastAsia"/>
                      <w:szCs w:val="21"/>
                    </w:rPr>
                    <w:t>产品的使用过程</w:t>
                  </w:r>
                </w:p>
                <w:p>
                  <w:pPr>
                    <w:rPr>
                      <w:szCs w:val="21"/>
                    </w:rPr>
                  </w:pPr>
                  <w:r>
                    <w:rPr>
                      <w:szCs w:val="21"/>
                    </w:rPr>
                    <w:t xml:space="preserve">7.2.2 </w:t>
                  </w:r>
                  <w:r>
                    <w:rPr>
                      <w:rFonts w:hint="eastAsia"/>
                      <w:szCs w:val="21"/>
                    </w:rPr>
                    <w:t>有机聚合物产品用于制品生产的过程，在混合</w:t>
                  </w:r>
                  <w:r>
                    <w:rPr>
                      <w:szCs w:val="21"/>
                    </w:rPr>
                    <w:t>/</w:t>
                  </w:r>
                  <w:r>
                    <w:rPr>
                      <w:rFonts w:hint="eastAsia"/>
                      <w:szCs w:val="21"/>
                    </w:rPr>
                    <w:t>混炼、塑炼</w:t>
                  </w:r>
                  <w:r>
                    <w:rPr>
                      <w:szCs w:val="21"/>
                    </w:rPr>
                    <w:t>/</w:t>
                  </w:r>
                  <w:r>
                    <w:rPr>
                      <w:rFonts w:hint="eastAsia"/>
                      <w:szCs w:val="21"/>
                    </w:rPr>
                    <w:t>塑化</w:t>
                  </w:r>
                  <w:r>
                    <w:rPr>
                      <w:szCs w:val="21"/>
                    </w:rPr>
                    <w:t>/</w:t>
                  </w:r>
                  <w:r>
                    <w:rPr>
                      <w:rFonts w:hint="eastAsia"/>
                      <w:szCs w:val="21"/>
                    </w:rPr>
                    <w:t>熔化、加工成型（挤出、注射、压制、压延、发泡、纺丝等）等作业中应采用密闭设备或在密闭空间内操作，废气应排至</w:t>
                  </w:r>
                  <w:r>
                    <w:rPr>
                      <w:szCs w:val="21"/>
                    </w:rPr>
                    <w:t xml:space="preserve">VOCs </w:t>
                  </w:r>
                  <w:r>
                    <w:rPr>
                      <w:rFonts w:hint="eastAsia"/>
                      <w:szCs w:val="21"/>
                    </w:rPr>
                    <w:t>废气收集处理系统；无法密闭的，应采取局部气体收集措施，废气应排至</w:t>
                  </w:r>
                  <w:r>
                    <w:rPr>
                      <w:szCs w:val="21"/>
                    </w:rPr>
                    <w:t xml:space="preserve">VOCs </w:t>
                  </w:r>
                  <w:r>
                    <w:rPr>
                      <w:rFonts w:hint="eastAsia"/>
                      <w:szCs w:val="21"/>
                    </w:rPr>
                    <w:t>废气收集处理系统。</w:t>
                  </w:r>
                </w:p>
              </w:tc>
              <w:tc>
                <w:tcPr>
                  <w:tcW w:w="3182" w:type="dxa"/>
                  <w:vAlign w:val="center"/>
                </w:tcPr>
                <w:p>
                  <w:r>
                    <w:rPr>
                      <w:rFonts w:hint="eastAsia"/>
                      <w:szCs w:val="21"/>
                    </w:rPr>
                    <w:t>本项目含有注塑工段，评价要求对注塑区域密闭，废气采用负压抽吸后，由</w:t>
                  </w:r>
                  <w:r>
                    <w:rPr>
                      <w:szCs w:val="21"/>
                    </w:rPr>
                    <w:t>UV光催化氧化装置+活性炭吸附装置进行治理</w:t>
                  </w:r>
                  <w:r>
                    <w:rPr>
                      <w:rFonts w:hint="eastAsia"/>
                      <w:szCs w:val="21"/>
                    </w:rPr>
                    <w:t>，</w:t>
                  </w:r>
                  <w:r>
                    <w:rPr>
                      <w:szCs w:val="21"/>
                    </w:rPr>
                    <w:t>经排气筒有组织排放</w:t>
                  </w:r>
                  <w:r>
                    <w:rPr>
                      <w:rFonts w:hint="eastAsia"/>
                      <w:szCs w:val="21"/>
                    </w:rPr>
                    <w:t>。</w:t>
                  </w:r>
                </w:p>
              </w:tc>
              <w:tc>
                <w:tcPr>
                  <w:tcW w:w="950" w:type="dxa"/>
                  <w:vAlign w:val="center"/>
                </w:tcPr>
                <w:p>
                  <w:pPr>
                    <w:jc w:val="cente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pPr>
                    <w:rPr>
                      <w:szCs w:val="21"/>
                    </w:rPr>
                  </w:pPr>
                  <w:r>
                    <w:rPr>
                      <w:szCs w:val="21"/>
                    </w:rPr>
                    <w:t>7.</w:t>
                  </w:r>
                  <w:r>
                    <w:rPr>
                      <w:rFonts w:hint="eastAsia"/>
                      <w:szCs w:val="21"/>
                    </w:rPr>
                    <w:t>3其他要求</w:t>
                  </w:r>
                </w:p>
                <w:p>
                  <w:pPr>
                    <w:rPr>
                      <w:szCs w:val="21"/>
                    </w:rPr>
                  </w:pPr>
                  <w:r>
                    <w:rPr>
                      <w:szCs w:val="21"/>
                    </w:rPr>
                    <w:t xml:space="preserve">7.3.1 </w:t>
                  </w:r>
                  <w:r>
                    <w:rPr>
                      <w:rFonts w:hint="eastAsia"/>
                      <w:szCs w:val="21"/>
                    </w:rPr>
                    <w:t>企业应建立台账，记录含</w:t>
                  </w:r>
                  <w:r>
                    <w:rPr>
                      <w:szCs w:val="21"/>
                    </w:rPr>
                    <w:t xml:space="preserve">VOCs </w:t>
                  </w:r>
                  <w:r>
                    <w:rPr>
                      <w:rFonts w:hint="eastAsia"/>
                      <w:szCs w:val="21"/>
                    </w:rPr>
                    <w:t>原辅材料和含</w:t>
                  </w:r>
                  <w:r>
                    <w:rPr>
                      <w:szCs w:val="21"/>
                    </w:rPr>
                    <w:t xml:space="preserve">VOCs </w:t>
                  </w:r>
                  <w:r>
                    <w:rPr>
                      <w:rFonts w:hint="eastAsia"/>
                      <w:szCs w:val="21"/>
                    </w:rPr>
                    <w:t>产品的名称、使用量、回收量、废弃量、去向以及</w:t>
                  </w:r>
                  <w:r>
                    <w:rPr>
                      <w:szCs w:val="21"/>
                    </w:rPr>
                    <w:t xml:space="preserve">VOCs </w:t>
                  </w:r>
                  <w:r>
                    <w:rPr>
                      <w:rFonts w:hint="eastAsia"/>
                      <w:szCs w:val="21"/>
                    </w:rPr>
                    <w:t>含量等信息。台账保存期限不少于</w:t>
                  </w:r>
                  <w:r>
                    <w:rPr>
                      <w:szCs w:val="21"/>
                    </w:rPr>
                    <w:t xml:space="preserve">3 </w:t>
                  </w:r>
                  <w:r>
                    <w:rPr>
                      <w:rFonts w:hint="eastAsia"/>
                      <w:szCs w:val="21"/>
                    </w:rPr>
                    <w:t>年。</w:t>
                  </w:r>
                </w:p>
                <w:p>
                  <w:pPr>
                    <w:rPr>
                      <w:szCs w:val="21"/>
                    </w:rPr>
                  </w:pPr>
                  <w:r>
                    <w:rPr>
                      <w:szCs w:val="21"/>
                    </w:rPr>
                    <w:t xml:space="preserve">7.3.2 </w:t>
                  </w:r>
                  <w:r>
                    <w:rPr>
                      <w:rFonts w:hint="eastAsia"/>
                      <w:szCs w:val="21"/>
                    </w:rPr>
                    <w:t>通风生产设备、操作工位、车间厂房等应在符合安全生产、职业卫生相关规定的前提下，根据行业作业规程与标准、工业建筑及洁净厂房通风设计规范等的要求，采用合理的通风量。</w:t>
                  </w:r>
                </w:p>
              </w:tc>
              <w:tc>
                <w:tcPr>
                  <w:tcW w:w="3182" w:type="dxa"/>
                  <w:vAlign w:val="center"/>
                </w:tcPr>
                <w:p>
                  <w:pPr>
                    <w:rPr>
                      <w:szCs w:val="21"/>
                    </w:rPr>
                  </w:pPr>
                  <w:r>
                    <w:t>本项目</w:t>
                  </w:r>
                  <w:r>
                    <w:rPr>
                      <w:rFonts w:hint="eastAsia"/>
                    </w:rPr>
                    <w:t>企业拟建立台账，记录</w:t>
                  </w:r>
                  <w:r>
                    <w:rPr>
                      <w:rFonts w:hint="eastAsia"/>
                      <w:szCs w:val="21"/>
                    </w:rPr>
                    <w:t>密封圈的生产原辅材料和产品的名称、使用量、回收量、废弃量、去向等信息，并保存至少3年。</w:t>
                  </w:r>
                </w:p>
                <w:p>
                  <w:r>
                    <w:rPr>
                      <w:rFonts w:hint="eastAsia"/>
                      <w:szCs w:val="21"/>
                    </w:rPr>
                    <w:t>企业通风生产设备、操作工位、车间厂房等均符合安全生产、职业卫生相关规定，通风量按照行业作业规程与标准、工业建筑及洁净厂房通风设计规范等的要求，通风次数选取60次/h，总设计风量为4000m</w:t>
                  </w:r>
                  <w:r>
                    <w:rPr>
                      <w:rFonts w:hint="eastAsia"/>
                      <w:szCs w:val="21"/>
                      <w:vertAlign w:val="superscript"/>
                    </w:rPr>
                    <w:t>3</w:t>
                  </w:r>
                  <w:r>
                    <w:rPr>
                      <w:rFonts w:hint="eastAsia"/>
                      <w:szCs w:val="21"/>
                    </w:rPr>
                    <w:t>/h。</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restart"/>
                  <w:vAlign w:val="center"/>
                </w:tcPr>
                <w:p>
                  <w:pPr>
                    <w:jc w:val="left"/>
                    <w:rPr>
                      <w:szCs w:val="21"/>
                    </w:rPr>
                  </w:pPr>
                  <w:r>
                    <w:rPr>
                      <w:szCs w:val="21"/>
                    </w:rPr>
                    <w:t>10</w:t>
                  </w:r>
                  <w:r>
                    <w:rPr>
                      <w:rFonts w:hint="eastAsia"/>
                      <w:szCs w:val="21"/>
                    </w:rPr>
                    <w:t>、</w:t>
                  </w:r>
                  <w:r>
                    <w:rPr>
                      <w:szCs w:val="21"/>
                    </w:rPr>
                    <w:t>VOCs</w:t>
                  </w:r>
                  <w:r>
                    <w:rPr>
                      <w:rFonts w:hint="eastAsia"/>
                      <w:szCs w:val="21"/>
                    </w:rPr>
                    <w:t>无组织排放废气收集处理系统要求</w:t>
                  </w:r>
                </w:p>
              </w:tc>
              <w:tc>
                <w:tcPr>
                  <w:tcW w:w="3969" w:type="dxa"/>
                  <w:vAlign w:val="center"/>
                </w:tcPr>
                <w:p>
                  <w:pPr>
                    <w:rPr>
                      <w:szCs w:val="21"/>
                    </w:rPr>
                  </w:pPr>
                  <w:r>
                    <w:rPr>
                      <w:szCs w:val="21"/>
                    </w:rPr>
                    <w:t xml:space="preserve">10.1 </w:t>
                  </w:r>
                  <w:r>
                    <w:rPr>
                      <w:rFonts w:hint="eastAsia"/>
                      <w:szCs w:val="21"/>
                    </w:rPr>
                    <w:t>基本要求</w:t>
                  </w:r>
                </w:p>
                <w:p>
                  <w:pPr>
                    <w:rPr>
                      <w:szCs w:val="21"/>
                    </w:rPr>
                  </w:pPr>
                  <w:r>
                    <w:rPr>
                      <w:szCs w:val="21"/>
                    </w:rPr>
                    <w:t xml:space="preserve">10.1.1 </w:t>
                  </w:r>
                  <w:r>
                    <w:rPr>
                      <w:rFonts w:hint="eastAsia"/>
                      <w:szCs w:val="21"/>
                    </w:rPr>
                    <w:t>针对</w:t>
                  </w:r>
                  <w:r>
                    <w:rPr>
                      <w:szCs w:val="21"/>
                    </w:rPr>
                    <w:t xml:space="preserve">VOCs </w:t>
                  </w:r>
                  <w:r>
                    <w:rPr>
                      <w:rFonts w:hint="eastAsia"/>
                      <w:szCs w:val="21"/>
                    </w:rPr>
                    <w:t>无组织排放设置的废气收集处理系统应满足本章要求。</w:t>
                  </w:r>
                </w:p>
                <w:p>
                  <w:r>
                    <w:rPr>
                      <w:szCs w:val="21"/>
                    </w:rPr>
                    <w:t xml:space="preserve">10.1.2 VOCs </w:t>
                  </w:r>
                  <w:r>
                    <w:rPr>
                      <w:rFonts w:hint="eastAsia"/>
                      <w:szCs w:val="21"/>
                    </w:rPr>
                    <w:t>废气收集处理系统应与生产工艺设备同步运行。</w:t>
                  </w:r>
                  <w:r>
                    <w:rPr>
                      <w:szCs w:val="21"/>
                    </w:rPr>
                    <w:t xml:space="preserve">VOCs </w:t>
                  </w:r>
                  <w:r>
                    <w:rPr>
                      <w:rFonts w:hint="eastAsia"/>
                      <w:szCs w:val="21"/>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3182" w:type="dxa"/>
                  <w:vAlign w:val="center"/>
                </w:tcPr>
                <w:p>
                  <w:r>
                    <w:t>本项目建成后</w:t>
                  </w:r>
                  <w:r>
                    <w:rPr>
                      <w:rFonts w:hint="eastAsia"/>
                    </w:rPr>
                    <w:t>，</w:t>
                  </w:r>
                  <w:r>
                    <w:t>VOCs</w:t>
                  </w:r>
                  <w:r>
                    <w:rPr>
                      <w:rFonts w:hint="eastAsia"/>
                    </w:rPr>
                    <w:t>废气收集处理系统与生产工艺设备同步运行。</w:t>
                  </w:r>
                </w:p>
                <w:p>
                  <w:pPr>
                    <w:rPr>
                      <w:b/>
                      <w:u w:val="single"/>
                    </w:rPr>
                  </w:pPr>
                  <w:r>
                    <w:rPr>
                      <w:rFonts w:hint="eastAsia"/>
                      <w:b/>
                      <w:szCs w:val="21"/>
                      <w:u w:val="single"/>
                    </w:rPr>
                    <w:t>本项目应统一安装</w:t>
                  </w:r>
                  <w:r>
                    <w:rPr>
                      <w:rFonts w:hint="eastAsia"/>
                      <w:b/>
                      <w:u w:val="single"/>
                    </w:rPr>
                    <w:t>用电监控、</w:t>
                  </w:r>
                  <w:r>
                    <w:rPr>
                      <w:rFonts w:hint="eastAsia"/>
                      <w:b/>
                      <w:szCs w:val="21"/>
                      <w:u w:val="single"/>
                    </w:rPr>
                    <w:t>视频监控，并按照要求安装非甲烷总烃在线监测设备</w:t>
                  </w:r>
                  <w:r>
                    <w:rPr>
                      <w:rFonts w:hint="eastAsia"/>
                      <w:b/>
                      <w:u w:val="single"/>
                    </w:rPr>
                    <w:t>。</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pPr>
                    <w:rPr>
                      <w:szCs w:val="21"/>
                    </w:rPr>
                  </w:pPr>
                  <w:r>
                    <w:rPr>
                      <w:szCs w:val="21"/>
                    </w:rPr>
                    <w:t xml:space="preserve">10.2 </w:t>
                  </w:r>
                  <w:r>
                    <w:rPr>
                      <w:rFonts w:hint="eastAsia"/>
                      <w:szCs w:val="21"/>
                    </w:rPr>
                    <w:t>废气收集系统要求</w:t>
                  </w:r>
                </w:p>
                <w:p>
                  <w:pPr>
                    <w:rPr>
                      <w:szCs w:val="21"/>
                    </w:rPr>
                  </w:pPr>
                  <w:r>
                    <w:rPr>
                      <w:szCs w:val="21"/>
                    </w:rPr>
                    <w:t xml:space="preserve">10.2.1 </w:t>
                  </w:r>
                  <w:r>
                    <w:rPr>
                      <w:rFonts w:hint="eastAsia"/>
                      <w:szCs w:val="21"/>
                    </w:rPr>
                    <w:t>企业应考虑生产工艺、操作方式、废气性质、处理方法等因素，对</w:t>
                  </w:r>
                  <w:r>
                    <w:rPr>
                      <w:szCs w:val="21"/>
                    </w:rPr>
                    <w:t xml:space="preserve">VOCs </w:t>
                  </w:r>
                  <w:r>
                    <w:rPr>
                      <w:rFonts w:hint="eastAsia"/>
                      <w:szCs w:val="21"/>
                    </w:rPr>
                    <w:t>废气进行分类收集。</w:t>
                  </w:r>
                </w:p>
                <w:p>
                  <w:r>
                    <w:rPr>
                      <w:szCs w:val="21"/>
                    </w:rPr>
                    <w:t xml:space="preserve">10.2.2 </w:t>
                  </w:r>
                  <w:r>
                    <w:rPr>
                      <w:rFonts w:hint="eastAsia"/>
                      <w:szCs w:val="21"/>
                    </w:rPr>
                    <w:t>废气收集系统排风罩（集气罩）的设置应符合</w:t>
                  </w:r>
                  <w:r>
                    <w:rPr>
                      <w:szCs w:val="21"/>
                    </w:rPr>
                    <w:t xml:space="preserve">GB/T 16758 </w:t>
                  </w:r>
                  <w:r>
                    <w:rPr>
                      <w:rFonts w:hint="eastAsia"/>
                      <w:szCs w:val="21"/>
                    </w:rPr>
                    <w:t>的规定。采用外部排风罩的，应按</w:t>
                  </w:r>
                  <w:r>
                    <w:rPr>
                      <w:szCs w:val="21"/>
                    </w:rPr>
                    <w:t>GB/T 16758</w:t>
                  </w:r>
                  <w:r>
                    <w:rPr>
                      <w:rFonts w:hint="eastAsia"/>
                      <w:szCs w:val="21"/>
                    </w:rPr>
                    <w:t>、</w:t>
                  </w:r>
                  <w:r>
                    <w:rPr>
                      <w:szCs w:val="21"/>
                    </w:rPr>
                    <w:t>AQ/T 4274</w:t>
                  </w:r>
                  <w:r>
                    <w:rPr>
                      <w:rFonts w:hint="eastAsia"/>
                      <w:szCs w:val="21"/>
                    </w:rPr>
                    <w:t>—</w:t>
                  </w:r>
                  <w:r>
                    <w:rPr>
                      <w:szCs w:val="21"/>
                    </w:rPr>
                    <w:t xml:space="preserve">2016 </w:t>
                  </w:r>
                  <w:r>
                    <w:rPr>
                      <w:rFonts w:hint="eastAsia"/>
                      <w:szCs w:val="21"/>
                    </w:rPr>
                    <w:t>规定的方法测量控制风速，测量点应选取在距排风罩开口面最远处的</w:t>
                  </w:r>
                  <w:r>
                    <w:rPr>
                      <w:szCs w:val="21"/>
                    </w:rPr>
                    <w:t xml:space="preserve">VOCs </w:t>
                  </w:r>
                  <w:r>
                    <w:rPr>
                      <w:rFonts w:hint="eastAsia"/>
                      <w:szCs w:val="21"/>
                    </w:rPr>
                    <w:t>无组织排放位置，控制风速不应低于</w:t>
                  </w:r>
                  <w:r>
                    <w:rPr>
                      <w:szCs w:val="21"/>
                    </w:rPr>
                    <w:t>0.3 m/s</w:t>
                  </w:r>
                  <w:r>
                    <w:rPr>
                      <w:rFonts w:hint="eastAsia"/>
                      <w:szCs w:val="21"/>
                    </w:rPr>
                    <w:t>（行业相关规范有具体规定的，按相关规定执行）。</w:t>
                  </w:r>
                </w:p>
              </w:tc>
              <w:tc>
                <w:tcPr>
                  <w:tcW w:w="3182" w:type="dxa"/>
                  <w:vAlign w:val="center"/>
                </w:tcPr>
                <w:p>
                  <w:pPr>
                    <w:rPr>
                      <w:szCs w:val="21"/>
                    </w:rPr>
                  </w:pPr>
                  <w:r>
                    <w:rPr>
                      <w:rFonts w:hint="eastAsia"/>
                      <w:szCs w:val="21"/>
                    </w:rPr>
                    <w:t>本项目产生VOCs的工序为注塑工段，评价要求对注塑区域密闭，废气采用负压收集，有机废气全部收集进入处理装置，不存在无组织排放，负压收集效率优于集气罩收集效率。</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pPr>
                    <w:rPr>
                      <w:szCs w:val="21"/>
                    </w:rPr>
                  </w:pPr>
                  <w:r>
                    <w:rPr>
                      <w:szCs w:val="21"/>
                    </w:rPr>
                    <w:t>10.3 VOCs</w:t>
                  </w:r>
                  <w:r>
                    <w:rPr>
                      <w:rFonts w:hint="eastAsia"/>
                      <w:szCs w:val="21"/>
                    </w:rPr>
                    <w:t>排放控制要求</w:t>
                  </w:r>
                </w:p>
                <w:p>
                  <w:pPr>
                    <w:rPr>
                      <w:szCs w:val="21"/>
                    </w:rPr>
                  </w:pPr>
                  <w:r>
                    <w:rPr>
                      <w:rFonts w:hint="eastAsia"/>
                      <w:szCs w:val="21"/>
                    </w:rPr>
                    <w:t>10.3.1  VOC</w:t>
                  </w:r>
                  <w:r>
                    <w:rPr>
                      <w:rFonts w:hint="eastAsia"/>
                      <w:szCs w:val="21"/>
                      <w:vertAlign w:val="subscript"/>
                    </w:rPr>
                    <w:t>S</w:t>
                  </w:r>
                  <w:r>
                    <w:rPr>
                      <w:rFonts w:hint="eastAsia"/>
                      <w:szCs w:val="21"/>
                    </w:rPr>
                    <w:t>废气收集处理系统污染物排放应符合GB16297或相关行业排放标准的规定。</w:t>
                  </w:r>
                </w:p>
                <w:p>
                  <w:pPr>
                    <w:rPr>
                      <w:szCs w:val="21"/>
                    </w:rPr>
                  </w:pPr>
                  <w:r>
                    <w:rPr>
                      <w:rFonts w:hint="eastAsia"/>
                      <w:szCs w:val="21"/>
                    </w:rPr>
                    <w:t>10.3.2 收集的废气中</w:t>
                  </w:r>
                  <w:r>
                    <w:rPr>
                      <w:szCs w:val="21"/>
                    </w:rPr>
                    <w:t xml:space="preserve">NMHC </w:t>
                  </w:r>
                  <w:r>
                    <w:rPr>
                      <w:rFonts w:hint="eastAsia"/>
                      <w:szCs w:val="21"/>
                    </w:rPr>
                    <w:t>初始排放速率≥</w:t>
                  </w:r>
                  <w:r>
                    <w:rPr>
                      <w:szCs w:val="21"/>
                    </w:rPr>
                    <w:t xml:space="preserve">3 kg/h </w:t>
                  </w:r>
                  <w:r>
                    <w:rPr>
                      <w:rFonts w:hint="eastAsia"/>
                      <w:szCs w:val="21"/>
                    </w:rPr>
                    <w:t>时，应配置</w:t>
                  </w:r>
                  <w:r>
                    <w:rPr>
                      <w:szCs w:val="21"/>
                    </w:rPr>
                    <w:t xml:space="preserve">VOCs </w:t>
                  </w:r>
                  <w:r>
                    <w:rPr>
                      <w:rFonts w:hint="eastAsia"/>
                      <w:szCs w:val="21"/>
                    </w:rPr>
                    <w:t>处理设施，处理效率不应低于</w:t>
                  </w:r>
                  <w:r>
                    <w:rPr>
                      <w:szCs w:val="21"/>
                    </w:rPr>
                    <w:t>80%</w:t>
                  </w:r>
                  <w:r>
                    <w:rPr>
                      <w:rFonts w:hint="eastAsia"/>
                      <w:szCs w:val="21"/>
                    </w:rPr>
                    <w:t>；对于重点地区，收集的废气中</w:t>
                  </w:r>
                  <w:r>
                    <w:rPr>
                      <w:szCs w:val="21"/>
                    </w:rPr>
                    <w:t xml:space="preserve">NMHC </w:t>
                  </w:r>
                  <w:r>
                    <w:rPr>
                      <w:rFonts w:hint="eastAsia"/>
                      <w:szCs w:val="21"/>
                    </w:rPr>
                    <w:t>初始排放速率≥</w:t>
                  </w:r>
                  <w:r>
                    <w:rPr>
                      <w:szCs w:val="21"/>
                    </w:rPr>
                    <w:t xml:space="preserve">2 kg/h </w:t>
                  </w:r>
                  <w:r>
                    <w:rPr>
                      <w:rFonts w:hint="eastAsia"/>
                      <w:szCs w:val="21"/>
                    </w:rPr>
                    <w:t>时，应配置</w:t>
                  </w:r>
                  <w:r>
                    <w:rPr>
                      <w:szCs w:val="21"/>
                    </w:rPr>
                    <w:t xml:space="preserve">VOCs </w:t>
                  </w:r>
                  <w:r>
                    <w:rPr>
                      <w:rFonts w:hint="eastAsia"/>
                      <w:szCs w:val="21"/>
                    </w:rPr>
                    <w:t>处理设施，处理效率不应低于</w:t>
                  </w:r>
                  <w:r>
                    <w:rPr>
                      <w:szCs w:val="21"/>
                    </w:rPr>
                    <w:t>80%</w:t>
                  </w:r>
                  <w:r>
                    <w:rPr>
                      <w:rFonts w:hint="eastAsia"/>
                      <w:szCs w:val="21"/>
                    </w:rPr>
                    <w:t>；采用的原辅材料符合国家有关低</w:t>
                  </w:r>
                  <w:r>
                    <w:rPr>
                      <w:szCs w:val="21"/>
                    </w:rPr>
                    <w:t xml:space="preserve">VOCs </w:t>
                  </w:r>
                  <w:r>
                    <w:rPr>
                      <w:rFonts w:hint="eastAsia"/>
                      <w:szCs w:val="21"/>
                    </w:rPr>
                    <w:t>含量产品规定的除外。</w:t>
                  </w:r>
                </w:p>
                <w:p>
                  <w:pPr>
                    <w:rPr>
                      <w:szCs w:val="21"/>
                    </w:rPr>
                  </w:pPr>
                  <w:r>
                    <w:rPr>
                      <w:szCs w:val="21"/>
                    </w:rPr>
                    <w:t xml:space="preserve">10.3.4 </w:t>
                  </w:r>
                  <w:r>
                    <w:rPr>
                      <w:rFonts w:hint="eastAsia"/>
                      <w:szCs w:val="21"/>
                    </w:rPr>
                    <w:t>排气筒高度不低于</w:t>
                  </w:r>
                  <w:r>
                    <w:rPr>
                      <w:szCs w:val="21"/>
                    </w:rPr>
                    <w:t>15 m</w:t>
                  </w:r>
                  <w:r>
                    <w:rPr>
                      <w:rFonts w:hint="eastAsia"/>
                      <w:szCs w:val="21"/>
                    </w:rPr>
                    <w:t>（因安全考虑或有特殊工艺要求的除外），具体高度以及与周围建筑物的相对高度关系应根据环境影响评价文件确定。</w:t>
                  </w:r>
                </w:p>
                <w:p>
                  <w:r>
                    <w:rPr>
                      <w:szCs w:val="21"/>
                    </w:rPr>
                    <w:t xml:space="preserve">10.3.5 </w:t>
                  </w:r>
                  <w:r>
                    <w:rPr>
                      <w:rFonts w:hint="eastAsia"/>
                      <w:szCs w:val="21"/>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3182" w:type="dxa"/>
                  <w:vAlign w:val="center"/>
                </w:tcPr>
                <w:p>
                  <w:r>
                    <w:rPr>
                      <w:rFonts w:hint="eastAsia"/>
                    </w:rPr>
                    <w:t>本项目废气污染物排放满足</w:t>
                  </w:r>
                  <w:r>
                    <w:t>《合成树脂工业污染物排放标准》</w:t>
                  </w:r>
                  <w:r>
                    <w:rPr>
                      <w:rFonts w:hint="eastAsia"/>
                    </w:rPr>
                    <w:t>(</w:t>
                  </w:r>
                  <w:r>
                    <w:t>GB31572-2015</w:t>
                  </w:r>
                  <w:r>
                    <w:rPr>
                      <w:rFonts w:hint="eastAsia"/>
                    </w:rPr>
                    <w:t>)</w:t>
                  </w:r>
                  <w:r>
                    <w:t>和</w:t>
                  </w:r>
                  <w:r>
                    <w:rPr>
                      <w:rFonts w:hint="eastAsia"/>
                    </w:rPr>
                    <w:t>《关于全省开展工业企业挥发性有机物专项治理工作中排放建议值的通知》（豫环攻坚办（2017）162号）标准要求。</w:t>
                  </w:r>
                </w:p>
                <w:p>
                  <w:r>
                    <w:rPr>
                      <w:rFonts w:hint="eastAsia"/>
                    </w:rPr>
                    <w:t>本项目属于重点地区，收集的有机废气配置有“</w:t>
                  </w:r>
                  <w:r>
                    <w:t>UV光催化氧化装置+活性炭吸附装置</w:t>
                  </w:r>
                  <w:r>
                    <w:rPr>
                      <w:rFonts w:hint="eastAsia"/>
                    </w:rPr>
                    <w:t>”处理设施，处理效率为90%。</w:t>
                  </w:r>
                </w:p>
                <w:p>
                  <w:r>
                    <w:rPr>
                      <w:rFonts w:hint="eastAsia"/>
                    </w:rPr>
                    <w:t>本项目排气筒高度为15m。</w:t>
                  </w:r>
                </w:p>
                <w:p>
                  <w:r>
                    <w:rPr>
                      <w:rFonts w:hint="eastAsia"/>
                    </w:rPr>
                    <w:t>本项目排气筒为注塑工序的VOCs废气排放，不存在</w:t>
                  </w:r>
                  <w:r>
                    <w:rPr>
                      <w:rFonts w:hint="eastAsia"/>
                      <w:szCs w:val="21"/>
                    </w:rPr>
                    <w:t>执行不同排放控制要求的废气合并排气筒排放情况。</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pPr>
                    <w:rPr>
                      <w:szCs w:val="21"/>
                    </w:rPr>
                  </w:pPr>
                  <w:r>
                    <w:rPr>
                      <w:szCs w:val="21"/>
                    </w:rPr>
                    <w:t xml:space="preserve">10.4 </w:t>
                  </w:r>
                  <w:r>
                    <w:rPr>
                      <w:rFonts w:hint="eastAsia"/>
                      <w:szCs w:val="21"/>
                    </w:rPr>
                    <w:t>记录要求</w:t>
                  </w:r>
                </w:p>
                <w:p>
                  <w:r>
                    <w:rPr>
                      <w:rFonts w:hint="eastAsia"/>
                      <w:szCs w:val="21"/>
                    </w:rPr>
                    <w:t>企业应建立台账，记录废气收集系统、</w:t>
                  </w:r>
                  <w:r>
                    <w:rPr>
                      <w:szCs w:val="21"/>
                    </w:rPr>
                    <w:t xml:space="preserve">VOCs </w:t>
                  </w:r>
                  <w:r>
                    <w:rPr>
                      <w:rFonts w:hint="eastAsia"/>
                      <w:szCs w:val="21"/>
                    </w:rPr>
                    <w:t>处理设施的主要运行和维护信息，如运行时间、废气处理量、操作温度、停留时间、吸附剂再生</w:t>
                  </w:r>
                  <w:r>
                    <w:rPr>
                      <w:szCs w:val="21"/>
                    </w:rPr>
                    <w:t>/</w:t>
                  </w:r>
                  <w:r>
                    <w:rPr>
                      <w:rFonts w:hint="eastAsia"/>
                      <w:szCs w:val="21"/>
                    </w:rPr>
                    <w:t>更换周期和更换量、催化剂更换周期和更换量、吸收液</w:t>
                  </w:r>
                  <w:r>
                    <w:rPr>
                      <w:szCs w:val="21"/>
                    </w:rPr>
                    <w:t>pH</w:t>
                  </w:r>
                  <w:r>
                    <w:rPr>
                      <w:rFonts w:hint="eastAsia"/>
                      <w:szCs w:val="21"/>
                    </w:rPr>
                    <w:t>值等关键运行参数。台账保存期限不少于</w:t>
                  </w:r>
                  <w:r>
                    <w:rPr>
                      <w:szCs w:val="21"/>
                    </w:rPr>
                    <w:t xml:space="preserve">3 </w:t>
                  </w:r>
                  <w:r>
                    <w:rPr>
                      <w:rFonts w:hint="eastAsia"/>
                      <w:szCs w:val="21"/>
                    </w:rPr>
                    <w:t>年。</w:t>
                  </w:r>
                </w:p>
              </w:tc>
              <w:tc>
                <w:tcPr>
                  <w:tcW w:w="3182" w:type="dxa"/>
                  <w:vAlign w:val="center"/>
                </w:tcPr>
                <w:p>
                  <w:r>
                    <w:t>本项目建成后</w:t>
                  </w:r>
                  <w:r>
                    <w:rPr>
                      <w:rFonts w:hint="eastAsia"/>
                    </w:rPr>
                    <w:t>，</w:t>
                  </w:r>
                  <w:r>
                    <w:t>企业将按相关要求建立台账</w:t>
                  </w:r>
                  <w:r>
                    <w:rPr>
                      <w:rFonts w:hint="eastAsia"/>
                    </w:rPr>
                    <w:t>，记录废气收集系统、</w:t>
                  </w:r>
                  <w:r>
                    <w:t>VOCs</w:t>
                  </w:r>
                  <w:r>
                    <w:rPr>
                      <w:rFonts w:hint="eastAsia"/>
                    </w:rPr>
                    <w:t>处理设施的主要运行和维护信息。</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restart"/>
                  <w:vAlign w:val="center"/>
                </w:tcPr>
                <w:p>
                  <w:pPr>
                    <w:jc w:val="left"/>
                    <w:rPr>
                      <w:szCs w:val="21"/>
                    </w:rPr>
                  </w:pPr>
                  <w:r>
                    <w:rPr>
                      <w:szCs w:val="21"/>
                    </w:rPr>
                    <w:t>11</w:t>
                  </w:r>
                  <w:r>
                    <w:rPr>
                      <w:rFonts w:hint="eastAsia"/>
                      <w:szCs w:val="21"/>
                    </w:rPr>
                    <w:t>、企业厂区内及周边污染监控要求</w:t>
                  </w:r>
                </w:p>
              </w:tc>
              <w:tc>
                <w:tcPr>
                  <w:tcW w:w="3969" w:type="dxa"/>
                  <w:vAlign w:val="center"/>
                </w:tcPr>
                <w:p>
                  <w:r>
                    <w:rPr>
                      <w:szCs w:val="21"/>
                    </w:rPr>
                    <w:t xml:space="preserve">11.1 </w:t>
                  </w:r>
                  <w:r>
                    <w:rPr>
                      <w:rFonts w:hint="eastAsia"/>
                      <w:szCs w:val="21"/>
                    </w:rPr>
                    <w:t>企业边界及周边</w:t>
                  </w:r>
                  <w:r>
                    <w:rPr>
                      <w:szCs w:val="21"/>
                    </w:rPr>
                    <w:t xml:space="preserve">VOCs </w:t>
                  </w:r>
                  <w:r>
                    <w:rPr>
                      <w:rFonts w:hint="eastAsia"/>
                      <w:szCs w:val="21"/>
                    </w:rPr>
                    <w:t>监控要求执行</w:t>
                  </w:r>
                  <w:r>
                    <w:rPr>
                      <w:szCs w:val="21"/>
                    </w:rPr>
                    <w:t xml:space="preserve">GB 16297 </w:t>
                  </w:r>
                  <w:r>
                    <w:rPr>
                      <w:rFonts w:hint="eastAsia"/>
                      <w:szCs w:val="21"/>
                    </w:rPr>
                    <w:t>或相关行业排放标准的规定。</w:t>
                  </w:r>
                </w:p>
              </w:tc>
              <w:tc>
                <w:tcPr>
                  <w:tcW w:w="3182" w:type="dxa"/>
                  <w:vAlign w:val="center"/>
                </w:tcPr>
                <w:p>
                  <w:r>
                    <w:rPr>
                      <w:rFonts w:hint="eastAsia"/>
                    </w:rPr>
                    <w:t>本项目</w:t>
                  </w:r>
                  <w:r>
                    <w:rPr>
                      <w:rFonts w:hint="eastAsia"/>
                      <w:szCs w:val="21"/>
                    </w:rPr>
                    <w:t>厂界VOCs浓度能够满足《</w:t>
                  </w:r>
                  <w:r>
                    <w:rPr>
                      <w:szCs w:val="21"/>
                    </w:rPr>
                    <w:t>关于全省开展工业企业挥发性有机物专项治理工作中排放建议值的通知》（豫环攻坚办（2017）162号）2.0mg/m</w:t>
                  </w:r>
                  <w:r>
                    <w:rPr>
                      <w:szCs w:val="21"/>
                      <w:vertAlign w:val="superscript"/>
                    </w:rPr>
                    <w:t>3</w:t>
                  </w:r>
                  <w:r>
                    <w:rPr>
                      <w:szCs w:val="21"/>
                    </w:rPr>
                    <w:t>的标准要求</w:t>
                  </w:r>
                  <w:r>
                    <w:rPr>
                      <w:rFonts w:hint="eastAsia"/>
                      <w:szCs w:val="21"/>
                    </w:rPr>
                    <w:t>。</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r>
                    <w:rPr>
                      <w:szCs w:val="21"/>
                    </w:rPr>
                    <w:t xml:space="preserve">11.2 </w:t>
                  </w:r>
                  <w:r>
                    <w:rPr>
                      <w:rFonts w:hint="eastAsia"/>
                      <w:szCs w:val="21"/>
                    </w:rPr>
                    <w:t>地方生态环境主管部门可根据当地环境保护需要，对厂区内</w:t>
                  </w:r>
                  <w:r>
                    <w:rPr>
                      <w:szCs w:val="21"/>
                    </w:rPr>
                    <w:t xml:space="preserve">VOCs </w:t>
                  </w:r>
                  <w:r>
                    <w:rPr>
                      <w:rFonts w:hint="eastAsia"/>
                      <w:szCs w:val="21"/>
                    </w:rPr>
                    <w:t>无组织排放状况进行监控，具体实施方式由各地自行确定。厂区内</w:t>
                  </w:r>
                  <w:r>
                    <w:rPr>
                      <w:szCs w:val="21"/>
                    </w:rPr>
                    <w:t xml:space="preserve">VOCs </w:t>
                  </w:r>
                  <w:r>
                    <w:rPr>
                      <w:rFonts w:hint="eastAsia"/>
                      <w:szCs w:val="21"/>
                    </w:rPr>
                    <w:t>无组织排放监控要求：监控点处</w:t>
                  </w:r>
                  <w:r>
                    <w:rPr>
                      <w:szCs w:val="21"/>
                    </w:rPr>
                    <w:t>1 h</w:t>
                  </w:r>
                  <w:r>
                    <w:rPr>
                      <w:rFonts w:hint="eastAsia"/>
                      <w:szCs w:val="21"/>
                    </w:rPr>
                    <w:t>平均浓度值≤6mg/m³、监控点处任意一次浓度值≤20mg/m³。</w:t>
                  </w:r>
                </w:p>
              </w:tc>
              <w:tc>
                <w:tcPr>
                  <w:tcW w:w="3182" w:type="dxa"/>
                  <w:vAlign w:val="center"/>
                </w:tcPr>
                <w:p>
                  <w:pPr>
                    <w:rPr>
                      <w:b/>
                      <w:u w:val="single"/>
                    </w:rPr>
                  </w:pPr>
                  <w:r>
                    <w:rPr>
                      <w:rFonts w:hint="eastAsia"/>
                      <w:b/>
                      <w:u w:val="single"/>
                    </w:rPr>
                    <w:t>本项目无无组织废气排放。</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restart"/>
                  <w:vAlign w:val="center"/>
                </w:tcPr>
                <w:p>
                  <w:pPr>
                    <w:jc w:val="center"/>
                    <w:rPr>
                      <w:szCs w:val="21"/>
                    </w:rPr>
                  </w:pPr>
                  <w:r>
                    <w:rPr>
                      <w:szCs w:val="21"/>
                    </w:rPr>
                    <w:t xml:space="preserve">12 </w:t>
                  </w:r>
                  <w:r>
                    <w:rPr>
                      <w:rFonts w:hint="eastAsia"/>
                      <w:szCs w:val="21"/>
                    </w:rPr>
                    <w:t>污染物监测要求</w:t>
                  </w:r>
                </w:p>
              </w:tc>
              <w:tc>
                <w:tcPr>
                  <w:tcW w:w="3969" w:type="dxa"/>
                  <w:vAlign w:val="center"/>
                </w:tcPr>
                <w:p>
                  <w:pPr>
                    <w:rPr>
                      <w:szCs w:val="21"/>
                    </w:rPr>
                  </w:pPr>
                  <w:r>
                    <w:rPr>
                      <w:szCs w:val="21"/>
                    </w:rPr>
                    <w:t xml:space="preserve">12.1 </w:t>
                  </w:r>
                  <w:r>
                    <w:rPr>
                      <w:rFonts w:hint="eastAsia"/>
                      <w:szCs w:val="21"/>
                    </w:rPr>
                    <w:t>企业应按照有关法律、《环境监测管理办法》和</w:t>
                  </w:r>
                  <w:r>
                    <w:rPr>
                      <w:szCs w:val="21"/>
                    </w:rPr>
                    <w:t xml:space="preserve">HJ 819 </w:t>
                  </w:r>
                  <w:r>
                    <w:rPr>
                      <w:rFonts w:hint="eastAsia"/>
                      <w:szCs w:val="21"/>
                    </w:rPr>
                    <w:t>等规定，建立企业监测制度，制订监测方案，对污染物排放状况及其对周边环境质量的影响开展自行监测，保存原始监测记录，并公布监测结果。</w:t>
                  </w:r>
                </w:p>
              </w:tc>
              <w:tc>
                <w:tcPr>
                  <w:tcW w:w="3182" w:type="dxa"/>
                  <w:vAlign w:val="center"/>
                </w:tcPr>
                <w:p>
                  <w:pPr>
                    <w:rPr>
                      <w:szCs w:val="21"/>
                    </w:rPr>
                  </w:pPr>
                  <w:r>
                    <w:rPr>
                      <w:szCs w:val="21"/>
                    </w:rPr>
                    <w:t>本项目建成后将</w:t>
                  </w:r>
                  <w:r>
                    <w:rPr>
                      <w:rFonts w:hint="eastAsia"/>
                      <w:szCs w:val="21"/>
                    </w:rPr>
                    <w:t>建立企业监测制度，制订监测方案，对污染物排放状况及其对周边环境质量的影响开展自行监测，保存原始监测记录，并公布监测结果。</w:t>
                  </w:r>
                </w:p>
              </w:tc>
              <w:tc>
                <w:tcPr>
                  <w:tcW w:w="950" w:type="dxa"/>
                  <w:vAlign w:val="center"/>
                </w:tcPr>
                <w:p>
                  <w:pPr>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vMerge w:val="continue"/>
                  <w:vAlign w:val="center"/>
                </w:tcPr>
                <w:p>
                  <w:pPr>
                    <w:jc w:val="left"/>
                    <w:rPr>
                      <w:szCs w:val="21"/>
                    </w:rPr>
                  </w:pPr>
                </w:p>
              </w:tc>
              <w:tc>
                <w:tcPr>
                  <w:tcW w:w="3969" w:type="dxa"/>
                  <w:vAlign w:val="center"/>
                </w:tcPr>
                <w:p>
                  <w:r>
                    <w:rPr>
                      <w:szCs w:val="21"/>
                    </w:rPr>
                    <w:t xml:space="preserve">12.2 </w:t>
                  </w:r>
                  <w:r>
                    <w:rPr>
                      <w:rFonts w:hint="eastAsia"/>
                      <w:szCs w:val="21"/>
                    </w:rPr>
                    <w:t>新建企业和现有企业安装污染物排放自动监控设备的要求，按有关法律和《污染源自动监控管理办法》等规定执行。</w:t>
                  </w:r>
                </w:p>
              </w:tc>
              <w:tc>
                <w:tcPr>
                  <w:tcW w:w="3182" w:type="dxa"/>
                  <w:vAlign w:val="center"/>
                </w:tcPr>
                <w:p>
                  <w:pPr>
                    <w:rPr>
                      <w:szCs w:val="21"/>
                    </w:rPr>
                  </w:pPr>
                  <w:r>
                    <w:rPr>
                      <w:szCs w:val="21"/>
                    </w:rPr>
                    <w:t>本项目建成后将</w:t>
                  </w:r>
                  <w:r>
                    <w:rPr>
                      <w:rFonts w:hint="eastAsia"/>
                      <w:szCs w:val="21"/>
                    </w:rPr>
                    <w:t>按照</w:t>
                  </w:r>
                  <w:r>
                    <w:rPr>
                      <w:szCs w:val="21"/>
                    </w:rPr>
                    <w:t>要求统一</w:t>
                  </w:r>
                  <w:r>
                    <w:rPr>
                      <w:rFonts w:hint="eastAsia"/>
                      <w:szCs w:val="21"/>
                    </w:rPr>
                    <w:t>安装污染物排放自动监控设备。</w:t>
                  </w:r>
                </w:p>
              </w:tc>
              <w:tc>
                <w:tcPr>
                  <w:tcW w:w="950" w:type="dxa"/>
                  <w:vAlign w:val="center"/>
                </w:tcPr>
                <w:p>
                  <w:pPr>
                    <w:jc w:val="center"/>
                  </w:pPr>
                  <w:r>
                    <w:t>符合</w:t>
                  </w:r>
                </w:p>
              </w:tc>
            </w:tr>
          </w:tbl>
          <w:p>
            <w:pPr>
              <w:spacing w:line="460" w:lineRule="exact"/>
              <w:ind w:firstLine="480" w:firstLineChars="200"/>
              <w:jc w:val="left"/>
              <w:rPr>
                <w:sz w:val="24"/>
              </w:rPr>
            </w:pPr>
            <w:r>
              <w:rPr>
                <w:sz w:val="24"/>
              </w:rPr>
              <w:t>由上表可知，本项目符合《</w:t>
            </w:r>
            <w:r>
              <w:rPr>
                <w:rFonts w:hint="eastAsia"/>
                <w:sz w:val="24"/>
              </w:rPr>
              <w:t>控制标准</w:t>
            </w:r>
            <w:r>
              <w:rPr>
                <w:sz w:val="24"/>
              </w:rPr>
              <w:t>》的要求</w:t>
            </w:r>
            <w:r>
              <w:rPr>
                <w:rFonts w:hint="eastAsia"/>
                <w:sz w:val="24"/>
              </w:rPr>
              <w:t>。</w:t>
            </w:r>
          </w:p>
          <w:p>
            <w:pPr>
              <w:spacing w:line="440" w:lineRule="exact"/>
              <w:ind w:firstLine="482" w:firstLineChars="200"/>
              <w:rPr>
                <w:b/>
                <w:sz w:val="24"/>
                <w:u w:val="single"/>
              </w:rPr>
            </w:pPr>
            <w:r>
              <w:rPr>
                <w:rFonts w:hint="eastAsia"/>
                <w:b/>
                <w:sz w:val="24"/>
                <w:u w:val="single"/>
              </w:rPr>
              <w:t>9</w:t>
            </w:r>
            <w:r>
              <w:rPr>
                <w:b/>
                <w:sz w:val="24"/>
                <w:u w:val="single"/>
              </w:rPr>
              <w:t>、</w:t>
            </w:r>
            <w:r>
              <w:rPr>
                <w:rFonts w:eastAsiaTheme="minorEastAsia"/>
                <w:b/>
                <w:sz w:val="24"/>
                <w:u w:val="single"/>
              </w:rPr>
              <w:t>自动监控要求</w:t>
            </w:r>
          </w:p>
          <w:p>
            <w:pPr>
              <w:spacing w:line="460" w:lineRule="exact"/>
              <w:ind w:firstLine="482" w:firstLineChars="200"/>
              <w:rPr>
                <w:b/>
                <w:bCs/>
                <w:sz w:val="24"/>
                <w:szCs w:val="20"/>
                <w:u w:val="single"/>
              </w:rPr>
            </w:pPr>
            <w:r>
              <w:rPr>
                <w:rFonts w:hint="eastAsia"/>
                <w:b/>
                <w:bCs/>
                <w:sz w:val="24"/>
                <w:szCs w:val="20"/>
                <w:u w:val="single"/>
              </w:rPr>
              <w:t>①</w:t>
            </w:r>
            <w:r>
              <w:rPr>
                <w:b/>
                <w:bCs/>
                <w:sz w:val="24"/>
                <w:szCs w:val="20"/>
                <w:u w:val="single"/>
              </w:rPr>
              <w:t>根据《新乡市2019年大气污染防治攻坚战实施方案的通知》（新环攻坚办[2019]74号），排气筒应</w:t>
            </w:r>
            <w:r>
              <w:rPr>
                <w:rFonts w:hint="eastAsia"/>
                <w:b/>
                <w:bCs/>
                <w:sz w:val="24"/>
                <w:szCs w:val="20"/>
                <w:u w:val="single"/>
              </w:rPr>
              <w:t>按照</w:t>
            </w:r>
            <w:r>
              <w:rPr>
                <w:b/>
                <w:bCs/>
                <w:sz w:val="24"/>
                <w:szCs w:val="20"/>
                <w:u w:val="single"/>
              </w:rPr>
              <w:t>要求安装VOCs排放自动监控设备并与环保部门联网。</w:t>
            </w:r>
          </w:p>
          <w:p>
            <w:pPr>
              <w:spacing w:line="440" w:lineRule="exact"/>
              <w:ind w:firstLine="482" w:firstLineChars="200"/>
              <w:rPr>
                <w:b/>
                <w:sz w:val="24"/>
                <w:u w:val="single"/>
              </w:rPr>
            </w:pPr>
            <w:r>
              <w:rPr>
                <w:rFonts w:hint="eastAsia"/>
                <w:b/>
                <w:sz w:val="24"/>
                <w:u w:val="single"/>
              </w:rPr>
              <w:t>②</w:t>
            </w:r>
            <w:r>
              <w:rPr>
                <w:b/>
                <w:sz w:val="24"/>
                <w:u w:val="single"/>
              </w:rPr>
              <w:t>根据《京津冀及周边地区2019-2020 年秋冬季大气污染综合治理攻坚行动方案》（环大气[2019]88号），按照</w:t>
            </w:r>
            <w:r>
              <w:rPr>
                <w:rFonts w:hint="eastAsia"/>
                <w:b/>
                <w:sz w:val="24"/>
                <w:u w:val="single"/>
              </w:rPr>
              <w:t>当地环保</w:t>
            </w:r>
            <w:r>
              <w:rPr>
                <w:b/>
                <w:sz w:val="24"/>
                <w:u w:val="single"/>
              </w:rPr>
              <w:t>要求在生产区、废气治理装置区以及厂区大门处安装视频监控。</w:t>
            </w:r>
          </w:p>
          <w:p>
            <w:pPr>
              <w:spacing w:line="440" w:lineRule="exact"/>
              <w:ind w:firstLine="482" w:firstLineChars="200"/>
              <w:rPr>
                <w:b/>
                <w:sz w:val="24"/>
                <w:u w:val="single"/>
              </w:rPr>
            </w:pPr>
            <w:r>
              <w:rPr>
                <w:rFonts w:hint="eastAsia"/>
                <w:b/>
                <w:sz w:val="24"/>
                <w:u w:val="single"/>
              </w:rPr>
              <w:t>③</w:t>
            </w:r>
            <w:r>
              <w:rPr>
                <w:b/>
                <w:sz w:val="24"/>
                <w:u w:val="single"/>
              </w:rPr>
              <w:t>根据《新乡市生态环境局关于部署安装工业企业用电量监控系统的通知》（新环[2019]154号）的要求，新乡市辖区内的所有排污企业部署安装工业企业用电量监控系统，以实现生产设施和治污设施用电实时监控，所有排污企业的总用电控制位置、主要生产设施和污染治理设施必须安装用电量监控系统终端，因此评价提出本项目总用电处、生产设施、废气处理设施处安装用电监控设施，并与</w:t>
            </w:r>
            <w:r>
              <w:rPr>
                <w:rFonts w:hint="eastAsia"/>
                <w:b/>
                <w:sz w:val="24"/>
                <w:u w:val="single"/>
              </w:rPr>
              <w:t>环保部门</w:t>
            </w:r>
            <w:r>
              <w:rPr>
                <w:b/>
                <w:sz w:val="24"/>
                <w:u w:val="single"/>
              </w:rPr>
              <w:t>联网。</w:t>
            </w:r>
          </w:p>
          <w:p>
            <w:pPr>
              <w:spacing w:line="460" w:lineRule="exact"/>
              <w:ind w:firstLine="482" w:firstLineChars="200"/>
              <w:jc w:val="left"/>
              <w:rPr>
                <w:b/>
                <w:sz w:val="24"/>
                <w:u w:val="single"/>
              </w:rPr>
            </w:pPr>
            <w:r>
              <w:rPr>
                <w:rFonts w:hint="eastAsia"/>
                <w:b/>
                <w:sz w:val="24"/>
                <w:u w:val="single"/>
              </w:rPr>
              <w:t>④根据新乡市环境污染防治攻坚部办公室发布的《关于加快推进秋冬季期间运输管控工作的通知》，在《新乡市重点用车企业清单》基础上，对其他日进出车辆10辆以上的大宗物料运输类企业，特别是仓储运输、化学原料制造、矿山（含煤矿）、洗煤厂、城市物流配送企业、邮政等单位，或者其所属车辆需要长时间在城市建成区内频繁行驶的重点行业企业进行认真梳理排查，确定需要补充安装监控门禁系统企业，2019年12月10日前，完成上述行业企业筛查并补充完善《新乡市重点用车企业清单》，2019年12月30日前，完成筛查补充企业门禁系统安装任务。本项目建设单位不属于《新乡市重点用车企业清单》，且不属于日进出车辆10辆以上的大宗物料运输类企业，故无需安装门禁系统。</w:t>
            </w: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p>
            <w:pPr>
              <w:spacing w:line="460" w:lineRule="exact"/>
              <w:jc w:val="left"/>
              <w:rPr>
                <w:sz w:val="24"/>
              </w:rPr>
            </w:pPr>
          </w:p>
        </w:tc>
      </w:tr>
      <w:tr>
        <w:tblPrEx>
          <w:tblCellMar>
            <w:top w:w="0" w:type="dxa"/>
            <w:left w:w="108" w:type="dxa"/>
            <w:bottom w:w="0" w:type="dxa"/>
            <w:right w:w="108" w:type="dxa"/>
          </w:tblCellMar>
        </w:tblPrEx>
        <w:trPr>
          <w:trHeight w:val="2111" w:hRule="atLeast"/>
          <w:jc w:val="center"/>
        </w:trPr>
        <w:tc>
          <w:tcPr>
            <w:tcW w:w="9441" w:type="dxa"/>
            <w:gridSpan w:val="12"/>
            <w:tcBorders>
              <w:top w:val="single" w:color="000000" w:sz="8" w:space="0"/>
              <w:left w:val="single" w:color="000000" w:sz="8" w:space="0"/>
              <w:bottom w:val="single" w:color="000000" w:sz="8" w:space="0"/>
              <w:right w:val="single" w:color="000000" w:sz="8" w:space="0"/>
            </w:tcBorders>
            <w:shd w:val="clear" w:color="auto" w:fill="auto"/>
          </w:tcPr>
          <w:p>
            <w:pPr>
              <w:spacing w:line="440" w:lineRule="exact"/>
              <w:rPr>
                <w:b/>
                <w:sz w:val="24"/>
              </w:rPr>
            </w:pPr>
            <w:r>
              <w:rPr>
                <w:b/>
                <w:sz w:val="24"/>
              </w:rPr>
              <w:t>与本项目有关的原有污染情况及主要环境问题：</w:t>
            </w:r>
          </w:p>
          <w:p>
            <w:pPr>
              <w:spacing w:line="440" w:lineRule="exact"/>
              <w:rPr>
                <w:sz w:val="24"/>
              </w:rPr>
            </w:pPr>
            <w:r>
              <w:rPr>
                <w:sz w:val="24"/>
              </w:rPr>
              <w:t>（一）原有项目已批复情况</w:t>
            </w:r>
          </w:p>
          <w:p>
            <w:pPr>
              <w:adjustRightInd w:val="0"/>
              <w:snapToGrid w:val="0"/>
              <w:spacing w:line="440" w:lineRule="exact"/>
              <w:ind w:firstLine="480"/>
              <w:textAlignment w:val="baseline"/>
              <w:rPr>
                <w:sz w:val="24"/>
              </w:rPr>
            </w:pPr>
            <w:r>
              <w:rPr>
                <w:sz w:val="24"/>
              </w:rPr>
              <w:t>新乡市碧阔塑业有限公司成立于</w:t>
            </w:r>
            <w:r>
              <w:rPr>
                <w:rFonts w:hint="eastAsia"/>
                <w:sz w:val="24"/>
              </w:rPr>
              <w:t>2014年，公司现有工程</w:t>
            </w:r>
            <w:r>
              <w:rPr>
                <w:sz w:val="24"/>
              </w:rPr>
              <w:t>为</w:t>
            </w:r>
            <w:r>
              <w:rPr>
                <w:rFonts w:hint="eastAsia"/>
                <w:sz w:val="24"/>
              </w:rPr>
              <w:t>年产1亿只塑罩、负极底5亿只项目</w:t>
            </w:r>
            <w:r>
              <w:rPr>
                <w:sz w:val="24"/>
              </w:rPr>
              <w:t>，产品主要为</w:t>
            </w:r>
            <w:r>
              <w:rPr>
                <w:rFonts w:hint="eastAsia"/>
                <w:sz w:val="24"/>
              </w:rPr>
              <w:t>电池的塑料罩体和负极底。</w:t>
            </w:r>
            <w:r>
              <w:rPr>
                <w:sz w:val="24"/>
              </w:rPr>
              <w:t>该项目现状评估报告已于20</w:t>
            </w:r>
            <w:r>
              <w:rPr>
                <w:rFonts w:hint="eastAsia"/>
                <w:sz w:val="24"/>
              </w:rPr>
              <w:t>17</w:t>
            </w:r>
            <w:r>
              <w:rPr>
                <w:sz w:val="24"/>
              </w:rPr>
              <w:t>年</w:t>
            </w:r>
            <w:r>
              <w:rPr>
                <w:rFonts w:hint="eastAsia"/>
                <w:sz w:val="24"/>
              </w:rPr>
              <w:t>9</w:t>
            </w:r>
            <w:r>
              <w:rPr>
                <w:sz w:val="24"/>
              </w:rPr>
              <w:t>月由</w:t>
            </w:r>
            <w:r>
              <w:rPr>
                <w:rFonts w:hint="eastAsia"/>
                <w:sz w:val="24"/>
              </w:rPr>
              <w:t>济源蓝天科技有限责任公司</w:t>
            </w:r>
            <w:r>
              <w:rPr>
                <w:sz w:val="24"/>
              </w:rPr>
              <w:t>编制完成</w:t>
            </w:r>
            <w:r>
              <w:rPr>
                <w:rFonts w:hint="eastAsia"/>
                <w:sz w:val="24"/>
              </w:rPr>
              <w:t>，</w:t>
            </w:r>
            <w:r>
              <w:rPr>
                <w:sz w:val="24"/>
              </w:rPr>
              <w:t>并于20</w:t>
            </w:r>
            <w:r>
              <w:rPr>
                <w:rFonts w:hint="eastAsia"/>
                <w:sz w:val="24"/>
              </w:rPr>
              <w:t>17</w:t>
            </w:r>
            <w:r>
              <w:rPr>
                <w:sz w:val="24"/>
              </w:rPr>
              <w:t>年</w:t>
            </w:r>
            <w:r>
              <w:rPr>
                <w:rFonts w:hint="eastAsia"/>
                <w:sz w:val="24"/>
              </w:rPr>
              <w:t>9</w:t>
            </w:r>
            <w:r>
              <w:rPr>
                <w:sz w:val="24"/>
              </w:rPr>
              <w:t>月</w:t>
            </w:r>
            <w:r>
              <w:rPr>
                <w:rFonts w:hint="eastAsia"/>
                <w:sz w:val="24"/>
              </w:rPr>
              <w:t>30</w:t>
            </w:r>
            <w:r>
              <w:rPr>
                <w:sz w:val="24"/>
              </w:rPr>
              <w:t>日</w:t>
            </w:r>
            <w:r>
              <w:rPr>
                <w:rFonts w:hint="eastAsia"/>
                <w:sz w:val="24"/>
              </w:rPr>
              <w:t>经凤泉区</w:t>
            </w:r>
            <w:r>
              <w:rPr>
                <w:sz w:val="24"/>
              </w:rPr>
              <w:t>环保局</w:t>
            </w:r>
            <w:r>
              <w:rPr>
                <w:rFonts w:hint="eastAsia"/>
                <w:sz w:val="24"/>
              </w:rPr>
              <w:t>备案</w:t>
            </w:r>
            <w:r>
              <w:rPr>
                <w:sz w:val="24"/>
              </w:rPr>
              <w:t>，</w:t>
            </w:r>
            <w:r>
              <w:rPr>
                <w:rFonts w:hint="eastAsia"/>
                <w:sz w:val="24"/>
              </w:rPr>
              <w:t>备案</w:t>
            </w:r>
            <w:r>
              <w:rPr>
                <w:sz w:val="24"/>
              </w:rPr>
              <w:t>文号凤环</w:t>
            </w:r>
            <w:r>
              <w:rPr>
                <w:rFonts w:hint="eastAsia"/>
                <w:sz w:val="24"/>
              </w:rPr>
              <w:t>清改</w:t>
            </w:r>
            <w:r>
              <w:rPr>
                <w:sz w:val="24"/>
              </w:rPr>
              <w:t>备第</w:t>
            </w:r>
            <w:r>
              <w:rPr>
                <w:rFonts w:hint="eastAsia"/>
                <w:sz w:val="24"/>
              </w:rPr>
              <w:t>3批</w:t>
            </w:r>
            <w:r>
              <w:rPr>
                <w:sz w:val="24"/>
              </w:rPr>
              <w:t>。</w:t>
            </w:r>
          </w:p>
          <w:p>
            <w:pPr>
              <w:adjustRightInd w:val="0"/>
              <w:snapToGrid w:val="0"/>
              <w:spacing w:line="440" w:lineRule="exact"/>
              <w:ind w:firstLine="480"/>
              <w:textAlignment w:val="baseline"/>
              <w:rPr>
                <w:sz w:val="24"/>
              </w:rPr>
            </w:pPr>
            <w:r>
              <w:rPr>
                <w:rFonts w:hint="eastAsia"/>
                <w:sz w:val="24"/>
              </w:rPr>
              <w:t>根据现状评估报告、监测报告及现场调查，现有工程在运营期污染因素为废水、废气、噪声和固废。</w:t>
            </w:r>
          </w:p>
          <w:p>
            <w:pPr>
              <w:pStyle w:val="132"/>
              <w:numPr>
                <w:ilvl w:val="0"/>
                <w:numId w:val="2"/>
              </w:numPr>
              <w:tabs>
                <w:tab w:val="left" w:pos="3394"/>
              </w:tabs>
              <w:spacing w:line="440" w:lineRule="exact"/>
              <w:rPr>
                <w:sz w:val="24"/>
              </w:rPr>
            </w:pPr>
            <w:r>
              <w:rPr>
                <w:rFonts w:hint="eastAsia"/>
                <w:sz w:val="24"/>
              </w:rPr>
              <w:t>废气</w:t>
            </w:r>
          </w:p>
          <w:p>
            <w:pPr>
              <w:spacing w:line="440" w:lineRule="exact"/>
              <w:ind w:firstLine="480"/>
              <w:rPr>
                <w:sz w:val="24"/>
              </w:rPr>
            </w:pPr>
            <w:r>
              <w:rPr>
                <w:rFonts w:hint="eastAsia"/>
                <w:sz w:val="24"/>
              </w:rPr>
              <w:t>项目废气主要为成型工段产生的VOCs废气。目前厂区VOCs废气</w:t>
            </w:r>
            <w:r>
              <w:rPr>
                <w:sz w:val="24"/>
              </w:rPr>
              <w:t>收集后通入</w:t>
            </w:r>
            <w:r>
              <w:rPr>
                <w:rFonts w:hint="eastAsia"/>
                <w:sz w:val="24"/>
              </w:rPr>
              <w:t>UV光催化氧化装置处理后，尾气经15m排气筒排放。</w:t>
            </w:r>
          </w:p>
          <w:p>
            <w:pPr>
              <w:spacing w:line="440" w:lineRule="exact"/>
              <w:ind w:firstLine="480"/>
              <w:rPr>
                <w:b/>
                <w:sz w:val="24"/>
                <w:u w:val="single"/>
              </w:rPr>
            </w:pPr>
            <w:r>
              <w:rPr>
                <w:rFonts w:hint="eastAsia"/>
                <w:b/>
                <w:sz w:val="24"/>
                <w:u w:val="single"/>
              </w:rPr>
              <w:t>根据河南松筠检测技术有限公司的监测数据可知，现有项目原材料使用量为500t/a，非甲烷总烃产生浓度为161~172mg/m</w:t>
            </w:r>
            <w:r>
              <w:rPr>
                <w:rFonts w:hint="eastAsia"/>
                <w:b/>
                <w:sz w:val="24"/>
                <w:u w:val="single"/>
                <w:vertAlign w:val="superscript"/>
              </w:rPr>
              <w:t>3</w:t>
            </w:r>
            <w:r>
              <w:rPr>
                <w:rFonts w:hint="eastAsia"/>
                <w:b/>
                <w:sz w:val="24"/>
                <w:u w:val="single"/>
              </w:rPr>
              <w:t>，产生</w:t>
            </w:r>
            <w:r>
              <w:rPr>
                <w:rFonts w:hint="eastAsia"/>
                <w:b/>
                <w:sz w:val="24"/>
                <w:szCs w:val="21"/>
                <w:u w:val="single"/>
              </w:rPr>
              <w:t>速率为0.149~0.159kg/h</w:t>
            </w:r>
            <w:r>
              <w:rPr>
                <w:rFonts w:hint="eastAsia"/>
                <w:b/>
                <w:sz w:val="24"/>
                <w:u w:val="single"/>
              </w:rPr>
              <w:t>，风量为911~934m</w:t>
            </w:r>
            <w:r>
              <w:rPr>
                <w:rFonts w:hint="eastAsia"/>
                <w:b/>
                <w:sz w:val="24"/>
                <w:u w:val="single"/>
                <w:vertAlign w:val="superscript"/>
              </w:rPr>
              <w:t>3</w:t>
            </w:r>
            <w:r>
              <w:rPr>
                <w:rFonts w:hint="eastAsia"/>
                <w:b/>
                <w:sz w:val="24"/>
                <w:u w:val="single"/>
              </w:rPr>
              <w:t>/h</w:t>
            </w:r>
            <w:r>
              <w:rPr>
                <w:rFonts w:hint="eastAsia"/>
                <w:b/>
                <w:sz w:val="24"/>
                <w:szCs w:val="21"/>
                <w:u w:val="single"/>
              </w:rPr>
              <w:t>；</w:t>
            </w:r>
            <w:r>
              <w:rPr>
                <w:rFonts w:hint="eastAsia"/>
                <w:b/>
                <w:sz w:val="24"/>
                <w:u w:val="single"/>
              </w:rPr>
              <w:t>排放浓度为30.6~33.4</w:t>
            </w:r>
            <w:r>
              <w:rPr>
                <w:rFonts w:hint="eastAsia"/>
                <w:b/>
                <w:sz w:val="24"/>
                <w:szCs w:val="21"/>
                <w:u w:val="single"/>
              </w:rPr>
              <w:t>mg/m</w:t>
            </w:r>
            <w:r>
              <w:rPr>
                <w:rFonts w:hint="eastAsia"/>
                <w:b/>
                <w:sz w:val="24"/>
                <w:szCs w:val="21"/>
                <w:u w:val="single"/>
                <w:vertAlign w:val="superscript"/>
              </w:rPr>
              <w:t>3</w:t>
            </w:r>
            <w:r>
              <w:rPr>
                <w:rFonts w:hint="eastAsia"/>
                <w:b/>
                <w:sz w:val="24"/>
                <w:szCs w:val="21"/>
                <w:u w:val="single"/>
              </w:rPr>
              <w:t>，排放速率为0.0387~0.0445kg/h，风量为1240~1380 m</w:t>
            </w:r>
            <w:r>
              <w:rPr>
                <w:rFonts w:hint="eastAsia"/>
                <w:b/>
                <w:sz w:val="24"/>
                <w:szCs w:val="21"/>
                <w:u w:val="single"/>
                <w:vertAlign w:val="superscript"/>
              </w:rPr>
              <w:t>3</w:t>
            </w:r>
            <w:r>
              <w:rPr>
                <w:rFonts w:hint="eastAsia"/>
                <w:b/>
                <w:sz w:val="24"/>
                <w:szCs w:val="21"/>
                <w:u w:val="single"/>
              </w:rPr>
              <w:t>/h，年工作时间为4800h，能够满足《合成树脂工业污染物排放标准》（GB31572-2015）表5-大气污染物特别排放限值</w:t>
            </w:r>
            <w:r>
              <w:rPr>
                <w:b/>
                <w:sz w:val="24"/>
                <w:szCs w:val="21"/>
                <w:u w:val="single"/>
              </w:rPr>
              <w:t>非甲烷总烃排放浓度</w:t>
            </w:r>
            <w:r>
              <w:rPr>
                <w:rFonts w:hint="eastAsia"/>
                <w:b/>
                <w:sz w:val="24"/>
                <w:szCs w:val="21"/>
                <w:u w:val="single"/>
              </w:rPr>
              <w:t>6</w:t>
            </w:r>
            <w:r>
              <w:rPr>
                <w:b/>
                <w:sz w:val="24"/>
                <w:szCs w:val="21"/>
                <w:u w:val="single"/>
              </w:rPr>
              <w:t>0mg/m</w:t>
            </w:r>
            <w:r>
              <w:rPr>
                <w:b/>
                <w:sz w:val="24"/>
                <w:szCs w:val="21"/>
                <w:u w:val="single"/>
                <w:vertAlign w:val="superscript"/>
              </w:rPr>
              <w:t>3</w:t>
            </w:r>
            <w:r>
              <w:rPr>
                <w:b/>
                <w:sz w:val="24"/>
                <w:szCs w:val="21"/>
                <w:u w:val="single"/>
              </w:rPr>
              <w:t>（15m排气筒）的限值要求</w:t>
            </w:r>
            <w:r>
              <w:rPr>
                <w:b/>
                <w:sz w:val="24"/>
                <w:u w:val="single"/>
              </w:rPr>
              <w:t>；且能够满足《关于全省开展工业企业挥发性有机物专项治理工作中排放建议值的通知》（豫环攻坚办（2017）162号）中其他行业有机废气排放口非甲烷总烃</w:t>
            </w:r>
            <w:r>
              <w:rPr>
                <w:rFonts w:hint="eastAsia"/>
                <w:b/>
                <w:sz w:val="24"/>
                <w:u w:val="single"/>
              </w:rPr>
              <w:t>8</w:t>
            </w:r>
            <w:r>
              <w:rPr>
                <w:b/>
                <w:sz w:val="24"/>
                <w:u w:val="single"/>
              </w:rPr>
              <w:t>0mg/m</w:t>
            </w:r>
            <w:r>
              <w:rPr>
                <w:b/>
                <w:sz w:val="24"/>
                <w:u w:val="single"/>
                <w:vertAlign w:val="superscript"/>
              </w:rPr>
              <w:t>3</w:t>
            </w:r>
            <w:r>
              <w:rPr>
                <w:b/>
                <w:sz w:val="24"/>
                <w:u w:val="single"/>
              </w:rPr>
              <w:t>限值要求</w:t>
            </w:r>
            <w:r>
              <w:rPr>
                <w:rFonts w:hint="eastAsia"/>
                <w:b/>
                <w:sz w:val="24"/>
                <w:szCs w:val="21"/>
                <w:u w:val="single"/>
              </w:rPr>
              <w:t>。</w:t>
            </w:r>
          </w:p>
          <w:p>
            <w:pPr>
              <w:spacing w:line="440" w:lineRule="exact"/>
              <w:ind w:firstLine="480"/>
              <w:rPr>
                <w:sz w:val="24"/>
              </w:rPr>
            </w:pPr>
            <w:r>
              <w:rPr>
                <w:sz w:val="24"/>
                <w:szCs w:val="21"/>
              </w:rPr>
              <w:t>厂界处的非甲烷总烃浓度为</w:t>
            </w:r>
            <w:r>
              <w:rPr>
                <w:rFonts w:hint="eastAsia"/>
                <w:sz w:val="24"/>
                <w:szCs w:val="21"/>
              </w:rPr>
              <w:t>0.96~1.026 mg/m</w:t>
            </w:r>
            <w:r>
              <w:rPr>
                <w:rFonts w:hint="eastAsia"/>
                <w:sz w:val="24"/>
                <w:szCs w:val="21"/>
                <w:vertAlign w:val="superscript"/>
              </w:rPr>
              <w:t>3</w:t>
            </w:r>
            <w:r>
              <w:rPr>
                <w:rFonts w:hint="eastAsia"/>
                <w:sz w:val="24"/>
                <w:szCs w:val="21"/>
              </w:rPr>
              <w:t>，</w:t>
            </w:r>
            <w:r>
              <w:rPr>
                <w:sz w:val="24"/>
              </w:rPr>
              <w:t>能够满足《合成树脂工业污染物排放标准》（GB31572-2015）表9-企业边界大气污染物浓度限值4.0mg/m</w:t>
            </w:r>
            <w:r>
              <w:rPr>
                <w:sz w:val="24"/>
                <w:vertAlign w:val="superscript"/>
              </w:rPr>
              <w:t>3</w:t>
            </w:r>
            <w:r>
              <w:rPr>
                <w:sz w:val="24"/>
              </w:rPr>
              <w:t>的要求，同时满足河南省环境污染防治攻坚战领导小组办公室文件（豫环攻坚办[2017]162号）《关于全省开展工业企业挥发性有机物专项治理工作中排放建议值的通知》附件2工业企业挥发性有机物边界排放浓度2.0mg/m</w:t>
            </w:r>
            <w:r>
              <w:rPr>
                <w:sz w:val="24"/>
                <w:vertAlign w:val="superscript"/>
              </w:rPr>
              <w:t>3</w:t>
            </w:r>
            <w:r>
              <w:rPr>
                <w:sz w:val="24"/>
              </w:rPr>
              <w:t>的排放限值要求</w:t>
            </w:r>
            <w:r>
              <w:rPr>
                <w:rFonts w:hint="eastAsia"/>
                <w:sz w:val="24"/>
              </w:rPr>
              <w:t>。</w:t>
            </w:r>
          </w:p>
          <w:p>
            <w:pPr>
              <w:pStyle w:val="132"/>
              <w:numPr>
                <w:ilvl w:val="0"/>
                <w:numId w:val="2"/>
              </w:numPr>
              <w:spacing w:line="440" w:lineRule="exact"/>
              <w:rPr>
                <w:sz w:val="24"/>
              </w:rPr>
            </w:pPr>
            <w:r>
              <w:rPr>
                <w:sz w:val="24"/>
              </w:rPr>
              <w:t>废水</w:t>
            </w:r>
          </w:p>
          <w:p>
            <w:pPr>
              <w:adjustRightInd w:val="0"/>
              <w:spacing w:line="420" w:lineRule="exact"/>
              <w:ind w:firstLine="480" w:firstLineChars="200"/>
              <w:rPr>
                <w:sz w:val="24"/>
              </w:rPr>
            </w:pPr>
            <w:r>
              <w:rPr>
                <w:sz w:val="24"/>
              </w:rPr>
              <w:t>项目</w:t>
            </w:r>
            <w:r>
              <w:rPr>
                <w:rFonts w:hint="eastAsia"/>
                <w:sz w:val="24"/>
              </w:rPr>
              <w:t>废水主要为冷却水及职工生活污水。成型机的冷却水循环使用不外排。生活污水排入化粪池，定期清运。</w:t>
            </w:r>
          </w:p>
          <w:p>
            <w:pPr>
              <w:pStyle w:val="132"/>
              <w:numPr>
                <w:ilvl w:val="0"/>
                <w:numId w:val="2"/>
              </w:numPr>
              <w:spacing w:line="440" w:lineRule="exact"/>
              <w:rPr>
                <w:sz w:val="24"/>
              </w:rPr>
            </w:pPr>
            <w:r>
              <w:rPr>
                <w:sz w:val="24"/>
              </w:rPr>
              <w:t>噪声</w:t>
            </w:r>
          </w:p>
          <w:p>
            <w:pPr>
              <w:spacing w:line="440" w:lineRule="exact"/>
              <w:ind w:firstLine="480"/>
              <w:rPr>
                <w:sz w:val="24"/>
              </w:rPr>
            </w:pPr>
            <w:r>
              <w:rPr>
                <w:sz w:val="24"/>
              </w:rPr>
              <w:t>项目高噪声设备为</w:t>
            </w:r>
            <w:r>
              <w:rPr>
                <w:rFonts w:hint="eastAsia"/>
                <w:sz w:val="24"/>
              </w:rPr>
              <w:t>冲床、</w:t>
            </w:r>
            <w:r>
              <w:rPr>
                <w:sz w:val="24"/>
              </w:rPr>
              <w:t>切断机等</w:t>
            </w:r>
            <w:r>
              <w:rPr>
                <w:rFonts w:hint="eastAsia"/>
                <w:sz w:val="24"/>
              </w:rPr>
              <w:t>，</w:t>
            </w:r>
            <w:r>
              <w:rPr>
                <w:sz w:val="24"/>
              </w:rPr>
              <w:t>采取的降噪措施为厂房隔音和距离衰减，根据</w:t>
            </w:r>
            <w:r>
              <w:rPr>
                <w:rFonts w:hint="eastAsia"/>
                <w:sz w:val="24"/>
              </w:rPr>
              <w:t>河南松筠检测技术有限公司</w:t>
            </w:r>
            <w:r>
              <w:rPr>
                <w:sz w:val="24"/>
              </w:rPr>
              <w:t>于201</w:t>
            </w:r>
            <w:r>
              <w:rPr>
                <w:rFonts w:hint="eastAsia"/>
                <w:sz w:val="24"/>
              </w:rPr>
              <w:t>7</w:t>
            </w:r>
            <w:r>
              <w:rPr>
                <w:sz w:val="24"/>
              </w:rPr>
              <w:t>年</w:t>
            </w:r>
            <w:r>
              <w:rPr>
                <w:rFonts w:hint="eastAsia"/>
                <w:sz w:val="24"/>
              </w:rPr>
              <w:t>9</w:t>
            </w:r>
            <w:r>
              <w:rPr>
                <w:sz w:val="24"/>
              </w:rPr>
              <w:t>月</w:t>
            </w:r>
            <w:r>
              <w:rPr>
                <w:rFonts w:hint="eastAsia"/>
                <w:sz w:val="24"/>
              </w:rPr>
              <w:t>19</w:t>
            </w:r>
            <w:r>
              <w:rPr>
                <w:sz w:val="24"/>
              </w:rPr>
              <w:t>日至</w:t>
            </w:r>
            <w:r>
              <w:rPr>
                <w:rFonts w:hint="eastAsia"/>
                <w:sz w:val="24"/>
              </w:rPr>
              <w:t>20</w:t>
            </w:r>
            <w:r>
              <w:rPr>
                <w:sz w:val="24"/>
              </w:rPr>
              <w:t>日</w:t>
            </w:r>
            <w:r>
              <w:rPr>
                <w:rFonts w:hint="eastAsia"/>
                <w:sz w:val="24"/>
              </w:rPr>
              <w:t>的监测数据可知，昼间厂界噪声为51.2~54.2dB（A），夜间厂界噪声为41.8~45.2dB（A），能够</w:t>
            </w:r>
            <w:r>
              <w:rPr>
                <w:sz w:val="24"/>
              </w:rPr>
              <w:t xml:space="preserve">满足《工业企业厂界环境噪声排放标准》(GB12348-2008) </w:t>
            </w:r>
            <w:r>
              <w:rPr>
                <w:rFonts w:hint="eastAsia"/>
                <w:sz w:val="24"/>
              </w:rPr>
              <w:t>2类</w:t>
            </w:r>
            <w:r>
              <w:rPr>
                <w:sz w:val="24"/>
              </w:rPr>
              <w:t>区昼间60dB(A)、夜间50dB(A)的标准要求。</w:t>
            </w:r>
          </w:p>
          <w:p>
            <w:pPr>
              <w:pStyle w:val="132"/>
              <w:numPr>
                <w:ilvl w:val="0"/>
                <w:numId w:val="2"/>
              </w:numPr>
              <w:spacing w:line="440" w:lineRule="exact"/>
              <w:rPr>
                <w:sz w:val="24"/>
              </w:rPr>
            </w:pPr>
            <w:r>
              <w:rPr>
                <w:rFonts w:hint="eastAsia"/>
                <w:sz w:val="24"/>
              </w:rPr>
              <w:t>固废</w:t>
            </w:r>
          </w:p>
          <w:p>
            <w:pPr>
              <w:spacing w:line="440" w:lineRule="exact"/>
              <w:ind w:firstLine="480"/>
              <w:rPr>
                <w:sz w:val="24"/>
              </w:rPr>
            </w:pPr>
            <w:r>
              <w:rPr>
                <w:rFonts w:hint="eastAsia"/>
                <w:sz w:val="24"/>
              </w:rPr>
              <w:t>生产中产生的边角料及不合格产品，产生量约0.5t/a，收集后出售给废品收购站，</w:t>
            </w:r>
            <w:r>
              <w:rPr>
                <w:sz w:val="24"/>
              </w:rPr>
              <w:t>不会对周围环境造成大的影响</w:t>
            </w:r>
            <w:r>
              <w:rPr>
                <w:rFonts w:hint="eastAsia"/>
                <w:sz w:val="24"/>
              </w:rPr>
              <w:t>。</w:t>
            </w:r>
          </w:p>
          <w:p>
            <w:pPr>
              <w:spacing w:line="440" w:lineRule="exact"/>
              <w:rPr>
                <w:sz w:val="24"/>
              </w:rPr>
            </w:pPr>
            <w:r>
              <w:rPr>
                <w:sz w:val="24"/>
              </w:rPr>
              <w:t>（二）现有工程存在问题及整改措施</w:t>
            </w:r>
          </w:p>
          <w:p>
            <w:pPr>
              <w:spacing w:line="440" w:lineRule="exact"/>
              <w:ind w:firstLine="480"/>
              <w:rPr>
                <w:sz w:val="24"/>
              </w:rPr>
            </w:pPr>
            <w:r>
              <w:rPr>
                <w:rFonts w:hint="eastAsia"/>
                <w:sz w:val="24"/>
              </w:rPr>
              <w:t>①废气治理措施</w:t>
            </w:r>
          </w:p>
          <w:p>
            <w:pPr>
              <w:spacing w:line="440" w:lineRule="exact"/>
              <w:ind w:firstLine="480"/>
              <w:rPr>
                <w:sz w:val="24"/>
              </w:rPr>
            </w:pPr>
            <w:r>
              <w:rPr>
                <w:sz w:val="24"/>
              </w:rPr>
              <w:t>根据《河南省2019年挥发性有机物治理方案》相关要求：低浓度有机废气或恶臭气体采用低温等离子体技术、UV光催化氧化技术、活性炭吸附技术等两种或两种以上组合工艺。现有措施为废气由集气罩收集后经</w:t>
            </w:r>
            <w:r>
              <w:rPr>
                <w:rFonts w:hint="eastAsia"/>
                <w:sz w:val="24"/>
              </w:rPr>
              <w:t>UV光催化氧化装置处理，不能满足治理方案的要求，</w:t>
            </w:r>
            <w:r>
              <w:rPr>
                <w:sz w:val="24"/>
              </w:rPr>
              <w:t>故本次环评提出在现有工程的</w:t>
            </w:r>
            <w:r>
              <w:rPr>
                <w:rFonts w:hint="eastAsia"/>
                <w:sz w:val="24"/>
              </w:rPr>
              <w:t>UV光催化氧化装置后增加活性炭吸附装置，进一步减少非甲烷总烃的排放，</w:t>
            </w:r>
            <w:r>
              <w:rPr>
                <w:sz w:val="24"/>
              </w:rPr>
              <w:t>尾气经15m排气筒排放。</w:t>
            </w:r>
          </w:p>
          <w:p>
            <w:pPr>
              <w:spacing w:line="440" w:lineRule="exact"/>
              <w:ind w:firstLine="480"/>
              <w:rPr>
                <w:sz w:val="24"/>
              </w:rPr>
            </w:pPr>
            <w:r>
              <w:rPr>
                <w:rFonts w:hint="eastAsia"/>
                <w:sz w:val="24"/>
              </w:rPr>
              <w:t>现有工程经过活性炭吸附装置治理后，现有工程废气产排情况见下表。</w:t>
            </w:r>
          </w:p>
          <w:p>
            <w:pPr>
              <w:spacing w:line="420" w:lineRule="exact"/>
              <w:ind w:firstLine="480" w:firstLineChars="200"/>
              <w:rPr>
                <w:rFonts w:eastAsia="黑体"/>
                <w:sz w:val="24"/>
              </w:rPr>
            </w:pPr>
            <w:r>
              <w:rPr>
                <w:rFonts w:hAnsi="黑体" w:eastAsia="黑体"/>
                <w:sz w:val="24"/>
              </w:rPr>
              <w:t>表</w:t>
            </w:r>
            <w:r>
              <w:rPr>
                <w:rFonts w:hint="eastAsia" w:eastAsia="黑体"/>
                <w:sz w:val="24"/>
              </w:rPr>
              <w:t xml:space="preserve">18                                </w:t>
            </w:r>
            <w:r>
              <w:rPr>
                <w:rFonts w:hint="eastAsia" w:hAnsi="黑体" w:eastAsia="黑体"/>
                <w:sz w:val="24"/>
              </w:rPr>
              <w:t>现有</w:t>
            </w:r>
            <w:r>
              <w:rPr>
                <w:rFonts w:hAnsi="黑体" w:eastAsia="黑体"/>
                <w:sz w:val="24"/>
              </w:rPr>
              <w:t>工程废气产排放情况一览表</w:t>
            </w:r>
            <w:r>
              <w:rPr>
                <w:rFonts w:hint="eastAsia" w:hAnsi="黑体" w:eastAsia="黑体"/>
                <w:sz w:val="24"/>
              </w:rPr>
              <w:t xml:space="preserve">                          </w:t>
            </w:r>
            <w:r>
              <w:rPr>
                <w:rFonts w:hAnsi="黑体" w:eastAsia="黑体"/>
                <w:sz w:val="24"/>
              </w:rPr>
              <w:t>单位：</w:t>
            </w:r>
            <w:r>
              <w:rPr>
                <w:rFonts w:eastAsia="黑体"/>
                <w:sz w:val="24"/>
              </w:rPr>
              <w:t>t/a</w:t>
            </w:r>
          </w:p>
          <w:tbl>
            <w:tblPr>
              <w:tblStyle w:val="20"/>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845"/>
              <w:gridCol w:w="1845"/>
              <w:gridCol w:w="1845"/>
              <w:gridCol w:w="184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45" w:type="dxa"/>
                  <w:vAlign w:val="center"/>
                </w:tcPr>
                <w:p>
                  <w:pPr>
                    <w:jc w:val="center"/>
                    <w:rPr>
                      <w:rFonts w:eastAsiaTheme="minorEastAsia"/>
                      <w:b/>
                      <w:szCs w:val="21"/>
                    </w:rPr>
                  </w:pPr>
                  <w:r>
                    <w:rPr>
                      <w:rFonts w:eastAsiaTheme="minorEastAsia"/>
                      <w:b/>
                      <w:szCs w:val="21"/>
                    </w:rPr>
                    <w:t>污染物</w:t>
                  </w:r>
                </w:p>
              </w:tc>
              <w:tc>
                <w:tcPr>
                  <w:tcW w:w="1845" w:type="dxa"/>
                  <w:vAlign w:val="center"/>
                </w:tcPr>
                <w:p>
                  <w:pPr>
                    <w:jc w:val="center"/>
                    <w:rPr>
                      <w:rFonts w:eastAsiaTheme="minorEastAsia"/>
                      <w:b/>
                      <w:szCs w:val="21"/>
                    </w:rPr>
                  </w:pPr>
                  <w:r>
                    <w:rPr>
                      <w:rFonts w:eastAsiaTheme="minorEastAsia"/>
                      <w:b/>
                      <w:szCs w:val="21"/>
                    </w:rPr>
                    <w:t>现有工程实际排放量</w:t>
                  </w:r>
                </w:p>
              </w:tc>
              <w:tc>
                <w:tcPr>
                  <w:tcW w:w="1845" w:type="dxa"/>
                  <w:vAlign w:val="center"/>
                </w:tcPr>
                <w:p>
                  <w:pPr>
                    <w:jc w:val="center"/>
                    <w:rPr>
                      <w:rFonts w:eastAsiaTheme="minorEastAsia"/>
                      <w:b/>
                      <w:szCs w:val="21"/>
                    </w:rPr>
                  </w:pPr>
                  <w:r>
                    <w:rPr>
                      <w:rFonts w:eastAsiaTheme="minorEastAsia"/>
                      <w:b/>
                      <w:szCs w:val="21"/>
                    </w:rPr>
                    <w:t>现有工程许可排放量</w:t>
                  </w:r>
                </w:p>
              </w:tc>
              <w:tc>
                <w:tcPr>
                  <w:tcW w:w="1845" w:type="dxa"/>
                  <w:vAlign w:val="center"/>
                </w:tcPr>
                <w:p>
                  <w:pPr>
                    <w:jc w:val="center"/>
                    <w:rPr>
                      <w:rFonts w:eastAsiaTheme="minorEastAsia"/>
                      <w:b/>
                      <w:szCs w:val="21"/>
                    </w:rPr>
                  </w:pPr>
                  <w:r>
                    <w:rPr>
                      <w:rFonts w:eastAsiaTheme="minorEastAsia"/>
                      <w:b/>
                      <w:szCs w:val="21"/>
                    </w:rPr>
                    <w:t>以新带老削减量</w:t>
                  </w:r>
                </w:p>
              </w:tc>
              <w:tc>
                <w:tcPr>
                  <w:tcW w:w="1845" w:type="dxa"/>
                  <w:vAlign w:val="center"/>
                </w:tcPr>
                <w:p>
                  <w:pPr>
                    <w:jc w:val="center"/>
                    <w:rPr>
                      <w:rFonts w:eastAsiaTheme="minorEastAsia"/>
                      <w:b/>
                      <w:szCs w:val="21"/>
                    </w:rPr>
                  </w:pPr>
                  <w:r>
                    <w:rPr>
                      <w:rFonts w:eastAsiaTheme="minorEastAsia"/>
                      <w:b/>
                      <w:szCs w:val="21"/>
                    </w:rPr>
                    <w:t>现有工程以新带老后排放量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45" w:type="dxa"/>
                  <w:vAlign w:val="center"/>
                </w:tcPr>
                <w:p>
                  <w:pPr>
                    <w:jc w:val="center"/>
                    <w:rPr>
                      <w:rFonts w:eastAsiaTheme="minorEastAsia"/>
                      <w:szCs w:val="21"/>
                    </w:rPr>
                  </w:pPr>
                  <w:r>
                    <w:rPr>
                      <w:rFonts w:eastAsiaTheme="minorEastAsia"/>
                      <w:szCs w:val="21"/>
                    </w:rPr>
                    <w:t>VOCs</w:t>
                  </w:r>
                </w:p>
              </w:tc>
              <w:tc>
                <w:tcPr>
                  <w:tcW w:w="1845" w:type="dxa"/>
                  <w:vAlign w:val="center"/>
                </w:tcPr>
                <w:p>
                  <w:pPr>
                    <w:jc w:val="center"/>
                    <w:rPr>
                      <w:rFonts w:eastAsiaTheme="minorEastAsia"/>
                      <w:szCs w:val="21"/>
                    </w:rPr>
                  </w:pPr>
                  <w:r>
                    <w:rPr>
                      <w:rFonts w:eastAsiaTheme="minorEastAsia"/>
                      <w:szCs w:val="21"/>
                    </w:rPr>
                    <w:t>0.2136</w:t>
                  </w:r>
                </w:p>
              </w:tc>
              <w:tc>
                <w:tcPr>
                  <w:tcW w:w="1845" w:type="dxa"/>
                  <w:vAlign w:val="center"/>
                </w:tcPr>
                <w:p>
                  <w:pPr>
                    <w:jc w:val="center"/>
                    <w:rPr>
                      <w:rFonts w:eastAsiaTheme="minorEastAsia"/>
                      <w:szCs w:val="21"/>
                    </w:rPr>
                  </w:pPr>
                  <w:r>
                    <w:rPr>
                      <w:rFonts w:hint="eastAsia" w:eastAsiaTheme="minorEastAsia"/>
                      <w:szCs w:val="21"/>
                    </w:rPr>
                    <w:t>0.2136</w:t>
                  </w:r>
                </w:p>
              </w:tc>
              <w:tc>
                <w:tcPr>
                  <w:tcW w:w="1845" w:type="dxa"/>
                  <w:vAlign w:val="center"/>
                </w:tcPr>
                <w:p>
                  <w:pPr>
                    <w:jc w:val="center"/>
                    <w:rPr>
                      <w:rFonts w:eastAsiaTheme="minorEastAsia"/>
                      <w:szCs w:val="21"/>
                    </w:rPr>
                  </w:pPr>
                  <w:r>
                    <w:rPr>
                      <w:rFonts w:hint="eastAsia" w:eastAsiaTheme="minorEastAsia"/>
                      <w:szCs w:val="21"/>
                    </w:rPr>
                    <w:t>0.1373</w:t>
                  </w:r>
                </w:p>
              </w:tc>
              <w:tc>
                <w:tcPr>
                  <w:tcW w:w="1845" w:type="dxa"/>
                  <w:vAlign w:val="center"/>
                </w:tcPr>
                <w:p>
                  <w:pPr>
                    <w:jc w:val="center"/>
                    <w:rPr>
                      <w:rFonts w:eastAsiaTheme="minorEastAsia"/>
                      <w:szCs w:val="21"/>
                    </w:rPr>
                  </w:pPr>
                  <w:r>
                    <w:rPr>
                      <w:rFonts w:hint="eastAsia" w:eastAsiaTheme="minorEastAsia"/>
                      <w:szCs w:val="21"/>
                    </w:rPr>
                    <w:t>0.0763</w:t>
                  </w:r>
                </w:p>
              </w:tc>
            </w:tr>
          </w:tbl>
          <w:p>
            <w:pPr>
              <w:spacing w:line="440" w:lineRule="exact"/>
              <w:rPr>
                <w:b/>
                <w:u w:val="single"/>
              </w:rPr>
            </w:pPr>
            <w:r>
              <w:rPr>
                <w:rFonts w:hint="eastAsia"/>
                <w:b/>
                <w:u w:val="single"/>
              </w:rPr>
              <w:t>注：现有工程运行时间为4800h/a。</w:t>
            </w:r>
          </w:p>
          <w:p>
            <w:pPr>
              <w:spacing w:line="440" w:lineRule="exact"/>
              <w:ind w:firstLine="482" w:firstLineChars="200"/>
              <w:rPr>
                <w:b/>
                <w:sz w:val="24"/>
                <w:u w:val="single"/>
              </w:rPr>
            </w:pPr>
            <w:r>
              <w:rPr>
                <w:rFonts w:hint="eastAsia"/>
                <w:b/>
                <w:sz w:val="24"/>
                <w:u w:val="single"/>
              </w:rPr>
              <w:t>现有工程非甲烷总烃产生量为0.159kg/h×4800h/a×10</w:t>
            </w:r>
            <w:r>
              <w:rPr>
                <w:rFonts w:hint="eastAsia"/>
                <w:b/>
                <w:sz w:val="24"/>
                <w:u w:val="single"/>
                <w:vertAlign w:val="superscript"/>
              </w:rPr>
              <w:t>-3</w:t>
            </w:r>
            <w:r>
              <w:rPr>
                <w:rFonts w:hint="eastAsia"/>
                <w:b/>
                <w:sz w:val="24"/>
                <w:u w:val="single"/>
              </w:rPr>
              <w:t>=0.7632t/a。根据工程分析部分可知，UV光催化氧化设备+活性炭吸附装置的处理效率为90%，故现有工程以新带老后排放量为0.7632t/a×（1-90%）=0.0763t/a。故现有工程以新带老量为0.2136t/a-0.0763t/a=0.1373t/a。</w:t>
            </w:r>
          </w:p>
          <w:p>
            <w:pPr>
              <w:spacing w:line="440" w:lineRule="exact"/>
              <w:ind w:firstLine="480" w:firstLineChars="200"/>
              <w:rPr>
                <w:sz w:val="24"/>
              </w:rPr>
            </w:pPr>
            <w:r>
              <w:rPr>
                <w:rFonts w:hint="eastAsia"/>
                <w:sz w:val="24"/>
              </w:rPr>
              <w:t>②危险废物暂存间</w:t>
            </w:r>
          </w:p>
          <w:p>
            <w:pPr>
              <w:spacing w:line="440" w:lineRule="exact"/>
              <w:ind w:firstLine="480" w:firstLineChars="200"/>
              <w:rPr>
                <w:sz w:val="24"/>
              </w:rPr>
            </w:pPr>
            <w:r>
              <w:rPr>
                <w:rFonts w:hint="eastAsia"/>
                <w:sz w:val="24"/>
              </w:rPr>
              <w:t>现有项目已建有一般固废暂存区1座，未建设危险废物暂存间，不满足环保要求，本次评价提出建设危废暂存间一座（5m</w:t>
            </w:r>
            <w:r>
              <w:rPr>
                <w:rFonts w:hint="eastAsia"/>
                <w:sz w:val="24"/>
                <w:vertAlign w:val="superscript"/>
              </w:rPr>
              <w:t>2</w:t>
            </w:r>
            <w:r>
              <w:rPr>
                <w:rFonts w:hint="eastAsia"/>
                <w:sz w:val="24"/>
              </w:rPr>
              <w:t>）。</w:t>
            </w:r>
          </w:p>
          <w:p>
            <w:pPr>
              <w:spacing w:line="440" w:lineRule="exact"/>
              <w:rPr>
                <w:b/>
                <w:sz w:val="24"/>
              </w:rPr>
            </w:pPr>
          </w:p>
          <w:p>
            <w:pPr>
              <w:spacing w:line="440" w:lineRule="exact"/>
              <w:rPr>
                <w:b/>
                <w:sz w:val="24"/>
              </w:rPr>
            </w:pPr>
          </w:p>
          <w:p>
            <w:pPr>
              <w:spacing w:line="440" w:lineRule="exact"/>
              <w:rPr>
                <w:b/>
                <w:sz w:val="24"/>
              </w:rPr>
            </w:pPr>
          </w:p>
          <w:p>
            <w:pPr>
              <w:spacing w:line="440" w:lineRule="exact"/>
              <w:rPr>
                <w:b/>
                <w:sz w:val="24"/>
              </w:rPr>
            </w:pPr>
          </w:p>
          <w:p>
            <w:pPr>
              <w:spacing w:line="440" w:lineRule="exact"/>
              <w:rPr>
                <w:b/>
                <w:sz w:val="24"/>
              </w:rPr>
            </w:pPr>
          </w:p>
          <w:p>
            <w:pPr>
              <w:spacing w:line="440" w:lineRule="exact"/>
              <w:rPr>
                <w:b/>
                <w:sz w:val="24"/>
              </w:rPr>
            </w:pPr>
          </w:p>
          <w:p>
            <w:pPr>
              <w:spacing w:line="440" w:lineRule="exact"/>
              <w:rPr>
                <w:b/>
                <w:sz w:val="24"/>
              </w:rPr>
            </w:pPr>
          </w:p>
        </w:tc>
      </w:tr>
    </w:tbl>
    <w:p>
      <w:pPr>
        <w:spacing w:line="440" w:lineRule="exact"/>
        <w:ind w:firstLine="281"/>
        <w:jc w:val="left"/>
        <w:rPr>
          <w:b/>
          <w:sz w:val="28"/>
        </w:rPr>
      </w:pPr>
      <w:r>
        <w:rPr>
          <w:b/>
          <w:sz w:val="28"/>
        </w:rPr>
        <w:t>建设项目所在地自然环境社会环境简况</w:t>
      </w:r>
    </w:p>
    <w:tbl>
      <w:tblPr>
        <w:tblStyle w:val="19"/>
        <w:tblW w:w="9441"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autofit"/>
        <w:tblCellMar>
          <w:top w:w="0" w:type="dxa"/>
          <w:left w:w="108" w:type="dxa"/>
          <w:bottom w:w="0" w:type="dxa"/>
          <w:right w:w="108" w:type="dxa"/>
        </w:tblCellMar>
      </w:tblPr>
      <w:tblGrid>
        <w:gridCol w:w="944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9165" w:type="dxa"/>
            <w:shd w:val="clear" w:color="auto" w:fill="auto"/>
          </w:tcPr>
          <w:p>
            <w:pPr>
              <w:spacing w:line="460" w:lineRule="exact"/>
              <w:rPr>
                <w:rFonts w:eastAsiaTheme="majorEastAsia"/>
                <w:b/>
                <w:spacing w:val="-6"/>
                <w:sz w:val="24"/>
              </w:rPr>
            </w:pPr>
            <w:r>
              <w:rPr>
                <w:rFonts w:eastAsiaTheme="majorEastAsia"/>
                <w:b/>
                <w:spacing w:val="-6"/>
                <w:sz w:val="24"/>
              </w:rPr>
              <w:t>自然环境简况(地形、地貌、地质、气候、气象、水文、植被、生物多样性等)：</w:t>
            </w:r>
          </w:p>
          <w:p>
            <w:pPr>
              <w:spacing w:line="460" w:lineRule="exact"/>
              <w:ind w:firstLine="482"/>
              <w:rPr>
                <w:sz w:val="24"/>
                <w:szCs w:val="20"/>
              </w:rPr>
            </w:pPr>
            <w:r>
              <w:rPr>
                <w:b/>
                <w:sz w:val="24"/>
                <w:szCs w:val="20"/>
              </w:rPr>
              <w:t>1、地理位置</w:t>
            </w:r>
          </w:p>
          <w:p>
            <w:pPr>
              <w:spacing w:line="480" w:lineRule="exact"/>
              <w:ind w:firstLine="480"/>
              <w:rPr>
                <w:sz w:val="24"/>
              </w:rPr>
            </w:pPr>
            <w:r>
              <w:rPr>
                <w:sz w:val="24"/>
              </w:rPr>
              <w:t>新乡市凤泉区位于新乡市城区北部，太行山余脉凤凰山麓，凤泉区东部和西北部分别与卫辉和辉县毗邻，西南与南部分别与红旗区和牧野区相连。</w:t>
            </w:r>
          </w:p>
          <w:p>
            <w:pPr>
              <w:spacing w:line="480" w:lineRule="exact"/>
              <w:ind w:firstLine="480"/>
              <w:rPr>
                <w:sz w:val="24"/>
              </w:rPr>
            </w:pPr>
            <w:r>
              <w:rPr>
                <w:sz w:val="24"/>
              </w:rPr>
              <w:t>项目厂址位于新乡市凤泉区大块镇小块村西1658号，具体地理位置详见附图一。</w:t>
            </w:r>
          </w:p>
          <w:p>
            <w:pPr>
              <w:spacing w:line="480" w:lineRule="exact"/>
              <w:ind w:firstLine="480"/>
              <w:rPr>
                <w:sz w:val="24"/>
              </w:rPr>
            </w:pPr>
            <w:r>
              <w:rPr>
                <w:b/>
                <w:sz w:val="24"/>
              </w:rPr>
              <w:t>2、地形地貌</w:t>
            </w:r>
          </w:p>
          <w:p>
            <w:pPr>
              <w:spacing w:line="480" w:lineRule="exact"/>
              <w:ind w:firstLine="480"/>
              <w:rPr>
                <w:sz w:val="24"/>
              </w:rPr>
            </w:pPr>
            <w:r>
              <w:rPr>
                <w:sz w:val="24"/>
              </w:rPr>
              <w:t>凤泉区境略呈方形，地势北高南低。北部浅山丘陵由北向南延伸呈舌状地带，坡降为 0.01</w:t>
            </w:r>
            <w:r>
              <w:rPr>
                <w:rFonts w:hint="eastAsia"/>
                <w:sz w:val="24"/>
              </w:rPr>
              <w:t>-</w:t>
            </w:r>
            <w:r>
              <w:rPr>
                <w:sz w:val="24"/>
              </w:rPr>
              <w:t>0.015米，南部地势平坦，略向东南倾斜，坡降为 0.0015</w:t>
            </w:r>
            <w:r>
              <w:rPr>
                <w:rFonts w:hint="eastAsia"/>
                <w:sz w:val="24"/>
              </w:rPr>
              <w:t>-</w:t>
            </w:r>
            <w:r>
              <w:rPr>
                <w:sz w:val="24"/>
              </w:rPr>
              <w:t>0.002米 。海拔68.9</w:t>
            </w:r>
            <w:r>
              <w:rPr>
                <w:rFonts w:hint="eastAsia"/>
                <w:sz w:val="24"/>
              </w:rPr>
              <w:t>-</w:t>
            </w:r>
            <w:r>
              <w:rPr>
                <w:sz w:val="24"/>
              </w:rPr>
              <w:t>292.7米。</w:t>
            </w:r>
          </w:p>
          <w:p>
            <w:pPr>
              <w:spacing w:line="480" w:lineRule="exact"/>
              <w:ind w:firstLine="480"/>
              <w:rPr>
                <w:sz w:val="24"/>
              </w:rPr>
            </w:pPr>
            <w:r>
              <w:rPr>
                <w:sz w:val="24"/>
              </w:rPr>
              <w:t>本项目所在地属平原地带，地势平坦。</w:t>
            </w:r>
          </w:p>
          <w:p>
            <w:pPr>
              <w:spacing w:line="480" w:lineRule="exact"/>
              <w:ind w:firstLine="480"/>
              <w:rPr>
                <w:b/>
                <w:sz w:val="24"/>
              </w:rPr>
            </w:pPr>
            <w:r>
              <w:rPr>
                <w:b/>
                <w:sz w:val="24"/>
              </w:rPr>
              <w:t>3、气候、气象</w:t>
            </w:r>
          </w:p>
          <w:p>
            <w:pPr>
              <w:spacing w:line="480" w:lineRule="exact"/>
              <w:ind w:firstLine="480"/>
              <w:rPr>
                <w:sz w:val="24"/>
              </w:rPr>
            </w:pPr>
            <w:r>
              <w:rPr>
                <w:sz w:val="24"/>
              </w:rPr>
              <w:t>凤泉区属典型暖温带大陆性气候，年平均气温14℃。四季分明，冬寒夏热，秋凉春早，年平均气温14℃；7月最热，平均27.3°C ；1月最冷，平均0.2°C ；最高气温4</w:t>
            </w:r>
            <w:r>
              <w:rPr>
                <w:rFonts w:hint="eastAsia"/>
                <w:sz w:val="24"/>
              </w:rPr>
              <w:t>0.5</w:t>
            </w:r>
            <w:r>
              <w:rPr>
                <w:sz w:val="24"/>
              </w:rPr>
              <w:t>℃（1951年6月20日），最低气温-</w:t>
            </w:r>
            <w:r>
              <w:rPr>
                <w:rFonts w:hint="eastAsia"/>
                <w:sz w:val="24"/>
              </w:rPr>
              <w:t>13.1</w:t>
            </w:r>
            <w:r>
              <w:rPr>
                <w:sz w:val="24"/>
              </w:rPr>
              <w:t>℃（1951年1月13日）。年均湿度68%，最大冻土深度280mm。</w:t>
            </w:r>
          </w:p>
          <w:p>
            <w:pPr>
              <w:spacing w:line="480" w:lineRule="exact"/>
              <w:ind w:firstLine="480"/>
              <w:rPr>
                <w:b/>
                <w:sz w:val="24"/>
              </w:rPr>
            </w:pPr>
            <w:r>
              <w:rPr>
                <w:b/>
                <w:sz w:val="24"/>
              </w:rPr>
              <w:t>4、水文</w:t>
            </w:r>
          </w:p>
          <w:p>
            <w:pPr>
              <w:spacing w:line="480" w:lineRule="exact"/>
              <w:ind w:firstLine="480"/>
              <w:rPr>
                <w:sz w:val="24"/>
              </w:rPr>
            </w:pPr>
            <w:r>
              <w:rPr>
                <w:sz w:val="24"/>
              </w:rPr>
              <w:t>（1）地表水体</w:t>
            </w:r>
          </w:p>
          <w:p>
            <w:pPr>
              <w:spacing w:line="480" w:lineRule="exact"/>
              <w:ind w:firstLine="480"/>
              <w:rPr>
                <w:sz w:val="24"/>
              </w:rPr>
            </w:pPr>
            <w:r>
              <w:rPr>
                <w:sz w:val="24"/>
              </w:rPr>
              <w:t>地表水主要有南水北调总干渠、民生渠和共产主义渠。民生渠和共产主义渠属海河流域。民生渠和共产主义渠目前水质超过</w:t>
            </w:r>
            <w:r>
              <w:rPr>
                <w:sz w:val="24"/>
              </w:rPr>
              <w:fldChar w:fldCharType="begin"/>
            </w:r>
            <w:r>
              <w:rPr>
                <w:sz w:val="24"/>
              </w:rPr>
              <w:instrText xml:space="preserve"> = 5 \* ROMAN </w:instrText>
            </w:r>
            <w:r>
              <w:rPr>
                <w:sz w:val="24"/>
              </w:rPr>
              <w:fldChar w:fldCharType="separate"/>
            </w:r>
            <w:r>
              <w:rPr>
                <w:sz w:val="24"/>
              </w:rPr>
              <w:t>V</w:t>
            </w:r>
            <w:r>
              <w:rPr>
                <w:sz w:val="24"/>
              </w:rPr>
              <w:fldChar w:fldCharType="end"/>
            </w:r>
            <w:r>
              <w:rPr>
                <w:sz w:val="24"/>
              </w:rPr>
              <w:t>类标准，主要超标物质为</w:t>
            </w:r>
            <w:r>
              <w:rPr>
                <w:kern w:val="0"/>
                <w:sz w:val="24"/>
              </w:rPr>
              <w:t>COD、NH</w:t>
            </w:r>
            <w:r>
              <w:rPr>
                <w:kern w:val="0"/>
                <w:sz w:val="24"/>
                <w:vertAlign w:val="subscript"/>
              </w:rPr>
              <w:t>3</w:t>
            </w:r>
            <w:r>
              <w:rPr>
                <w:kern w:val="0"/>
                <w:sz w:val="24"/>
              </w:rPr>
              <w:t>-N</w:t>
            </w:r>
            <w:r>
              <w:rPr>
                <w:rFonts w:hint="eastAsia"/>
                <w:kern w:val="0"/>
                <w:sz w:val="24"/>
              </w:rPr>
              <w:t>、</w:t>
            </w:r>
            <w:r>
              <w:rPr>
                <w:kern w:val="0"/>
                <w:sz w:val="24"/>
              </w:rPr>
              <w:t>TP</w:t>
            </w:r>
            <w:r>
              <w:rPr>
                <w:sz w:val="24"/>
              </w:rPr>
              <w:t>。</w:t>
            </w:r>
          </w:p>
          <w:p>
            <w:pPr>
              <w:pStyle w:val="101"/>
              <w:spacing w:line="480" w:lineRule="exact"/>
              <w:ind w:firstLine="464" w:firstLineChars="200"/>
            </w:pPr>
            <w:r>
              <w:rPr>
                <w:rFonts w:hint="eastAsia" w:ascii="宋体" w:hAnsi="宋体" w:cs="宋体"/>
              </w:rPr>
              <w:t>①</w:t>
            </w:r>
            <w:r>
              <w:t>共产主义渠</w:t>
            </w:r>
            <w:r>
              <w:rPr>
                <w:szCs w:val="28"/>
              </w:rPr>
              <w:t>：</w:t>
            </w:r>
            <w:r>
              <w:t>共产主义渠为人工开挖的河流，自获嘉县小段庄入新乡市，从卫辉市小河口出境，全长约88km，目前水质超过</w:t>
            </w:r>
            <w:r>
              <w:fldChar w:fldCharType="begin"/>
            </w:r>
            <w:r>
              <w:instrText xml:space="preserve"> = 5 \* ROMAN </w:instrText>
            </w:r>
            <w:r>
              <w:fldChar w:fldCharType="separate"/>
            </w:r>
            <w:r>
              <w:t>V</w:t>
            </w:r>
            <w:r>
              <w:fldChar w:fldCharType="end"/>
            </w:r>
            <w:r>
              <w:t>类标准。</w:t>
            </w:r>
          </w:p>
          <w:p>
            <w:pPr>
              <w:pStyle w:val="101"/>
              <w:spacing w:line="480" w:lineRule="exact"/>
              <w:ind w:firstLine="464" w:firstLineChars="200"/>
            </w:pPr>
            <w:r>
              <w:rPr>
                <w:rFonts w:hint="eastAsia" w:ascii="宋体" w:hAnsi="宋体" w:cs="宋体"/>
              </w:rPr>
              <w:t>②</w:t>
            </w:r>
            <w:r>
              <w:t>民生渠：民生渠是共渠的支流，属海河流域，全长12.5km，是沿途主要的纳污河流，由于接纳了大量生产、生活污水，已超过地面水V类标准。</w:t>
            </w:r>
          </w:p>
          <w:p>
            <w:pPr>
              <w:pStyle w:val="101"/>
              <w:spacing w:line="480" w:lineRule="exact"/>
              <w:ind w:firstLine="464" w:firstLineChars="200"/>
            </w:pPr>
            <w:r>
              <w:rPr>
                <w:rFonts w:hint="eastAsia" w:ascii="宋体" w:hAnsi="宋体" w:cs="宋体"/>
              </w:rPr>
              <w:t>③</w:t>
            </w:r>
            <w:r>
              <w:t>南水北调</w:t>
            </w:r>
            <w:r>
              <w:rPr>
                <w:spacing w:val="8"/>
              </w:rPr>
              <w:t>中线工程：</w:t>
            </w:r>
            <w:r>
              <w:t>南水北调中线总干渠全长1277公里，在我省境内有731公里，其中，新乡段工程渠线长度77.73公里。它从焦作进入新乡段的辉县市王敬屯乡，沿着太行山前100米高程自西向东，先后经过辉县市、凤泉区、卫辉市的14个乡镇、99个行政村，穿过沧河后进入鹤壁市淇县。工程规划在新乡市设4个分水口，分别是辉县市的郭屯、路固、凤泉区的老道井，卫辉市的温寺门。</w:t>
            </w:r>
          </w:p>
          <w:p>
            <w:pPr>
              <w:pStyle w:val="101"/>
              <w:spacing w:line="480" w:lineRule="exact"/>
              <w:ind w:firstLine="464" w:firstLineChars="200"/>
            </w:pPr>
            <w:r>
              <w:t>（2）地下水</w:t>
            </w:r>
          </w:p>
          <w:p>
            <w:pPr>
              <w:pStyle w:val="101"/>
              <w:spacing w:line="480" w:lineRule="exact"/>
            </w:pPr>
            <w:r>
              <w:t>该地区地下水资源丰富。经探测表明：该地区浅层水顶板埋深4－8m，底板埋深71－87m，以中砂为主。中层水顶板埋深73－97m，底板埋深124－137m，以中细砂为主，地下水矿化度小于0.7g/L。地下水流向从西南至东北。</w:t>
            </w:r>
          </w:p>
          <w:p>
            <w:pPr>
              <w:spacing w:line="480" w:lineRule="exact"/>
              <w:ind w:firstLine="480"/>
              <w:rPr>
                <w:b/>
                <w:sz w:val="24"/>
              </w:rPr>
            </w:pPr>
            <w:r>
              <w:rPr>
                <w:b/>
                <w:sz w:val="24"/>
              </w:rPr>
              <w:t>5、土壤植被</w:t>
            </w:r>
          </w:p>
          <w:p>
            <w:pPr>
              <w:spacing w:line="480" w:lineRule="exact"/>
              <w:ind w:firstLine="480"/>
              <w:rPr>
                <w:sz w:val="24"/>
              </w:rPr>
            </w:pPr>
            <w:r>
              <w:rPr>
                <w:sz w:val="24"/>
              </w:rPr>
              <w:t>凤泉区土壤属潮土向褐土过渡的湿潮土、砂土，以荒草地为主。凤泉区内地表植被主要是林草及农作物，主要树种有国槐、刺槐、泡桐、柳树等，主要果树有苹果、桃树、梨树、杏等，主要灌木有白蜡条、胡枝子等，主要草类有白草、黄背草、蒿类，主要农作物有小麦、玉米、红薯、花生以及小杂粮等。区域可见到小型野生动物青蛙、田鼠、爬行类等，鸟类有麻雀、喜鹊、灰喜鹊等，人工饲养的有牛、羊、猪、狗、兔等。</w:t>
            </w:r>
          </w:p>
          <w:p>
            <w:pPr>
              <w:spacing w:line="480" w:lineRule="exact"/>
              <w:ind w:firstLine="480"/>
              <w:rPr>
                <w:sz w:val="24"/>
              </w:rPr>
            </w:pPr>
            <w:r>
              <w:rPr>
                <w:sz w:val="24"/>
              </w:rPr>
              <w:t>项目所在区域由于人类开发活动较早，受人为影响较大，目前已不存在野生动植物等。</w:t>
            </w:r>
          </w:p>
          <w:p>
            <w:pPr>
              <w:spacing w:line="480" w:lineRule="exact"/>
              <w:ind w:firstLine="480"/>
              <w:rPr>
                <w:b/>
                <w:sz w:val="24"/>
              </w:rPr>
            </w:pPr>
            <w:r>
              <w:rPr>
                <w:b/>
                <w:sz w:val="24"/>
              </w:rPr>
              <w:t>6、资源状况</w:t>
            </w:r>
          </w:p>
          <w:p>
            <w:pPr>
              <w:spacing w:line="480" w:lineRule="exact"/>
              <w:ind w:firstLine="480"/>
              <w:rPr>
                <w:sz w:val="24"/>
              </w:rPr>
            </w:pPr>
            <w:r>
              <w:rPr>
                <w:sz w:val="24"/>
              </w:rPr>
              <w:t>凤泉区区域内地下水源丰美，富含硒、锶的饮用天然矿泉水甘冽清爽。</w:t>
            </w:r>
          </w:p>
          <w:p>
            <w:pPr>
              <w:spacing w:line="460" w:lineRule="exact"/>
              <w:ind w:firstLine="480"/>
              <w:rPr>
                <w:sz w:val="24"/>
              </w:rPr>
            </w:pPr>
            <w:r>
              <w:rPr>
                <w:sz w:val="24"/>
              </w:rPr>
              <w:t>经现场勘查，项目区域内未发现珍稀、濒危野生动物。</w:t>
            </w: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tc>
      </w:tr>
    </w:tbl>
    <w:p>
      <w:pPr>
        <w:jc w:val="left"/>
        <w:rPr>
          <w:b/>
          <w:sz w:val="28"/>
        </w:rPr>
      </w:pPr>
      <w:r>
        <w:rPr>
          <w:b/>
          <w:sz w:val="28"/>
        </w:rPr>
        <w:t>环境质量状况</w:t>
      </w:r>
    </w:p>
    <w:tbl>
      <w:tblPr>
        <w:tblStyle w:val="19"/>
        <w:tblW w:w="9441" w:type="dxa"/>
        <w:jc w:val="center"/>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Layout w:type="autofit"/>
        <w:tblCellMar>
          <w:top w:w="0" w:type="dxa"/>
          <w:left w:w="108" w:type="dxa"/>
          <w:bottom w:w="0" w:type="dxa"/>
          <w:right w:w="108" w:type="dxa"/>
        </w:tblCellMar>
      </w:tblPr>
      <w:tblGrid>
        <w:gridCol w:w="9441"/>
      </w:tblGrid>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PrEx>
        <w:trPr>
          <w:trHeight w:val="551" w:hRule="atLeast"/>
          <w:jc w:val="center"/>
        </w:trPr>
        <w:tc>
          <w:tcPr>
            <w:tcW w:w="9596" w:type="dxa"/>
            <w:shd w:val="clear" w:color="auto" w:fill="auto"/>
          </w:tcPr>
          <w:p>
            <w:pPr>
              <w:spacing w:line="440" w:lineRule="exact"/>
              <w:jc w:val="left"/>
              <w:rPr>
                <w:b/>
                <w:sz w:val="24"/>
              </w:rPr>
            </w:pPr>
            <w:r>
              <w:rPr>
                <w:b/>
                <w:sz w:val="24"/>
              </w:rPr>
              <w:t>建设项目所在地区域环境质量现状及主要环境问题（环境空气、地面水、地下水、声环境、生态环境等）：</w:t>
            </w:r>
          </w:p>
          <w:p>
            <w:pPr>
              <w:spacing w:line="440" w:lineRule="exact"/>
              <w:ind w:firstLine="482"/>
              <w:jc w:val="left"/>
              <w:rPr>
                <w:b/>
                <w:sz w:val="24"/>
                <w:szCs w:val="20"/>
              </w:rPr>
            </w:pPr>
            <w:r>
              <w:rPr>
                <w:b/>
                <w:sz w:val="24"/>
                <w:szCs w:val="20"/>
              </w:rPr>
              <w:t>1、环境空气质量现状</w:t>
            </w:r>
          </w:p>
          <w:p>
            <w:pPr>
              <w:spacing w:line="480" w:lineRule="exact"/>
              <w:ind w:firstLine="480"/>
              <w:rPr>
                <w:sz w:val="24"/>
                <w:highlight w:val="yellow"/>
              </w:rPr>
            </w:pPr>
            <w:r>
              <w:rPr>
                <w:rFonts w:hint="eastAsia"/>
                <w:sz w:val="24"/>
              </w:rPr>
              <w:t>根据大气功能区划分原则，项目所在区域为二类功能区，环境空气质量应执行《环境空气质量标准》（</w:t>
            </w:r>
            <w:r>
              <w:rPr>
                <w:sz w:val="24"/>
              </w:rPr>
              <w:t>GB3095-2012</w:t>
            </w:r>
            <w:r>
              <w:rPr>
                <w:rFonts w:hint="eastAsia"/>
                <w:sz w:val="24"/>
              </w:rPr>
              <w:t>）二级标准。根据新乡市生态环境局发布的《新乡市</w:t>
            </w:r>
            <w:r>
              <w:rPr>
                <w:sz w:val="24"/>
              </w:rPr>
              <w:t>201</w:t>
            </w:r>
            <w:r>
              <w:rPr>
                <w:rFonts w:hint="eastAsia"/>
                <w:sz w:val="24"/>
              </w:rPr>
              <w:t>9年环境质量年报》，区域空气质量现状数据如下表所示。</w:t>
            </w:r>
          </w:p>
          <w:p>
            <w:pPr>
              <w:spacing w:line="440" w:lineRule="exact"/>
              <w:ind w:firstLine="480"/>
              <w:rPr>
                <w:rFonts w:eastAsia="黑体"/>
                <w:sz w:val="24"/>
              </w:rPr>
            </w:pPr>
            <w:r>
              <w:rPr>
                <w:rFonts w:eastAsia="黑体"/>
                <w:sz w:val="24"/>
              </w:rPr>
              <w:t>表</w:t>
            </w:r>
            <w:r>
              <w:rPr>
                <w:rFonts w:hint="eastAsia" w:eastAsia="黑体"/>
                <w:sz w:val="24"/>
              </w:rPr>
              <w:t>19</w:t>
            </w:r>
            <w:r>
              <w:rPr>
                <w:rFonts w:eastAsia="黑体"/>
                <w:sz w:val="24"/>
              </w:rPr>
              <w:t xml:space="preserve"> </w:t>
            </w:r>
            <w:r>
              <w:rPr>
                <w:rFonts w:hint="eastAsia" w:eastAsia="黑体"/>
                <w:sz w:val="24"/>
              </w:rPr>
              <w:t xml:space="preserve">                           </w:t>
            </w:r>
            <w:r>
              <w:rPr>
                <w:rFonts w:eastAsia="黑体"/>
                <w:sz w:val="24"/>
              </w:rPr>
              <w:t xml:space="preserve"> 区域空气质量现状评价表</w:t>
            </w:r>
          </w:p>
          <w:tbl>
            <w:tblPr>
              <w:tblStyle w:val="19"/>
              <w:tblW w:w="5000" w:type="pct"/>
              <w:jc w:val="center"/>
              <w:tblLayout w:type="autofit"/>
              <w:tblCellMar>
                <w:top w:w="57" w:type="dxa"/>
                <w:left w:w="85" w:type="dxa"/>
                <w:bottom w:w="57" w:type="dxa"/>
                <w:right w:w="85" w:type="dxa"/>
              </w:tblCellMar>
            </w:tblPr>
            <w:tblGrid>
              <w:gridCol w:w="922"/>
              <w:gridCol w:w="1849"/>
              <w:gridCol w:w="2145"/>
              <w:gridCol w:w="1832"/>
              <w:gridCol w:w="1380"/>
              <w:gridCol w:w="1097"/>
            </w:tblGrid>
            <w:tr>
              <w:tblPrEx>
                <w:tblCellMar>
                  <w:top w:w="57" w:type="dxa"/>
                  <w:left w:w="85" w:type="dxa"/>
                  <w:bottom w:w="57" w:type="dxa"/>
                  <w:right w:w="85" w:type="dxa"/>
                </w:tblCellMar>
              </w:tblPrEx>
              <w:trPr>
                <w:cantSplit/>
                <w:trHeight w:val="397" w:hRule="atLeast"/>
                <w:jc w:val="center"/>
              </w:trPr>
              <w:tc>
                <w:tcPr>
                  <w:tcW w:w="922" w:type="dxa"/>
                  <w:tcBorders>
                    <w:top w:val="single" w:color="000000" w:sz="8" w:space="0"/>
                    <w:bottom w:val="single" w:color="000000" w:sz="4" w:space="0"/>
                    <w:right w:val="single" w:color="000000" w:sz="4" w:space="0"/>
                  </w:tcBorders>
                  <w:shd w:val="clear" w:color="auto" w:fill="auto"/>
                  <w:vAlign w:val="center"/>
                </w:tcPr>
                <w:p>
                  <w:pPr>
                    <w:pStyle w:val="133"/>
                    <w:rPr>
                      <w:b/>
                      <w:color w:val="auto"/>
                    </w:rPr>
                  </w:pPr>
                  <w:r>
                    <w:rPr>
                      <w:b/>
                      <w:color w:val="auto"/>
                    </w:rPr>
                    <w:t>污染物</w:t>
                  </w:r>
                </w:p>
              </w:tc>
              <w:tc>
                <w:tcPr>
                  <w:tcW w:w="1849"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133"/>
                    <w:rPr>
                      <w:b/>
                      <w:color w:val="auto"/>
                    </w:rPr>
                  </w:pPr>
                  <w:r>
                    <w:rPr>
                      <w:b/>
                      <w:color w:val="auto"/>
                    </w:rPr>
                    <w:t>年评价指标</w:t>
                  </w:r>
                </w:p>
              </w:tc>
              <w:tc>
                <w:tcPr>
                  <w:tcW w:w="2145"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133"/>
                    <w:rPr>
                      <w:b/>
                      <w:color w:val="auto"/>
                    </w:rPr>
                  </w:pPr>
                  <w:r>
                    <w:rPr>
                      <w:b/>
                      <w:color w:val="auto"/>
                    </w:rPr>
                    <w:t>现状浓度</w:t>
                  </w:r>
                  <w:r>
                    <w:rPr>
                      <w:rFonts w:hint="eastAsia"/>
                      <w:b/>
                      <w:color w:val="auto"/>
                    </w:rPr>
                    <w:t>/</w:t>
                  </w:r>
                  <w:r>
                    <w:rPr>
                      <w:b/>
                      <w:color w:val="auto"/>
                    </w:rPr>
                    <w:t>（μg/m</w:t>
                  </w:r>
                  <w:r>
                    <w:rPr>
                      <w:b/>
                      <w:color w:val="auto"/>
                      <w:vertAlign w:val="superscript"/>
                    </w:rPr>
                    <w:t>3</w:t>
                  </w:r>
                  <w:r>
                    <w:rPr>
                      <w:b/>
                      <w:color w:val="auto"/>
                    </w:rPr>
                    <w:t>）</w:t>
                  </w:r>
                </w:p>
              </w:tc>
              <w:tc>
                <w:tcPr>
                  <w:tcW w:w="1832"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133"/>
                    <w:rPr>
                      <w:b/>
                      <w:color w:val="auto"/>
                    </w:rPr>
                  </w:pPr>
                  <w:r>
                    <w:rPr>
                      <w:b/>
                      <w:color w:val="auto"/>
                    </w:rPr>
                    <w:t>标准值/（</w:t>
                  </w:r>
                  <w:r>
                    <w:rPr>
                      <w:b/>
                      <w:bCs/>
                      <w:color w:val="auto"/>
                    </w:rPr>
                    <w:t>μ</w:t>
                  </w:r>
                  <w:r>
                    <w:rPr>
                      <w:b/>
                      <w:color w:val="auto"/>
                    </w:rPr>
                    <w:t>g/m</w:t>
                  </w:r>
                  <w:r>
                    <w:rPr>
                      <w:b/>
                      <w:color w:val="auto"/>
                      <w:vertAlign w:val="superscript"/>
                    </w:rPr>
                    <w:t>3</w:t>
                  </w:r>
                  <w:r>
                    <w:rPr>
                      <w:b/>
                      <w:color w:val="auto"/>
                    </w:rPr>
                    <w:t>）</w:t>
                  </w:r>
                </w:p>
              </w:tc>
              <w:tc>
                <w:tcPr>
                  <w:tcW w:w="1380" w:type="dxa"/>
                  <w:tcBorders>
                    <w:top w:val="single" w:color="000000" w:sz="8" w:space="0"/>
                    <w:left w:val="single" w:color="000000" w:sz="4" w:space="0"/>
                    <w:bottom w:val="single" w:color="000000" w:sz="4" w:space="0"/>
                    <w:right w:val="single" w:color="000000" w:sz="4" w:space="0"/>
                  </w:tcBorders>
                  <w:shd w:val="clear" w:color="auto" w:fill="auto"/>
                  <w:vAlign w:val="center"/>
                </w:tcPr>
                <w:p>
                  <w:pPr>
                    <w:pStyle w:val="133"/>
                    <w:rPr>
                      <w:b/>
                      <w:color w:val="auto"/>
                    </w:rPr>
                  </w:pPr>
                  <w:r>
                    <w:rPr>
                      <w:b/>
                      <w:color w:val="auto"/>
                    </w:rPr>
                    <w:t>占标率/%</w:t>
                  </w:r>
                </w:p>
              </w:tc>
              <w:tc>
                <w:tcPr>
                  <w:tcW w:w="1097" w:type="dxa"/>
                  <w:tcBorders>
                    <w:top w:val="single" w:color="000000" w:sz="8" w:space="0"/>
                    <w:left w:val="single" w:color="000000" w:sz="4" w:space="0"/>
                    <w:bottom w:val="single" w:color="000000" w:sz="4" w:space="0"/>
                  </w:tcBorders>
                  <w:shd w:val="clear" w:color="auto" w:fill="auto"/>
                  <w:vAlign w:val="center"/>
                </w:tcPr>
                <w:p>
                  <w:pPr>
                    <w:pStyle w:val="133"/>
                    <w:rPr>
                      <w:b/>
                      <w:color w:val="auto"/>
                    </w:rPr>
                  </w:pPr>
                  <w:r>
                    <w:rPr>
                      <w:b/>
                      <w:color w:val="auto"/>
                    </w:rPr>
                    <w:t>达标情况</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PM</w:t>
                  </w:r>
                  <w:r>
                    <w:rPr>
                      <w:color w:val="auto"/>
                      <w:vertAlign w:val="subscript"/>
                    </w:rPr>
                    <w:t>10</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年平均质量浓度</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101</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kern w:val="2"/>
                    </w:rPr>
                    <w:t>70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144.3</w:t>
                  </w:r>
                </w:p>
              </w:tc>
              <w:tc>
                <w:tcPr>
                  <w:tcW w:w="1097" w:type="dxa"/>
                  <w:tcBorders>
                    <w:top w:val="single" w:color="000000" w:sz="4" w:space="0"/>
                    <w:left w:val="single" w:color="000000" w:sz="4" w:space="0"/>
                    <w:bottom w:val="single" w:color="000000" w:sz="4" w:space="0"/>
                  </w:tcBorders>
                  <w:shd w:val="clear" w:color="auto" w:fill="auto"/>
                  <w:vAlign w:val="center"/>
                </w:tcPr>
                <w:p>
                  <w:pPr>
                    <w:pStyle w:val="133"/>
                    <w:rPr>
                      <w:kern w:val="2"/>
                    </w:rPr>
                  </w:pPr>
                  <w:r>
                    <w:rPr>
                      <w:rFonts w:hint="eastAsia"/>
                      <w:kern w:val="2"/>
                    </w:rPr>
                    <w:t>超标</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PM</w:t>
                  </w:r>
                  <w:r>
                    <w:rPr>
                      <w:color w:val="auto"/>
                      <w:vertAlign w:val="subscript"/>
                    </w:rPr>
                    <w:t>2.5</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年平均质量浓度</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56</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kern w:val="2"/>
                    </w:rPr>
                    <w:t>35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160</w:t>
                  </w:r>
                </w:p>
              </w:tc>
              <w:tc>
                <w:tcPr>
                  <w:tcW w:w="1097" w:type="dxa"/>
                  <w:tcBorders>
                    <w:top w:val="single" w:color="000000" w:sz="4" w:space="0"/>
                    <w:left w:val="single" w:color="000000" w:sz="4" w:space="0"/>
                    <w:bottom w:val="single" w:color="000000" w:sz="4" w:space="0"/>
                  </w:tcBorders>
                  <w:shd w:val="clear" w:color="auto" w:fill="auto"/>
                  <w:vAlign w:val="center"/>
                </w:tcPr>
                <w:p>
                  <w:pPr>
                    <w:pStyle w:val="133"/>
                    <w:rPr>
                      <w:kern w:val="2"/>
                    </w:rPr>
                  </w:pPr>
                  <w:r>
                    <w:rPr>
                      <w:rFonts w:hint="eastAsia"/>
                      <w:kern w:val="2"/>
                    </w:rPr>
                    <w:t>超标</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SO</w:t>
                  </w:r>
                  <w:r>
                    <w:rPr>
                      <w:color w:val="auto"/>
                      <w:vertAlign w:val="subscript"/>
                    </w:rPr>
                    <w:t>2</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年平均质量浓度</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16</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kern w:val="2"/>
                    </w:rPr>
                    <w:t>60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26.7</w:t>
                  </w:r>
                </w:p>
              </w:tc>
              <w:tc>
                <w:tcPr>
                  <w:tcW w:w="1097" w:type="dxa"/>
                  <w:tcBorders>
                    <w:top w:val="single" w:color="000000" w:sz="4" w:space="0"/>
                    <w:left w:val="single" w:color="000000" w:sz="4" w:space="0"/>
                    <w:bottom w:val="single" w:color="000000" w:sz="4" w:space="0"/>
                  </w:tcBorders>
                  <w:shd w:val="clear" w:color="auto" w:fill="auto"/>
                  <w:vAlign w:val="center"/>
                </w:tcPr>
                <w:p>
                  <w:pPr>
                    <w:pStyle w:val="133"/>
                    <w:rPr>
                      <w:kern w:val="2"/>
                    </w:rPr>
                  </w:pPr>
                  <w:r>
                    <w:rPr>
                      <w:rFonts w:hint="eastAsia"/>
                      <w:kern w:val="2"/>
                    </w:rPr>
                    <w:t>达标</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NO</w:t>
                  </w:r>
                  <w:r>
                    <w:rPr>
                      <w:color w:val="auto"/>
                      <w:vertAlign w:val="subscript"/>
                    </w:rPr>
                    <w:t>2</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年平均质量浓度</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44</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kern w:val="2"/>
                    </w:rPr>
                    <w:t>40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110</w:t>
                  </w:r>
                </w:p>
              </w:tc>
              <w:tc>
                <w:tcPr>
                  <w:tcW w:w="1097" w:type="dxa"/>
                  <w:tcBorders>
                    <w:top w:val="single" w:color="000000" w:sz="4" w:space="0"/>
                    <w:left w:val="single" w:color="000000" w:sz="4" w:space="0"/>
                    <w:bottom w:val="single" w:color="000000" w:sz="4" w:space="0"/>
                  </w:tcBorders>
                  <w:shd w:val="clear" w:color="auto" w:fill="auto"/>
                  <w:vAlign w:val="center"/>
                </w:tcPr>
                <w:p>
                  <w:pPr>
                    <w:pStyle w:val="133"/>
                    <w:rPr>
                      <w:kern w:val="2"/>
                    </w:rPr>
                  </w:pPr>
                  <w:r>
                    <w:rPr>
                      <w:rFonts w:hint="eastAsia"/>
                      <w:kern w:val="2"/>
                    </w:rPr>
                    <w:t>超标</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CO</w:t>
                  </w:r>
                </w:p>
              </w:tc>
              <w:tc>
                <w:tcPr>
                  <w:tcW w:w="18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color w:val="auto"/>
                    </w:rPr>
                  </w:pPr>
                  <w:r>
                    <w:rPr>
                      <w:color w:val="auto"/>
                    </w:rPr>
                    <w:t>第95百分位浓度</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2</w:t>
                  </w:r>
                  <w:r>
                    <w:rPr>
                      <w:kern w:val="2"/>
                    </w:rPr>
                    <w:t>.</w:t>
                  </w:r>
                  <w:r>
                    <w:rPr>
                      <w:rFonts w:hint="eastAsia"/>
                      <w:kern w:val="2"/>
                    </w:rPr>
                    <w:t>08</w:t>
                  </w:r>
                  <w:r>
                    <w:rPr>
                      <w:kern w:val="2"/>
                    </w:rPr>
                    <w:t>mg/m</w:t>
                  </w:r>
                  <w:r>
                    <w:rPr>
                      <w:kern w:val="2"/>
                      <w:vertAlign w:val="superscript"/>
                    </w:rPr>
                    <w:t>3</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kern w:val="2"/>
                    </w:rPr>
                    <w:t>4mg/m</w:t>
                  </w:r>
                  <w:r>
                    <w:rPr>
                      <w:kern w:val="2"/>
                      <w:vertAlign w:val="superscript"/>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rPr>
                      <w:kern w:val="2"/>
                    </w:rPr>
                  </w:pPr>
                  <w:r>
                    <w:rPr>
                      <w:rFonts w:hint="eastAsia"/>
                      <w:kern w:val="2"/>
                    </w:rPr>
                    <w:t>52</w:t>
                  </w:r>
                </w:p>
              </w:tc>
              <w:tc>
                <w:tcPr>
                  <w:tcW w:w="1097" w:type="dxa"/>
                  <w:tcBorders>
                    <w:top w:val="single" w:color="000000" w:sz="4" w:space="0"/>
                    <w:left w:val="single" w:color="000000" w:sz="4" w:space="0"/>
                    <w:bottom w:val="single" w:color="000000" w:sz="4" w:space="0"/>
                  </w:tcBorders>
                  <w:shd w:val="clear" w:color="auto" w:fill="auto"/>
                  <w:vAlign w:val="center"/>
                </w:tcPr>
                <w:p>
                  <w:pPr>
                    <w:pStyle w:val="133"/>
                    <w:rPr>
                      <w:kern w:val="2"/>
                    </w:rPr>
                  </w:pPr>
                  <w:r>
                    <w:rPr>
                      <w:rFonts w:hint="eastAsia"/>
                      <w:kern w:val="2"/>
                    </w:rPr>
                    <w:t>达标</w:t>
                  </w:r>
                </w:p>
              </w:tc>
            </w:tr>
            <w:tr>
              <w:tblPrEx>
                <w:tblCellMar>
                  <w:top w:w="57" w:type="dxa"/>
                  <w:left w:w="85" w:type="dxa"/>
                  <w:bottom w:w="57" w:type="dxa"/>
                  <w:right w:w="85" w:type="dxa"/>
                </w:tblCellMar>
              </w:tblPrEx>
              <w:trPr>
                <w:cantSplit/>
                <w:trHeight w:val="397" w:hRule="atLeast"/>
                <w:jc w:val="center"/>
              </w:trPr>
              <w:tc>
                <w:tcPr>
                  <w:tcW w:w="922" w:type="dxa"/>
                  <w:tcBorders>
                    <w:top w:val="single" w:color="000000" w:sz="4" w:space="0"/>
                    <w:bottom w:val="single" w:color="000000" w:sz="8" w:space="0"/>
                    <w:right w:val="single" w:color="000000" w:sz="4" w:space="0"/>
                  </w:tcBorders>
                  <w:shd w:val="clear" w:color="auto" w:fill="auto"/>
                  <w:vAlign w:val="center"/>
                </w:tcPr>
                <w:p>
                  <w:pPr>
                    <w:pStyle w:val="133"/>
                    <w:rPr>
                      <w:color w:val="auto"/>
                    </w:rPr>
                  </w:pPr>
                  <w:r>
                    <w:rPr>
                      <w:color w:val="auto"/>
                    </w:rPr>
                    <w:t>O</w:t>
                  </w:r>
                  <w:r>
                    <w:rPr>
                      <w:color w:val="auto"/>
                      <w:vertAlign w:val="subscript"/>
                    </w:rPr>
                    <w:t>3</w:t>
                  </w:r>
                </w:p>
              </w:tc>
              <w:tc>
                <w:tcPr>
                  <w:tcW w:w="1849"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133"/>
                    <w:rPr>
                      <w:color w:val="auto"/>
                    </w:rPr>
                  </w:pPr>
                  <w:r>
                    <w:rPr>
                      <w:color w:val="auto"/>
                    </w:rPr>
                    <w:t>第90百分位浓度</w:t>
                  </w:r>
                </w:p>
              </w:tc>
              <w:tc>
                <w:tcPr>
                  <w:tcW w:w="2145"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133"/>
                    <w:rPr>
                      <w:kern w:val="2"/>
                    </w:rPr>
                  </w:pPr>
                  <w:r>
                    <w:rPr>
                      <w:rFonts w:hint="eastAsia"/>
                      <w:kern w:val="2"/>
                    </w:rPr>
                    <w:t>178</w:t>
                  </w:r>
                </w:p>
              </w:tc>
              <w:tc>
                <w:tcPr>
                  <w:tcW w:w="1832"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133"/>
                    <w:rPr>
                      <w:kern w:val="2"/>
                    </w:rPr>
                  </w:pPr>
                  <w:r>
                    <w:rPr>
                      <w:kern w:val="2"/>
                    </w:rPr>
                    <w:t>160</w:t>
                  </w:r>
                </w:p>
              </w:tc>
              <w:tc>
                <w:tcPr>
                  <w:tcW w:w="1380"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133"/>
                    <w:rPr>
                      <w:kern w:val="2"/>
                    </w:rPr>
                  </w:pPr>
                  <w:r>
                    <w:rPr>
                      <w:rFonts w:hint="eastAsia"/>
                      <w:kern w:val="2"/>
                    </w:rPr>
                    <w:t>111.3</w:t>
                  </w:r>
                </w:p>
              </w:tc>
              <w:tc>
                <w:tcPr>
                  <w:tcW w:w="1097" w:type="dxa"/>
                  <w:tcBorders>
                    <w:top w:val="single" w:color="000000" w:sz="4" w:space="0"/>
                    <w:left w:val="single" w:color="000000" w:sz="4" w:space="0"/>
                    <w:bottom w:val="single" w:color="000000" w:sz="8" w:space="0"/>
                  </w:tcBorders>
                  <w:shd w:val="clear" w:color="auto" w:fill="auto"/>
                  <w:vAlign w:val="center"/>
                </w:tcPr>
                <w:p>
                  <w:pPr>
                    <w:pStyle w:val="133"/>
                    <w:rPr>
                      <w:kern w:val="2"/>
                    </w:rPr>
                  </w:pPr>
                  <w:r>
                    <w:rPr>
                      <w:rFonts w:hint="eastAsia"/>
                      <w:kern w:val="2"/>
                    </w:rPr>
                    <w:t>超标</w:t>
                  </w:r>
                </w:p>
              </w:tc>
            </w:tr>
          </w:tbl>
          <w:p>
            <w:pPr>
              <w:widowControl/>
              <w:spacing w:line="480" w:lineRule="exact"/>
              <w:ind w:firstLine="480"/>
              <w:rPr>
                <w:sz w:val="24"/>
              </w:rPr>
            </w:pPr>
            <w:r>
              <w:rPr>
                <w:sz w:val="24"/>
              </w:rPr>
              <w:t>由上表可知，其中PM</w:t>
            </w:r>
            <w:r>
              <w:rPr>
                <w:sz w:val="24"/>
                <w:vertAlign w:val="subscript"/>
              </w:rPr>
              <w:t>10</w:t>
            </w:r>
            <w:r>
              <w:rPr>
                <w:sz w:val="24"/>
              </w:rPr>
              <w:t>、PM</w:t>
            </w:r>
            <w:r>
              <w:rPr>
                <w:sz w:val="24"/>
                <w:vertAlign w:val="subscript"/>
              </w:rPr>
              <w:t>2.5</w:t>
            </w:r>
            <w:r>
              <w:rPr>
                <w:rFonts w:hint="eastAsia"/>
                <w:sz w:val="24"/>
              </w:rPr>
              <w:t>、</w:t>
            </w:r>
            <w:r>
              <w:rPr>
                <w:sz w:val="24"/>
              </w:rPr>
              <w:t>NO</w:t>
            </w:r>
            <w:r>
              <w:rPr>
                <w:sz w:val="24"/>
                <w:vertAlign w:val="subscript"/>
              </w:rPr>
              <w:t>2</w:t>
            </w:r>
            <w:r>
              <w:rPr>
                <w:sz w:val="24"/>
              </w:rPr>
              <w:t>和</w:t>
            </w:r>
            <w:r>
              <w:rPr>
                <w:rFonts w:hint="eastAsia"/>
                <w:sz w:val="24"/>
              </w:rPr>
              <w:t>O</w:t>
            </w:r>
            <w:r>
              <w:rPr>
                <w:rFonts w:hint="eastAsia"/>
                <w:sz w:val="24"/>
                <w:vertAlign w:val="subscript"/>
              </w:rPr>
              <w:t>3</w:t>
            </w:r>
            <w:r>
              <w:rPr>
                <w:sz w:val="24"/>
              </w:rPr>
              <w:t>均不能够满足《环境空气质量标准》（GB3095-2012）二级标准要求。根据《环境影响评价技术导则  大气环境》(HJ2.2-2018)，本项目所在区域属于未达标区。空气质量超标原因主要为</w:t>
            </w:r>
            <w:r>
              <w:rPr>
                <w:rFonts w:hint="eastAsia"/>
                <w:sz w:val="24"/>
              </w:rPr>
              <w:t>：①冬季供暖锅炉以及部分企业燃煤锅炉启动，且冬季大气自净能力下降，污染扩散气象条件差；②区域内汽车等交通源增加，污染物排放量增大；③天气干燥，尘土较多。因此超标现象属于区域性污染问题。</w:t>
            </w:r>
          </w:p>
          <w:p>
            <w:pPr>
              <w:widowControl/>
              <w:spacing w:line="480" w:lineRule="exact"/>
              <w:ind w:firstLine="480"/>
              <w:rPr>
                <w:sz w:val="24"/>
              </w:rPr>
            </w:pPr>
            <w:r>
              <w:rPr>
                <w:rFonts w:hint="eastAsia"/>
                <w:sz w:val="24"/>
              </w:rPr>
              <w:t>2019年，新乡市颗粒物  PM</w:t>
            </w:r>
            <w:r>
              <w:rPr>
                <w:rFonts w:hint="eastAsia"/>
                <w:sz w:val="24"/>
                <w:vertAlign w:val="subscript"/>
              </w:rPr>
              <w:t>10</w:t>
            </w:r>
            <w:r>
              <w:rPr>
                <w:rFonts w:hint="eastAsia"/>
                <w:sz w:val="24"/>
              </w:rPr>
              <w:t>平均浓度101微克/立方米，同比下降4微克/立方米，降幅3.8%；PM</w:t>
            </w:r>
            <w:r>
              <w:rPr>
                <w:rFonts w:hint="eastAsia"/>
                <w:sz w:val="24"/>
                <w:vertAlign w:val="subscript"/>
              </w:rPr>
              <w:t>2.5</w:t>
            </w:r>
            <w:r>
              <w:rPr>
                <w:rFonts w:hint="eastAsia"/>
                <w:sz w:val="24"/>
              </w:rPr>
              <w:t>平均浓度56微克/立方米，同比下降5微克/立方米，降幅8.2%。气态污染物 SO</w:t>
            </w:r>
            <w:r>
              <w:rPr>
                <w:rFonts w:hint="eastAsia"/>
                <w:sz w:val="24"/>
                <w:vertAlign w:val="subscript"/>
              </w:rPr>
              <w:t>2</w:t>
            </w:r>
            <w:r>
              <w:rPr>
                <w:rFonts w:hint="eastAsia"/>
                <w:sz w:val="24"/>
              </w:rPr>
              <w:t>平均浓度16微克/立方米，同比下降3微克/立方米，降幅15.8%；NO</w:t>
            </w:r>
            <w:r>
              <w:rPr>
                <w:sz w:val="24"/>
                <w:vertAlign w:val="subscript"/>
              </w:rPr>
              <w:t>2</w:t>
            </w:r>
            <w:r>
              <w:rPr>
                <w:rFonts w:hint="eastAsia"/>
                <w:sz w:val="24"/>
              </w:rPr>
              <w:t>平均浓度44微克/立方米，同比下降5微克/立方米，降幅10.2%；O</w:t>
            </w:r>
            <w:r>
              <w:rPr>
                <w:rFonts w:hint="eastAsia"/>
                <w:sz w:val="24"/>
                <w:vertAlign w:val="subscript"/>
              </w:rPr>
              <w:t>3</w:t>
            </w:r>
            <w:r>
              <w:rPr>
                <w:rFonts w:hint="eastAsia"/>
                <w:sz w:val="24"/>
              </w:rPr>
              <w:t>第90百分位浓度为178微克/立方米，同比下降24微克/立方米，降幅11.9%，CO第95百分位浓度2.08毫克/立方米，同比下降0.22毫克/立方米，降幅9.6%。</w:t>
            </w:r>
          </w:p>
          <w:p>
            <w:pPr>
              <w:spacing w:line="480" w:lineRule="exact"/>
              <w:ind w:firstLine="480"/>
              <w:textAlignment w:val="baseline"/>
              <w:rPr>
                <w:sz w:val="24"/>
              </w:rPr>
            </w:pPr>
            <w:r>
              <w:rPr>
                <w:sz w:val="24"/>
              </w:rPr>
              <w:t>目前，新乡市正在实施《新乡市蓝天工程行动计划》、《新乡市2019年大气污染防治攻坚战实施方案》、《“十三五”挥发性有机物污染防治工作方案》、《新乡市环境污染防治攻坚战三年行动实施方案（2018-2020年）》等一系列措施，将不断改善区域大气环境质量。预计2020年可以达到《新乡市环境污染防治攻坚战三年行动实施方案（2018-2020年）》中：</w:t>
            </w:r>
            <w:r>
              <w:rPr>
                <w:rFonts w:asciiTheme="minorEastAsia" w:hAnsiTheme="minorEastAsia"/>
                <w:sz w:val="24"/>
              </w:rPr>
              <w:t>“全</w:t>
            </w:r>
            <w:r>
              <w:rPr>
                <w:sz w:val="24"/>
              </w:rPr>
              <w:t>市PM</w:t>
            </w:r>
            <w:r>
              <w:rPr>
                <w:sz w:val="24"/>
                <w:vertAlign w:val="subscript"/>
              </w:rPr>
              <w:t>2.5</w:t>
            </w:r>
            <w:r>
              <w:rPr>
                <w:sz w:val="24"/>
              </w:rPr>
              <w:t>年均浓度达到55微克/立方米以下，PM</w:t>
            </w:r>
            <w:r>
              <w:rPr>
                <w:sz w:val="24"/>
                <w:vertAlign w:val="subscript"/>
              </w:rPr>
              <w:t>10</w:t>
            </w:r>
            <w:r>
              <w:rPr>
                <w:sz w:val="24"/>
              </w:rPr>
              <w:t>年均浓度达到101微克/立方米以下，全年优良天数比例达到66%以上</w:t>
            </w:r>
            <w:r>
              <w:rPr>
                <w:rFonts w:asciiTheme="minorEastAsia" w:hAnsiTheme="minorEastAsia"/>
                <w:sz w:val="24"/>
              </w:rPr>
              <w:t>”的</w:t>
            </w:r>
            <w:r>
              <w:rPr>
                <w:sz w:val="24"/>
              </w:rPr>
              <w:t>目标要求。</w:t>
            </w:r>
          </w:p>
          <w:p>
            <w:pPr>
              <w:spacing w:line="480" w:lineRule="exact"/>
              <w:ind w:firstLine="480"/>
              <w:textAlignment w:val="baseline"/>
              <w:rPr>
                <w:sz w:val="24"/>
              </w:rPr>
            </w:pPr>
            <w:r>
              <w:rPr>
                <w:sz w:val="24"/>
              </w:rPr>
              <w:t>本项目严格按照新乡市正在实施的《新乡市环境污染防治攻坚战三年行动实施方案（2018-2020年）》、《京津冀及周边地区2018-2019 年秋冬季大气污染综合治理攻坚行动方案》、《新乡市2019年大气污染防治攻坚战实施方案（新环攻坚办〔2019〕74号）》</w:t>
            </w:r>
            <w:r>
              <w:rPr>
                <w:rFonts w:hint="eastAsia"/>
                <w:sz w:val="24"/>
              </w:rPr>
              <w:t>、《河南省生态环境厅关于印发河南省工业大气污染防治6个专项方案的通知（豫环文[2019]84号）》</w:t>
            </w:r>
            <w:r>
              <w:rPr>
                <w:sz w:val="24"/>
              </w:rPr>
              <w:t>的相关要求进行建设，项目运行过程中，生产过程产生的有机废气（非甲烷总烃）经收集后经“UV光催化氧化装置+活性炭吸附装置”处理后经15m高排气筒有组织排放，项目的投产运行不会对区域环境质量产生不良影响。</w:t>
            </w:r>
          </w:p>
          <w:p>
            <w:pPr>
              <w:spacing w:line="480" w:lineRule="exact"/>
              <w:ind w:firstLine="482"/>
              <w:jc w:val="left"/>
              <w:rPr>
                <w:b/>
                <w:sz w:val="24"/>
                <w:szCs w:val="20"/>
              </w:rPr>
            </w:pPr>
            <w:r>
              <w:rPr>
                <w:b/>
                <w:sz w:val="24"/>
                <w:szCs w:val="20"/>
              </w:rPr>
              <w:t>2、地表水环境质量现状</w:t>
            </w:r>
          </w:p>
          <w:p>
            <w:pPr>
              <w:spacing w:line="480" w:lineRule="exact"/>
              <w:ind w:firstLine="480"/>
              <w:rPr>
                <w:sz w:val="24"/>
              </w:rPr>
            </w:pPr>
            <w:r>
              <w:rPr>
                <w:rFonts w:hint="eastAsia"/>
                <w:sz w:val="24"/>
              </w:rPr>
              <w:t>距离本项目最近的地表水体为民生渠，水体功能类别为</w:t>
            </w:r>
            <w:r>
              <w:rPr>
                <w:sz w:val="24"/>
              </w:rPr>
              <w:fldChar w:fldCharType="begin"/>
            </w:r>
            <w:r>
              <w:rPr>
                <w:rFonts w:hint="eastAsia"/>
                <w:sz w:val="24"/>
              </w:rPr>
              <w:instrText xml:space="preserve">= 4 \* ROMAN</w:instrText>
            </w:r>
            <w:r>
              <w:rPr>
                <w:sz w:val="24"/>
              </w:rPr>
              <w:fldChar w:fldCharType="separate"/>
            </w:r>
            <w:r>
              <w:rPr>
                <w:sz w:val="24"/>
              </w:rPr>
              <w:t>V</w:t>
            </w:r>
            <w:r>
              <w:rPr>
                <w:sz w:val="24"/>
              </w:rPr>
              <w:fldChar w:fldCharType="end"/>
            </w:r>
            <w:r>
              <w:rPr>
                <w:rFonts w:hint="eastAsia"/>
                <w:sz w:val="24"/>
              </w:rPr>
              <w:t>类，评价引用新乡市环境保护监测站对民生渠天丰公司后断面的自动监测数据，该断面于2019年11月至今断流，故本次评价选用断流之前2019年10月份的监测数据。数据统计见下表。</w:t>
            </w:r>
          </w:p>
          <w:p>
            <w:pPr>
              <w:spacing w:line="480" w:lineRule="exact"/>
              <w:ind w:firstLine="480"/>
              <w:rPr>
                <w:rFonts w:eastAsia="黑体"/>
                <w:sz w:val="24"/>
              </w:rPr>
            </w:pPr>
            <w:r>
              <w:rPr>
                <w:rFonts w:hAnsi="黑体" w:eastAsia="黑体"/>
                <w:sz w:val="24"/>
              </w:rPr>
              <w:t>表</w:t>
            </w:r>
            <w:r>
              <w:rPr>
                <w:rFonts w:hint="eastAsia" w:eastAsia="黑体"/>
                <w:sz w:val="24"/>
              </w:rPr>
              <w:t xml:space="preserve">20                     </w:t>
            </w:r>
            <w:r>
              <w:rPr>
                <w:rFonts w:hAnsi="黑体" w:eastAsia="黑体"/>
                <w:sz w:val="24"/>
              </w:rPr>
              <w:t>民生渠天丰公司后断面监测数据（</w:t>
            </w:r>
            <w:r>
              <w:rPr>
                <w:rFonts w:eastAsia="黑体"/>
                <w:sz w:val="24"/>
              </w:rPr>
              <w:t>2019</w:t>
            </w:r>
            <w:r>
              <w:rPr>
                <w:rFonts w:hAnsi="黑体" w:eastAsia="黑体"/>
                <w:sz w:val="24"/>
              </w:rPr>
              <w:t>年</w:t>
            </w:r>
            <w:r>
              <w:rPr>
                <w:rFonts w:hint="eastAsia" w:hAnsi="黑体" w:eastAsia="黑体"/>
                <w:sz w:val="24"/>
              </w:rPr>
              <w:t>10月</w:t>
            </w:r>
            <w:r>
              <w:rPr>
                <w:rFonts w:hAnsi="黑体" w:eastAsia="黑体"/>
                <w:sz w:val="24"/>
              </w:rPr>
              <w:t>）</w:t>
            </w:r>
            <w:r>
              <w:rPr>
                <w:rFonts w:hint="eastAsia" w:hAnsi="黑体" w:eastAsia="黑体"/>
                <w:sz w:val="24"/>
              </w:rPr>
              <w:t xml:space="preserve">      </w:t>
            </w:r>
            <w:r>
              <w:rPr>
                <w:rFonts w:hAnsi="黑体" w:eastAsia="黑体"/>
                <w:sz w:val="24"/>
              </w:rPr>
              <w:t>单位：</w:t>
            </w:r>
            <w:r>
              <w:rPr>
                <w:rFonts w:eastAsia="黑体"/>
                <w:sz w:val="24"/>
              </w:rPr>
              <w:t>mg/L</w:t>
            </w:r>
          </w:p>
          <w:tbl>
            <w:tblPr>
              <w:tblStyle w:val="19"/>
              <w:tblW w:w="915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2287"/>
              <w:gridCol w:w="2285"/>
              <w:gridCol w:w="228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3" w:type="dxa"/>
                  <w:vAlign w:val="center"/>
                </w:tcPr>
                <w:p>
                  <w:pPr>
                    <w:adjustRightInd w:val="0"/>
                    <w:snapToGrid w:val="0"/>
                    <w:jc w:val="center"/>
                    <w:rPr>
                      <w:b/>
                      <w:szCs w:val="21"/>
                    </w:rPr>
                  </w:pPr>
                  <w:r>
                    <w:rPr>
                      <w:b/>
                      <w:szCs w:val="21"/>
                    </w:rPr>
                    <w:t>监测因子</w:t>
                  </w:r>
                </w:p>
              </w:tc>
              <w:tc>
                <w:tcPr>
                  <w:tcW w:w="2287" w:type="dxa"/>
                  <w:vAlign w:val="center"/>
                </w:tcPr>
                <w:p>
                  <w:pPr>
                    <w:adjustRightInd w:val="0"/>
                    <w:snapToGrid w:val="0"/>
                    <w:jc w:val="center"/>
                    <w:rPr>
                      <w:szCs w:val="21"/>
                    </w:rPr>
                  </w:pPr>
                  <w:r>
                    <w:rPr>
                      <w:szCs w:val="21"/>
                    </w:rPr>
                    <w:t>COD</w:t>
                  </w:r>
                </w:p>
              </w:tc>
              <w:tc>
                <w:tcPr>
                  <w:tcW w:w="2285" w:type="dxa"/>
                  <w:vAlign w:val="center"/>
                </w:tcPr>
                <w:p>
                  <w:pPr>
                    <w:adjustRightInd w:val="0"/>
                    <w:snapToGrid w:val="0"/>
                    <w:jc w:val="center"/>
                    <w:rPr>
                      <w:szCs w:val="21"/>
                    </w:rPr>
                  </w:pPr>
                  <w:r>
                    <w:rPr>
                      <w:szCs w:val="21"/>
                    </w:rPr>
                    <w:t>NH</w:t>
                  </w:r>
                  <w:r>
                    <w:rPr>
                      <w:szCs w:val="21"/>
                      <w:vertAlign w:val="subscript"/>
                    </w:rPr>
                    <w:t>3</w:t>
                  </w:r>
                  <w:r>
                    <w:rPr>
                      <w:szCs w:val="21"/>
                    </w:rPr>
                    <w:t>-N</w:t>
                  </w:r>
                </w:p>
              </w:tc>
              <w:tc>
                <w:tcPr>
                  <w:tcW w:w="2285" w:type="dxa"/>
                  <w:vAlign w:val="center"/>
                </w:tcPr>
                <w:p>
                  <w:pPr>
                    <w:adjustRightInd w:val="0"/>
                    <w:snapToGrid w:val="0"/>
                    <w:jc w:val="center"/>
                    <w:rPr>
                      <w:szCs w:val="21"/>
                    </w:rPr>
                  </w:pPr>
                  <w:r>
                    <w:rPr>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3" w:type="dxa"/>
                  <w:vAlign w:val="center"/>
                </w:tcPr>
                <w:p>
                  <w:pPr>
                    <w:adjustRightInd w:val="0"/>
                    <w:snapToGrid w:val="0"/>
                    <w:jc w:val="center"/>
                    <w:rPr>
                      <w:b/>
                      <w:szCs w:val="21"/>
                    </w:rPr>
                  </w:pPr>
                  <w:r>
                    <w:rPr>
                      <w:b/>
                      <w:szCs w:val="21"/>
                    </w:rPr>
                    <w:t>监测数据</w:t>
                  </w:r>
                </w:p>
              </w:tc>
              <w:tc>
                <w:tcPr>
                  <w:tcW w:w="2287" w:type="dxa"/>
                  <w:vAlign w:val="center"/>
                </w:tcPr>
                <w:p>
                  <w:pPr>
                    <w:adjustRightInd w:val="0"/>
                    <w:snapToGrid w:val="0"/>
                    <w:jc w:val="center"/>
                    <w:rPr>
                      <w:szCs w:val="21"/>
                    </w:rPr>
                  </w:pPr>
                  <w:r>
                    <w:rPr>
                      <w:rFonts w:hint="eastAsia"/>
                      <w:szCs w:val="21"/>
                    </w:rPr>
                    <w:t>65~74</w:t>
                  </w:r>
                </w:p>
              </w:tc>
              <w:tc>
                <w:tcPr>
                  <w:tcW w:w="2285" w:type="dxa"/>
                  <w:vAlign w:val="center"/>
                </w:tcPr>
                <w:p>
                  <w:pPr>
                    <w:jc w:val="center"/>
                    <w:rPr>
                      <w:szCs w:val="21"/>
                    </w:rPr>
                  </w:pPr>
                  <w:r>
                    <w:rPr>
                      <w:rFonts w:hint="eastAsia"/>
                      <w:szCs w:val="21"/>
                    </w:rPr>
                    <w:t>0.39~16.8</w:t>
                  </w:r>
                </w:p>
              </w:tc>
              <w:tc>
                <w:tcPr>
                  <w:tcW w:w="2285" w:type="dxa"/>
                  <w:vAlign w:val="center"/>
                </w:tcPr>
                <w:p>
                  <w:pPr>
                    <w:jc w:val="center"/>
                    <w:rPr>
                      <w:szCs w:val="21"/>
                    </w:rPr>
                  </w:pPr>
                  <w:r>
                    <w:rPr>
                      <w:rFonts w:hint="eastAsia"/>
                      <w:szCs w:val="21"/>
                    </w:rPr>
                    <w:t>0.32~1.52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3" w:type="dxa"/>
                  <w:vAlign w:val="center"/>
                </w:tcPr>
                <w:p>
                  <w:pPr>
                    <w:adjustRightInd w:val="0"/>
                    <w:snapToGrid w:val="0"/>
                    <w:jc w:val="center"/>
                    <w:rPr>
                      <w:b/>
                      <w:szCs w:val="21"/>
                    </w:rPr>
                  </w:pPr>
                  <w:r>
                    <w:rPr>
                      <w:b/>
                      <w:szCs w:val="21"/>
                    </w:rPr>
                    <w:t>断面标准</w:t>
                  </w:r>
                </w:p>
              </w:tc>
              <w:tc>
                <w:tcPr>
                  <w:tcW w:w="2287" w:type="dxa"/>
                  <w:vAlign w:val="center"/>
                </w:tcPr>
                <w:p>
                  <w:pPr>
                    <w:jc w:val="center"/>
                    <w:rPr>
                      <w:szCs w:val="21"/>
                    </w:rPr>
                  </w:pPr>
                  <w:r>
                    <w:rPr>
                      <w:rFonts w:hint="eastAsia"/>
                      <w:szCs w:val="21"/>
                    </w:rPr>
                    <w:t>40</w:t>
                  </w:r>
                </w:p>
              </w:tc>
              <w:tc>
                <w:tcPr>
                  <w:tcW w:w="2285" w:type="dxa"/>
                  <w:vAlign w:val="center"/>
                </w:tcPr>
                <w:p>
                  <w:pPr>
                    <w:jc w:val="center"/>
                    <w:rPr>
                      <w:szCs w:val="21"/>
                    </w:rPr>
                  </w:pPr>
                  <w:r>
                    <w:rPr>
                      <w:rFonts w:hint="eastAsia"/>
                      <w:szCs w:val="21"/>
                    </w:rPr>
                    <w:t>2</w:t>
                  </w:r>
                </w:p>
              </w:tc>
              <w:tc>
                <w:tcPr>
                  <w:tcW w:w="2285" w:type="dxa"/>
                  <w:vAlign w:val="center"/>
                </w:tcPr>
                <w:p>
                  <w:pPr>
                    <w:jc w:val="center"/>
                    <w:rPr>
                      <w:szCs w:val="21"/>
                    </w:rPr>
                  </w:pPr>
                  <w:r>
                    <w:rPr>
                      <w:szCs w:val="21"/>
                    </w:rPr>
                    <w:t>0.</w:t>
                  </w:r>
                  <w:r>
                    <w:rPr>
                      <w:rFonts w:hint="eastAsia"/>
                      <w:szCs w:val="21"/>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3" w:type="dxa"/>
                  <w:vAlign w:val="center"/>
                </w:tcPr>
                <w:p>
                  <w:pPr>
                    <w:jc w:val="center"/>
                    <w:rPr>
                      <w:b/>
                      <w:szCs w:val="21"/>
                    </w:rPr>
                  </w:pPr>
                  <w:r>
                    <w:rPr>
                      <w:b/>
                      <w:szCs w:val="21"/>
                    </w:rPr>
                    <w:t>达标情况</w:t>
                  </w:r>
                </w:p>
              </w:tc>
              <w:tc>
                <w:tcPr>
                  <w:tcW w:w="2287" w:type="dxa"/>
                  <w:vAlign w:val="center"/>
                </w:tcPr>
                <w:p>
                  <w:pPr>
                    <w:jc w:val="center"/>
                    <w:rPr>
                      <w:szCs w:val="21"/>
                    </w:rPr>
                  </w:pPr>
                  <w:r>
                    <w:rPr>
                      <w:rFonts w:hint="eastAsia"/>
                      <w:szCs w:val="21"/>
                    </w:rPr>
                    <w:t>不达</w:t>
                  </w:r>
                  <w:r>
                    <w:rPr>
                      <w:szCs w:val="21"/>
                    </w:rPr>
                    <w:t>标</w:t>
                  </w:r>
                </w:p>
              </w:tc>
              <w:tc>
                <w:tcPr>
                  <w:tcW w:w="2285" w:type="dxa"/>
                  <w:vAlign w:val="center"/>
                </w:tcPr>
                <w:p>
                  <w:pPr>
                    <w:jc w:val="center"/>
                    <w:rPr>
                      <w:szCs w:val="21"/>
                    </w:rPr>
                  </w:pPr>
                  <w:r>
                    <w:rPr>
                      <w:rFonts w:hint="eastAsia"/>
                      <w:szCs w:val="21"/>
                    </w:rPr>
                    <w:t>不达标</w:t>
                  </w:r>
                </w:p>
              </w:tc>
              <w:tc>
                <w:tcPr>
                  <w:tcW w:w="2285" w:type="dxa"/>
                  <w:vAlign w:val="center"/>
                </w:tcPr>
                <w:p>
                  <w:pPr>
                    <w:jc w:val="center"/>
                    <w:rPr>
                      <w:szCs w:val="21"/>
                    </w:rPr>
                  </w:pPr>
                  <w:r>
                    <w:rPr>
                      <w:rFonts w:hint="eastAsia"/>
                      <w:szCs w:val="21"/>
                    </w:rPr>
                    <w:t>不达标</w:t>
                  </w:r>
                </w:p>
              </w:tc>
            </w:tr>
          </w:tbl>
          <w:p>
            <w:pPr>
              <w:spacing w:line="480" w:lineRule="exact"/>
              <w:ind w:firstLine="480"/>
              <w:rPr>
                <w:sz w:val="24"/>
              </w:rPr>
            </w:pPr>
            <w:r>
              <w:rPr>
                <w:rFonts w:hint="eastAsia"/>
                <w:sz w:val="24"/>
              </w:rPr>
              <w:t>由上表可知，COD、</w:t>
            </w:r>
            <w:r>
              <w:rPr>
                <w:sz w:val="24"/>
              </w:rPr>
              <w:t>NH</w:t>
            </w:r>
            <w:r>
              <w:rPr>
                <w:sz w:val="24"/>
                <w:vertAlign w:val="subscript"/>
              </w:rPr>
              <w:t>3</w:t>
            </w:r>
            <w:r>
              <w:rPr>
                <w:sz w:val="24"/>
              </w:rPr>
              <w:t>-N</w:t>
            </w:r>
            <w:r>
              <w:rPr>
                <w:rFonts w:hint="eastAsia"/>
                <w:sz w:val="24"/>
              </w:rPr>
              <w:t>、TP浓度出现超标情况，超标原因可能是民生渠接纳了大量生活污水工业废水导致其水质超标。</w:t>
            </w:r>
            <w:r>
              <w:rPr>
                <w:sz w:val="24"/>
              </w:rPr>
              <w:t>目前新乡市正在推进实施《新乡市卫河流域水污染防治攻坚战实施方案等11个专项方案》（新环攻坚办（2017）20号）、《新乡市2018年持续打好打赢水污染防治攻坚战工作方案》（新政办[2018]28号）、《新乡市环境污染防治攻坚战三年行动实施方案(2018-2020年)》（新政[2018]11号）及《关于印发河南省2019年水污染防治攻坚战实施方案的通知》（豫环攻坚办(2019)31号），将持续改善新乡市水环境质量。</w:t>
            </w:r>
          </w:p>
          <w:p>
            <w:pPr>
              <w:adjustRightInd w:val="0"/>
              <w:snapToGrid w:val="0"/>
              <w:spacing w:line="440" w:lineRule="exact"/>
              <w:ind w:firstLine="480" w:firstLineChars="200"/>
              <w:jc w:val="left"/>
              <w:rPr>
                <w:kern w:val="0"/>
                <w:sz w:val="24"/>
              </w:rPr>
            </w:pPr>
            <w:r>
              <w:rPr>
                <w:kern w:val="0"/>
                <w:sz w:val="24"/>
              </w:rPr>
              <w:t>本项目生产过程无生产废水产生，</w:t>
            </w:r>
            <w:r>
              <w:rPr>
                <w:rFonts w:hint="eastAsia"/>
                <w:kern w:val="0"/>
                <w:sz w:val="24"/>
              </w:rPr>
              <w:t>员工</w:t>
            </w:r>
            <w:r>
              <w:rPr>
                <w:rFonts w:hint="eastAsia"/>
                <w:sz w:val="24"/>
              </w:rPr>
              <w:t>生活污水经化粪池处理后定期清运</w:t>
            </w:r>
            <w:r>
              <w:rPr>
                <w:rFonts w:hint="eastAsia"/>
                <w:kern w:val="0"/>
                <w:sz w:val="24"/>
              </w:rPr>
              <w:t>不外排。</w:t>
            </w:r>
            <w:r>
              <w:rPr>
                <w:kern w:val="0"/>
                <w:sz w:val="24"/>
              </w:rPr>
              <w:t>项目运行期间不会加重对区域地表水体的污染。因此，本项目对附近地表水体无不良影响。</w:t>
            </w:r>
          </w:p>
          <w:p>
            <w:pPr>
              <w:snapToGrid w:val="0"/>
              <w:spacing w:line="480" w:lineRule="exact"/>
              <w:ind w:firstLine="482"/>
              <w:jc w:val="left"/>
              <w:rPr>
                <w:b/>
                <w:sz w:val="24"/>
              </w:rPr>
            </w:pPr>
            <w:r>
              <w:rPr>
                <w:b/>
                <w:sz w:val="24"/>
              </w:rPr>
              <w:t>3、地下水</w:t>
            </w:r>
          </w:p>
          <w:p>
            <w:pPr>
              <w:spacing w:line="460" w:lineRule="exact"/>
              <w:ind w:firstLine="480" w:firstLineChars="200"/>
              <w:rPr>
                <w:rFonts w:cs="Calibri"/>
                <w:sz w:val="24"/>
              </w:rPr>
            </w:pPr>
            <w:r>
              <w:rPr>
                <w:rFonts w:cs="Calibri"/>
                <w:sz w:val="24"/>
              </w:rPr>
              <w:t>地下水数据引用</w:t>
            </w:r>
            <w:r>
              <w:rPr>
                <w:rFonts w:hint="eastAsia" w:cs="Calibri"/>
                <w:sz w:val="24"/>
              </w:rPr>
              <w:t>《新乡市动力电池专业园区发展规划（2017-2020）环境影响报告书》地下水监测数据，本项目距该园区边界2.8km，与本项目所在地的地形地貌情况一致。园区区域内的地下水由河南和阳环境科技有限公司于</w:t>
            </w:r>
            <w:r>
              <w:rPr>
                <w:rFonts w:cs="Calibri"/>
                <w:sz w:val="24"/>
              </w:rPr>
              <w:t>2018</w:t>
            </w:r>
            <w:r>
              <w:rPr>
                <w:rFonts w:hint="eastAsia" w:cs="Calibri"/>
                <w:sz w:val="24"/>
              </w:rPr>
              <w:t>年</w:t>
            </w:r>
            <w:r>
              <w:rPr>
                <w:rFonts w:cs="Calibri"/>
                <w:sz w:val="24"/>
              </w:rPr>
              <w:t>10</w:t>
            </w:r>
            <w:r>
              <w:rPr>
                <w:rFonts w:hint="eastAsia" w:cs="Calibri"/>
                <w:sz w:val="24"/>
              </w:rPr>
              <w:t>月</w:t>
            </w:r>
            <w:r>
              <w:rPr>
                <w:rFonts w:cs="Calibri"/>
                <w:sz w:val="24"/>
              </w:rPr>
              <w:t>17</w:t>
            </w:r>
            <w:r>
              <w:rPr>
                <w:rFonts w:hint="eastAsia" w:cs="Calibri"/>
                <w:sz w:val="24"/>
              </w:rPr>
              <w:t>日</w:t>
            </w:r>
            <w:r>
              <w:rPr>
                <w:rFonts w:cs="Calibri"/>
                <w:sz w:val="24"/>
              </w:rPr>
              <w:t>~18</w:t>
            </w:r>
            <w:r>
              <w:rPr>
                <w:rFonts w:hint="eastAsia" w:cs="Calibri"/>
                <w:sz w:val="24"/>
              </w:rPr>
              <w:t>日进行了监测。</w:t>
            </w:r>
            <w:r>
              <w:rPr>
                <w:rFonts w:cs="Calibri"/>
                <w:sz w:val="24"/>
              </w:rPr>
              <w:t>地下水现状监测结果统计情况见下表。</w:t>
            </w:r>
          </w:p>
          <w:p>
            <w:pPr>
              <w:spacing w:line="460" w:lineRule="exact"/>
              <w:ind w:firstLine="480" w:firstLineChars="200"/>
              <w:rPr>
                <w:rFonts w:eastAsia="黑体"/>
                <w:sz w:val="24"/>
              </w:rPr>
            </w:pPr>
            <w:r>
              <w:rPr>
                <w:rFonts w:eastAsia="黑体"/>
                <w:sz w:val="24"/>
              </w:rPr>
              <w:t>表</w:t>
            </w:r>
            <w:r>
              <w:rPr>
                <w:rFonts w:hint="eastAsia" w:eastAsia="黑体"/>
                <w:sz w:val="24"/>
              </w:rPr>
              <w:t xml:space="preserve">21                                       </w:t>
            </w:r>
            <w:r>
              <w:rPr>
                <w:rFonts w:eastAsia="黑体"/>
                <w:sz w:val="24"/>
              </w:rPr>
              <w:t>地下水水质监测结果</w:t>
            </w:r>
            <w:r>
              <w:rPr>
                <w:rFonts w:hint="eastAsia" w:eastAsia="黑体"/>
                <w:sz w:val="24"/>
              </w:rPr>
              <w:t xml:space="preserve">                                    单位：mg/L</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757"/>
              <w:gridCol w:w="1724"/>
              <w:gridCol w:w="1038"/>
              <w:gridCol w:w="1559"/>
              <w:gridCol w:w="895"/>
              <w:gridCol w:w="1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tcBorders>
                    <w:top w:val="single" w:color="auto" w:sz="8" w:space="0"/>
                    <w:left w:val="nil"/>
                    <w:bottom w:val="single" w:color="auto" w:sz="4" w:space="0"/>
                    <w:right w:val="single" w:color="auto" w:sz="4" w:space="0"/>
                  </w:tcBorders>
                  <w:vAlign w:val="center"/>
                </w:tcPr>
                <w:p>
                  <w:pPr>
                    <w:jc w:val="center"/>
                    <w:rPr>
                      <w:b/>
                      <w:szCs w:val="21"/>
                    </w:rPr>
                  </w:pPr>
                  <w:r>
                    <w:rPr>
                      <w:b/>
                      <w:szCs w:val="21"/>
                    </w:rPr>
                    <w:t>采样地点</w:t>
                  </w:r>
                </w:p>
              </w:tc>
              <w:tc>
                <w:tcPr>
                  <w:tcW w:w="1723"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采样因子</w:t>
                  </w:r>
                </w:p>
              </w:tc>
              <w:tc>
                <w:tcPr>
                  <w:tcW w:w="1691"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测值范围</w:t>
                  </w:r>
                </w:p>
              </w:tc>
              <w:tc>
                <w:tcPr>
                  <w:tcW w:w="1018"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均值</w:t>
                  </w:r>
                </w:p>
              </w:tc>
              <w:tc>
                <w:tcPr>
                  <w:tcW w:w="1529"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均值标准指数</w:t>
                  </w:r>
                </w:p>
              </w:tc>
              <w:tc>
                <w:tcPr>
                  <w:tcW w:w="878" w:type="dxa"/>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超标率</w:t>
                  </w:r>
                </w:p>
              </w:tc>
              <w:tc>
                <w:tcPr>
                  <w:tcW w:w="1092" w:type="dxa"/>
                  <w:tcBorders>
                    <w:top w:val="single" w:color="auto" w:sz="8" w:space="0"/>
                    <w:left w:val="single" w:color="auto" w:sz="4" w:space="0"/>
                    <w:bottom w:val="single" w:color="auto" w:sz="4" w:space="0"/>
                    <w:right w:val="nil"/>
                  </w:tcBorders>
                  <w:vAlign w:val="center"/>
                </w:tcPr>
                <w:p>
                  <w:pPr>
                    <w:jc w:val="center"/>
                    <w:rPr>
                      <w:b/>
                      <w:szCs w:val="21"/>
                    </w:rPr>
                  </w:pPr>
                  <w:r>
                    <w:rPr>
                      <w:b/>
                      <w:szCs w:val="21"/>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4" w:space="0"/>
                    <w:right w:val="single" w:color="auto" w:sz="4" w:space="0"/>
                  </w:tcBorders>
                  <w:vAlign w:val="center"/>
                </w:tcPr>
                <w:p>
                  <w:pPr>
                    <w:jc w:val="center"/>
                    <w:rPr>
                      <w:szCs w:val="21"/>
                    </w:rPr>
                  </w:pPr>
                  <w:r>
                    <w:rPr>
                      <w:szCs w:val="21"/>
                    </w:rPr>
                    <w:t>陈堡村</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pH</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7.35~7.37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6.5-8.5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耗氧量</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0.7~0.8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总硬度</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1097~1108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1102.5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2.45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1.45</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氨氮</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0.171~0.175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0.173</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0.865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102~105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103.5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0.414</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122</w:t>
                  </w:r>
                  <w:r>
                    <w:rPr>
                      <w:szCs w:val="21"/>
                    </w:rPr>
                    <w:cr/>
                  </w:r>
                  <w:r>
                    <w:rPr>
                      <w:szCs w:val="21"/>
                    </w:rPr>
                    <w:t>125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cr/>
                  </w:r>
                  <w:r>
                    <w:rPr>
                      <w:szCs w:val="21"/>
                    </w:rPr>
                    <w:t>23.5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0.494</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溶解性总固体</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2106~2128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2117</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2.117</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1.117</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钴</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锰</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砷</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铁</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总大肠菌群</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&lt;2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挥发酚</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汞</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总镍</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w:t>
                  </w:r>
                  <w:r>
                    <w:rPr>
                      <w:szCs w:val="21"/>
                    </w:rPr>
                    <w:cr/>
                  </w:r>
                  <w:r>
                    <w:rPr>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镉</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六价铬</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氰化物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硝酸盐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2.73~2.77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2.75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0.1375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K</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8.66~8.76</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8.71</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Na</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19.9</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19.9</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Ca</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978~1012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995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Mg</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44~44.8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44.4</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CO</w:t>
                  </w:r>
                  <w:r>
                    <w:rPr>
                      <w:szCs w:val="21"/>
                      <w:vertAlign w:val="subscript"/>
                    </w:rPr>
                    <w:t>3</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HCO</w:t>
                  </w:r>
                  <w:r>
                    <w:rPr>
                      <w:szCs w:val="21"/>
                      <w:vertAlign w:val="subscript"/>
                    </w:rPr>
                    <w:t>3</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5.5~5.8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5.65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21.8m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45m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4" w:space="0"/>
                    <w:right w:val="single" w:color="auto" w:sz="4" w:space="0"/>
                  </w:tcBorders>
                  <w:vAlign w:val="center"/>
                </w:tcPr>
                <w:p>
                  <w:pPr>
                    <w:jc w:val="center"/>
                    <w:rPr>
                      <w:szCs w:val="21"/>
                    </w:rPr>
                  </w:pPr>
                  <w:r>
                    <w:rPr>
                      <w:szCs w:val="21"/>
                    </w:rPr>
                    <w:t>园区东片区中部</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pH</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7.40~7.41</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6.5-8.5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耗氧量</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0.7~0.8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总硬度</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787~793</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790</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1.76</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0.76</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氨氮</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0.162~0.167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0.16</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0.82</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106~108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107</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0.428</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121~130</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125.5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0.502</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溶解性总固体</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1504~1512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w:t>
                  </w:r>
                  <w:r>
                    <w:rPr>
                      <w:szCs w:val="21"/>
                    </w:rPr>
                    <w:cr/>
                  </w:r>
                  <w:r>
                    <w:rPr>
                      <w:szCs w:val="21"/>
                    </w:rPr>
                    <w:t>08</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w:t>
                  </w:r>
                  <w:r>
                    <w:rPr>
                      <w:szCs w:val="21"/>
                    </w:rPr>
                    <w:cr/>
                  </w:r>
                  <w:r>
                    <w:rPr>
                      <w:szCs w:val="21"/>
                    </w:rPr>
                    <w:t>508</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0.508</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钴</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锰</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砷</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铁</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总大肠菌群</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&lt;2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挥发酚</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汞</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总镍</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镉</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六价铬</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氰化物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硝酸盐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2.70~2.75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2.725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0.14</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K</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12.1</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8.71</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Na</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8.40~8.51</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19.9</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Ca</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749~756</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995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Mg</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22.7~26.9</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44.4</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CO</w:t>
                  </w:r>
                  <w:r>
                    <w:rPr>
                      <w:szCs w:val="21"/>
                      <w:vertAlign w:val="subscript"/>
                    </w:rPr>
                    <w:t>3</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HCO</w:t>
                  </w:r>
                  <w:r>
                    <w:rPr>
                      <w:szCs w:val="21"/>
                      <w:vertAlign w:val="subscript"/>
                    </w:rPr>
                    <w:t>3</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5.3~5.9</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5.65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23.</w:t>
                  </w:r>
                  <w:r>
                    <w:rPr>
                      <w:szCs w:val="21"/>
                    </w:rPr>
                    <w:cr/>
                  </w:r>
                  <w:r>
                    <w:rPr>
                      <w:szCs w:val="21"/>
                    </w:rPr>
                    <w:t>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4" w:space="0"/>
                    <w:right w:val="single" w:color="auto" w:sz="4" w:space="0"/>
                  </w:tcBorders>
                  <w:vAlign w:val="center"/>
                </w:tcPr>
                <w:p>
                  <w:pPr>
                    <w:jc w:val="center"/>
                    <w:rPr>
                      <w:szCs w:val="21"/>
                    </w:rPr>
                  </w:pPr>
                  <w:r>
                    <w:rPr>
                      <w:szCs w:val="21"/>
                    </w:rPr>
                    <w:t>大黄屯村</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pH</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7.38~7.42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6.</w:t>
                  </w:r>
                  <w:r>
                    <w:rPr>
                      <w:szCs w:val="21"/>
                    </w:rPr>
                    <w:cr/>
                  </w:r>
                  <w:r>
                    <w:rPr>
                      <w:szCs w:val="21"/>
                    </w:rPr>
                    <w:t>-8.5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耗氧量</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0.7~0.8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0.75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0.25</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总硬度</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641~649</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645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1.43</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0.43</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氨氮</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0.179~0.184</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0.18</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0.90</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98~101</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99.5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0.40</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115~123</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119</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0.48</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溶解性总固体</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1230~1246</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1238</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1.24</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0.24</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钴</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锰</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砷</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铅</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bCs/>
                      <w:szCs w:val="21"/>
                    </w:rPr>
                    <w:t>铁</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bCs/>
                      <w:szCs w:val="21"/>
                    </w:rPr>
                  </w:pPr>
                  <w:r>
                    <w:rPr>
                      <w:szCs w:val="21"/>
                    </w:rPr>
                    <w:t>总大肠菌群</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&lt;2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挥发酚</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汞</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银</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总镍</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镉</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六价铬</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氰化物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tabs>
                      <w:tab w:val="left" w:pos="5910"/>
                    </w:tabs>
                    <w:jc w:val="center"/>
                    <w:rPr>
                      <w:szCs w:val="21"/>
                    </w:rPr>
                  </w:pPr>
                  <w:r>
                    <w:rPr>
                      <w:szCs w:val="21"/>
                    </w:rPr>
                    <w:t>硝酸盐</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2.83~2.85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2.84</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0.14</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w:t>
                  </w:r>
                </w:p>
              </w:tc>
              <w:tc>
                <w:tcPr>
                  <w:tcW w:w="1092" w:type="dxa"/>
                  <w:tcBorders>
                    <w:top w:val="single" w:color="auto" w:sz="4" w:space="0"/>
                    <w:left w:val="single" w:color="auto" w:sz="4" w:space="0"/>
                    <w:bottom w:val="single" w:color="auto" w:sz="4" w:space="0"/>
                    <w:right w:val="nil"/>
                  </w:tcBorders>
                  <w:vAlign w:val="center"/>
                </w:tcPr>
                <w:p>
                  <w:pPr>
                    <w:tabs>
                      <w:tab w:val="left" w:pos="5910"/>
                    </w:tabs>
                    <w:jc w:val="center"/>
                    <w:rPr>
                      <w:szCs w:val="21"/>
                    </w:rPr>
                  </w:pPr>
                  <w:r>
                    <w:rPr>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K</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11.2</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Na</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7.85~7.94</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7.90</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Ca</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588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588</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Mg</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18.8~19.2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19</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CO</w:t>
                  </w:r>
                  <w:r>
                    <w:rPr>
                      <w:szCs w:val="21"/>
                      <w:vertAlign w:val="subscript"/>
                    </w:rPr>
                    <w:t>3</w:t>
                  </w:r>
                  <w:r>
                    <w:rPr>
                      <w:szCs w:val="21"/>
                      <w:vertAlign w:val="superscript"/>
                    </w:rPr>
                    <w:t>2-</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未检出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HCO</w:t>
                  </w:r>
                  <w:r>
                    <w:rPr>
                      <w:szCs w:val="21"/>
                      <w:vertAlign w:val="subscript"/>
                    </w:rPr>
                    <w:t>3</w:t>
                  </w:r>
                  <w:r>
                    <w:rPr>
                      <w:szCs w:val="21"/>
                      <w:vertAlign w:val="superscript"/>
                    </w:rPr>
                    <w:t>-</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5.6~5.9</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5.75</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25.3m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42m</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4" w:space="0"/>
                    <w:right w:val="single" w:color="auto" w:sz="4" w:space="0"/>
                  </w:tcBorders>
                  <w:vAlign w:val="center"/>
                </w:tcPr>
                <w:p>
                  <w:pPr>
                    <w:widowControl/>
                    <w:jc w:val="center"/>
                    <w:rPr>
                      <w:szCs w:val="21"/>
                    </w:rPr>
                  </w:pPr>
                  <w:r>
                    <w:rPr>
                      <w:szCs w:val="21"/>
                    </w:rPr>
                    <w:t>南张门村</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23.5</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18℃</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4" w:space="0"/>
                    <w:right w:val="single" w:color="auto" w:sz="4" w:space="0"/>
                  </w:tcBorders>
                  <w:vAlign w:val="center"/>
                </w:tcPr>
                <w:p>
                  <w:pPr>
                    <w:widowControl/>
                    <w:jc w:val="center"/>
                    <w:rPr>
                      <w:szCs w:val="21"/>
                    </w:rPr>
                  </w:pPr>
                  <w:r>
                    <w:rPr>
                      <w:szCs w:val="21"/>
                    </w:rPr>
                    <w:t>东张门村</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23.4</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4"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17℃</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op w:val="single" w:color="auto" w:sz="4" w:space="0"/>
                    <w:left w:val="nil"/>
                    <w:bottom w:val="single" w:color="auto" w:sz="8" w:space="0"/>
                    <w:right w:val="single" w:color="auto" w:sz="4" w:space="0"/>
                  </w:tcBorders>
                  <w:vAlign w:val="center"/>
                </w:tcPr>
                <w:p>
                  <w:pPr>
                    <w:widowControl/>
                    <w:jc w:val="center"/>
                    <w:rPr>
                      <w:szCs w:val="21"/>
                    </w:rPr>
                  </w:pPr>
                  <w:r>
                    <w:rPr>
                      <w:szCs w:val="21"/>
                    </w:rPr>
                    <w:t>西鲁堡村</w:t>
                  </w:r>
                </w:p>
              </w:tc>
              <w:tc>
                <w:tcPr>
                  <w:tcW w:w="172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埋深</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25.2</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4" w:space="0"/>
                    <w:right w:val="nil"/>
                  </w:tcBorders>
                  <w:vAlign w:val="center"/>
                </w:tcPr>
                <w:p>
                  <w:pPr>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op w:val="single" w:color="auto" w:sz="4" w:space="0"/>
                    <w:left w:val="nil"/>
                    <w:bottom w:val="single" w:color="auto" w:sz="8" w:space="0"/>
                    <w:right w:val="single" w:color="auto" w:sz="4" w:space="0"/>
                  </w:tcBorders>
                  <w:vAlign w:val="center"/>
                </w:tcPr>
                <w:p>
                  <w:pPr>
                    <w:widowControl/>
                    <w:jc w:val="center"/>
                    <w:rPr>
                      <w:szCs w:val="21"/>
                    </w:rPr>
                  </w:pPr>
                </w:p>
              </w:tc>
              <w:tc>
                <w:tcPr>
                  <w:tcW w:w="1723"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szCs w:val="21"/>
                    </w:rPr>
                    <w:t>水温</w:t>
                  </w:r>
                </w:p>
              </w:tc>
              <w:tc>
                <w:tcPr>
                  <w:tcW w:w="1691"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szCs w:val="21"/>
                    </w:rPr>
                    <w:t>18℃</w:t>
                  </w:r>
                </w:p>
              </w:tc>
              <w:tc>
                <w:tcPr>
                  <w:tcW w:w="1018"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szCs w:val="21"/>
                    </w:rPr>
                    <w:t>/</w:t>
                  </w:r>
                </w:p>
              </w:tc>
              <w:tc>
                <w:tcPr>
                  <w:tcW w:w="1529"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szCs w:val="21"/>
                    </w:rPr>
                    <w:t>/</w:t>
                  </w:r>
                </w:p>
              </w:tc>
              <w:tc>
                <w:tcPr>
                  <w:tcW w:w="878" w:type="dxa"/>
                  <w:tcBorders>
                    <w:top w:val="single" w:color="auto" w:sz="4" w:space="0"/>
                    <w:left w:val="single" w:color="auto" w:sz="4" w:space="0"/>
                    <w:bottom w:val="single" w:color="auto" w:sz="8" w:space="0"/>
                    <w:right w:val="single" w:color="auto" w:sz="4" w:space="0"/>
                  </w:tcBorders>
                  <w:vAlign w:val="center"/>
                </w:tcPr>
                <w:p>
                  <w:pPr>
                    <w:jc w:val="center"/>
                    <w:rPr>
                      <w:szCs w:val="21"/>
                    </w:rPr>
                  </w:pPr>
                  <w:r>
                    <w:rPr>
                      <w:szCs w:val="21"/>
                    </w:rPr>
                    <w:t>/</w:t>
                  </w:r>
                </w:p>
              </w:tc>
              <w:tc>
                <w:tcPr>
                  <w:tcW w:w="1092" w:type="dxa"/>
                  <w:tcBorders>
                    <w:top w:val="single" w:color="auto" w:sz="4" w:space="0"/>
                    <w:left w:val="single" w:color="auto" w:sz="4" w:space="0"/>
                    <w:bottom w:val="single" w:color="auto" w:sz="8" w:space="0"/>
                    <w:right w:val="nil"/>
                  </w:tcBorders>
                  <w:vAlign w:val="center"/>
                </w:tcPr>
                <w:p>
                  <w:pPr>
                    <w:jc w:val="center"/>
                    <w:rPr>
                      <w:szCs w:val="21"/>
                    </w:rPr>
                  </w:pPr>
                  <w:r>
                    <w:rPr>
                      <w:szCs w:val="21"/>
                    </w:rPr>
                    <w:t>/</w:t>
                  </w:r>
                </w:p>
              </w:tc>
            </w:tr>
          </w:tbl>
          <w:p>
            <w:pPr>
              <w:spacing w:line="460" w:lineRule="exact"/>
              <w:ind w:firstLine="480"/>
              <w:rPr>
                <w:sz w:val="24"/>
              </w:rPr>
            </w:pPr>
            <w:r>
              <w:rPr>
                <w:sz w:val="24"/>
              </w:rPr>
              <w:t>由统计结果可得，各监测点的总硬度和溶解性总固体存在超标现象</w:t>
            </w:r>
            <w:r>
              <w:rPr>
                <w:rFonts w:hint="eastAsia"/>
                <w:sz w:val="24"/>
              </w:rPr>
              <w:t>，</w:t>
            </w:r>
            <w:r>
              <w:rPr>
                <w:sz w:val="24"/>
              </w:rPr>
              <w:t>超标率在</w:t>
            </w:r>
            <w:r>
              <w:rPr>
                <w:rFonts w:hint="eastAsia"/>
                <w:sz w:val="24"/>
              </w:rPr>
              <w:t>0.24~1.45之间，超标原因可能是该地区地下水</w:t>
            </w:r>
            <w:r>
              <w:rPr>
                <w:sz w:val="24"/>
              </w:rPr>
              <w:t>的总硬度和溶解性总固体</w:t>
            </w:r>
            <w:r>
              <w:rPr>
                <w:rFonts w:hint="eastAsia"/>
                <w:sz w:val="24"/>
              </w:rPr>
              <w:t>背景浓度较高。</w:t>
            </w:r>
            <w:r>
              <w:rPr>
                <w:sz w:val="24"/>
              </w:rPr>
              <w:t>其他监测因子监测值均能满足《地下水质量标准》（GB/T14848-2017）Ⅲ类的标准要求。监测数据表明，区域地下水环境状况良好。</w:t>
            </w:r>
          </w:p>
          <w:p>
            <w:pPr>
              <w:spacing w:line="480" w:lineRule="exact"/>
              <w:ind w:firstLine="479"/>
              <w:jc w:val="left"/>
              <w:rPr>
                <w:b/>
                <w:sz w:val="24"/>
                <w:szCs w:val="20"/>
              </w:rPr>
            </w:pPr>
            <w:r>
              <w:rPr>
                <w:b/>
                <w:sz w:val="24"/>
                <w:szCs w:val="20"/>
              </w:rPr>
              <w:t>4、声环境质量现状</w:t>
            </w:r>
          </w:p>
          <w:p>
            <w:pPr>
              <w:snapToGrid w:val="0"/>
              <w:spacing w:line="480" w:lineRule="exact"/>
              <w:ind w:firstLine="480"/>
              <w:rPr>
                <w:sz w:val="24"/>
              </w:rPr>
            </w:pPr>
            <w:r>
              <w:rPr>
                <w:sz w:val="24"/>
              </w:rPr>
              <w:t>根据声环境功能区划分规定，本项目所在地处于</w:t>
            </w:r>
            <w:r>
              <w:rPr>
                <w:rFonts w:hint="eastAsia"/>
                <w:sz w:val="24"/>
              </w:rPr>
              <w:t>2</w:t>
            </w:r>
            <w:r>
              <w:rPr>
                <w:sz w:val="24"/>
              </w:rPr>
              <w:t>类声环境功能区</w:t>
            </w:r>
            <w:r>
              <w:rPr>
                <w:rFonts w:hint="eastAsia"/>
                <w:sz w:val="24"/>
              </w:rPr>
              <w:t>。</w:t>
            </w:r>
            <w:r>
              <w:rPr>
                <w:sz w:val="24"/>
              </w:rPr>
              <w:t>根据现场实测，项目所在区域昼间噪声为</w:t>
            </w:r>
            <w:r>
              <w:rPr>
                <w:rFonts w:hint="eastAsia"/>
                <w:sz w:val="24"/>
              </w:rPr>
              <w:t>55.1-57.6</w:t>
            </w:r>
            <w:r>
              <w:rPr>
                <w:sz w:val="24"/>
              </w:rPr>
              <w:t>dB(A)、夜间噪声为</w:t>
            </w:r>
            <w:r>
              <w:rPr>
                <w:rFonts w:hint="eastAsia"/>
                <w:sz w:val="24"/>
              </w:rPr>
              <w:t>44-48.1</w:t>
            </w:r>
            <w:r>
              <w:rPr>
                <w:sz w:val="24"/>
              </w:rPr>
              <w:t>dB(A)，现状值均能够满足《声环境质量标准》（GB3096-2008）</w:t>
            </w:r>
            <w:r>
              <w:rPr>
                <w:rFonts w:hint="eastAsia"/>
                <w:sz w:val="24"/>
              </w:rPr>
              <w:t>2</w:t>
            </w:r>
            <w:r>
              <w:rPr>
                <w:sz w:val="24"/>
              </w:rPr>
              <w:t>类标准昼间6</w:t>
            </w:r>
            <w:r>
              <w:rPr>
                <w:rFonts w:hint="eastAsia"/>
                <w:sz w:val="24"/>
              </w:rPr>
              <w:t>0</w:t>
            </w:r>
            <w:r>
              <w:rPr>
                <w:sz w:val="24"/>
              </w:rPr>
              <w:t>dB(A)、夜间5</w:t>
            </w:r>
            <w:r>
              <w:rPr>
                <w:rFonts w:hint="eastAsia"/>
                <w:sz w:val="24"/>
              </w:rPr>
              <w:t>0</w:t>
            </w:r>
            <w:r>
              <w:rPr>
                <w:sz w:val="24"/>
              </w:rPr>
              <w:t>dB(A)的标准要求，区域声环境质量较好。</w:t>
            </w:r>
          </w:p>
          <w:p>
            <w:pPr>
              <w:spacing w:line="480" w:lineRule="exact"/>
              <w:ind w:firstLine="479"/>
              <w:jc w:val="left"/>
              <w:rPr>
                <w:b/>
                <w:sz w:val="24"/>
                <w:szCs w:val="20"/>
              </w:rPr>
            </w:pPr>
            <w:r>
              <w:rPr>
                <w:rFonts w:hint="eastAsia"/>
                <w:b/>
                <w:sz w:val="24"/>
                <w:szCs w:val="20"/>
              </w:rPr>
              <w:t>5</w:t>
            </w:r>
            <w:r>
              <w:rPr>
                <w:b/>
                <w:sz w:val="24"/>
                <w:szCs w:val="20"/>
              </w:rPr>
              <w:t>、生态环境现状</w:t>
            </w:r>
          </w:p>
          <w:p>
            <w:pPr>
              <w:snapToGrid w:val="0"/>
              <w:spacing w:line="480" w:lineRule="exact"/>
              <w:ind w:firstLine="480"/>
              <w:jc w:val="left"/>
              <w:rPr>
                <w:sz w:val="24"/>
                <w:szCs w:val="20"/>
              </w:rPr>
            </w:pPr>
            <w:r>
              <w:rPr>
                <w:sz w:val="24"/>
                <w:szCs w:val="20"/>
              </w:rPr>
              <w:t>本项目区域生态系统以农业生态系统为主，项目所在地主要种植</w:t>
            </w:r>
            <w:r>
              <w:rPr>
                <w:rFonts w:hint="eastAsia"/>
                <w:sz w:val="24"/>
                <w:szCs w:val="20"/>
              </w:rPr>
              <w:t>树林</w:t>
            </w:r>
            <w:r>
              <w:rPr>
                <w:sz w:val="24"/>
                <w:szCs w:val="20"/>
              </w:rPr>
              <w:t>，生态环境较好。评价区域内无重点保护的野生动植物、风景名胜区、自然保护区及文化遗产等特殊保护目标。</w:t>
            </w: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ind w:firstLine="480"/>
              <w:jc w:val="left"/>
              <w:rPr>
                <w:sz w:val="24"/>
                <w:szCs w:val="20"/>
              </w:rPr>
            </w:pPr>
          </w:p>
          <w:p>
            <w:pPr>
              <w:snapToGrid w:val="0"/>
              <w:spacing w:line="480" w:lineRule="exact"/>
              <w:jc w:val="left"/>
              <w:rPr>
                <w:sz w:val="24"/>
                <w:szCs w:val="20"/>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CellMar>
            <w:top w:w="0" w:type="dxa"/>
            <w:left w:w="108" w:type="dxa"/>
            <w:bottom w:w="0" w:type="dxa"/>
            <w:right w:w="108" w:type="dxa"/>
          </w:tblCellMar>
        </w:tblPrEx>
        <w:trPr>
          <w:trHeight w:val="7037" w:hRule="atLeast"/>
          <w:jc w:val="center"/>
        </w:trPr>
        <w:tc>
          <w:tcPr>
            <w:tcW w:w="9596" w:type="dxa"/>
            <w:shd w:val="clear" w:color="auto" w:fill="auto"/>
          </w:tcPr>
          <w:p>
            <w:pPr>
              <w:snapToGrid w:val="0"/>
              <w:spacing w:line="440" w:lineRule="exact"/>
              <w:rPr>
                <w:b/>
                <w:sz w:val="24"/>
              </w:rPr>
            </w:pPr>
            <w:r>
              <w:rPr>
                <w:b/>
                <w:sz w:val="24"/>
              </w:rPr>
              <w:t>主要环境保护目标（列出名单及保护级别）：</w:t>
            </w:r>
          </w:p>
          <w:p>
            <w:pPr>
              <w:snapToGrid w:val="0"/>
              <w:spacing w:line="440" w:lineRule="exact"/>
              <w:ind w:firstLine="480"/>
              <w:rPr>
                <w:sz w:val="24"/>
              </w:rPr>
            </w:pPr>
            <w:r>
              <w:rPr>
                <w:sz w:val="24"/>
              </w:rPr>
              <w:t>项目厂界四周范围的环境敏感点见</w:t>
            </w:r>
            <w:r>
              <w:rPr>
                <w:rFonts w:hint="eastAsia"/>
                <w:sz w:val="24"/>
              </w:rPr>
              <w:t>下表</w:t>
            </w:r>
            <w:r>
              <w:rPr>
                <w:sz w:val="24"/>
              </w:rPr>
              <w:t>。</w:t>
            </w:r>
          </w:p>
          <w:p>
            <w:pPr>
              <w:pStyle w:val="3"/>
              <w:keepNext/>
              <w:spacing w:line="440" w:lineRule="exact"/>
              <w:ind w:firstLine="600"/>
              <w:jc w:val="left"/>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22</w:t>
            </w:r>
            <w:r>
              <w:rPr>
                <w:rFonts w:ascii="Times New Roman" w:hAnsi="Times New Roman"/>
                <w:sz w:val="24"/>
                <w:szCs w:val="24"/>
              </w:rPr>
              <w:t xml:space="preserve">      </w:t>
            </w:r>
            <w:r>
              <w:rPr>
                <w:rFonts w:hint="eastAsia" w:ascii="Times New Roman" w:hAnsi="Times New Roman"/>
                <w:sz w:val="24"/>
                <w:szCs w:val="24"/>
              </w:rPr>
              <w:t xml:space="preserve">                            </w:t>
            </w:r>
            <w:r>
              <w:rPr>
                <w:rFonts w:ascii="Times New Roman" w:hAnsi="Times New Roman"/>
                <w:sz w:val="24"/>
                <w:szCs w:val="24"/>
              </w:rPr>
              <w:t>项目四周环境敏感点</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875"/>
              <w:gridCol w:w="727"/>
              <w:gridCol w:w="583"/>
              <w:gridCol w:w="875"/>
              <w:gridCol w:w="728"/>
              <w:gridCol w:w="727"/>
              <w:gridCol w:w="875"/>
              <w:gridCol w:w="276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1071" w:type="dxa"/>
                  <w:vMerge w:val="restart"/>
                  <w:vAlign w:val="center"/>
                </w:tcPr>
                <w:p>
                  <w:pPr>
                    <w:spacing w:line="280" w:lineRule="exact"/>
                    <w:jc w:val="center"/>
                    <w:rPr>
                      <w:b/>
                      <w:szCs w:val="21"/>
                    </w:rPr>
                  </w:pPr>
                  <w:r>
                    <w:rPr>
                      <w:b/>
                      <w:szCs w:val="21"/>
                    </w:rPr>
                    <w:t>保护类别</w:t>
                  </w:r>
                </w:p>
              </w:tc>
              <w:tc>
                <w:tcPr>
                  <w:tcW w:w="875" w:type="dxa"/>
                  <w:vMerge w:val="restart"/>
                  <w:vAlign w:val="center"/>
                </w:tcPr>
                <w:p>
                  <w:pPr>
                    <w:spacing w:line="280" w:lineRule="exact"/>
                    <w:jc w:val="center"/>
                    <w:rPr>
                      <w:b/>
                      <w:szCs w:val="21"/>
                    </w:rPr>
                  </w:pPr>
                  <w:r>
                    <w:rPr>
                      <w:b/>
                      <w:szCs w:val="21"/>
                    </w:rPr>
                    <w:t>敏感点名称</w:t>
                  </w:r>
                </w:p>
              </w:tc>
              <w:tc>
                <w:tcPr>
                  <w:tcW w:w="1310" w:type="dxa"/>
                  <w:gridSpan w:val="2"/>
                  <w:vAlign w:val="center"/>
                </w:tcPr>
                <w:p>
                  <w:pPr>
                    <w:spacing w:line="280" w:lineRule="exact"/>
                    <w:jc w:val="center"/>
                    <w:rPr>
                      <w:b/>
                      <w:szCs w:val="21"/>
                    </w:rPr>
                  </w:pPr>
                  <w:r>
                    <w:rPr>
                      <w:b/>
                      <w:szCs w:val="21"/>
                    </w:rPr>
                    <w:t>相对坐标</w:t>
                  </w:r>
                </w:p>
              </w:tc>
              <w:tc>
                <w:tcPr>
                  <w:tcW w:w="875" w:type="dxa"/>
                  <w:vMerge w:val="restart"/>
                  <w:vAlign w:val="center"/>
                </w:tcPr>
                <w:p>
                  <w:pPr>
                    <w:spacing w:line="280" w:lineRule="exact"/>
                    <w:jc w:val="center"/>
                    <w:rPr>
                      <w:b/>
                      <w:szCs w:val="21"/>
                    </w:rPr>
                  </w:pPr>
                  <w:r>
                    <w:rPr>
                      <w:b/>
                      <w:szCs w:val="21"/>
                    </w:rPr>
                    <w:t>保护对象</w:t>
                  </w:r>
                </w:p>
              </w:tc>
              <w:tc>
                <w:tcPr>
                  <w:tcW w:w="728" w:type="dxa"/>
                  <w:vMerge w:val="restart"/>
                  <w:vAlign w:val="center"/>
                </w:tcPr>
                <w:p>
                  <w:pPr>
                    <w:spacing w:line="280" w:lineRule="exact"/>
                    <w:jc w:val="center"/>
                    <w:rPr>
                      <w:b/>
                      <w:szCs w:val="21"/>
                    </w:rPr>
                  </w:pPr>
                  <w:r>
                    <w:rPr>
                      <w:b/>
                      <w:szCs w:val="21"/>
                    </w:rPr>
                    <w:t>保护内容</w:t>
                  </w:r>
                </w:p>
              </w:tc>
              <w:tc>
                <w:tcPr>
                  <w:tcW w:w="727" w:type="dxa"/>
                  <w:vMerge w:val="restart"/>
                  <w:vAlign w:val="center"/>
                </w:tcPr>
                <w:p>
                  <w:pPr>
                    <w:spacing w:line="280" w:lineRule="exact"/>
                    <w:jc w:val="center"/>
                    <w:rPr>
                      <w:b/>
                      <w:szCs w:val="21"/>
                    </w:rPr>
                  </w:pPr>
                  <w:r>
                    <w:rPr>
                      <w:b/>
                      <w:szCs w:val="21"/>
                    </w:rPr>
                    <w:t>方 向</w:t>
                  </w:r>
                </w:p>
              </w:tc>
              <w:tc>
                <w:tcPr>
                  <w:tcW w:w="875" w:type="dxa"/>
                  <w:vMerge w:val="restart"/>
                  <w:vAlign w:val="center"/>
                </w:tcPr>
                <w:p>
                  <w:pPr>
                    <w:spacing w:line="280" w:lineRule="exact"/>
                    <w:jc w:val="center"/>
                    <w:rPr>
                      <w:b/>
                      <w:szCs w:val="21"/>
                    </w:rPr>
                  </w:pPr>
                  <w:r>
                    <w:rPr>
                      <w:b/>
                      <w:szCs w:val="21"/>
                    </w:rPr>
                    <w:t>距 离(</w:t>
                  </w:r>
                  <w:r>
                    <w:rPr>
                      <w:szCs w:val="21"/>
                    </w:rPr>
                    <w:t>m)</w:t>
                  </w:r>
                </w:p>
              </w:tc>
              <w:tc>
                <w:tcPr>
                  <w:tcW w:w="2764" w:type="dxa"/>
                  <w:vMerge w:val="restart"/>
                  <w:vAlign w:val="center"/>
                </w:tcPr>
                <w:p>
                  <w:pPr>
                    <w:spacing w:line="280" w:lineRule="exact"/>
                    <w:jc w:val="center"/>
                    <w:rPr>
                      <w:b/>
                      <w:szCs w:val="21"/>
                    </w:rPr>
                  </w:pPr>
                  <w:r>
                    <w:rPr>
                      <w:b/>
                      <w:szCs w:val="21"/>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continue"/>
                  <w:vAlign w:val="center"/>
                </w:tcPr>
                <w:p>
                  <w:pPr>
                    <w:spacing w:line="280" w:lineRule="exact"/>
                    <w:jc w:val="center"/>
                    <w:rPr>
                      <w:b/>
                      <w:szCs w:val="21"/>
                    </w:rPr>
                  </w:pPr>
                </w:p>
              </w:tc>
              <w:tc>
                <w:tcPr>
                  <w:tcW w:w="875" w:type="dxa"/>
                  <w:vMerge w:val="continue"/>
                  <w:vAlign w:val="center"/>
                </w:tcPr>
                <w:p>
                  <w:pPr>
                    <w:spacing w:line="280" w:lineRule="exact"/>
                    <w:jc w:val="center"/>
                    <w:rPr>
                      <w:b/>
                      <w:szCs w:val="21"/>
                    </w:rPr>
                  </w:pPr>
                </w:p>
              </w:tc>
              <w:tc>
                <w:tcPr>
                  <w:tcW w:w="727" w:type="dxa"/>
                  <w:vAlign w:val="center"/>
                </w:tcPr>
                <w:p>
                  <w:pPr>
                    <w:spacing w:line="280" w:lineRule="exact"/>
                    <w:jc w:val="center"/>
                    <w:rPr>
                      <w:b/>
                      <w:szCs w:val="21"/>
                    </w:rPr>
                  </w:pPr>
                  <w:r>
                    <w:rPr>
                      <w:b/>
                      <w:szCs w:val="21"/>
                    </w:rPr>
                    <w:t>X</w:t>
                  </w:r>
                </w:p>
              </w:tc>
              <w:tc>
                <w:tcPr>
                  <w:tcW w:w="583" w:type="dxa"/>
                  <w:vAlign w:val="center"/>
                </w:tcPr>
                <w:p>
                  <w:pPr>
                    <w:spacing w:line="280" w:lineRule="exact"/>
                    <w:jc w:val="center"/>
                    <w:rPr>
                      <w:b/>
                      <w:szCs w:val="21"/>
                    </w:rPr>
                  </w:pPr>
                  <w:r>
                    <w:rPr>
                      <w:b/>
                      <w:szCs w:val="21"/>
                    </w:rPr>
                    <w:t>Y</w:t>
                  </w:r>
                </w:p>
              </w:tc>
              <w:tc>
                <w:tcPr>
                  <w:tcW w:w="875" w:type="dxa"/>
                  <w:vMerge w:val="continue"/>
                  <w:vAlign w:val="center"/>
                </w:tcPr>
                <w:p>
                  <w:pPr>
                    <w:spacing w:line="280" w:lineRule="exact"/>
                    <w:jc w:val="center"/>
                    <w:rPr>
                      <w:b/>
                      <w:szCs w:val="21"/>
                    </w:rPr>
                  </w:pPr>
                </w:p>
              </w:tc>
              <w:tc>
                <w:tcPr>
                  <w:tcW w:w="728" w:type="dxa"/>
                  <w:vMerge w:val="continue"/>
                  <w:vAlign w:val="center"/>
                </w:tcPr>
                <w:p>
                  <w:pPr>
                    <w:spacing w:line="280" w:lineRule="exact"/>
                    <w:jc w:val="center"/>
                    <w:rPr>
                      <w:b/>
                      <w:szCs w:val="21"/>
                    </w:rPr>
                  </w:pPr>
                </w:p>
              </w:tc>
              <w:tc>
                <w:tcPr>
                  <w:tcW w:w="727" w:type="dxa"/>
                  <w:vMerge w:val="continue"/>
                  <w:vAlign w:val="center"/>
                </w:tcPr>
                <w:p>
                  <w:pPr>
                    <w:spacing w:line="280" w:lineRule="exact"/>
                    <w:jc w:val="center"/>
                    <w:rPr>
                      <w:b/>
                      <w:szCs w:val="21"/>
                    </w:rPr>
                  </w:pPr>
                </w:p>
              </w:tc>
              <w:tc>
                <w:tcPr>
                  <w:tcW w:w="875" w:type="dxa"/>
                  <w:vMerge w:val="continue"/>
                  <w:vAlign w:val="center"/>
                </w:tcPr>
                <w:p>
                  <w:pPr>
                    <w:spacing w:line="280" w:lineRule="exact"/>
                    <w:jc w:val="center"/>
                    <w:rPr>
                      <w:b/>
                      <w:szCs w:val="21"/>
                    </w:rPr>
                  </w:pPr>
                </w:p>
              </w:tc>
              <w:tc>
                <w:tcPr>
                  <w:tcW w:w="2764" w:type="dxa"/>
                  <w:vMerge w:val="continue"/>
                  <w:vAlign w:val="center"/>
                </w:tcPr>
                <w:p>
                  <w:pPr>
                    <w:spacing w:line="280" w:lineRule="exact"/>
                    <w:jc w:val="center"/>
                    <w:rPr>
                      <w:b/>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restart"/>
                  <w:vAlign w:val="center"/>
                </w:tcPr>
                <w:p>
                  <w:pPr>
                    <w:adjustRightInd w:val="0"/>
                    <w:snapToGrid w:val="0"/>
                    <w:spacing w:line="280" w:lineRule="exact"/>
                    <w:jc w:val="center"/>
                    <w:rPr>
                      <w:szCs w:val="21"/>
                    </w:rPr>
                  </w:pPr>
                  <w:r>
                    <w:rPr>
                      <w:szCs w:val="21"/>
                    </w:rPr>
                    <w:t>声环境、</w:t>
                  </w:r>
                </w:p>
                <w:p>
                  <w:pPr>
                    <w:spacing w:line="280" w:lineRule="exact"/>
                    <w:jc w:val="center"/>
                    <w:rPr>
                      <w:szCs w:val="21"/>
                    </w:rPr>
                  </w:pPr>
                  <w:r>
                    <w:rPr>
                      <w:szCs w:val="21"/>
                    </w:rPr>
                    <w:t>大气环境</w:t>
                  </w:r>
                </w:p>
              </w:tc>
              <w:tc>
                <w:tcPr>
                  <w:tcW w:w="875" w:type="dxa"/>
                  <w:vAlign w:val="center"/>
                </w:tcPr>
                <w:p>
                  <w:pPr>
                    <w:spacing w:line="280" w:lineRule="exact"/>
                    <w:jc w:val="center"/>
                    <w:rPr>
                      <w:szCs w:val="21"/>
                    </w:rPr>
                  </w:pPr>
                  <w:r>
                    <w:rPr>
                      <w:szCs w:val="21"/>
                    </w:rPr>
                    <w:t>小块村居民</w:t>
                  </w:r>
                </w:p>
              </w:tc>
              <w:tc>
                <w:tcPr>
                  <w:tcW w:w="727" w:type="dxa"/>
                  <w:vAlign w:val="center"/>
                </w:tcPr>
                <w:p>
                  <w:pPr>
                    <w:spacing w:line="280" w:lineRule="exact"/>
                    <w:jc w:val="center"/>
                    <w:rPr>
                      <w:szCs w:val="21"/>
                    </w:rPr>
                  </w:pPr>
                  <w:r>
                    <w:rPr>
                      <w:rFonts w:hint="eastAsia"/>
                      <w:szCs w:val="21"/>
                    </w:rPr>
                    <w:t>530</w:t>
                  </w:r>
                </w:p>
              </w:tc>
              <w:tc>
                <w:tcPr>
                  <w:tcW w:w="583" w:type="dxa"/>
                  <w:vAlign w:val="center"/>
                </w:tcPr>
                <w:p>
                  <w:pPr>
                    <w:spacing w:line="280" w:lineRule="exact"/>
                    <w:jc w:val="center"/>
                    <w:rPr>
                      <w:szCs w:val="21"/>
                    </w:rPr>
                  </w:pPr>
                  <w:r>
                    <w:rPr>
                      <w:rFonts w:hint="eastAsia"/>
                      <w:szCs w:val="21"/>
                    </w:rPr>
                    <w:t>0</w:t>
                  </w:r>
                </w:p>
              </w:tc>
              <w:tc>
                <w:tcPr>
                  <w:tcW w:w="875" w:type="dxa"/>
                  <w:vAlign w:val="center"/>
                </w:tcPr>
                <w:p>
                  <w:pPr>
                    <w:spacing w:line="280" w:lineRule="exact"/>
                    <w:jc w:val="center"/>
                    <w:rPr>
                      <w:szCs w:val="21"/>
                    </w:rPr>
                  </w:pPr>
                  <w:r>
                    <w:rPr>
                      <w:szCs w:val="21"/>
                    </w:rPr>
                    <w:t>小块村居民</w:t>
                  </w:r>
                </w:p>
              </w:tc>
              <w:tc>
                <w:tcPr>
                  <w:tcW w:w="728" w:type="dxa"/>
                  <w:vAlign w:val="center"/>
                </w:tcPr>
                <w:p>
                  <w:pPr>
                    <w:spacing w:line="280" w:lineRule="exact"/>
                    <w:jc w:val="center"/>
                    <w:rPr>
                      <w:szCs w:val="21"/>
                    </w:rPr>
                  </w:pPr>
                  <w:r>
                    <w:rPr>
                      <w:szCs w:val="21"/>
                    </w:rPr>
                    <w:t>居民</w:t>
                  </w:r>
                </w:p>
              </w:tc>
              <w:tc>
                <w:tcPr>
                  <w:tcW w:w="727" w:type="dxa"/>
                  <w:vAlign w:val="center"/>
                </w:tcPr>
                <w:p>
                  <w:pPr>
                    <w:spacing w:line="280" w:lineRule="exact"/>
                    <w:jc w:val="center"/>
                    <w:rPr>
                      <w:szCs w:val="21"/>
                    </w:rPr>
                  </w:pPr>
                  <w:r>
                    <w:rPr>
                      <w:szCs w:val="21"/>
                    </w:rPr>
                    <w:t>东</w:t>
                  </w:r>
                </w:p>
              </w:tc>
              <w:tc>
                <w:tcPr>
                  <w:tcW w:w="875" w:type="dxa"/>
                  <w:vAlign w:val="center"/>
                </w:tcPr>
                <w:p>
                  <w:pPr>
                    <w:adjustRightInd w:val="0"/>
                    <w:snapToGrid w:val="0"/>
                    <w:spacing w:line="280" w:lineRule="exact"/>
                    <w:jc w:val="center"/>
                    <w:rPr>
                      <w:szCs w:val="21"/>
                    </w:rPr>
                  </w:pPr>
                  <w:r>
                    <w:rPr>
                      <w:rFonts w:hint="eastAsia"/>
                      <w:szCs w:val="21"/>
                    </w:rPr>
                    <w:t>530</w:t>
                  </w:r>
                </w:p>
              </w:tc>
              <w:tc>
                <w:tcPr>
                  <w:tcW w:w="2764" w:type="dxa"/>
                  <w:vAlign w:val="center"/>
                </w:tcPr>
                <w:p>
                  <w:pPr>
                    <w:adjustRightInd w:val="0"/>
                    <w:snapToGrid w:val="0"/>
                    <w:spacing w:line="280" w:lineRule="exact"/>
                    <w:jc w:val="center"/>
                    <w:rPr>
                      <w:szCs w:val="21"/>
                    </w:rPr>
                  </w:pPr>
                  <w:r>
                    <w:rPr>
                      <w:szCs w:val="21"/>
                    </w:rPr>
                    <w:t>《声环境质量标准》（GB3096-2008）2类标准</w:t>
                  </w:r>
                </w:p>
                <w:p>
                  <w:pPr>
                    <w:adjustRightInd w:val="0"/>
                    <w:snapToGrid w:val="0"/>
                    <w:spacing w:line="280" w:lineRule="exact"/>
                    <w:jc w:val="center"/>
                    <w:rPr>
                      <w:szCs w:val="21"/>
                    </w:rPr>
                  </w:pPr>
                  <w:r>
                    <w:rPr>
                      <w:szCs w:val="21"/>
                    </w:rPr>
                    <w:t>《环境空气质量标准》（GB3095-2012）二级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continue"/>
                  <w:vAlign w:val="center"/>
                </w:tcPr>
                <w:p>
                  <w:pPr>
                    <w:spacing w:line="280" w:lineRule="exact"/>
                    <w:jc w:val="center"/>
                    <w:rPr>
                      <w:szCs w:val="21"/>
                    </w:rPr>
                  </w:pPr>
                </w:p>
              </w:tc>
              <w:tc>
                <w:tcPr>
                  <w:tcW w:w="875" w:type="dxa"/>
                  <w:vAlign w:val="center"/>
                </w:tcPr>
                <w:p>
                  <w:pPr>
                    <w:spacing w:line="280" w:lineRule="exact"/>
                    <w:jc w:val="center"/>
                    <w:rPr>
                      <w:szCs w:val="21"/>
                    </w:rPr>
                  </w:pPr>
                  <w:r>
                    <w:rPr>
                      <w:szCs w:val="21"/>
                    </w:rPr>
                    <w:t>小块第四小学</w:t>
                  </w:r>
                </w:p>
              </w:tc>
              <w:tc>
                <w:tcPr>
                  <w:tcW w:w="727" w:type="dxa"/>
                  <w:vAlign w:val="center"/>
                </w:tcPr>
                <w:p>
                  <w:pPr>
                    <w:spacing w:line="280" w:lineRule="exact"/>
                    <w:jc w:val="center"/>
                    <w:rPr>
                      <w:szCs w:val="21"/>
                    </w:rPr>
                  </w:pPr>
                  <w:r>
                    <w:rPr>
                      <w:rFonts w:hint="eastAsia"/>
                      <w:szCs w:val="21"/>
                    </w:rPr>
                    <w:t>510</w:t>
                  </w:r>
                </w:p>
              </w:tc>
              <w:tc>
                <w:tcPr>
                  <w:tcW w:w="583" w:type="dxa"/>
                  <w:vAlign w:val="center"/>
                </w:tcPr>
                <w:p>
                  <w:pPr>
                    <w:spacing w:line="280" w:lineRule="exact"/>
                    <w:jc w:val="center"/>
                    <w:rPr>
                      <w:szCs w:val="21"/>
                    </w:rPr>
                  </w:pPr>
                  <w:r>
                    <w:rPr>
                      <w:rFonts w:hint="eastAsia"/>
                      <w:szCs w:val="21"/>
                    </w:rPr>
                    <w:t>-50</w:t>
                  </w:r>
                </w:p>
              </w:tc>
              <w:tc>
                <w:tcPr>
                  <w:tcW w:w="875" w:type="dxa"/>
                  <w:vAlign w:val="center"/>
                </w:tcPr>
                <w:p>
                  <w:pPr>
                    <w:spacing w:line="280" w:lineRule="exact"/>
                    <w:jc w:val="center"/>
                    <w:rPr>
                      <w:szCs w:val="21"/>
                    </w:rPr>
                  </w:pPr>
                  <w:r>
                    <w:rPr>
                      <w:szCs w:val="21"/>
                    </w:rPr>
                    <w:t>小块第四小学</w:t>
                  </w:r>
                </w:p>
              </w:tc>
              <w:tc>
                <w:tcPr>
                  <w:tcW w:w="728" w:type="dxa"/>
                  <w:vAlign w:val="center"/>
                </w:tcPr>
                <w:p>
                  <w:pPr>
                    <w:spacing w:line="280" w:lineRule="exact"/>
                    <w:jc w:val="center"/>
                    <w:rPr>
                      <w:szCs w:val="21"/>
                    </w:rPr>
                  </w:pPr>
                  <w:r>
                    <w:rPr>
                      <w:rFonts w:hint="eastAsia"/>
                      <w:szCs w:val="21"/>
                    </w:rPr>
                    <w:t>学校</w:t>
                  </w:r>
                </w:p>
              </w:tc>
              <w:tc>
                <w:tcPr>
                  <w:tcW w:w="727" w:type="dxa"/>
                  <w:vAlign w:val="center"/>
                </w:tcPr>
                <w:p>
                  <w:pPr>
                    <w:spacing w:line="280" w:lineRule="exact"/>
                    <w:jc w:val="center"/>
                    <w:rPr>
                      <w:szCs w:val="21"/>
                    </w:rPr>
                  </w:pPr>
                  <w:r>
                    <w:rPr>
                      <w:szCs w:val="21"/>
                    </w:rPr>
                    <w:t>东南</w:t>
                  </w:r>
                </w:p>
              </w:tc>
              <w:tc>
                <w:tcPr>
                  <w:tcW w:w="875" w:type="dxa"/>
                  <w:vAlign w:val="center"/>
                </w:tcPr>
                <w:p>
                  <w:pPr>
                    <w:adjustRightInd w:val="0"/>
                    <w:snapToGrid w:val="0"/>
                    <w:spacing w:line="280" w:lineRule="exact"/>
                    <w:jc w:val="center"/>
                    <w:rPr>
                      <w:szCs w:val="21"/>
                    </w:rPr>
                  </w:pPr>
                  <w:r>
                    <w:rPr>
                      <w:szCs w:val="21"/>
                    </w:rPr>
                    <w:t>5</w:t>
                  </w:r>
                  <w:r>
                    <w:rPr>
                      <w:rFonts w:hint="eastAsia"/>
                      <w:szCs w:val="21"/>
                    </w:rPr>
                    <w:t>20</w:t>
                  </w:r>
                </w:p>
              </w:tc>
              <w:tc>
                <w:tcPr>
                  <w:tcW w:w="2764" w:type="dxa"/>
                  <w:vAlign w:val="center"/>
                </w:tcPr>
                <w:p>
                  <w:pPr>
                    <w:adjustRightInd w:val="0"/>
                    <w:snapToGrid w:val="0"/>
                    <w:spacing w:line="280" w:lineRule="exact"/>
                    <w:jc w:val="center"/>
                    <w:rPr>
                      <w:szCs w:val="21"/>
                    </w:rPr>
                  </w:pPr>
                  <w:r>
                    <w:rPr>
                      <w:szCs w:val="21"/>
                    </w:rPr>
                    <w:t>《声环境质量标准》（GB3096-2008）</w:t>
                  </w:r>
                  <w:r>
                    <w:rPr>
                      <w:rFonts w:hint="eastAsia"/>
                      <w:szCs w:val="21"/>
                    </w:rPr>
                    <w:t>1</w:t>
                  </w:r>
                  <w:r>
                    <w:rPr>
                      <w:szCs w:val="21"/>
                    </w:rPr>
                    <w:t>类标准</w:t>
                  </w:r>
                </w:p>
                <w:p>
                  <w:pPr>
                    <w:adjustRightInd w:val="0"/>
                    <w:snapToGrid w:val="0"/>
                    <w:spacing w:line="280" w:lineRule="exact"/>
                    <w:jc w:val="center"/>
                    <w:rPr>
                      <w:szCs w:val="21"/>
                    </w:rPr>
                  </w:pPr>
                  <w:r>
                    <w:rPr>
                      <w:szCs w:val="21"/>
                    </w:rPr>
                    <w:t>《环境空气质量标准》（GB3095-2012）二级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restart"/>
                  <w:vAlign w:val="center"/>
                </w:tcPr>
                <w:p>
                  <w:pPr>
                    <w:adjustRightInd w:val="0"/>
                    <w:snapToGrid w:val="0"/>
                    <w:spacing w:line="280" w:lineRule="exact"/>
                    <w:jc w:val="center"/>
                    <w:rPr>
                      <w:szCs w:val="21"/>
                    </w:rPr>
                  </w:pPr>
                  <w:r>
                    <w:rPr>
                      <w:szCs w:val="21"/>
                    </w:rPr>
                    <w:t>饮用水水源地</w:t>
                  </w:r>
                </w:p>
              </w:tc>
              <w:tc>
                <w:tcPr>
                  <w:tcW w:w="3788" w:type="dxa"/>
                  <w:gridSpan w:val="5"/>
                  <w:vAlign w:val="center"/>
                </w:tcPr>
                <w:p>
                  <w:pPr>
                    <w:adjustRightInd w:val="0"/>
                    <w:snapToGrid w:val="0"/>
                    <w:spacing w:line="280" w:lineRule="exact"/>
                    <w:jc w:val="center"/>
                    <w:rPr>
                      <w:kern w:val="0"/>
                      <w:szCs w:val="21"/>
                    </w:rPr>
                  </w:pPr>
                  <w:r>
                    <w:rPr>
                      <w:rFonts w:hint="eastAsia"/>
                    </w:rPr>
                    <w:t>孟庄镇孟庄村地下水井群</w:t>
                  </w:r>
                </w:p>
              </w:tc>
              <w:tc>
                <w:tcPr>
                  <w:tcW w:w="727" w:type="dxa"/>
                  <w:vAlign w:val="center"/>
                </w:tcPr>
                <w:p>
                  <w:pPr>
                    <w:spacing w:line="280" w:lineRule="exact"/>
                    <w:jc w:val="center"/>
                    <w:rPr>
                      <w:szCs w:val="21"/>
                    </w:rPr>
                  </w:pPr>
                  <w:r>
                    <w:rPr>
                      <w:szCs w:val="21"/>
                    </w:rPr>
                    <w:t>东北</w:t>
                  </w:r>
                </w:p>
              </w:tc>
              <w:tc>
                <w:tcPr>
                  <w:tcW w:w="875" w:type="dxa"/>
                  <w:vAlign w:val="center"/>
                </w:tcPr>
                <w:p>
                  <w:pPr>
                    <w:spacing w:line="280" w:lineRule="exact"/>
                    <w:jc w:val="center"/>
                    <w:rPr>
                      <w:szCs w:val="21"/>
                    </w:rPr>
                  </w:pPr>
                  <w:r>
                    <w:rPr>
                      <w:rFonts w:hint="eastAsia"/>
                      <w:szCs w:val="21"/>
                    </w:rPr>
                    <w:t>5800</w:t>
                  </w:r>
                </w:p>
              </w:tc>
              <w:tc>
                <w:tcPr>
                  <w:tcW w:w="2764" w:type="dxa"/>
                  <w:vMerge w:val="restart"/>
                  <w:vAlign w:val="center"/>
                </w:tcPr>
                <w:p>
                  <w:pPr>
                    <w:adjustRightInd w:val="0"/>
                    <w:snapToGrid w:val="0"/>
                    <w:spacing w:line="280" w:lineRule="exact"/>
                    <w:jc w:val="center"/>
                    <w:rPr>
                      <w:szCs w:val="21"/>
                    </w:rPr>
                  </w:pPr>
                  <w:r>
                    <w:rPr>
                      <w:szCs w:val="21"/>
                    </w:rPr>
                    <w:t>地下水饮用水源二级保护区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continue"/>
                  <w:vAlign w:val="center"/>
                </w:tcPr>
                <w:p>
                  <w:pPr>
                    <w:adjustRightInd w:val="0"/>
                    <w:snapToGrid w:val="0"/>
                    <w:spacing w:line="280" w:lineRule="exact"/>
                    <w:jc w:val="center"/>
                    <w:rPr>
                      <w:szCs w:val="21"/>
                    </w:rPr>
                  </w:pPr>
                </w:p>
              </w:tc>
              <w:tc>
                <w:tcPr>
                  <w:tcW w:w="3788" w:type="dxa"/>
                  <w:gridSpan w:val="5"/>
                  <w:vAlign w:val="center"/>
                </w:tcPr>
                <w:p>
                  <w:pPr>
                    <w:adjustRightInd w:val="0"/>
                    <w:snapToGrid w:val="0"/>
                    <w:spacing w:line="280" w:lineRule="exact"/>
                    <w:jc w:val="center"/>
                  </w:pPr>
                  <w:r>
                    <w:rPr>
                      <w:bCs/>
                      <w:color w:val="000000"/>
                      <w:szCs w:val="21"/>
                    </w:rPr>
                    <w:t>凤泉水厂地下水饮用水源保护区</w:t>
                  </w:r>
                </w:p>
              </w:tc>
              <w:tc>
                <w:tcPr>
                  <w:tcW w:w="727" w:type="dxa"/>
                  <w:vAlign w:val="center"/>
                </w:tcPr>
                <w:p>
                  <w:pPr>
                    <w:spacing w:line="280" w:lineRule="exact"/>
                    <w:jc w:val="center"/>
                    <w:rPr>
                      <w:szCs w:val="21"/>
                    </w:rPr>
                  </w:pPr>
                  <w:r>
                    <w:rPr>
                      <w:szCs w:val="21"/>
                    </w:rPr>
                    <w:t>东北</w:t>
                  </w:r>
                </w:p>
              </w:tc>
              <w:tc>
                <w:tcPr>
                  <w:tcW w:w="875" w:type="dxa"/>
                  <w:vAlign w:val="center"/>
                </w:tcPr>
                <w:p>
                  <w:pPr>
                    <w:spacing w:line="280" w:lineRule="exact"/>
                    <w:jc w:val="center"/>
                    <w:rPr>
                      <w:szCs w:val="21"/>
                    </w:rPr>
                  </w:pPr>
                  <w:r>
                    <w:rPr>
                      <w:rFonts w:hint="eastAsia"/>
                      <w:szCs w:val="21"/>
                    </w:rPr>
                    <w:t>10500</w:t>
                  </w:r>
                </w:p>
              </w:tc>
              <w:tc>
                <w:tcPr>
                  <w:tcW w:w="2764" w:type="dxa"/>
                  <w:vMerge w:val="continue"/>
                  <w:vAlign w:val="center"/>
                </w:tcPr>
                <w:p>
                  <w:pPr>
                    <w:adjustRightInd w:val="0"/>
                    <w:snapToGrid w:val="0"/>
                    <w:spacing w:line="280" w:lineRule="exact"/>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continue"/>
                  <w:vAlign w:val="center"/>
                </w:tcPr>
                <w:p>
                  <w:pPr>
                    <w:adjustRightInd w:val="0"/>
                    <w:snapToGrid w:val="0"/>
                    <w:spacing w:line="280" w:lineRule="exact"/>
                    <w:jc w:val="center"/>
                    <w:rPr>
                      <w:szCs w:val="21"/>
                    </w:rPr>
                  </w:pPr>
                </w:p>
              </w:tc>
              <w:tc>
                <w:tcPr>
                  <w:tcW w:w="3788" w:type="dxa"/>
                  <w:gridSpan w:val="5"/>
                  <w:vAlign w:val="center"/>
                </w:tcPr>
                <w:p>
                  <w:pPr>
                    <w:adjustRightInd w:val="0"/>
                    <w:snapToGrid w:val="0"/>
                    <w:spacing w:line="280" w:lineRule="exact"/>
                    <w:jc w:val="center"/>
                    <w:rPr>
                      <w:kern w:val="0"/>
                      <w:szCs w:val="21"/>
                    </w:rPr>
                  </w:pPr>
                  <w:r>
                    <w:rPr>
                      <w:rFonts w:hint="eastAsia"/>
                      <w:szCs w:val="21"/>
                    </w:rPr>
                    <w:t>南水北调总干渠</w:t>
                  </w:r>
                </w:p>
              </w:tc>
              <w:tc>
                <w:tcPr>
                  <w:tcW w:w="727" w:type="dxa"/>
                  <w:vAlign w:val="center"/>
                </w:tcPr>
                <w:p>
                  <w:pPr>
                    <w:spacing w:line="280" w:lineRule="exact"/>
                    <w:jc w:val="center"/>
                    <w:rPr>
                      <w:szCs w:val="21"/>
                    </w:rPr>
                  </w:pPr>
                  <w:r>
                    <w:rPr>
                      <w:szCs w:val="21"/>
                    </w:rPr>
                    <w:t>北</w:t>
                  </w:r>
                </w:p>
              </w:tc>
              <w:tc>
                <w:tcPr>
                  <w:tcW w:w="875" w:type="dxa"/>
                  <w:vAlign w:val="center"/>
                </w:tcPr>
                <w:p>
                  <w:pPr>
                    <w:spacing w:line="280" w:lineRule="exact"/>
                    <w:jc w:val="center"/>
                    <w:rPr>
                      <w:szCs w:val="21"/>
                    </w:rPr>
                  </w:pPr>
                  <w:r>
                    <w:rPr>
                      <w:rFonts w:hint="eastAsia"/>
                      <w:szCs w:val="21"/>
                    </w:rPr>
                    <w:t>7100</w:t>
                  </w:r>
                </w:p>
              </w:tc>
              <w:tc>
                <w:tcPr>
                  <w:tcW w:w="2764" w:type="dxa"/>
                  <w:vAlign w:val="center"/>
                </w:tcPr>
                <w:p>
                  <w:pPr>
                    <w:adjustRightInd w:val="0"/>
                    <w:snapToGrid w:val="0"/>
                    <w:spacing w:line="280" w:lineRule="exact"/>
                    <w:jc w:val="center"/>
                    <w:rPr>
                      <w:szCs w:val="21"/>
                    </w:rPr>
                  </w:pPr>
                  <w:r>
                    <w:rPr>
                      <w:szCs w:val="21"/>
                    </w:rPr>
                    <w:t>南水北调干渠二级保护区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Align w:val="center"/>
                </w:tcPr>
                <w:p>
                  <w:pPr>
                    <w:spacing w:line="280" w:lineRule="exact"/>
                    <w:jc w:val="center"/>
                    <w:rPr>
                      <w:szCs w:val="21"/>
                    </w:rPr>
                  </w:pPr>
                  <w:r>
                    <w:rPr>
                      <w:szCs w:val="21"/>
                    </w:rPr>
                    <w:t>地表水</w:t>
                  </w:r>
                </w:p>
              </w:tc>
              <w:tc>
                <w:tcPr>
                  <w:tcW w:w="3788" w:type="dxa"/>
                  <w:gridSpan w:val="5"/>
                  <w:vAlign w:val="center"/>
                </w:tcPr>
                <w:p>
                  <w:pPr>
                    <w:spacing w:line="280" w:lineRule="exact"/>
                    <w:jc w:val="center"/>
                    <w:rPr>
                      <w:szCs w:val="21"/>
                    </w:rPr>
                  </w:pPr>
                  <w:r>
                    <w:rPr>
                      <w:rFonts w:hint="eastAsia"/>
                      <w:szCs w:val="21"/>
                    </w:rPr>
                    <w:t>民生渠</w:t>
                  </w:r>
                </w:p>
              </w:tc>
              <w:tc>
                <w:tcPr>
                  <w:tcW w:w="727" w:type="dxa"/>
                  <w:vAlign w:val="center"/>
                </w:tcPr>
                <w:p>
                  <w:pPr>
                    <w:spacing w:line="280" w:lineRule="exact"/>
                    <w:jc w:val="center"/>
                    <w:rPr>
                      <w:szCs w:val="21"/>
                    </w:rPr>
                  </w:pPr>
                  <w:r>
                    <w:rPr>
                      <w:rFonts w:hint="eastAsia"/>
                      <w:szCs w:val="21"/>
                    </w:rPr>
                    <w:t>西</w:t>
                  </w:r>
                </w:p>
              </w:tc>
              <w:tc>
                <w:tcPr>
                  <w:tcW w:w="875" w:type="dxa"/>
                  <w:vAlign w:val="center"/>
                </w:tcPr>
                <w:p>
                  <w:pPr>
                    <w:spacing w:line="280" w:lineRule="exact"/>
                    <w:jc w:val="center"/>
                    <w:rPr>
                      <w:szCs w:val="21"/>
                    </w:rPr>
                  </w:pPr>
                  <w:r>
                    <w:rPr>
                      <w:rFonts w:hint="eastAsia"/>
                      <w:szCs w:val="21"/>
                    </w:rPr>
                    <w:t>420</w:t>
                  </w:r>
                </w:p>
              </w:tc>
              <w:tc>
                <w:tcPr>
                  <w:tcW w:w="2764" w:type="dxa"/>
                  <w:vAlign w:val="center"/>
                </w:tcPr>
                <w:p>
                  <w:pPr>
                    <w:spacing w:line="280" w:lineRule="exact"/>
                    <w:jc w:val="center"/>
                    <w:rPr>
                      <w:szCs w:val="21"/>
                    </w:rPr>
                  </w:pPr>
                  <w:r>
                    <w:rPr>
                      <w:szCs w:val="21"/>
                    </w:rPr>
                    <w:t>《地表水环境质量标准》（GB3838-2002）</w:t>
                  </w:r>
                  <w:r>
                    <w:rPr>
                      <w:szCs w:val="21"/>
                    </w:rPr>
                    <w:fldChar w:fldCharType="begin"/>
                  </w:r>
                  <w:r>
                    <w:rPr>
                      <w:szCs w:val="21"/>
                    </w:rPr>
                    <w:instrText xml:space="preserve"> = 4 \* ROMAN </w:instrText>
                  </w:r>
                  <w:r>
                    <w:rPr>
                      <w:szCs w:val="21"/>
                    </w:rPr>
                    <w:fldChar w:fldCharType="separate"/>
                  </w:r>
                  <w:r>
                    <w:rPr>
                      <w:szCs w:val="21"/>
                    </w:rPr>
                    <w:t>V</w:t>
                  </w:r>
                  <w:r>
                    <w:rPr>
                      <w:szCs w:val="21"/>
                    </w:rPr>
                    <w:fldChar w:fldCharType="end"/>
                  </w:r>
                  <w:r>
                    <w:rPr>
                      <w:szCs w:val="21"/>
                    </w:rPr>
                    <w:t>类标准</w:t>
                  </w:r>
                </w:p>
              </w:tc>
            </w:tr>
          </w:tbl>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p>
            <w:pPr>
              <w:spacing w:line="440" w:lineRule="exact"/>
              <w:jc w:val="left"/>
              <w:rPr>
                <w:b/>
                <w:sz w:val="24"/>
              </w:rPr>
            </w:pPr>
          </w:p>
        </w:tc>
      </w:tr>
    </w:tbl>
    <w:p>
      <w:pPr>
        <w:jc w:val="left"/>
        <w:rPr>
          <w:b/>
        </w:rPr>
      </w:pPr>
      <w:r>
        <w:rPr>
          <w:b/>
          <w:sz w:val="28"/>
        </w:rPr>
        <w:t>评价适用标准</w:t>
      </w:r>
    </w:p>
    <w:tbl>
      <w:tblPr>
        <w:tblStyle w:val="19"/>
        <w:tblW w:w="9378" w:type="dxa"/>
        <w:jc w:val="center"/>
        <w:tblLayout w:type="autofit"/>
        <w:tblCellMar>
          <w:top w:w="0" w:type="dxa"/>
          <w:left w:w="108" w:type="dxa"/>
          <w:bottom w:w="0" w:type="dxa"/>
          <w:right w:w="108" w:type="dxa"/>
        </w:tblCellMar>
      </w:tblPr>
      <w:tblGrid>
        <w:gridCol w:w="572"/>
        <w:gridCol w:w="8806"/>
      </w:tblGrid>
      <w:tr>
        <w:trPr>
          <w:trHeight w:val="4658" w:hRule="atLeast"/>
          <w:jc w:val="center"/>
        </w:trPr>
        <w:tc>
          <w:tcPr>
            <w:tcW w:w="572" w:type="dxa"/>
            <w:tcBorders>
              <w:top w:val="single" w:color="000000" w:sz="8" w:space="0"/>
              <w:left w:val="single" w:color="000000" w:sz="8" w:space="0"/>
              <w:bottom w:val="single" w:color="000000" w:sz="8" w:space="0"/>
              <w:right w:val="single" w:color="000000" w:sz="4" w:space="0"/>
            </w:tcBorders>
            <w:shd w:val="clear" w:color="auto" w:fill="auto"/>
            <w:vAlign w:val="center"/>
          </w:tcPr>
          <w:p>
            <w:pPr>
              <w:jc w:val="center"/>
              <w:rPr>
                <w:b/>
                <w:sz w:val="24"/>
              </w:rPr>
            </w:pPr>
            <w:r>
              <w:rPr>
                <w:b/>
                <w:sz w:val="24"/>
              </w:rPr>
              <w:t>环</w:t>
            </w:r>
          </w:p>
          <w:p>
            <w:pPr>
              <w:jc w:val="center"/>
              <w:rPr>
                <w:b/>
                <w:sz w:val="24"/>
              </w:rPr>
            </w:pPr>
            <w:r>
              <w:rPr>
                <w:b/>
                <w:sz w:val="24"/>
              </w:rPr>
              <w:t>境</w:t>
            </w:r>
          </w:p>
          <w:p>
            <w:pPr>
              <w:jc w:val="center"/>
              <w:rPr>
                <w:b/>
                <w:sz w:val="24"/>
              </w:rPr>
            </w:pPr>
            <w:r>
              <w:rPr>
                <w:b/>
                <w:sz w:val="24"/>
              </w:rPr>
              <w:t>质</w:t>
            </w:r>
          </w:p>
          <w:p>
            <w:pPr>
              <w:jc w:val="center"/>
              <w:rPr>
                <w:b/>
                <w:sz w:val="24"/>
              </w:rPr>
            </w:pPr>
            <w:r>
              <w:rPr>
                <w:b/>
                <w:sz w:val="24"/>
              </w:rPr>
              <w:t>量</w:t>
            </w:r>
          </w:p>
          <w:p>
            <w:pPr>
              <w:jc w:val="center"/>
              <w:rPr>
                <w:b/>
                <w:sz w:val="24"/>
              </w:rPr>
            </w:pPr>
            <w:r>
              <w:rPr>
                <w:b/>
                <w:sz w:val="24"/>
              </w:rPr>
              <w:t>标</w:t>
            </w:r>
          </w:p>
          <w:p>
            <w:pPr>
              <w:jc w:val="center"/>
            </w:pPr>
            <w:r>
              <w:rPr>
                <w:b/>
                <w:sz w:val="24"/>
              </w:rPr>
              <w:t>准</w:t>
            </w:r>
          </w:p>
        </w:tc>
        <w:tc>
          <w:tcPr>
            <w:tcW w:w="8806" w:type="dxa"/>
            <w:tcBorders>
              <w:top w:val="single" w:color="000000" w:sz="8" w:space="0"/>
              <w:left w:val="single" w:color="000000" w:sz="4" w:space="0"/>
              <w:bottom w:val="single" w:color="000000" w:sz="8" w:space="0"/>
              <w:right w:val="single" w:color="000000" w:sz="8" w:space="0"/>
            </w:tcBorders>
            <w:shd w:val="clear" w:color="auto" w:fill="auto"/>
          </w:tcPr>
          <w:p>
            <w:pPr>
              <w:spacing w:line="440" w:lineRule="exact"/>
              <w:ind w:firstLine="480"/>
              <w:rPr>
                <w:rFonts w:eastAsia="黑体"/>
                <w:sz w:val="24"/>
              </w:rPr>
            </w:pPr>
            <w:r>
              <w:rPr>
                <w:rFonts w:eastAsia="黑体"/>
                <w:sz w:val="24"/>
              </w:rPr>
              <w:t>表2</w:t>
            </w:r>
            <w:r>
              <w:rPr>
                <w:rFonts w:hint="eastAsia" w:eastAsia="黑体"/>
                <w:sz w:val="24"/>
              </w:rPr>
              <w:t>3</w:t>
            </w:r>
            <w:r>
              <w:rPr>
                <w:rFonts w:eastAsia="黑体"/>
                <w:sz w:val="24"/>
              </w:rPr>
              <w:t xml:space="preserve">      </w:t>
            </w:r>
            <w:r>
              <w:rPr>
                <w:rFonts w:hint="eastAsia" w:eastAsia="黑体"/>
                <w:sz w:val="24"/>
              </w:rPr>
              <w:t xml:space="preserve">                                    </w:t>
            </w:r>
            <w:r>
              <w:rPr>
                <w:rFonts w:eastAsia="黑体"/>
                <w:sz w:val="24"/>
              </w:rPr>
              <w:t xml:space="preserve"> 环境质量标准</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Layout w:type="autofit"/>
              <w:tblCellMar>
                <w:top w:w="0" w:type="dxa"/>
                <w:left w:w="108" w:type="dxa"/>
                <w:bottom w:w="0" w:type="dxa"/>
                <w:right w:w="108" w:type="dxa"/>
              </w:tblCellMar>
            </w:tblPr>
            <w:tblGrid>
              <w:gridCol w:w="1173"/>
              <w:gridCol w:w="2901"/>
              <w:gridCol w:w="1779"/>
              <w:gridCol w:w="1276"/>
              <w:gridCol w:w="146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PrEx>
              <w:trPr>
                <w:cantSplit/>
                <w:trHeight w:val="369" w:hRule="atLeast"/>
                <w:jc w:val="center"/>
              </w:trPr>
              <w:tc>
                <w:tcPr>
                  <w:tcW w:w="1173" w:type="dxa"/>
                  <w:shd w:val="clear" w:color="auto" w:fill="auto"/>
                  <w:vAlign w:val="center"/>
                </w:tcPr>
                <w:p>
                  <w:pPr>
                    <w:jc w:val="center"/>
                    <w:rPr>
                      <w:rFonts w:eastAsiaTheme="minorEastAsia"/>
                      <w:b/>
                      <w:bCs/>
                      <w:szCs w:val="21"/>
                    </w:rPr>
                  </w:pPr>
                  <w:r>
                    <w:rPr>
                      <w:rFonts w:hAnsiTheme="minorEastAsia" w:eastAsiaTheme="minorEastAsia"/>
                      <w:b/>
                      <w:bCs/>
                      <w:szCs w:val="21"/>
                    </w:rPr>
                    <w:t>环境要素</w:t>
                  </w:r>
                </w:p>
              </w:tc>
              <w:tc>
                <w:tcPr>
                  <w:tcW w:w="2901" w:type="dxa"/>
                  <w:shd w:val="clear" w:color="auto" w:fill="auto"/>
                  <w:vAlign w:val="center"/>
                </w:tcPr>
                <w:p>
                  <w:pPr>
                    <w:jc w:val="center"/>
                    <w:rPr>
                      <w:rFonts w:eastAsiaTheme="minorEastAsia"/>
                      <w:b/>
                      <w:bCs/>
                      <w:szCs w:val="21"/>
                    </w:rPr>
                  </w:pPr>
                  <w:r>
                    <w:rPr>
                      <w:rFonts w:hAnsiTheme="minorEastAsia" w:eastAsiaTheme="minorEastAsia"/>
                      <w:b/>
                      <w:bCs/>
                      <w:szCs w:val="21"/>
                    </w:rPr>
                    <w:t>标准名称及级</w:t>
                  </w:r>
                  <w:r>
                    <w:rPr>
                      <w:rFonts w:eastAsiaTheme="minorEastAsia"/>
                      <w:b/>
                      <w:bCs/>
                      <w:szCs w:val="21"/>
                    </w:rPr>
                    <w:t>(</w:t>
                  </w:r>
                  <w:r>
                    <w:rPr>
                      <w:rFonts w:hAnsiTheme="minorEastAsia" w:eastAsiaTheme="minorEastAsia"/>
                      <w:b/>
                      <w:bCs/>
                      <w:szCs w:val="21"/>
                    </w:rPr>
                    <w:t>类</w:t>
                  </w:r>
                  <w:r>
                    <w:rPr>
                      <w:rFonts w:eastAsiaTheme="minorEastAsia"/>
                      <w:b/>
                      <w:bCs/>
                      <w:szCs w:val="21"/>
                    </w:rPr>
                    <w:t>)</w:t>
                  </w:r>
                  <w:r>
                    <w:rPr>
                      <w:rFonts w:hAnsiTheme="minorEastAsia" w:eastAsiaTheme="minorEastAsia"/>
                      <w:b/>
                      <w:bCs/>
                      <w:szCs w:val="21"/>
                    </w:rPr>
                    <w:t>别</w:t>
                  </w:r>
                </w:p>
              </w:tc>
              <w:tc>
                <w:tcPr>
                  <w:tcW w:w="1779" w:type="dxa"/>
                  <w:shd w:val="clear" w:color="auto" w:fill="auto"/>
                  <w:vAlign w:val="center"/>
                </w:tcPr>
                <w:p>
                  <w:pPr>
                    <w:jc w:val="center"/>
                    <w:rPr>
                      <w:rFonts w:eastAsiaTheme="minorEastAsia"/>
                      <w:b/>
                      <w:bCs/>
                      <w:szCs w:val="21"/>
                    </w:rPr>
                  </w:pPr>
                  <w:r>
                    <w:rPr>
                      <w:rFonts w:hAnsiTheme="minorEastAsia" w:eastAsiaTheme="minorEastAsia"/>
                      <w:b/>
                      <w:bCs/>
                      <w:szCs w:val="21"/>
                    </w:rPr>
                    <w:t>项目</w:t>
                  </w:r>
                </w:p>
              </w:tc>
              <w:tc>
                <w:tcPr>
                  <w:tcW w:w="2737" w:type="dxa"/>
                  <w:gridSpan w:val="2"/>
                  <w:shd w:val="clear" w:color="auto" w:fill="auto"/>
                  <w:vAlign w:val="center"/>
                </w:tcPr>
                <w:p>
                  <w:pPr>
                    <w:tabs>
                      <w:tab w:val="left" w:pos="1332"/>
                    </w:tabs>
                    <w:jc w:val="center"/>
                    <w:rPr>
                      <w:rFonts w:eastAsiaTheme="minorEastAsia"/>
                      <w:b/>
                      <w:bCs/>
                      <w:szCs w:val="21"/>
                    </w:rPr>
                  </w:pPr>
                  <w:r>
                    <w:rPr>
                      <w:rFonts w:hAnsiTheme="minorEastAsia" w:eastAsiaTheme="minorEastAsia"/>
                      <w:b/>
                      <w:bCs/>
                      <w:szCs w:val="21"/>
                    </w:rPr>
                    <w:t>标准限值</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restart"/>
                  <w:shd w:val="clear" w:color="auto" w:fill="auto"/>
                  <w:vAlign w:val="center"/>
                </w:tcPr>
                <w:p>
                  <w:pPr>
                    <w:jc w:val="center"/>
                    <w:rPr>
                      <w:rFonts w:eastAsiaTheme="minorEastAsia"/>
                      <w:szCs w:val="21"/>
                    </w:rPr>
                  </w:pPr>
                  <w:r>
                    <w:rPr>
                      <w:rFonts w:hAnsiTheme="minorEastAsia" w:eastAsiaTheme="minorEastAsia"/>
                      <w:szCs w:val="21"/>
                    </w:rPr>
                    <w:t>环境空气</w:t>
                  </w:r>
                </w:p>
              </w:tc>
              <w:tc>
                <w:tcPr>
                  <w:tcW w:w="2901" w:type="dxa"/>
                  <w:vMerge w:val="restart"/>
                  <w:shd w:val="clear" w:color="auto" w:fill="auto"/>
                  <w:vAlign w:val="center"/>
                </w:tcPr>
                <w:p>
                  <w:pPr>
                    <w:jc w:val="center"/>
                    <w:rPr>
                      <w:rFonts w:eastAsiaTheme="minorEastAsia"/>
                      <w:szCs w:val="21"/>
                    </w:rPr>
                  </w:pPr>
                  <w:r>
                    <w:rPr>
                      <w:rFonts w:hAnsiTheme="minorEastAsia" w:eastAsiaTheme="minorEastAsia"/>
                      <w:spacing w:val="5"/>
                      <w:szCs w:val="21"/>
                    </w:rPr>
                    <w:t>《环境空气质量标准》（</w:t>
                  </w:r>
                  <w:r>
                    <w:rPr>
                      <w:rFonts w:eastAsiaTheme="minorEastAsia"/>
                      <w:spacing w:val="5"/>
                      <w:szCs w:val="21"/>
                    </w:rPr>
                    <w:t>GB3095-2012</w:t>
                  </w:r>
                  <w:r>
                    <w:rPr>
                      <w:rFonts w:hAnsiTheme="minorEastAsia" w:eastAsiaTheme="minorEastAsia"/>
                      <w:spacing w:val="5"/>
                      <w:szCs w:val="21"/>
                    </w:rPr>
                    <w:t>）二级</w:t>
                  </w:r>
                </w:p>
              </w:tc>
              <w:tc>
                <w:tcPr>
                  <w:tcW w:w="1779" w:type="dxa"/>
                  <w:vMerge w:val="restart"/>
                  <w:shd w:val="clear" w:color="auto" w:fill="auto"/>
                  <w:vAlign w:val="center"/>
                </w:tcPr>
                <w:p>
                  <w:pPr>
                    <w:jc w:val="center"/>
                    <w:rPr>
                      <w:rFonts w:eastAsiaTheme="minorEastAsia"/>
                      <w:szCs w:val="21"/>
                    </w:rPr>
                  </w:pPr>
                  <w:r>
                    <w:rPr>
                      <w:rFonts w:eastAsiaTheme="minorEastAsia"/>
                      <w:szCs w:val="21"/>
                    </w:rPr>
                    <w:t>PM</w:t>
                  </w:r>
                  <w:r>
                    <w:rPr>
                      <w:rFonts w:eastAsiaTheme="minorEastAsia"/>
                      <w:szCs w:val="21"/>
                      <w:vertAlign w:val="subscript"/>
                    </w:rPr>
                    <w:t>2.5</w:t>
                  </w:r>
                </w:p>
              </w:tc>
              <w:tc>
                <w:tcPr>
                  <w:tcW w:w="2737" w:type="dxa"/>
                  <w:gridSpan w:val="2"/>
                  <w:shd w:val="clear" w:color="auto" w:fill="auto"/>
                  <w:vAlign w:val="center"/>
                </w:tcPr>
                <w:p>
                  <w:pPr>
                    <w:jc w:val="center"/>
                    <w:rPr>
                      <w:rFonts w:eastAsiaTheme="minorEastAsia"/>
                      <w:szCs w:val="21"/>
                    </w:rPr>
                  </w:pPr>
                  <w:r>
                    <w:rPr>
                      <w:rFonts w:eastAsiaTheme="minorEastAsia"/>
                      <w:szCs w:val="21"/>
                    </w:rPr>
                    <w:t>35μg/m</w:t>
                  </w:r>
                  <w:r>
                    <w:rPr>
                      <w:rFonts w:eastAsiaTheme="minorEastAsia"/>
                      <w:szCs w:val="21"/>
                      <w:vertAlign w:val="superscript"/>
                    </w:rPr>
                    <w:t>3</w:t>
                  </w:r>
                  <w:r>
                    <w:rPr>
                      <w:rFonts w:hAnsiTheme="minorEastAsia" w:eastAsiaTheme="minorEastAsia"/>
                      <w:szCs w:val="21"/>
                    </w:rPr>
                    <w:t>（年平均）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8"/>
                      <w:szCs w:val="21"/>
                    </w:rPr>
                  </w:pPr>
                  <w:r>
                    <w:rPr>
                      <w:rFonts w:eastAsiaTheme="minorEastAsia"/>
                      <w:szCs w:val="21"/>
                    </w:rPr>
                    <w:t>75μg/m</w:t>
                  </w:r>
                  <w:r>
                    <w:rPr>
                      <w:rFonts w:eastAsiaTheme="minorEastAsia"/>
                      <w:szCs w:val="21"/>
                      <w:vertAlign w:val="superscript"/>
                    </w:rPr>
                    <w:t>3</w:t>
                  </w:r>
                  <w:r>
                    <w:rPr>
                      <w:rFonts w:hAnsiTheme="minorEastAsia" w:eastAsiaTheme="minorEastAsia"/>
                      <w:szCs w:val="21"/>
                    </w:rPr>
                    <w:t>（</w:t>
                  </w:r>
                  <w:r>
                    <w:rPr>
                      <w:rFonts w:eastAsiaTheme="minorEastAsia"/>
                      <w:szCs w:val="21"/>
                    </w:rPr>
                    <w:t>24</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restart"/>
                  <w:shd w:val="clear" w:color="auto" w:fill="auto"/>
                  <w:vAlign w:val="center"/>
                </w:tcPr>
                <w:p>
                  <w:pPr>
                    <w:jc w:val="center"/>
                    <w:rPr>
                      <w:rFonts w:eastAsiaTheme="minorEastAsia"/>
                      <w:szCs w:val="21"/>
                    </w:rPr>
                  </w:pPr>
                  <w:r>
                    <w:rPr>
                      <w:rFonts w:eastAsiaTheme="minorEastAsia"/>
                      <w:szCs w:val="21"/>
                    </w:rPr>
                    <w:t>PM</w:t>
                  </w:r>
                  <w:r>
                    <w:rPr>
                      <w:rFonts w:eastAsiaTheme="minorEastAsia"/>
                      <w:szCs w:val="21"/>
                      <w:vertAlign w:val="subscript"/>
                    </w:rPr>
                    <w:t>10</w:t>
                  </w:r>
                </w:p>
              </w:tc>
              <w:tc>
                <w:tcPr>
                  <w:tcW w:w="2737" w:type="dxa"/>
                  <w:gridSpan w:val="2"/>
                  <w:shd w:val="clear" w:color="auto" w:fill="auto"/>
                  <w:vAlign w:val="center"/>
                </w:tcPr>
                <w:p>
                  <w:pPr>
                    <w:jc w:val="center"/>
                    <w:rPr>
                      <w:rFonts w:eastAsiaTheme="minorEastAsia"/>
                      <w:szCs w:val="21"/>
                    </w:rPr>
                  </w:pPr>
                  <w:r>
                    <w:rPr>
                      <w:rFonts w:eastAsiaTheme="minorEastAsia"/>
                      <w:szCs w:val="21"/>
                    </w:rPr>
                    <w:t>70μg/m</w:t>
                  </w:r>
                  <w:r>
                    <w:rPr>
                      <w:rFonts w:eastAsiaTheme="minorEastAsia"/>
                      <w:szCs w:val="21"/>
                      <w:vertAlign w:val="superscript"/>
                    </w:rPr>
                    <w:t>3</w:t>
                  </w:r>
                  <w:r>
                    <w:rPr>
                      <w:rFonts w:hAnsiTheme="minorEastAsia" w:eastAsiaTheme="minorEastAsia"/>
                      <w:szCs w:val="21"/>
                    </w:rPr>
                    <w:t>（年平均）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8"/>
                      <w:szCs w:val="21"/>
                    </w:rPr>
                  </w:pPr>
                  <w:r>
                    <w:rPr>
                      <w:rFonts w:eastAsiaTheme="minorEastAsia"/>
                      <w:szCs w:val="21"/>
                    </w:rPr>
                    <w:t>150μg/m</w:t>
                  </w:r>
                  <w:r>
                    <w:rPr>
                      <w:rFonts w:eastAsiaTheme="minorEastAsia"/>
                      <w:szCs w:val="21"/>
                      <w:vertAlign w:val="superscript"/>
                    </w:rPr>
                    <w:t>3</w:t>
                  </w:r>
                  <w:r>
                    <w:rPr>
                      <w:rFonts w:hAnsiTheme="minorEastAsia" w:eastAsiaTheme="minorEastAsia"/>
                      <w:szCs w:val="21"/>
                    </w:rPr>
                    <w:t>（</w:t>
                  </w:r>
                  <w:r>
                    <w:rPr>
                      <w:rFonts w:eastAsiaTheme="minorEastAsia"/>
                      <w:szCs w:val="21"/>
                    </w:rPr>
                    <w:t>24</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restart"/>
                  <w:shd w:val="clear" w:color="auto" w:fill="auto"/>
                  <w:vAlign w:val="center"/>
                </w:tcPr>
                <w:p>
                  <w:pPr>
                    <w:jc w:val="center"/>
                    <w:rPr>
                      <w:rFonts w:eastAsiaTheme="minorEastAsia"/>
                      <w:szCs w:val="21"/>
                    </w:rPr>
                  </w:pPr>
                  <w:r>
                    <w:rPr>
                      <w:rFonts w:eastAsiaTheme="minorEastAsia"/>
                      <w:szCs w:val="21"/>
                    </w:rPr>
                    <w:t>SO</w:t>
                  </w:r>
                  <w:r>
                    <w:rPr>
                      <w:rFonts w:eastAsiaTheme="minorEastAsia"/>
                      <w:szCs w:val="21"/>
                      <w:vertAlign w:val="subscript"/>
                    </w:rPr>
                    <w:t>2</w:t>
                  </w:r>
                </w:p>
              </w:tc>
              <w:tc>
                <w:tcPr>
                  <w:tcW w:w="2737" w:type="dxa"/>
                  <w:gridSpan w:val="2"/>
                  <w:shd w:val="clear" w:color="auto" w:fill="auto"/>
                  <w:vAlign w:val="center"/>
                </w:tcPr>
                <w:p>
                  <w:pPr>
                    <w:jc w:val="center"/>
                    <w:rPr>
                      <w:rFonts w:eastAsiaTheme="minorEastAsia"/>
                      <w:szCs w:val="21"/>
                    </w:rPr>
                  </w:pPr>
                  <w:r>
                    <w:rPr>
                      <w:rFonts w:eastAsiaTheme="minorEastAsia"/>
                      <w:szCs w:val="21"/>
                    </w:rPr>
                    <w:t>60μg/m</w:t>
                  </w:r>
                  <w:r>
                    <w:rPr>
                      <w:rFonts w:eastAsiaTheme="minorEastAsia"/>
                      <w:szCs w:val="21"/>
                      <w:vertAlign w:val="superscript"/>
                    </w:rPr>
                    <w:t>3</w:t>
                  </w:r>
                  <w:r>
                    <w:rPr>
                      <w:rFonts w:hAnsiTheme="minorEastAsia" w:eastAsiaTheme="minorEastAsia"/>
                      <w:szCs w:val="21"/>
                    </w:rPr>
                    <w:t>（年平均）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5"/>
                      <w:szCs w:val="21"/>
                    </w:rPr>
                  </w:pPr>
                  <w:r>
                    <w:rPr>
                      <w:rFonts w:eastAsiaTheme="minorEastAsia"/>
                      <w:szCs w:val="21"/>
                    </w:rPr>
                    <w:t>500μg/m</w:t>
                  </w:r>
                  <w:r>
                    <w:rPr>
                      <w:rFonts w:eastAsiaTheme="minorEastAsia"/>
                      <w:szCs w:val="21"/>
                      <w:vertAlign w:val="superscript"/>
                    </w:rPr>
                    <w:t>3</w:t>
                  </w:r>
                  <w:r>
                    <w:rPr>
                      <w:rFonts w:hAnsiTheme="minorEastAsia" w:eastAsiaTheme="minorEastAsia"/>
                      <w:szCs w:val="21"/>
                    </w:rPr>
                    <w:t>（</w:t>
                  </w:r>
                  <w:r>
                    <w:rPr>
                      <w:rFonts w:eastAsiaTheme="minorEastAsia"/>
                      <w:szCs w:val="21"/>
                    </w:rPr>
                    <w:t>1</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5"/>
                      <w:szCs w:val="21"/>
                    </w:rPr>
                  </w:pPr>
                  <w:r>
                    <w:rPr>
                      <w:rFonts w:eastAsiaTheme="minorEastAsia"/>
                      <w:szCs w:val="21"/>
                    </w:rPr>
                    <w:t>150μg/m</w:t>
                  </w:r>
                  <w:r>
                    <w:rPr>
                      <w:rFonts w:eastAsiaTheme="minorEastAsia"/>
                      <w:szCs w:val="21"/>
                      <w:vertAlign w:val="superscript"/>
                    </w:rPr>
                    <w:t>3</w:t>
                  </w:r>
                  <w:r>
                    <w:rPr>
                      <w:rFonts w:hAnsiTheme="minorEastAsia" w:eastAsiaTheme="minorEastAsia"/>
                      <w:szCs w:val="21"/>
                    </w:rPr>
                    <w:t>（</w:t>
                  </w:r>
                  <w:r>
                    <w:rPr>
                      <w:rFonts w:eastAsiaTheme="minorEastAsia"/>
                      <w:szCs w:val="21"/>
                    </w:rPr>
                    <w:t>24</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restart"/>
                  <w:shd w:val="clear" w:color="auto" w:fill="auto"/>
                  <w:vAlign w:val="center"/>
                </w:tcPr>
                <w:p>
                  <w:pPr>
                    <w:jc w:val="center"/>
                    <w:rPr>
                      <w:rFonts w:eastAsiaTheme="minorEastAsia"/>
                      <w:szCs w:val="21"/>
                    </w:rPr>
                  </w:pPr>
                  <w:r>
                    <w:rPr>
                      <w:rFonts w:eastAsiaTheme="minorEastAsia"/>
                      <w:szCs w:val="21"/>
                    </w:rPr>
                    <w:t>NO</w:t>
                  </w:r>
                  <w:r>
                    <w:rPr>
                      <w:rFonts w:eastAsiaTheme="minorEastAsia"/>
                      <w:szCs w:val="21"/>
                      <w:vertAlign w:val="subscript"/>
                    </w:rPr>
                    <w:t>2</w:t>
                  </w:r>
                </w:p>
              </w:tc>
              <w:tc>
                <w:tcPr>
                  <w:tcW w:w="2737" w:type="dxa"/>
                  <w:gridSpan w:val="2"/>
                  <w:shd w:val="clear" w:color="auto" w:fill="auto"/>
                  <w:vAlign w:val="center"/>
                </w:tcPr>
                <w:p>
                  <w:pPr>
                    <w:jc w:val="center"/>
                    <w:rPr>
                      <w:rFonts w:eastAsiaTheme="minorEastAsia"/>
                      <w:szCs w:val="21"/>
                    </w:rPr>
                  </w:pPr>
                  <w:r>
                    <w:rPr>
                      <w:rFonts w:eastAsiaTheme="minorEastAsia"/>
                      <w:szCs w:val="21"/>
                    </w:rPr>
                    <w:t>40μg/m</w:t>
                  </w:r>
                  <w:r>
                    <w:rPr>
                      <w:rFonts w:eastAsiaTheme="minorEastAsia"/>
                      <w:szCs w:val="21"/>
                      <w:vertAlign w:val="superscript"/>
                    </w:rPr>
                    <w:t>3</w:t>
                  </w:r>
                  <w:r>
                    <w:rPr>
                      <w:rFonts w:hAnsiTheme="minorEastAsia" w:eastAsiaTheme="minorEastAsia"/>
                      <w:szCs w:val="21"/>
                    </w:rPr>
                    <w:t>（年平均）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5"/>
                      <w:szCs w:val="21"/>
                    </w:rPr>
                  </w:pPr>
                  <w:r>
                    <w:rPr>
                      <w:rFonts w:eastAsiaTheme="minorEastAsia"/>
                      <w:szCs w:val="21"/>
                    </w:rPr>
                    <w:t>200μg/m</w:t>
                  </w:r>
                  <w:r>
                    <w:rPr>
                      <w:rFonts w:eastAsiaTheme="minorEastAsia"/>
                      <w:szCs w:val="21"/>
                      <w:vertAlign w:val="superscript"/>
                    </w:rPr>
                    <w:t>3</w:t>
                  </w:r>
                  <w:r>
                    <w:rPr>
                      <w:rFonts w:hAnsiTheme="minorEastAsia" w:eastAsiaTheme="minorEastAsia"/>
                      <w:szCs w:val="21"/>
                    </w:rPr>
                    <w:t>（</w:t>
                  </w:r>
                  <w:r>
                    <w:rPr>
                      <w:rFonts w:eastAsiaTheme="minorEastAsia"/>
                      <w:szCs w:val="21"/>
                    </w:rPr>
                    <w:t>1</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pacing w:val="-5"/>
                      <w:szCs w:val="21"/>
                    </w:rPr>
                  </w:pPr>
                  <w:r>
                    <w:rPr>
                      <w:rFonts w:eastAsiaTheme="minorEastAsia"/>
                      <w:szCs w:val="21"/>
                    </w:rPr>
                    <w:t>80μg/m</w:t>
                  </w:r>
                  <w:r>
                    <w:rPr>
                      <w:rFonts w:eastAsiaTheme="minorEastAsia"/>
                      <w:szCs w:val="21"/>
                      <w:vertAlign w:val="superscript"/>
                    </w:rPr>
                    <w:t>3</w:t>
                  </w:r>
                  <w:r>
                    <w:rPr>
                      <w:rFonts w:hAnsiTheme="minorEastAsia" w:eastAsiaTheme="minorEastAsia"/>
                      <w:szCs w:val="21"/>
                    </w:rPr>
                    <w:t>（</w:t>
                  </w:r>
                  <w:r>
                    <w:rPr>
                      <w:rFonts w:eastAsiaTheme="minorEastAsia"/>
                      <w:szCs w:val="21"/>
                    </w:rPr>
                    <w:t>24</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restart"/>
                  <w:shd w:val="clear" w:color="auto" w:fill="auto"/>
                  <w:vAlign w:val="center"/>
                </w:tcPr>
                <w:p>
                  <w:pPr>
                    <w:jc w:val="center"/>
                    <w:rPr>
                      <w:rFonts w:eastAsiaTheme="minorEastAsia"/>
                      <w:szCs w:val="21"/>
                    </w:rPr>
                  </w:pPr>
                  <w:r>
                    <w:rPr>
                      <w:rFonts w:eastAsiaTheme="minorEastAsia"/>
                      <w:szCs w:val="21"/>
                    </w:rPr>
                    <w:t>CO</w:t>
                  </w:r>
                </w:p>
              </w:tc>
              <w:tc>
                <w:tcPr>
                  <w:tcW w:w="2737" w:type="dxa"/>
                  <w:gridSpan w:val="2"/>
                  <w:shd w:val="clear" w:color="auto" w:fill="auto"/>
                  <w:vAlign w:val="center"/>
                </w:tcPr>
                <w:p>
                  <w:pPr>
                    <w:jc w:val="center"/>
                    <w:rPr>
                      <w:rFonts w:eastAsiaTheme="minorEastAsia"/>
                      <w:szCs w:val="21"/>
                    </w:rPr>
                  </w:pPr>
                  <w:r>
                    <w:rPr>
                      <w:rFonts w:eastAsiaTheme="minorEastAsia"/>
                      <w:szCs w:val="21"/>
                    </w:rPr>
                    <w:t>4mg/m</w:t>
                  </w:r>
                  <w:r>
                    <w:rPr>
                      <w:rFonts w:eastAsiaTheme="minorEastAsia"/>
                      <w:szCs w:val="21"/>
                      <w:vertAlign w:val="superscript"/>
                    </w:rPr>
                    <w:t>3</w:t>
                  </w:r>
                  <w:r>
                    <w:rPr>
                      <w:rFonts w:hAnsiTheme="minorEastAsia" w:eastAsiaTheme="minorEastAsia"/>
                      <w:szCs w:val="21"/>
                    </w:rPr>
                    <w:t>（</w:t>
                  </w:r>
                  <w:r>
                    <w:rPr>
                      <w:rFonts w:eastAsiaTheme="minorEastAsia"/>
                      <w:szCs w:val="21"/>
                    </w:rPr>
                    <w:t>24</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zCs w:val="21"/>
                    </w:rPr>
                  </w:pPr>
                  <w:r>
                    <w:rPr>
                      <w:rFonts w:eastAsiaTheme="minorEastAsia"/>
                      <w:szCs w:val="21"/>
                    </w:rPr>
                    <w:t>10mg/m</w:t>
                  </w:r>
                  <w:r>
                    <w:rPr>
                      <w:rFonts w:eastAsiaTheme="minorEastAsia"/>
                      <w:szCs w:val="21"/>
                      <w:vertAlign w:val="superscript"/>
                    </w:rPr>
                    <w:t>3</w:t>
                  </w:r>
                  <w:r>
                    <w:rPr>
                      <w:rFonts w:eastAsiaTheme="minorEastAsia"/>
                      <w:szCs w:val="21"/>
                    </w:rPr>
                    <w:t>(1</w:t>
                  </w:r>
                  <w:r>
                    <w:rPr>
                      <w:rFonts w:hAnsiTheme="minorEastAsia" w:eastAsiaTheme="minorEastAsia"/>
                      <w:szCs w:val="21"/>
                    </w:rPr>
                    <w:t>小时平均</w:t>
                  </w:r>
                  <w:r>
                    <w:rPr>
                      <w:rFonts w:eastAsiaTheme="minorEastAsia"/>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restart"/>
                  <w:shd w:val="clear" w:color="auto" w:fill="auto"/>
                  <w:vAlign w:val="center"/>
                </w:tcPr>
                <w:p>
                  <w:pPr>
                    <w:jc w:val="center"/>
                    <w:rPr>
                      <w:rFonts w:eastAsiaTheme="minorEastAsia"/>
                      <w:szCs w:val="21"/>
                    </w:rPr>
                  </w:pPr>
                  <w:r>
                    <w:rPr>
                      <w:rFonts w:eastAsiaTheme="minorEastAsia"/>
                      <w:szCs w:val="21"/>
                    </w:rPr>
                    <w:t>O</w:t>
                  </w:r>
                  <w:r>
                    <w:rPr>
                      <w:rFonts w:eastAsiaTheme="minorEastAsia"/>
                      <w:szCs w:val="21"/>
                      <w:vertAlign w:val="subscript"/>
                    </w:rPr>
                    <w:t>3</w:t>
                  </w:r>
                </w:p>
              </w:tc>
              <w:tc>
                <w:tcPr>
                  <w:tcW w:w="2737" w:type="dxa"/>
                  <w:gridSpan w:val="2"/>
                  <w:shd w:val="clear" w:color="auto" w:fill="auto"/>
                  <w:vAlign w:val="center"/>
                </w:tcPr>
                <w:p>
                  <w:pPr>
                    <w:jc w:val="center"/>
                    <w:rPr>
                      <w:rFonts w:eastAsiaTheme="minorEastAsia"/>
                      <w:szCs w:val="21"/>
                    </w:rPr>
                  </w:pPr>
                  <w:r>
                    <w:rPr>
                      <w:rFonts w:eastAsiaTheme="minorEastAsia"/>
                      <w:szCs w:val="21"/>
                    </w:rPr>
                    <w:t>160μg/m</w:t>
                  </w:r>
                  <w:r>
                    <w:rPr>
                      <w:rFonts w:eastAsiaTheme="minorEastAsia"/>
                      <w:szCs w:val="21"/>
                      <w:vertAlign w:val="superscript"/>
                    </w:rPr>
                    <w:t>3</w:t>
                  </w:r>
                  <w:r>
                    <w:rPr>
                      <w:rFonts w:hAnsiTheme="minorEastAsia" w:eastAsiaTheme="minorEastAsia"/>
                      <w:szCs w:val="21"/>
                    </w:rPr>
                    <w:t>（</w:t>
                  </w:r>
                  <w:r>
                    <w:rPr>
                      <w:rFonts w:eastAsiaTheme="minorEastAsia"/>
                      <w:szCs w:val="21"/>
                    </w:rPr>
                    <w:t>8</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vMerge w:val="continue"/>
                  <w:shd w:val="clear" w:color="auto" w:fill="auto"/>
                  <w:vAlign w:val="center"/>
                </w:tcPr>
                <w:p>
                  <w:pPr>
                    <w:jc w:val="center"/>
                    <w:rPr>
                      <w:rFonts w:eastAsiaTheme="minorEastAsia"/>
                      <w:szCs w:val="21"/>
                    </w:rPr>
                  </w:pPr>
                </w:p>
              </w:tc>
              <w:tc>
                <w:tcPr>
                  <w:tcW w:w="2737" w:type="dxa"/>
                  <w:gridSpan w:val="2"/>
                  <w:shd w:val="clear" w:color="auto" w:fill="auto"/>
                  <w:vAlign w:val="center"/>
                </w:tcPr>
                <w:p>
                  <w:pPr>
                    <w:jc w:val="center"/>
                    <w:rPr>
                      <w:rFonts w:eastAsiaTheme="minorEastAsia"/>
                      <w:szCs w:val="21"/>
                    </w:rPr>
                  </w:pPr>
                  <w:r>
                    <w:rPr>
                      <w:rFonts w:eastAsiaTheme="minorEastAsia"/>
                      <w:szCs w:val="21"/>
                    </w:rPr>
                    <w:t>200μg/m</w:t>
                  </w:r>
                  <w:r>
                    <w:rPr>
                      <w:rFonts w:eastAsiaTheme="minorEastAsia"/>
                      <w:szCs w:val="21"/>
                      <w:vertAlign w:val="superscript"/>
                    </w:rPr>
                    <w:t>3</w:t>
                  </w:r>
                  <w:r>
                    <w:rPr>
                      <w:rFonts w:hAnsiTheme="minorEastAsia" w:eastAsiaTheme="minorEastAsia"/>
                      <w:szCs w:val="21"/>
                    </w:rPr>
                    <w:t>（</w:t>
                  </w:r>
                  <w:r>
                    <w:rPr>
                      <w:rFonts w:eastAsiaTheme="minorEastAsia"/>
                      <w:szCs w:val="21"/>
                    </w:rPr>
                    <w:t>1</w:t>
                  </w:r>
                  <w:r>
                    <w:rPr>
                      <w:rFonts w:hAnsiTheme="minorEastAsia" w:eastAsiaTheme="minorEastAsia"/>
                      <w:szCs w:val="21"/>
                    </w:rPr>
                    <w:t>小时平均）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shd w:val="clear" w:color="auto" w:fill="auto"/>
                  <w:vAlign w:val="center"/>
                </w:tcPr>
                <w:p>
                  <w:pPr>
                    <w:jc w:val="center"/>
                    <w:rPr>
                      <w:rFonts w:eastAsiaTheme="minorEastAsia"/>
                      <w:szCs w:val="21"/>
                    </w:rPr>
                  </w:pPr>
                  <w:r>
                    <w:rPr>
                      <w:rFonts w:hAnsiTheme="minorEastAsia" w:eastAsiaTheme="minorEastAsia"/>
                      <w:szCs w:val="21"/>
                    </w:rPr>
                    <w:t>根据《大气综合污染物排放标准详解》第四章标准值说明</w:t>
                  </w:r>
                  <w:r>
                    <w:rPr>
                      <w:rFonts w:eastAsiaTheme="minorEastAsia"/>
                      <w:szCs w:val="21"/>
                    </w:rPr>
                    <w:t>-</w:t>
                  </w:r>
                  <w:r>
                    <w:rPr>
                      <w:rFonts w:hAnsiTheme="minorEastAsia" w:eastAsiaTheme="minorEastAsia"/>
                      <w:szCs w:val="21"/>
                    </w:rPr>
                    <w:t>三十一、非甲烷总烃</w:t>
                  </w:r>
                </w:p>
              </w:tc>
              <w:tc>
                <w:tcPr>
                  <w:tcW w:w="1779" w:type="dxa"/>
                  <w:shd w:val="clear" w:color="auto" w:fill="auto"/>
                  <w:vAlign w:val="center"/>
                </w:tcPr>
                <w:p>
                  <w:pPr>
                    <w:jc w:val="center"/>
                    <w:rPr>
                      <w:rFonts w:eastAsiaTheme="minorEastAsia"/>
                      <w:szCs w:val="21"/>
                    </w:rPr>
                  </w:pPr>
                  <w:r>
                    <w:rPr>
                      <w:rFonts w:hAnsiTheme="minorEastAsia" w:eastAsiaTheme="minorEastAsia"/>
                      <w:szCs w:val="21"/>
                    </w:rPr>
                    <w:t>非甲烷总烃</w:t>
                  </w:r>
                </w:p>
              </w:tc>
              <w:tc>
                <w:tcPr>
                  <w:tcW w:w="2737" w:type="dxa"/>
                  <w:gridSpan w:val="2"/>
                  <w:shd w:val="clear" w:color="auto" w:fill="auto"/>
                  <w:vAlign w:val="center"/>
                </w:tcPr>
                <w:p>
                  <w:pPr>
                    <w:jc w:val="center"/>
                    <w:rPr>
                      <w:rFonts w:eastAsiaTheme="minorEastAsia"/>
                      <w:szCs w:val="21"/>
                    </w:rPr>
                  </w:pPr>
                  <w:r>
                    <w:rPr>
                      <w:rFonts w:hAnsiTheme="minorEastAsia" w:eastAsiaTheme="minorEastAsia"/>
                      <w:szCs w:val="21"/>
                    </w:rPr>
                    <w:t>小时平均：</w:t>
                  </w:r>
                  <w:r>
                    <w:rPr>
                      <w:rFonts w:eastAsiaTheme="minorEastAsia"/>
                      <w:szCs w:val="21"/>
                    </w:rPr>
                    <w:t>2.0mg/m</w:t>
                  </w:r>
                  <w:r>
                    <w:rPr>
                      <w:rFonts w:eastAsiaTheme="minorEastAsia"/>
                      <w:szCs w:val="21"/>
                      <w:vertAlign w:val="superscript"/>
                    </w:rPr>
                    <w:t>3</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restart"/>
                  <w:shd w:val="clear" w:color="auto" w:fill="auto"/>
                  <w:vAlign w:val="center"/>
                </w:tcPr>
                <w:p>
                  <w:pPr>
                    <w:jc w:val="center"/>
                    <w:rPr>
                      <w:rFonts w:eastAsiaTheme="minorEastAsia"/>
                      <w:szCs w:val="21"/>
                    </w:rPr>
                  </w:pPr>
                  <w:r>
                    <w:rPr>
                      <w:rFonts w:hAnsiTheme="minorEastAsia" w:eastAsiaTheme="minorEastAsia"/>
                      <w:szCs w:val="21"/>
                    </w:rPr>
                    <w:t>地表水</w:t>
                  </w:r>
                </w:p>
              </w:tc>
              <w:tc>
                <w:tcPr>
                  <w:tcW w:w="2901" w:type="dxa"/>
                  <w:vMerge w:val="restart"/>
                  <w:shd w:val="clear" w:color="auto" w:fill="auto"/>
                  <w:vAlign w:val="center"/>
                </w:tcPr>
                <w:p>
                  <w:pPr>
                    <w:jc w:val="center"/>
                    <w:rPr>
                      <w:rFonts w:eastAsiaTheme="minorEastAsia"/>
                      <w:szCs w:val="21"/>
                    </w:rPr>
                  </w:pPr>
                  <w:r>
                    <w:rPr>
                      <w:rFonts w:hAnsiTheme="minorEastAsia" w:eastAsiaTheme="minorEastAsia"/>
                      <w:szCs w:val="21"/>
                    </w:rPr>
                    <w:t>《地表水环境质量标准》（</w:t>
                  </w:r>
                  <w:r>
                    <w:rPr>
                      <w:rFonts w:eastAsiaTheme="minorEastAsia"/>
                      <w:szCs w:val="21"/>
                    </w:rPr>
                    <w:t>GB3838-2002</w:t>
                  </w:r>
                  <w:r>
                    <w:rPr>
                      <w:rFonts w:hAnsiTheme="minorEastAsia" w:eastAsiaTheme="minorEastAsia"/>
                      <w:szCs w:val="21"/>
                    </w:rPr>
                    <w:t>）</w:t>
                  </w:r>
                  <w:r>
                    <w:rPr>
                      <w:rFonts w:eastAsiaTheme="minorEastAsia"/>
                      <w:szCs w:val="21"/>
                    </w:rPr>
                    <w:t>Ⅴ</w:t>
                  </w:r>
                  <w:r>
                    <w:rPr>
                      <w:rFonts w:hAnsiTheme="minorEastAsia" w:eastAsiaTheme="minorEastAsia"/>
                      <w:szCs w:val="21"/>
                    </w:rPr>
                    <w:t>类</w:t>
                  </w:r>
                </w:p>
              </w:tc>
              <w:tc>
                <w:tcPr>
                  <w:tcW w:w="1779" w:type="dxa"/>
                  <w:shd w:val="clear" w:color="auto" w:fill="auto"/>
                  <w:vAlign w:val="center"/>
                </w:tcPr>
                <w:p>
                  <w:pPr>
                    <w:jc w:val="center"/>
                    <w:rPr>
                      <w:rFonts w:eastAsiaTheme="minorEastAsia"/>
                      <w:szCs w:val="21"/>
                    </w:rPr>
                  </w:pPr>
                  <w:r>
                    <w:rPr>
                      <w:rFonts w:eastAsiaTheme="minorEastAsia"/>
                      <w:szCs w:val="21"/>
                    </w:rPr>
                    <w:t>pH</w:t>
                  </w:r>
                </w:p>
              </w:tc>
              <w:tc>
                <w:tcPr>
                  <w:tcW w:w="2737" w:type="dxa"/>
                  <w:gridSpan w:val="2"/>
                  <w:shd w:val="clear" w:color="auto" w:fill="auto"/>
                  <w:vAlign w:val="center"/>
                </w:tcPr>
                <w:p>
                  <w:pPr>
                    <w:jc w:val="center"/>
                    <w:rPr>
                      <w:rFonts w:eastAsiaTheme="minorEastAsia"/>
                      <w:szCs w:val="21"/>
                    </w:rPr>
                  </w:pPr>
                  <w:r>
                    <w:rPr>
                      <w:rFonts w:eastAsiaTheme="minorEastAsia"/>
                      <w:szCs w:val="21"/>
                    </w:rPr>
                    <w:t>6-9</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eastAsiaTheme="minorEastAsia"/>
                      <w:szCs w:val="21"/>
                    </w:rPr>
                    <w:t>COD</w:t>
                  </w:r>
                  <w:r>
                    <w:rPr>
                      <w:rFonts w:eastAsiaTheme="minorEastAsia"/>
                      <w:szCs w:val="21"/>
                      <w:vertAlign w:val="subscript"/>
                    </w:rPr>
                    <w:t>Cr</w:t>
                  </w:r>
                </w:p>
              </w:tc>
              <w:tc>
                <w:tcPr>
                  <w:tcW w:w="2737" w:type="dxa"/>
                  <w:gridSpan w:val="2"/>
                  <w:shd w:val="clear" w:color="auto" w:fill="auto"/>
                  <w:vAlign w:val="center"/>
                </w:tcPr>
                <w:p>
                  <w:pPr>
                    <w:jc w:val="center"/>
                    <w:rPr>
                      <w:rFonts w:eastAsiaTheme="minorEastAsia"/>
                      <w:szCs w:val="21"/>
                    </w:rPr>
                  </w:pPr>
                  <w:r>
                    <w:rPr>
                      <w:rFonts w:eastAsiaTheme="minorEastAsia"/>
                      <w:szCs w:val="21"/>
                    </w:rPr>
                    <w:t>40mg/L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eastAsiaTheme="minorEastAsia"/>
                      <w:szCs w:val="21"/>
                    </w:rPr>
                    <w:t>BOD</w:t>
                  </w:r>
                  <w:r>
                    <w:rPr>
                      <w:rFonts w:eastAsiaTheme="minorEastAsia"/>
                      <w:szCs w:val="21"/>
                      <w:vertAlign w:val="subscript"/>
                    </w:rPr>
                    <w:t>5</w:t>
                  </w:r>
                </w:p>
              </w:tc>
              <w:tc>
                <w:tcPr>
                  <w:tcW w:w="2737" w:type="dxa"/>
                  <w:gridSpan w:val="2"/>
                  <w:shd w:val="clear" w:color="auto" w:fill="auto"/>
                  <w:vAlign w:val="center"/>
                </w:tcPr>
                <w:p>
                  <w:pPr>
                    <w:jc w:val="center"/>
                    <w:rPr>
                      <w:rFonts w:eastAsiaTheme="minorEastAsia"/>
                      <w:szCs w:val="21"/>
                    </w:rPr>
                  </w:pPr>
                  <w:r>
                    <w:rPr>
                      <w:rFonts w:eastAsiaTheme="minorEastAsia"/>
                      <w:szCs w:val="21"/>
                    </w:rPr>
                    <w:t>10mg/L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2737" w:type="dxa"/>
                  <w:gridSpan w:val="2"/>
                  <w:shd w:val="clear" w:color="auto" w:fill="auto"/>
                  <w:vAlign w:val="center"/>
                </w:tcPr>
                <w:p>
                  <w:pPr>
                    <w:jc w:val="center"/>
                    <w:rPr>
                      <w:rFonts w:eastAsiaTheme="minorEastAsia"/>
                      <w:szCs w:val="21"/>
                    </w:rPr>
                  </w:pPr>
                  <w:r>
                    <w:rPr>
                      <w:rFonts w:eastAsiaTheme="minorEastAsia"/>
                      <w:szCs w:val="21"/>
                    </w:rPr>
                    <w:t>2mg/L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eastAsiaTheme="minorEastAsia"/>
                      <w:szCs w:val="21"/>
                    </w:rPr>
                    <w:t>TP</w:t>
                  </w:r>
                </w:p>
              </w:tc>
              <w:tc>
                <w:tcPr>
                  <w:tcW w:w="2737" w:type="dxa"/>
                  <w:gridSpan w:val="2"/>
                  <w:shd w:val="clear" w:color="auto" w:fill="auto"/>
                  <w:vAlign w:val="center"/>
                </w:tcPr>
                <w:p>
                  <w:pPr>
                    <w:jc w:val="center"/>
                    <w:rPr>
                      <w:rFonts w:eastAsiaTheme="minorEastAsia"/>
                      <w:szCs w:val="21"/>
                    </w:rPr>
                  </w:pPr>
                  <w:r>
                    <w:rPr>
                      <w:rFonts w:eastAsiaTheme="minorEastAsia"/>
                      <w:szCs w:val="21"/>
                    </w:rPr>
                    <w:t>0.4mg/L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eastAsiaTheme="minorEastAsia"/>
                      <w:szCs w:val="21"/>
                    </w:rPr>
                    <w:t>TN</w:t>
                  </w:r>
                </w:p>
              </w:tc>
              <w:tc>
                <w:tcPr>
                  <w:tcW w:w="2737" w:type="dxa"/>
                  <w:gridSpan w:val="2"/>
                  <w:shd w:val="clear" w:color="auto" w:fill="auto"/>
                  <w:vAlign w:val="center"/>
                </w:tcPr>
                <w:p>
                  <w:pPr>
                    <w:jc w:val="center"/>
                    <w:rPr>
                      <w:rFonts w:eastAsiaTheme="minorEastAsia"/>
                      <w:szCs w:val="21"/>
                    </w:rPr>
                  </w:pPr>
                  <w:r>
                    <w:rPr>
                      <w:rFonts w:eastAsiaTheme="minorEastAsia"/>
                      <w:szCs w:val="21"/>
                    </w:rPr>
                    <w:t>2.0mg/L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restart"/>
                  <w:shd w:val="clear" w:color="auto" w:fill="auto"/>
                  <w:vAlign w:val="center"/>
                </w:tcPr>
                <w:p>
                  <w:pPr>
                    <w:jc w:val="center"/>
                    <w:rPr>
                      <w:rFonts w:eastAsiaTheme="minorEastAsia"/>
                      <w:szCs w:val="21"/>
                    </w:rPr>
                  </w:pPr>
                  <w:r>
                    <w:rPr>
                      <w:rFonts w:hAnsiTheme="minorEastAsia" w:eastAsiaTheme="minorEastAsia"/>
                      <w:szCs w:val="21"/>
                    </w:rPr>
                    <w:t>地下水</w:t>
                  </w:r>
                </w:p>
              </w:tc>
              <w:tc>
                <w:tcPr>
                  <w:tcW w:w="2901" w:type="dxa"/>
                  <w:vMerge w:val="restart"/>
                  <w:shd w:val="clear" w:color="auto" w:fill="auto"/>
                  <w:vAlign w:val="center"/>
                </w:tcPr>
                <w:p>
                  <w:pPr>
                    <w:jc w:val="center"/>
                    <w:rPr>
                      <w:rFonts w:eastAsiaTheme="minorEastAsia"/>
                      <w:spacing w:val="5"/>
                      <w:szCs w:val="21"/>
                    </w:rPr>
                  </w:pPr>
                  <w:r>
                    <w:rPr>
                      <w:rFonts w:hAnsiTheme="minorEastAsia" w:eastAsiaTheme="minorEastAsia"/>
                      <w:szCs w:val="21"/>
                    </w:rPr>
                    <w:t>《地下水质量标准》（</w:t>
                  </w:r>
                  <w:r>
                    <w:rPr>
                      <w:rFonts w:eastAsiaTheme="minorEastAsia"/>
                      <w:szCs w:val="21"/>
                    </w:rPr>
                    <w:t>GB/T14848-2017</w:t>
                  </w:r>
                  <w:r>
                    <w:rPr>
                      <w:rFonts w:hAnsiTheme="minorEastAsia" w:eastAsiaTheme="minorEastAsia"/>
                      <w:szCs w:val="21"/>
                    </w:rPr>
                    <w:t>）</w:t>
                  </w:r>
                  <w:r>
                    <w:rPr>
                      <w:rFonts w:eastAsiaTheme="minorEastAsia"/>
                      <w:szCs w:val="21"/>
                    </w:rPr>
                    <w:t>III</w:t>
                  </w:r>
                  <w:r>
                    <w:rPr>
                      <w:rFonts w:hAnsiTheme="minorEastAsia" w:eastAsiaTheme="minorEastAsia"/>
                      <w:szCs w:val="21"/>
                    </w:rPr>
                    <w:t>类</w:t>
                  </w:r>
                </w:p>
              </w:tc>
              <w:tc>
                <w:tcPr>
                  <w:tcW w:w="1779" w:type="dxa"/>
                  <w:shd w:val="clear" w:color="auto" w:fill="auto"/>
                  <w:vAlign w:val="center"/>
                </w:tcPr>
                <w:p>
                  <w:pPr>
                    <w:jc w:val="center"/>
                    <w:rPr>
                      <w:rFonts w:eastAsiaTheme="minorEastAsia"/>
                      <w:szCs w:val="21"/>
                    </w:rPr>
                  </w:pPr>
                  <w:r>
                    <w:rPr>
                      <w:rFonts w:eastAsiaTheme="minorEastAsia"/>
                      <w:szCs w:val="21"/>
                    </w:rPr>
                    <w:t>pH</w:t>
                  </w:r>
                  <w:r>
                    <w:rPr>
                      <w:rFonts w:hAnsiTheme="minorEastAsia" w:eastAsiaTheme="minorEastAsia"/>
                      <w:szCs w:val="21"/>
                    </w:rPr>
                    <w:t>（无量纲）</w:t>
                  </w:r>
                </w:p>
              </w:tc>
              <w:tc>
                <w:tcPr>
                  <w:tcW w:w="2737" w:type="dxa"/>
                  <w:gridSpan w:val="2"/>
                  <w:shd w:val="clear" w:color="auto" w:fill="auto"/>
                  <w:vAlign w:val="center"/>
                </w:tcPr>
                <w:p>
                  <w:pPr>
                    <w:jc w:val="center"/>
                    <w:rPr>
                      <w:rFonts w:eastAsiaTheme="minorEastAsia"/>
                      <w:szCs w:val="21"/>
                    </w:rPr>
                  </w:pPr>
                  <w:r>
                    <w:rPr>
                      <w:rFonts w:eastAsiaTheme="minorEastAsia"/>
                      <w:szCs w:val="21"/>
                    </w:rPr>
                    <w:t>6.5</w:t>
                  </w:r>
                  <w:r>
                    <w:rPr>
                      <w:rFonts w:hAnsiTheme="minorEastAsia" w:eastAsiaTheme="minorEastAsia"/>
                      <w:szCs w:val="21"/>
                    </w:rPr>
                    <w:t>～</w:t>
                  </w:r>
                  <w:r>
                    <w:rPr>
                      <w:rFonts w:eastAsiaTheme="minorEastAsia"/>
                      <w:szCs w:val="21"/>
                    </w:rPr>
                    <w:t>8.5</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hAnsiTheme="minorEastAsia" w:eastAsiaTheme="minorEastAsia"/>
                      <w:szCs w:val="21"/>
                    </w:rPr>
                    <w:t>总硬度</w:t>
                  </w:r>
                </w:p>
              </w:tc>
              <w:tc>
                <w:tcPr>
                  <w:tcW w:w="2737" w:type="dxa"/>
                  <w:gridSpan w:val="2"/>
                  <w:shd w:val="clear" w:color="auto" w:fill="auto"/>
                  <w:vAlign w:val="center"/>
                </w:tcPr>
                <w:p>
                  <w:pPr>
                    <w:jc w:val="center"/>
                    <w:rPr>
                      <w:rFonts w:eastAsiaTheme="minorEastAsia"/>
                      <w:szCs w:val="21"/>
                    </w:rPr>
                  </w:pPr>
                  <w:r>
                    <w:rPr>
                      <w:rFonts w:eastAsiaTheme="minorEastAsia"/>
                      <w:szCs w:val="21"/>
                    </w:rPr>
                    <w:t>450mg/L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hAnsiTheme="minorEastAsia" w:eastAsiaTheme="minorEastAsia"/>
                      <w:szCs w:val="21"/>
                    </w:rPr>
                    <w:t>耗氧量</w:t>
                  </w:r>
                </w:p>
              </w:tc>
              <w:tc>
                <w:tcPr>
                  <w:tcW w:w="2737" w:type="dxa"/>
                  <w:gridSpan w:val="2"/>
                  <w:shd w:val="clear" w:color="auto" w:fill="auto"/>
                  <w:vAlign w:val="center"/>
                </w:tcPr>
                <w:p>
                  <w:pPr>
                    <w:jc w:val="center"/>
                    <w:rPr>
                      <w:rFonts w:eastAsiaTheme="minorEastAsia"/>
                      <w:szCs w:val="21"/>
                    </w:rPr>
                  </w:pPr>
                  <w:r>
                    <w:rPr>
                      <w:rFonts w:eastAsiaTheme="minorEastAsia"/>
                      <w:szCs w:val="21"/>
                    </w:rPr>
                    <w:t>3.0mg/L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pacing w:val="5"/>
                      <w:szCs w:val="21"/>
                    </w:rPr>
                  </w:pPr>
                </w:p>
              </w:tc>
              <w:tc>
                <w:tcPr>
                  <w:tcW w:w="1779" w:type="dxa"/>
                  <w:shd w:val="clear" w:color="auto" w:fill="auto"/>
                  <w:vAlign w:val="center"/>
                </w:tcPr>
                <w:p>
                  <w:pPr>
                    <w:jc w:val="center"/>
                    <w:rPr>
                      <w:rFonts w:eastAsiaTheme="minorEastAsia"/>
                      <w:szCs w:val="21"/>
                    </w:rPr>
                  </w:pPr>
                  <w:r>
                    <w:rPr>
                      <w:rFonts w:hAnsiTheme="minorEastAsia" w:eastAsiaTheme="minorEastAsia"/>
                      <w:szCs w:val="21"/>
                    </w:rPr>
                    <w:t>氨氮</w:t>
                  </w:r>
                </w:p>
              </w:tc>
              <w:tc>
                <w:tcPr>
                  <w:tcW w:w="2737" w:type="dxa"/>
                  <w:gridSpan w:val="2"/>
                  <w:shd w:val="clear" w:color="auto" w:fill="auto"/>
                  <w:vAlign w:val="center"/>
                </w:tcPr>
                <w:p>
                  <w:pPr>
                    <w:jc w:val="center"/>
                    <w:rPr>
                      <w:rFonts w:eastAsiaTheme="minorEastAsia"/>
                      <w:szCs w:val="21"/>
                    </w:rPr>
                  </w:pPr>
                  <w:r>
                    <w:rPr>
                      <w:rFonts w:eastAsiaTheme="minorEastAsia"/>
                      <w:szCs w:val="21"/>
                    </w:rPr>
                    <w:t>0.5mg/L</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restart"/>
                  <w:shd w:val="clear" w:color="auto" w:fill="auto"/>
                  <w:vAlign w:val="center"/>
                </w:tcPr>
                <w:p>
                  <w:pPr>
                    <w:jc w:val="center"/>
                    <w:rPr>
                      <w:rFonts w:eastAsiaTheme="minorEastAsia"/>
                      <w:szCs w:val="21"/>
                    </w:rPr>
                  </w:pPr>
                  <w:r>
                    <w:rPr>
                      <w:rFonts w:hAnsiTheme="minorEastAsia" w:eastAsiaTheme="minorEastAsia"/>
                      <w:szCs w:val="21"/>
                    </w:rPr>
                    <w:t>声环境</w:t>
                  </w:r>
                </w:p>
              </w:tc>
              <w:tc>
                <w:tcPr>
                  <w:tcW w:w="2901" w:type="dxa"/>
                  <w:vMerge w:val="restart"/>
                  <w:shd w:val="clear" w:color="auto" w:fill="auto"/>
                  <w:vAlign w:val="center"/>
                </w:tcPr>
                <w:p>
                  <w:pPr>
                    <w:jc w:val="center"/>
                    <w:rPr>
                      <w:rFonts w:eastAsiaTheme="minorEastAsia"/>
                      <w:szCs w:val="21"/>
                    </w:rPr>
                  </w:pPr>
                  <w:r>
                    <w:rPr>
                      <w:rFonts w:hAnsiTheme="minorEastAsia" w:eastAsiaTheme="minorEastAsia"/>
                      <w:szCs w:val="21"/>
                    </w:rPr>
                    <w:t>《声环境质量标准》（</w:t>
                  </w:r>
                  <w:r>
                    <w:rPr>
                      <w:rFonts w:eastAsiaTheme="minorEastAsia"/>
                      <w:szCs w:val="21"/>
                    </w:rPr>
                    <w:t>GB3096</w:t>
                  </w:r>
                  <w:r>
                    <w:rPr>
                      <w:rFonts w:hAnsiTheme="minorEastAsia" w:eastAsiaTheme="minorEastAsia"/>
                      <w:szCs w:val="21"/>
                    </w:rPr>
                    <w:t>－</w:t>
                  </w:r>
                  <w:r>
                    <w:rPr>
                      <w:rFonts w:eastAsiaTheme="minorEastAsia"/>
                      <w:szCs w:val="21"/>
                    </w:rPr>
                    <w:t>2008</w:t>
                  </w:r>
                  <w:r>
                    <w:rPr>
                      <w:rFonts w:hAnsiTheme="minorEastAsia" w:eastAsiaTheme="minorEastAsia"/>
                      <w:szCs w:val="21"/>
                    </w:rPr>
                    <w:t>）</w:t>
                  </w:r>
                  <w:r>
                    <w:rPr>
                      <w:rFonts w:hint="eastAsia" w:eastAsiaTheme="minorEastAsia"/>
                      <w:szCs w:val="21"/>
                    </w:rPr>
                    <w:t>1</w:t>
                  </w:r>
                  <w:r>
                    <w:rPr>
                      <w:rFonts w:hAnsiTheme="minorEastAsia" w:eastAsiaTheme="minorEastAsia"/>
                      <w:szCs w:val="21"/>
                    </w:rPr>
                    <w:t>类</w:t>
                  </w:r>
                </w:p>
              </w:tc>
              <w:tc>
                <w:tcPr>
                  <w:tcW w:w="1779" w:type="dxa"/>
                  <w:vMerge w:val="restart"/>
                  <w:shd w:val="clear" w:color="auto" w:fill="auto"/>
                  <w:vAlign w:val="center"/>
                </w:tcPr>
                <w:p>
                  <w:pPr>
                    <w:jc w:val="center"/>
                    <w:rPr>
                      <w:rFonts w:eastAsiaTheme="minorEastAsia"/>
                      <w:szCs w:val="21"/>
                    </w:rPr>
                  </w:pPr>
                  <w:r>
                    <w:rPr>
                      <w:rFonts w:hAnsiTheme="minorEastAsia" w:eastAsiaTheme="minorEastAsia"/>
                      <w:szCs w:val="21"/>
                    </w:rPr>
                    <w:t>噪声</w:t>
                  </w:r>
                </w:p>
              </w:tc>
              <w:tc>
                <w:tcPr>
                  <w:tcW w:w="1276" w:type="dxa"/>
                  <w:shd w:val="clear" w:color="auto" w:fill="auto"/>
                  <w:vAlign w:val="center"/>
                </w:tcPr>
                <w:p>
                  <w:pPr>
                    <w:jc w:val="center"/>
                    <w:rPr>
                      <w:rFonts w:eastAsiaTheme="minorEastAsia"/>
                      <w:szCs w:val="21"/>
                    </w:rPr>
                  </w:pPr>
                  <w:r>
                    <w:rPr>
                      <w:rFonts w:hAnsiTheme="minorEastAsia" w:eastAsiaTheme="minorEastAsia"/>
                      <w:szCs w:val="21"/>
                    </w:rPr>
                    <w:t>昼间</w:t>
                  </w:r>
                </w:p>
              </w:tc>
              <w:tc>
                <w:tcPr>
                  <w:tcW w:w="1461" w:type="dxa"/>
                  <w:shd w:val="clear" w:color="auto" w:fill="auto"/>
                  <w:vAlign w:val="center"/>
                </w:tcPr>
                <w:p>
                  <w:pPr>
                    <w:jc w:val="center"/>
                    <w:rPr>
                      <w:rFonts w:eastAsiaTheme="minorEastAsia"/>
                      <w:szCs w:val="21"/>
                    </w:rPr>
                  </w:pPr>
                  <w:r>
                    <w:rPr>
                      <w:rFonts w:hint="eastAsia" w:eastAsiaTheme="minorEastAsia"/>
                      <w:szCs w:val="21"/>
                    </w:rPr>
                    <w:t>55</w:t>
                  </w:r>
                  <w:r>
                    <w:rPr>
                      <w:rFonts w:eastAsiaTheme="minorEastAsia"/>
                      <w:szCs w:val="21"/>
                    </w:rPr>
                    <w:t>dB(A)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zCs w:val="21"/>
                    </w:rPr>
                  </w:pPr>
                </w:p>
              </w:tc>
              <w:tc>
                <w:tcPr>
                  <w:tcW w:w="1779" w:type="dxa"/>
                  <w:vMerge w:val="continue"/>
                  <w:shd w:val="clear" w:color="auto" w:fill="auto"/>
                  <w:vAlign w:val="center"/>
                </w:tcPr>
                <w:p>
                  <w:pPr>
                    <w:jc w:val="center"/>
                    <w:rPr>
                      <w:rFonts w:eastAsiaTheme="minorEastAsia"/>
                      <w:szCs w:val="21"/>
                    </w:rPr>
                  </w:pPr>
                </w:p>
              </w:tc>
              <w:tc>
                <w:tcPr>
                  <w:tcW w:w="1276" w:type="dxa"/>
                  <w:shd w:val="clear" w:color="auto" w:fill="auto"/>
                  <w:vAlign w:val="center"/>
                </w:tcPr>
                <w:p>
                  <w:pPr>
                    <w:jc w:val="center"/>
                    <w:rPr>
                      <w:rFonts w:eastAsiaTheme="minorEastAsia"/>
                      <w:szCs w:val="21"/>
                    </w:rPr>
                  </w:pPr>
                  <w:r>
                    <w:rPr>
                      <w:rFonts w:hAnsiTheme="minorEastAsia" w:eastAsiaTheme="minorEastAsia"/>
                      <w:szCs w:val="21"/>
                    </w:rPr>
                    <w:t>夜间</w:t>
                  </w:r>
                </w:p>
              </w:tc>
              <w:tc>
                <w:tcPr>
                  <w:tcW w:w="1461" w:type="dxa"/>
                  <w:shd w:val="clear" w:color="auto" w:fill="auto"/>
                  <w:vAlign w:val="center"/>
                </w:tcPr>
                <w:p>
                  <w:pPr>
                    <w:jc w:val="center"/>
                    <w:rPr>
                      <w:rFonts w:eastAsiaTheme="minorEastAsia"/>
                      <w:szCs w:val="21"/>
                    </w:rPr>
                  </w:pPr>
                  <w:r>
                    <w:rPr>
                      <w:rFonts w:hint="eastAsia" w:eastAsiaTheme="minorEastAsia"/>
                      <w:szCs w:val="21"/>
                    </w:rPr>
                    <w:t>45</w:t>
                  </w:r>
                  <w:r>
                    <w:rPr>
                      <w:rFonts w:eastAsiaTheme="minorEastAsia"/>
                      <w:szCs w:val="21"/>
                    </w:rPr>
                    <w:t>dB(A)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restart"/>
                  <w:shd w:val="clear" w:color="auto" w:fill="auto"/>
                  <w:vAlign w:val="center"/>
                </w:tcPr>
                <w:p>
                  <w:pPr>
                    <w:jc w:val="center"/>
                    <w:rPr>
                      <w:rFonts w:eastAsiaTheme="minorEastAsia"/>
                      <w:szCs w:val="21"/>
                    </w:rPr>
                  </w:pPr>
                  <w:r>
                    <w:rPr>
                      <w:rFonts w:hAnsiTheme="minorEastAsia" w:eastAsiaTheme="minorEastAsia"/>
                      <w:szCs w:val="21"/>
                    </w:rPr>
                    <w:t>《声环境质量标准》（</w:t>
                  </w:r>
                  <w:r>
                    <w:rPr>
                      <w:rFonts w:eastAsiaTheme="minorEastAsia"/>
                      <w:szCs w:val="21"/>
                    </w:rPr>
                    <w:t>GB3096</w:t>
                  </w:r>
                  <w:r>
                    <w:rPr>
                      <w:rFonts w:hAnsiTheme="minorEastAsia" w:eastAsiaTheme="minorEastAsia"/>
                      <w:szCs w:val="21"/>
                    </w:rPr>
                    <w:t>－</w:t>
                  </w:r>
                  <w:r>
                    <w:rPr>
                      <w:rFonts w:eastAsiaTheme="minorEastAsia"/>
                      <w:szCs w:val="21"/>
                    </w:rPr>
                    <w:t>2008</w:t>
                  </w:r>
                  <w:r>
                    <w:rPr>
                      <w:rFonts w:hAnsiTheme="minorEastAsia" w:eastAsiaTheme="minorEastAsia"/>
                      <w:szCs w:val="21"/>
                    </w:rPr>
                    <w:t>）</w:t>
                  </w:r>
                  <w:r>
                    <w:rPr>
                      <w:rFonts w:eastAsiaTheme="minorEastAsia"/>
                      <w:szCs w:val="21"/>
                    </w:rPr>
                    <w:t>2</w:t>
                  </w:r>
                  <w:r>
                    <w:rPr>
                      <w:rFonts w:hAnsiTheme="minorEastAsia" w:eastAsiaTheme="minorEastAsia"/>
                      <w:szCs w:val="21"/>
                    </w:rPr>
                    <w:t>类</w:t>
                  </w:r>
                </w:p>
              </w:tc>
              <w:tc>
                <w:tcPr>
                  <w:tcW w:w="1779" w:type="dxa"/>
                  <w:vMerge w:val="restart"/>
                  <w:shd w:val="clear" w:color="auto" w:fill="auto"/>
                  <w:vAlign w:val="center"/>
                </w:tcPr>
                <w:p>
                  <w:pPr>
                    <w:jc w:val="center"/>
                    <w:rPr>
                      <w:rFonts w:eastAsiaTheme="minorEastAsia"/>
                      <w:szCs w:val="21"/>
                    </w:rPr>
                  </w:pPr>
                  <w:r>
                    <w:rPr>
                      <w:rFonts w:hAnsiTheme="minorEastAsia" w:eastAsiaTheme="minorEastAsia"/>
                      <w:szCs w:val="21"/>
                    </w:rPr>
                    <w:t>噪声</w:t>
                  </w:r>
                </w:p>
              </w:tc>
              <w:tc>
                <w:tcPr>
                  <w:tcW w:w="1276" w:type="dxa"/>
                  <w:shd w:val="clear" w:color="auto" w:fill="auto"/>
                  <w:vAlign w:val="center"/>
                </w:tcPr>
                <w:p>
                  <w:pPr>
                    <w:jc w:val="center"/>
                    <w:rPr>
                      <w:rFonts w:eastAsiaTheme="minorEastAsia"/>
                      <w:szCs w:val="21"/>
                    </w:rPr>
                  </w:pPr>
                  <w:r>
                    <w:rPr>
                      <w:rFonts w:hAnsiTheme="minorEastAsia" w:eastAsiaTheme="minorEastAsia"/>
                      <w:szCs w:val="21"/>
                    </w:rPr>
                    <w:t>昼间</w:t>
                  </w:r>
                </w:p>
              </w:tc>
              <w:tc>
                <w:tcPr>
                  <w:tcW w:w="1461" w:type="dxa"/>
                  <w:shd w:val="clear" w:color="auto" w:fill="auto"/>
                  <w:vAlign w:val="center"/>
                </w:tcPr>
                <w:p>
                  <w:pPr>
                    <w:jc w:val="center"/>
                    <w:rPr>
                      <w:rFonts w:eastAsiaTheme="minorEastAsia"/>
                      <w:szCs w:val="21"/>
                    </w:rPr>
                  </w:pPr>
                  <w:r>
                    <w:rPr>
                      <w:rFonts w:eastAsiaTheme="minorEastAsia"/>
                      <w:szCs w:val="21"/>
                    </w:rPr>
                    <w:t>60dB(A)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369" w:hRule="atLeast"/>
                <w:jc w:val="center"/>
              </w:trPr>
              <w:tc>
                <w:tcPr>
                  <w:tcW w:w="1173" w:type="dxa"/>
                  <w:vMerge w:val="continue"/>
                  <w:shd w:val="clear" w:color="auto" w:fill="auto"/>
                  <w:vAlign w:val="center"/>
                </w:tcPr>
                <w:p>
                  <w:pPr>
                    <w:jc w:val="center"/>
                    <w:rPr>
                      <w:rFonts w:eastAsiaTheme="minorEastAsia"/>
                      <w:szCs w:val="21"/>
                    </w:rPr>
                  </w:pPr>
                </w:p>
              </w:tc>
              <w:tc>
                <w:tcPr>
                  <w:tcW w:w="2901" w:type="dxa"/>
                  <w:vMerge w:val="continue"/>
                  <w:shd w:val="clear" w:color="auto" w:fill="auto"/>
                  <w:vAlign w:val="center"/>
                </w:tcPr>
                <w:p>
                  <w:pPr>
                    <w:jc w:val="center"/>
                    <w:rPr>
                      <w:rFonts w:eastAsiaTheme="minorEastAsia"/>
                      <w:szCs w:val="21"/>
                    </w:rPr>
                  </w:pPr>
                </w:p>
              </w:tc>
              <w:tc>
                <w:tcPr>
                  <w:tcW w:w="1779" w:type="dxa"/>
                  <w:vMerge w:val="continue"/>
                  <w:shd w:val="clear" w:color="auto" w:fill="auto"/>
                  <w:vAlign w:val="center"/>
                </w:tcPr>
                <w:p>
                  <w:pPr>
                    <w:jc w:val="center"/>
                    <w:rPr>
                      <w:rFonts w:eastAsiaTheme="minorEastAsia"/>
                      <w:szCs w:val="21"/>
                    </w:rPr>
                  </w:pPr>
                </w:p>
              </w:tc>
              <w:tc>
                <w:tcPr>
                  <w:tcW w:w="1276" w:type="dxa"/>
                  <w:shd w:val="clear" w:color="auto" w:fill="auto"/>
                  <w:vAlign w:val="center"/>
                </w:tcPr>
                <w:p>
                  <w:pPr>
                    <w:jc w:val="center"/>
                    <w:rPr>
                      <w:rFonts w:hAnsiTheme="minorEastAsia" w:eastAsiaTheme="minorEastAsia"/>
                      <w:szCs w:val="21"/>
                    </w:rPr>
                  </w:pPr>
                  <w:r>
                    <w:rPr>
                      <w:rFonts w:hAnsiTheme="minorEastAsia" w:eastAsiaTheme="minorEastAsia"/>
                      <w:szCs w:val="21"/>
                    </w:rPr>
                    <w:t>夜间</w:t>
                  </w:r>
                </w:p>
              </w:tc>
              <w:tc>
                <w:tcPr>
                  <w:tcW w:w="1461" w:type="dxa"/>
                  <w:shd w:val="clear" w:color="auto" w:fill="auto"/>
                  <w:vAlign w:val="center"/>
                </w:tcPr>
                <w:p>
                  <w:pPr>
                    <w:jc w:val="center"/>
                    <w:rPr>
                      <w:rFonts w:eastAsiaTheme="minorEastAsia"/>
                      <w:szCs w:val="21"/>
                    </w:rPr>
                  </w:pPr>
                  <w:r>
                    <w:rPr>
                      <w:rFonts w:eastAsiaTheme="minorEastAsia"/>
                      <w:szCs w:val="21"/>
                    </w:rPr>
                    <w:t>50dB(A)</w:t>
                  </w:r>
                </w:p>
              </w:tc>
            </w:tr>
          </w:tbl>
          <w:p>
            <w:pPr>
              <w:spacing w:line="440" w:lineRule="exact"/>
              <w:rPr>
                <w:rFonts w:eastAsia="黑体"/>
                <w:b/>
              </w:rPr>
            </w:pPr>
          </w:p>
          <w:p>
            <w:pPr>
              <w:rPr>
                <w:rFonts w:eastAsia="黑体"/>
              </w:rPr>
            </w:pPr>
          </w:p>
        </w:tc>
      </w:tr>
      <w:tr>
        <w:tblPrEx>
          <w:tblCellMar>
            <w:top w:w="0" w:type="dxa"/>
            <w:left w:w="108" w:type="dxa"/>
            <w:bottom w:w="0" w:type="dxa"/>
            <w:right w:w="108" w:type="dxa"/>
          </w:tblCellMar>
        </w:tblPrEx>
        <w:trPr>
          <w:trHeight w:val="6778" w:hRule="atLeast"/>
          <w:jc w:val="center"/>
        </w:trPr>
        <w:tc>
          <w:tcPr>
            <w:tcW w:w="572" w:type="dxa"/>
            <w:tcBorders>
              <w:top w:val="single" w:color="000000" w:sz="8" w:space="0"/>
              <w:left w:val="single" w:color="000000" w:sz="8" w:space="0"/>
              <w:bottom w:val="single" w:color="000000" w:sz="8" w:space="0"/>
              <w:right w:val="single" w:color="000000" w:sz="4" w:space="0"/>
            </w:tcBorders>
            <w:shd w:val="clear" w:color="auto" w:fill="auto"/>
            <w:vAlign w:val="center"/>
          </w:tcPr>
          <w:p>
            <w:pPr>
              <w:rPr>
                <w:b/>
                <w:sz w:val="24"/>
              </w:rPr>
            </w:pPr>
            <w:r>
              <w:rPr>
                <w:b/>
                <w:sz w:val="24"/>
              </w:rPr>
              <w:t>污</w:t>
            </w:r>
          </w:p>
          <w:p>
            <w:pPr>
              <w:rPr>
                <w:b/>
                <w:sz w:val="24"/>
              </w:rPr>
            </w:pPr>
            <w:r>
              <w:rPr>
                <w:b/>
                <w:sz w:val="24"/>
              </w:rPr>
              <w:t>染</w:t>
            </w:r>
          </w:p>
          <w:p>
            <w:pPr>
              <w:rPr>
                <w:b/>
                <w:sz w:val="24"/>
              </w:rPr>
            </w:pPr>
            <w:r>
              <w:rPr>
                <w:b/>
                <w:sz w:val="24"/>
              </w:rPr>
              <w:t>物</w:t>
            </w:r>
          </w:p>
          <w:p>
            <w:pPr>
              <w:rPr>
                <w:b/>
                <w:sz w:val="24"/>
              </w:rPr>
            </w:pPr>
            <w:r>
              <w:rPr>
                <w:b/>
                <w:sz w:val="24"/>
              </w:rPr>
              <w:t>排</w:t>
            </w:r>
          </w:p>
          <w:p>
            <w:pPr>
              <w:rPr>
                <w:b/>
                <w:sz w:val="24"/>
              </w:rPr>
            </w:pPr>
            <w:r>
              <w:rPr>
                <w:b/>
                <w:sz w:val="24"/>
              </w:rPr>
              <w:t>放</w:t>
            </w:r>
          </w:p>
          <w:p>
            <w:pPr>
              <w:rPr>
                <w:b/>
                <w:sz w:val="24"/>
              </w:rPr>
            </w:pPr>
            <w:r>
              <w:rPr>
                <w:b/>
                <w:sz w:val="24"/>
              </w:rPr>
              <w:t>标</w:t>
            </w:r>
          </w:p>
          <w:p>
            <w:r>
              <w:rPr>
                <w:b/>
                <w:sz w:val="24"/>
              </w:rPr>
              <w:t>准</w:t>
            </w:r>
          </w:p>
        </w:tc>
        <w:tc>
          <w:tcPr>
            <w:tcW w:w="8806" w:type="dxa"/>
            <w:tcBorders>
              <w:top w:val="single" w:color="000000" w:sz="8" w:space="0"/>
              <w:left w:val="single" w:color="000000" w:sz="4" w:space="0"/>
              <w:bottom w:val="single" w:color="000000" w:sz="8" w:space="0"/>
              <w:right w:val="single" w:color="000000" w:sz="8" w:space="0"/>
            </w:tcBorders>
            <w:shd w:val="clear" w:color="auto" w:fill="auto"/>
          </w:tcPr>
          <w:p>
            <w:pPr>
              <w:spacing w:line="520" w:lineRule="exact"/>
              <w:ind w:firstLine="480"/>
              <w:jc w:val="left"/>
              <w:rPr>
                <w:rFonts w:eastAsia="黑体"/>
                <w:sz w:val="24"/>
              </w:rPr>
            </w:pPr>
          </w:p>
          <w:p>
            <w:pPr>
              <w:spacing w:line="520" w:lineRule="exact"/>
              <w:ind w:firstLine="480"/>
              <w:jc w:val="left"/>
              <w:rPr>
                <w:rFonts w:eastAsia="黑体"/>
                <w:sz w:val="24"/>
              </w:rPr>
            </w:pPr>
            <w:r>
              <w:rPr>
                <w:rFonts w:eastAsia="黑体"/>
                <w:sz w:val="24"/>
              </w:rPr>
              <w:t>表2</w:t>
            </w:r>
            <w:r>
              <w:rPr>
                <w:rFonts w:hint="eastAsia" w:eastAsia="黑体"/>
                <w:sz w:val="24"/>
              </w:rPr>
              <w:t xml:space="preserve">4                                 </w:t>
            </w:r>
            <w:r>
              <w:rPr>
                <w:rFonts w:eastAsia="黑体"/>
                <w:sz w:val="24"/>
              </w:rPr>
              <w:t xml:space="preserve"> 污染物排放标准</w:t>
            </w:r>
          </w:p>
          <w:tbl>
            <w:tblPr>
              <w:tblStyle w:val="19"/>
              <w:tblW w:w="5000" w:type="pct"/>
              <w:jc w:val="center"/>
              <w:tblLayout w:type="autofit"/>
              <w:tblCellMar>
                <w:top w:w="0" w:type="dxa"/>
                <w:left w:w="108" w:type="dxa"/>
                <w:bottom w:w="0" w:type="dxa"/>
                <w:right w:w="108" w:type="dxa"/>
              </w:tblCellMar>
            </w:tblPr>
            <w:tblGrid>
              <w:gridCol w:w="901"/>
              <w:gridCol w:w="3029"/>
              <w:gridCol w:w="928"/>
              <w:gridCol w:w="1520"/>
              <w:gridCol w:w="2212"/>
            </w:tblGrid>
            <w:tr>
              <w:tblPrEx>
                <w:tblCellMar>
                  <w:top w:w="0" w:type="dxa"/>
                  <w:left w:w="108" w:type="dxa"/>
                  <w:bottom w:w="0" w:type="dxa"/>
                  <w:right w:w="108" w:type="dxa"/>
                </w:tblCellMar>
              </w:tblPrEx>
              <w:trPr>
                <w:trHeight w:val="397" w:hRule="atLeast"/>
                <w:jc w:val="center"/>
              </w:trPr>
              <w:tc>
                <w:tcPr>
                  <w:tcW w:w="901" w:type="dxa"/>
                  <w:tcBorders>
                    <w:top w:val="single" w:color="000000" w:sz="8" w:space="0"/>
                    <w:bottom w:val="single" w:color="000000" w:sz="4" w:space="0"/>
                    <w:right w:val="single" w:color="000000" w:sz="4" w:space="0"/>
                  </w:tcBorders>
                  <w:shd w:val="clear" w:color="auto" w:fill="auto"/>
                  <w:vAlign w:val="center"/>
                </w:tcPr>
                <w:p>
                  <w:pPr>
                    <w:jc w:val="center"/>
                    <w:rPr>
                      <w:b/>
                      <w:szCs w:val="21"/>
                    </w:rPr>
                  </w:pPr>
                  <w:r>
                    <w:rPr>
                      <w:b/>
                      <w:szCs w:val="21"/>
                    </w:rPr>
                    <w:t>污染物</w:t>
                  </w:r>
                </w:p>
              </w:tc>
              <w:tc>
                <w:tcPr>
                  <w:tcW w:w="3029"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标准名称</w:t>
                  </w:r>
                </w:p>
              </w:tc>
              <w:tc>
                <w:tcPr>
                  <w:tcW w:w="2448"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污染因子</w:t>
                  </w:r>
                </w:p>
              </w:tc>
              <w:tc>
                <w:tcPr>
                  <w:tcW w:w="2212" w:type="dxa"/>
                  <w:tcBorders>
                    <w:top w:val="single" w:color="000000" w:sz="8" w:space="0"/>
                    <w:left w:val="single" w:color="000000" w:sz="4" w:space="0"/>
                    <w:bottom w:val="single" w:color="000000" w:sz="4" w:space="0"/>
                  </w:tcBorders>
                  <w:shd w:val="clear" w:color="auto" w:fill="auto"/>
                  <w:vAlign w:val="center"/>
                </w:tcPr>
                <w:p>
                  <w:pPr>
                    <w:jc w:val="center"/>
                    <w:rPr>
                      <w:b/>
                      <w:szCs w:val="21"/>
                    </w:rPr>
                  </w:pPr>
                  <w:r>
                    <w:rPr>
                      <w:b/>
                      <w:szCs w:val="21"/>
                    </w:rPr>
                    <w:t>标准限值</w:t>
                  </w:r>
                </w:p>
              </w:tc>
            </w:tr>
            <w:tr>
              <w:trPr>
                <w:trHeight w:val="397" w:hRule="atLeast"/>
                <w:jc w:val="center"/>
              </w:trPr>
              <w:tc>
                <w:tcPr>
                  <w:tcW w:w="901" w:type="dxa"/>
                  <w:vMerge w:val="restart"/>
                  <w:tcBorders>
                    <w:top w:val="single" w:color="000000" w:sz="4" w:space="0"/>
                    <w:right w:val="single" w:color="000000" w:sz="4" w:space="0"/>
                  </w:tcBorders>
                  <w:shd w:val="clear" w:color="auto" w:fill="auto"/>
                  <w:vAlign w:val="center"/>
                </w:tcPr>
                <w:p>
                  <w:pPr>
                    <w:jc w:val="center"/>
                    <w:rPr>
                      <w:szCs w:val="21"/>
                    </w:rPr>
                  </w:pPr>
                  <w:r>
                    <w:rPr>
                      <w:szCs w:val="21"/>
                    </w:rPr>
                    <w:t>废气</w:t>
                  </w:r>
                </w:p>
              </w:tc>
              <w:tc>
                <w:tcPr>
                  <w:tcW w:w="3029" w:type="dxa"/>
                  <w:vMerge w:val="restart"/>
                  <w:tcBorders>
                    <w:top w:val="single" w:color="000000" w:sz="4" w:space="0"/>
                    <w:left w:val="single" w:color="000000" w:sz="4" w:space="0"/>
                    <w:right w:val="single" w:color="000000" w:sz="4" w:space="0"/>
                  </w:tcBorders>
                  <w:shd w:val="clear" w:color="auto" w:fill="auto"/>
                  <w:vAlign w:val="center"/>
                </w:tcPr>
                <w:p>
                  <w:pPr>
                    <w:jc w:val="center"/>
                    <w:rPr>
                      <w:szCs w:val="21"/>
                    </w:rPr>
                  </w:pPr>
                  <w:r>
                    <w:rPr>
                      <w:szCs w:val="21"/>
                    </w:rPr>
                    <w:t>《合成树脂工业污染物排放标准》（GB31572-2015）</w:t>
                  </w:r>
                </w:p>
                <w:p>
                  <w:pPr>
                    <w:jc w:val="center"/>
                    <w:rPr>
                      <w:szCs w:val="21"/>
                    </w:rPr>
                  </w:pPr>
                  <w:r>
                    <w:rPr>
                      <w:szCs w:val="21"/>
                    </w:rPr>
                    <w:t>表5-大气污染物特别排放限值、表9-企业边界大气污染物浓度限值</w:t>
                  </w:r>
                </w:p>
              </w:tc>
              <w:tc>
                <w:tcPr>
                  <w:tcW w:w="928" w:type="dxa"/>
                  <w:vMerge w:val="restart"/>
                  <w:tcBorders>
                    <w:top w:val="single" w:color="000000" w:sz="4" w:space="0"/>
                    <w:left w:val="single" w:color="000000" w:sz="4" w:space="0"/>
                    <w:right w:val="single" w:color="000000" w:sz="4" w:space="0"/>
                  </w:tcBorders>
                  <w:shd w:val="clear" w:color="auto" w:fill="auto"/>
                  <w:vAlign w:val="center"/>
                </w:tcPr>
                <w:p>
                  <w:pPr>
                    <w:jc w:val="center"/>
                    <w:rPr>
                      <w:szCs w:val="21"/>
                    </w:rPr>
                  </w:pPr>
                  <w:r>
                    <w:rPr>
                      <w:szCs w:val="21"/>
                    </w:rPr>
                    <w:t>非甲烷总烃</w:t>
                  </w:r>
                </w:p>
              </w:tc>
              <w:tc>
                <w:tcPr>
                  <w:tcW w:w="1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表5</w:t>
                  </w:r>
                  <w:r>
                    <w:rPr>
                      <w:rFonts w:hint="eastAsia"/>
                      <w:szCs w:val="21"/>
                    </w:rPr>
                    <w:t>：</w:t>
                  </w:r>
                  <w:r>
                    <w:rPr>
                      <w:szCs w:val="21"/>
                    </w:rPr>
                    <w:t>有组织</w:t>
                  </w:r>
                </w:p>
              </w:tc>
              <w:tc>
                <w:tcPr>
                  <w:tcW w:w="2212" w:type="dxa"/>
                  <w:tcBorders>
                    <w:top w:val="single" w:color="000000" w:sz="4" w:space="0"/>
                    <w:left w:val="single" w:color="000000" w:sz="4" w:space="0"/>
                    <w:bottom w:val="single" w:color="000000" w:sz="4" w:space="0"/>
                  </w:tcBorders>
                  <w:shd w:val="clear" w:color="auto" w:fill="auto"/>
                  <w:vAlign w:val="center"/>
                </w:tcPr>
                <w:p>
                  <w:pPr>
                    <w:jc w:val="center"/>
                    <w:rPr>
                      <w:szCs w:val="21"/>
                      <w:vertAlign w:val="superscript"/>
                    </w:rPr>
                  </w:pPr>
                  <w:r>
                    <w:rPr>
                      <w:szCs w:val="21"/>
                    </w:rPr>
                    <w:t>60mg/m</w:t>
                  </w:r>
                  <w:r>
                    <w:rPr>
                      <w:szCs w:val="21"/>
                      <w:vertAlign w:val="superscript"/>
                    </w:rPr>
                    <w:t>3</w:t>
                  </w:r>
                </w:p>
                <w:p>
                  <w:pPr>
                    <w:jc w:val="center"/>
                    <w:rPr>
                      <w:szCs w:val="21"/>
                    </w:rPr>
                  </w:pPr>
                  <w:r>
                    <w:rPr>
                      <w:szCs w:val="21"/>
                    </w:rPr>
                    <w:t>（15m高排气筒）</w:t>
                  </w:r>
                </w:p>
              </w:tc>
            </w:tr>
            <w:tr>
              <w:trPr>
                <w:trHeight w:val="397" w:hRule="atLeast"/>
                <w:jc w:val="center"/>
              </w:trPr>
              <w:tc>
                <w:tcPr>
                  <w:tcW w:w="901" w:type="dxa"/>
                  <w:vMerge w:val="continue"/>
                  <w:tcBorders>
                    <w:right w:val="single" w:color="000000" w:sz="4" w:space="0"/>
                  </w:tcBorders>
                  <w:shd w:val="clear" w:color="auto" w:fill="auto"/>
                  <w:vAlign w:val="center"/>
                </w:tcPr>
                <w:p>
                  <w:pPr>
                    <w:jc w:val="center"/>
                    <w:rPr>
                      <w:szCs w:val="21"/>
                    </w:rPr>
                  </w:pPr>
                </w:p>
              </w:tc>
              <w:tc>
                <w:tcPr>
                  <w:tcW w:w="3029" w:type="dxa"/>
                  <w:vMerge w:val="continue"/>
                  <w:tcBorders>
                    <w:left w:val="single" w:color="000000" w:sz="4" w:space="0"/>
                    <w:right w:val="single" w:color="000000" w:sz="4" w:space="0"/>
                  </w:tcBorders>
                  <w:shd w:val="clear" w:color="auto" w:fill="auto"/>
                  <w:vAlign w:val="center"/>
                </w:tcPr>
                <w:p>
                  <w:pPr>
                    <w:jc w:val="center"/>
                    <w:rPr>
                      <w:szCs w:val="21"/>
                    </w:rPr>
                  </w:pPr>
                </w:p>
              </w:tc>
              <w:tc>
                <w:tcPr>
                  <w:tcW w:w="928" w:type="dxa"/>
                  <w:vMerge w:val="continue"/>
                  <w:tcBorders>
                    <w:left w:val="single" w:color="000000" w:sz="4" w:space="0"/>
                    <w:right w:val="single" w:color="000000" w:sz="4" w:space="0"/>
                  </w:tcBorders>
                  <w:shd w:val="clear" w:color="auto" w:fill="auto"/>
                  <w:vAlign w:val="center"/>
                </w:tcPr>
                <w:p>
                  <w:pPr>
                    <w:jc w:val="center"/>
                    <w:rPr>
                      <w:szCs w:val="21"/>
                    </w:rPr>
                  </w:pPr>
                </w:p>
              </w:tc>
              <w:tc>
                <w:tcPr>
                  <w:tcW w:w="1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2212" w:type="dxa"/>
                  <w:tcBorders>
                    <w:top w:val="single" w:color="000000" w:sz="4" w:space="0"/>
                    <w:left w:val="single" w:color="000000" w:sz="4" w:space="0"/>
                    <w:bottom w:val="single" w:color="000000" w:sz="4" w:space="0"/>
                  </w:tcBorders>
                  <w:shd w:val="clear" w:color="auto" w:fill="auto"/>
                  <w:vAlign w:val="center"/>
                </w:tcPr>
                <w:p>
                  <w:pPr>
                    <w:pStyle w:val="133"/>
                    <w:jc w:val="both"/>
                    <w:rPr>
                      <w:color w:val="auto"/>
                    </w:rPr>
                  </w:pPr>
                  <w:r>
                    <w:rPr>
                      <w:color w:val="auto"/>
                    </w:rPr>
                    <w:t>单位产品非甲烷总烃排放量≤0.3 kg/t产品</w:t>
                  </w:r>
                </w:p>
              </w:tc>
            </w:tr>
            <w:tr>
              <w:tblPrEx>
                <w:tblCellMar>
                  <w:top w:w="0" w:type="dxa"/>
                  <w:left w:w="108" w:type="dxa"/>
                  <w:bottom w:w="0" w:type="dxa"/>
                  <w:right w:w="108" w:type="dxa"/>
                </w:tblCellMar>
              </w:tblPrEx>
              <w:trPr>
                <w:trHeight w:val="397" w:hRule="atLeast"/>
                <w:jc w:val="center"/>
              </w:trPr>
              <w:tc>
                <w:tcPr>
                  <w:tcW w:w="901" w:type="dxa"/>
                  <w:vMerge w:val="continue"/>
                  <w:tcBorders>
                    <w:right w:val="single" w:color="000000" w:sz="4" w:space="0"/>
                  </w:tcBorders>
                  <w:shd w:val="clear" w:color="auto" w:fill="auto"/>
                  <w:vAlign w:val="center"/>
                </w:tcPr>
                <w:p>
                  <w:pPr>
                    <w:jc w:val="center"/>
                    <w:rPr>
                      <w:szCs w:val="21"/>
                    </w:rPr>
                  </w:pPr>
                </w:p>
              </w:tc>
              <w:tc>
                <w:tcPr>
                  <w:tcW w:w="3029" w:type="dxa"/>
                  <w:vMerge w:val="continue"/>
                  <w:tcBorders>
                    <w:left w:val="single" w:color="000000" w:sz="4" w:space="0"/>
                    <w:right w:val="single" w:color="000000" w:sz="4" w:space="0"/>
                  </w:tcBorders>
                  <w:shd w:val="clear" w:color="auto" w:fill="auto"/>
                  <w:vAlign w:val="center"/>
                </w:tcPr>
                <w:p>
                  <w:pPr>
                    <w:jc w:val="center"/>
                    <w:rPr>
                      <w:szCs w:val="21"/>
                    </w:rPr>
                  </w:pPr>
                </w:p>
              </w:tc>
              <w:tc>
                <w:tcPr>
                  <w:tcW w:w="928" w:type="dxa"/>
                  <w:vMerge w:val="continue"/>
                  <w:tcBorders>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表9</w:t>
                  </w:r>
                  <w:r>
                    <w:rPr>
                      <w:rFonts w:hint="eastAsia"/>
                      <w:szCs w:val="21"/>
                    </w:rPr>
                    <w:t>：</w:t>
                  </w:r>
                  <w:r>
                    <w:rPr>
                      <w:szCs w:val="21"/>
                    </w:rPr>
                    <w:t>工业企业边界</w:t>
                  </w:r>
                </w:p>
              </w:tc>
              <w:tc>
                <w:tcPr>
                  <w:tcW w:w="2212" w:type="dxa"/>
                  <w:tcBorders>
                    <w:top w:val="single" w:color="000000" w:sz="4" w:space="0"/>
                    <w:left w:val="single" w:color="000000" w:sz="4" w:space="0"/>
                    <w:bottom w:val="single" w:color="000000" w:sz="4" w:space="0"/>
                  </w:tcBorders>
                  <w:shd w:val="clear" w:color="auto" w:fill="auto"/>
                  <w:vAlign w:val="center"/>
                </w:tcPr>
                <w:p>
                  <w:pPr>
                    <w:pStyle w:val="133"/>
                    <w:rPr>
                      <w:color w:val="auto"/>
                    </w:rPr>
                  </w:pPr>
                  <w:r>
                    <w:rPr>
                      <w:rFonts w:hint="eastAsia"/>
                    </w:rPr>
                    <w:t>4.0</w:t>
                  </w:r>
                  <w:r>
                    <w:t>mg/m</w:t>
                  </w:r>
                  <w:r>
                    <w:rPr>
                      <w:vertAlign w:val="superscript"/>
                    </w:rPr>
                    <w:t>3</w:t>
                  </w:r>
                </w:p>
              </w:tc>
            </w:tr>
            <w:tr>
              <w:tblPrEx>
                <w:tblCellMar>
                  <w:top w:w="0" w:type="dxa"/>
                  <w:left w:w="108" w:type="dxa"/>
                  <w:bottom w:w="0" w:type="dxa"/>
                  <w:right w:w="108" w:type="dxa"/>
                </w:tblCellMar>
              </w:tblPrEx>
              <w:trPr>
                <w:trHeight w:val="397" w:hRule="atLeast"/>
                <w:jc w:val="center"/>
              </w:trPr>
              <w:tc>
                <w:tcPr>
                  <w:tcW w:w="901" w:type="dxa"/>
                  <w:vMerge w:val="continue"/>
                  <w:tcBorders>
                    <w:right w:val="single" w:color="000000" w:sz="4" w:space="0"/>
                  </w:tcBorders>
                  <w:shd w:val="clear" w:color="auto" w:fill="auto"/>
                  <w:vAlign w:val="center"/>
                </w:tcPr>
                <w:p>
                  <w:pPr>
                    <w:jc w:val="center"/>
                    <w:rPr>
                      <w:szCs w:val="21"/>
                    </w:rPr>
                  </w:pPr>
                </w:p>
              </w:tc>
              <w:tc>
                <w:tcPr>
                  <w:tcW w:w="3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w:t>
                  </w:r>
                  <w:r>
                    <w:rPr>
                      <w:szCs w:val="21"/>
                    </w:rPr>
                    <w:t>关于全省开展工业企业挥发性有机物专项治理工作中排放建议值的通知》（豫环攻坚办（2017）162号）</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非甲烷总烃</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附件1：其他行业有机废气排放口</w:t>
                  </w:r>
                </w:p>
              </w:tc>
              <w:tc>
                <w:tcPr>
                  <w:tcW w:w="2212"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rFonts w:hint="eastAsia"/>
                      <w:szCs w:val="21"/>
                    </w:rPr>
                    <w:t>80</w:t>
                  </w:r>
                  <w:r>
                    <w:rPr>
                      <w:szCs w:val="21"/>
                    </w:rPr>
                    <w:t>mg/m</w:t>
                  </w:r>
                  <w:r>
                    <w:rPr>
                      <w:szCs w:val="21"/>
                      <w:vertAlign w:val="superscript"/>
                    </w:rPr>
                    <w:t>3</w:t>
                  </w:r>
                  <w:r>
                    <w:rPr>
                      <w:szCs w:val="21"/>
                    </w:rPr>
                    <w:t>，</w:t>
                  </w:r>
                </w:p>
                <w:p>
                  <w:pPr>
                    <w:jc w:val="center"/>
                    <w:rPr>
                      <w:szCs w:val="21"/>
                    </w:rPr>
                  </w:pPr>
                  <w:r>
                    <w:rPr>
                      <w:szCs w:val="21"/>
                    </w:rPr>
                    <w:t>去除率≥70%</w:t>
                  </w:r>
                </w:p>
              </w:tc>
            </w:tr>
            <w:tr>
              <w:tblPrEx>
                <w:tblCellMar>
                  <w:top w:w="0" w:type="dxa"/>
                  <w:left w:w="108" w:type="dxa"/>
                  <w:bottom w:w="0" w:type="dxa"/>
                  <w:right w:w="108" w:type="dxa"/>
                </w:tblCellMar>
              </w:tblPrEx>
              <w:trPr>
                <w:trHeight w:val="397" w:hRule="atLeast"/>
                <w:jc w:val="center"/>
              </w:trPr>
              <w:tc>
                <w:tcPr>
                  <w:tcW w:w="901" w:type="dxa"/>
                  <w:vMerge w:val="continue"/>
                  <w:tcBorders>
                    <w:right w:val="single" w:color="000000" w:sz="4" w:space="0"/>
                  </w:tcBorders>
                  <w:shd w:val="clear" w:color="auto" w:fill="auto"/>
                  <w:vAlign w:val="center"/>
                </w:tcPr>
                <w:p>
                  <w:pPr>
                    <w:jc w:val="center"/>
                    <w:rPr>
                      <w:szCs w:val="21"/>
                    </w:rPr>
                  </w:pPr>
                </w:p>
              </w:tc>
              <w:tc>
                <w:tcPr>
                  <w:tcW w:w="3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附件2：工业企业边界</w:t>
                  </w:r>
                </w:p>
              </w:tc>
              <w:tc>
                <w:tcPr>
                  <w:tcW w:w="2212"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2.0mg/m</w:t>
                  </w:r>
                  <w:r>
                    <w:rPr>
                      <w:szCs w:val="21"/>
                      <w:vertAlign w:val="superscript"/>
                    </w:rPr>
                    <w:t>3</w:t>
                  </w:r>
                </w:p>
              </w:tc>
            </w:tr>
            <w:tr>
              <w:tblPrEx>
                <w:tblCellMar>
                  <w:top w:w="0" w:type="dxa"/>
                  <w:left w:w="108" w:type="dxa"/>
                  <w:bottom w:w="0" w:type="dxa"/>
                  <w:right w:w="108" w:type="dxa"/>
                </w:tblCellMar>
              </w:tblPrEx>
              <w:trPr>
                <w:trHeight w:val="397" w:hRule="atLeast"/>
                <w:jc w:val="center"/>
              </w:trPr>
              <w:tc>
                <w:tcPr>
                  <w:tcW w:w="901" w:type="dxa"/>
                  <w:vMerge w:val="restart"/>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噪声</w:t>
                  </w:r>
                </w:p>
              </w:tc>
              <w:tc>
                <w:tcPr>
                  <w:tcW w:w="3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《工业企业厂界环境噪声排放标准》（GB12348-2008）</w:t>
                  </w:r>
                  <w:r>
                    <w:rPr>
                      <w:rFonts w:hint="eastAsia"/>
                      <w:szCs w:val="21"/>
                    </w:rPr>
                    <w:t>2</w:t>
                  </w:r>
                  <w:r>
                    <w:rPr>
                      <w:szCs w:val="21"/>
                    </w:rPr>
                    <w:t>类</w:t>
                  </w:r>
                </w:p>
              </w:tc>
              <w:tc>
                <w:tcPr>
                  <w:tcW w:w="24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噪声</w:t>
                  </w:r>
                </w:p>
              </w:tc>
              <w:tc>
                <w:tcPr>
                  <w:tcW w:w="2212"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昼间6</w:t>
                  </w:r>
                  <w:r>
                    <w:rPr>
                      <w:rFonts w:hint="eastAsia"/>
                      <w:szCs w:val="21"/>
                    </w:rPr>
                    <w:t>0</w:t>
                  </w:r>
                  <w:r>
                    <w:rPr>
                      <w:szCs w:val="21"/>
                    </w:rPr>
                    <w:t>dB（A）</w:t>
                  </w:r>
                </w:p>
              </w:tc>
            </w:tr>
            <w:tr>
              <w:tblPrEx>
                <w:tblCellMar>
                  <w:top w:w="0" w:type="dxa"/>
                  <w:left w:w="108" w:type="dxa"/>
                  <w:bottom w:w="0" w:type="dxa"/>
                  <w:right w:w="108" w:type="dxa"/>
                </w:tblCellMar>
              </w:tblPrEx>
              <w:trPr>
                <w:trHeight w:val="397" w:hRule="atLeast"/>
                <w:jc w:val="center"/>
              </w:trPr>
              <w:tc>
                <w:tcPr>
                  <w:tcW w:w="901"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3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24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2212"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夜间5</w:t>
                  </w:r>
                  <w:r>
                    <w:rPr>
                      <w:rFonts w:hint="eastAsia"/>
                      <w:szCs w:val="21"/>
                    </w:rPr>
                    <w:t>0</w:t>
                  </w:r>
                  <w:r>
                    <w:rPr>
                      <w:szCs w:val="21"/>
                    </w:rPr>
                    <w:t>dB（A）</w:t>
                  </w:r>
                </w:p>
              </w:tc>
            </w:tr>
            <w:tr>
              <w:tblPrEx>
                <w:tblCellMar>
                  <w:top w:w="0" w:type="dxa"/>
                  <w:left w:w="108" w:type="dxa"/>
                  <w:bottom w:w="0" w:type="dxa"/>
                  <w:right w:w="108" w:type="dxa"/>
                </w:tblCellMar>
              </w:tblPrEx>
              <w:trPr>
                <w:trHeight w:val="397" w:hRule="atLeast"/>
                <w:jc w:val="center"/>
              </w:trPr>
              <w:tc>
                <w:tcPr>
                  <w:tcW w:w="901" w:type="dxa"/>
                  <w:vMerge w:val="restart"/>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固废</w:t>
                  </w:r>
                </w:p>
              </w:tc>
              <w:tc>
                <w:tcPr>
                  <w:tcW w:w="7689" w:type="dxa"/>
                  <w:gridSpan w:val="4"/>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《一般工业固体废物贮存、处置场污染控制标准》（GB18599-2001）及2013修改单</w:t>
                  </w:r>
                </w:p>
              </w:tc>
            </w:tr>
            <w:tr>
              <w:tblPrEx>
                <w:tblCellMar>
                  <w:top w:w="0" w:type="dxa"/>
                  <w:left w:w="108" w:type="dxa"/>
                  <w:bottom w:w="0" w:type="dxa"/>
                  <w:right w:w="108" w:type="dxa"/>
                </w:tblCellMar>
              </w:tblPrEx>
              <w:trPr>
                <w:trHeight w:val="397" w:hRule="atLeast"/>
                <w:jc w:val="center"/>
              </w:trPr>
              <w:tc>
                <w:tcPr>
                  <w:tcW w:w="901" w:type="dxa"/>
                  <w:vMerge w:val="continue"/>
                  <w:tcBorders>
                    <w:top w:val="single" w:color="000000" w:sz="4" w:space="0"/>
                    <w:bottom w:val="single" w:color="000000" w:sz="8" w:space="0"/>
                    <w:right w:val="single" w:color="000000" w:sz="4" w:space="0"/>
                  </w:tcBorders>
                  <w:shd w:val="clear" w:color="auto" w:fill="auto"/>
                  <w:vAlign w:val="center"/>
                </w:tcPr>
                <w:p>
                  <w:pPr>
                    <w:jc w:val="center"/>
                    <w:rPr>
                      <w:szCs w:val="21"/>
                    </w:rPr>
                  </w:pPr>
                </w:p>
              </w:tc>
              <w:tc>
                <w:tcPr>
                  <w:tcW w:w="7689" w:type="dxa"/>
                  <w:gridSpan w:val="4"/>
                  <w:tcBorders>
                    <w:top w:val="single" w:color="000000" w:sz="4" w:space="0"/>
                    <w:left w:val="single" w:color="000000" w:sz="4" w:space="0"/>
                    <w:bottom w:val="single" w:color="000000" w:sz="8" w:space="0"/>
                  </w:tcBorders>
                  <w:shd w:val="clear" w:color="auto" w:fill="auto"/>
                  <w:vAlign w:val="center"/>
                </w:tcPr>
                <w:p>
                  <w:pPr>
                    <w:jc w:val="center"/>
                    <w:rPr>
                      <w:szCs w:val="21"/>
                    </w:rPr>
                  </w:pPr>
                  <w:r>
                    <w:rPr>
                      <w:szCs w:val="21"/>
                    </w:rPr>
                    <w:t>《危险废物贮存污染控制标准》（GB18597-2001）及2013修改单</w:t>
                  </w:r>
                </w:p>
              </w:tc>
            </w:tr>
          </w:tbl>
          <w:p/>
        </w:tc>
      </w:tr>
      <w:tr>
        <w:tblPrEx>
          <w:tblCellMar>
            <w:top w:w="0" w:type="dxa"/>
            <w:left w:w="108" w:type="dxa"/>
            <w:bottom w:w="0" w:type="dxa"/>
            <w:right w:w="108" w:type="dxa"/>
          </w:tblCellMar>
        </w:tblPrEx>
        <w:trPr>
          <w:trHeight w:val="4085" w:hRule="atLeast"/>
          <w:jc w:val="center"/>
        </w:trPr>
        <w:tc>
          <w:tcPr>
            <w:tcW w:w="572" w:type="dxa"/>
            <w:tcBorders>
              <w:top w:val="single" w:color="000000" w:sz="8" w:space="0"/>
              <w:left w:val="single" w:color="000000" w:sz="8" w:space="0"/>
              <w:bottom w:val="single" w:color="000000" w:sz="8" w:space="0"/>
              <w:right w:val="single" w:color="000000" w:sz="4" w:space="0"/>
            </w:tcBorders>
            <w:shd w:val="clear" w:color="auto" w:fill="auto"/>
            <w:vAlign w:val="center"/>
          </w:tcPr>
          <w:p>
            <w:pPr>
              <w:jc w:val="center"/>
              <w:rPr>
                <w:b/>
                <w:sz w:val="24"/>
              </w:rPr>
            </w:pPr>
            <w:r>
              <w:rPr>
                <w:b/>
                <w:sz w:val="24"/>
              </w:rPr>
              <w:t>总</w:t>
            </w:r>
          </w:p>
          <w:p>
            <w:pPr>
              <w:jc w:val="center"/>
              <w:rPr>
                <w:b/>
                <w:sz w:val="24"/>
              </w:rPr>
            </w:pPr>
            <w:r>
              <w:rPr>
                <w:b/>
                <w:sz w:val="24"/>
              </w:rPr>
              <w:t>量</w:t>
            </w:r>
          </w:p>
          <w:p>
            <w:pPr>
              <w:jc w:val="center"/>
              <w:rPr>
                <w:b/>
                <w:sz w:val="24"/>
              </w:rPr>
            </w:pPr>
            <w:r>
              <w:rPr>
                <w:b/>
                <w:sz w:val="24"/>
              </w:rPr>
              <w:t>控</w:t>
            </w:r>
          </w:p>
          <w:p>
            <w:pPr>
              <w:jc w:val="center"/>
              <w:rPr>
                <w:b/>
                <w:sz w:val="24"/>
              </w:rPr>
            </w:pPr>
            <w:r>
              <w:rPr>
                <w:b/>
                <w:sz w:val="24"/>
              </w:rPr>
              <w:t>制</w:t>
            </w:r>
          </w:p>
          <w:p>
            <w:pPr>
              <w:jc w:val="center"/>
              <w:rPr>
                <w:b/>
                <w:sz w:val="24"/>
              </w:rPr>
            </w:pPr>
            <w:r>
              <w:rPr>
                <w:b/>
                <w:sz w:val="24"/>
              </w:rPr>
              <w:t>标</w:t>
            </w:r>
          </w:p>
          <w:p>
            <w:pPr>
              <w:jc w:val="center"/>
              <w:rPr>
                <w:b/>
                <w:sz w:val="24"/>
              </w:rPr>
            </w:pPr>
            <w:r>
              <w:rPr>
                <w:b/>
                <w:sz w:val="24"/>
              </w:rPr>
              <w:t>准</w:t>
            </w:r>
          </w:p>
          <w:p>
            <w:pPr>
              <w:jc w:val="center"/>
              <w:rPr>
                <w:b/>
              </w:rPr>
            </w:pPr>
          </w:p>
        </w:tc>
        <w:tc>
          <w:tcPr>
            <w:tcW w:w="8806" w:type="dxa"/>
            <w:tcBorders>
              <w:top w:val="single" w:color="000000" w:sz="8" w:space="0"/>
              <w:left w:val="single" w:color="000000" w:sz="4" w:space="0"/>
              <w:bottom w:val="single" w:color="000000" w:sz="8" w:space="0"/>
              <w:right w:val="single" w:color="000000" w:sz="8" w:space="0"/>
            </w:tcBorders>
            <w:shd w:val="clear" w:color="auto" w:fill="auto"/>
          </w:tcPr>
          <w:p>
            <w:pPr>
              <w:spacing w:line="420" w:lineRule="exact"/>
              <w:ind w:firstLine="480"/>
              <w:rPr>
                <w:sz w:val="24"/>
              </w:rPr>
            </w:pPr>
          </w:p>
          <w:p>
            <w:pPr>
              <w:spacing w:line="420" w:lineRule="exact"/>
              <w:ind w:firstLine="480"/>
              <w:rPr>
                <w:sz w:val="24"/>
              </w:rPr>
            </w:pPr>
          </w:p>
          <w:p>
            <w:pPr>
              <w:spacing w:line="420" w:lineRule="exact"/>
              <w:ind w:firstLine="480"/>
              <w:rPr>
                <w:sz w:val="24"/>
              </w:rPr>
            </w:pPr>
            <w:r>
              <w:rPr>
                <w:sz w:val="24"/>
              </w:rPr>
              <w:t>项目总量控制目标：</w:t>
            </w:r>
          </w:p>
          <w:p>
            <w:pPr>
              <w:spacing w:line="420" w:lineRule="exact"/>
              <w:ind w:firstLine="480" w:firstLineChars="200"/>
              <w:rPr>
                <w:rFonts w:eastAsia="黑体"/>
                <w:sz w:val="24"/>
              </w:rPr>
            </w:pPr>
            <w:r>
              <w:rPr>
                <w:rFonts w:hAnsi="黑体" w:eastAsia="黑体"/>
                <w:sz w:val="24"/>
              </w:rPr>
              <w:t>表</w:t>
            </w:r>
            <w:r>
              <w:rPr>
                <w:rFonts w:eastAsia="黑体"/>
                <w:sz w:val="24"/>
              </w:rPr>
              <w:t>2</w:t>
            </w:r>
            <w:r>
              <w:rPr>
                <w:rFonts w:hint="eastAsia" w:eastAsia="黑体"/>
                <w:sz w:val="24"/>
              </w:rPr>
              <w:t xml:space="preserve">5                      </w:t>
            </w:r>
            <w:r>
              <w:rPr>
                <w:rFonts w:hAnsi="黑体" w:eastAsia="黑体"/>
                <w:sz w:val="24"/>
              </w:rPr>
              <w:t>全厂工程污染物排放情况一览表</w:t>
            </w:r>
            <w:r>
              <w:rPr>
                <w:rFonts w:hint="eastAsia" w:hAnsi="黑体" w:eastAsia="黑体"/>
                <w:sz w:val="24"/>
              </w:rPr>
              <w:t xml:space="preserve">                         </w:t>
            </w:r>
            <w:r>
              <w:rPr>
                <w:rFonts w:hAnsi="黑体" w:eastAsia="黑体"/>
                <w:sz w:val="24"/>
              </w:rPr>
              <w:t>单位：</w:t>
            </w:r>
            <w:r>
              <w:rPr>
                <w:rFonts w:eastAsia="黑体"/>
                <w:sz w:val="24"/>
              </w:rPr>
              <w:t>t/a</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80"/>
              <w:gridCol w:w="1238"/>
              <w:gridCol w:w="1064"/>
              <w:gridCol w:w="1047"/>
              <w:gridCol w:w="1198"/>
              <w:gridCol w:w="1128"/>
              <w:gridCol w:w="116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47" w:type="dxa"/>
                  <w:gridSpan w:val="2"/>
                  <w:vAlign w:val="center"/>
                </w:tcPr>
                <w:p>
                  <w:pPr>
                    <w:jc w:val="center"/>
                    <w:rPr>
                      <w:rFonts w:eastAsiaTheme="minorEastAsia"/>
                      <w:b/>
                      <w:szCs w:val="21"/>
                    </w:rPr>
                  </w:pPr>
                  <w:r>
                    <w:rPr>
                      <w:rFonts w:eastAsiaTheme="minorEastAsia"/>
                      <w:b/>
                      <w:szCs w:val="21"/>
                    </w:rPr>
                    <w:t>污染物</w:t>
                  </w:r>
                </w:p>
              </w:tc>
              <w:tc>
                <w:tcPr>
                  <w:tcW w:w="1238" w:type="dxa"/>
                  <w:vAlign w:val="center"/>
                </w:tcPr>
                <w:p>
                  <w:pPr>
                    <w:jc w:val="center"/>
                    <w:rPr>
                      <w:rFonts w:eastAsiaTheme="minorEastAsia"/>
                      <w:b/>
                      <w:szCs w:val="21"/>
                    </w:rPr>
                  </w:pPr>
                  <w:r>
                    <w:rPr>
                      <w:rFonts w:eastAsiaTheme="minorEastAsia"/>
                      <w:b/>
                      <w:szCs w:val="21"/>
                    </w:rPr>
                    <w:t>现有工程实际排放量</w:t>
                  </w:r>
                </w:p>
              </w:tc>
              <w:tc>
                <w:tcPr>
                  <w:tcW w:w="1064" w:type="dxa"/>
                  <w:vAlign w:val="center"/>
                </w:tcPr>
                <w:p>
                  <w:pPr>
                    <w:jc w:val="center"/>
                    <w:rPr>
                      <w:rFonts w:eastAsiaTheme="minorEastAsia"/>
                      <w:b/>
                      <w:szCs w:val="21"/>
                    </w:rPr>
                  </w:pPr>
                  <w:r>
                    <w:rPr>
                      <w:rFonts w:eastAsiaTheme="minorEastAsia"/>
                      <w:b/>
                      <w:szCs w:val="21"/>
                    </w:rPr>
                    <w:t>现有工程许可排放量</w:t>
                  </w:r>
                </w:p>
              </w:tc>
              <w:tc>
                <w:tcPr>
                  <w:tcW w:w="1047" w:type="dxa"/>
                  <w:vAlign w:val="center"/>
                </w:tcPr>
                <w:p>
                  <w:pPr>
                    <w:jc w:val="center"/>
                    <w:rPr>
                      <w:rFonts w:eastAsiaTheme="minorEastAsia"/>
                      <w:b/>
                      <w:szCs w:val="21"/>
                    </w:rPr>
                  </w:pPr>
                  <w:r>
                    <w:rPr>
                      <w:rFonts w:eastAsiaTheme="minorEastAsia"/>
                      <w:b/>
                      <w:szCs w:val="21"/>
                    </w:rPr>
                    <w:t>本工程排放量</w:t>
                  </w:r>
                </w:p>
              </w:tc>
              <w:tc>
                <w:tcPr>
                  <w:tcW w:w="1198" w:type="dxa"/>
                  <w:vAlign w:val="center"/>
                </w:tcPr>
                <w:p>
                  <w:pPr>
                    <w:jc w:val="center"/>
                    <w:rPr>
                      <w:rFonts w:eastAsiaTheme="minorEastAsia"/>
                      <w:b/>
                      <w:szCs w:val="21"/>
                    </w:rPr>
                  </w:pPr>
                  <w:r>
                    <w:rPr>
                      <w:rFonts w:eastAsiaTheme="minorEastAsia"/>
                      <w:b/>
                      <w:szCs w:val="21"/>
                    </w:rPr>
                    <w:t>以新带老削减量</w:t>
                  </w:r>
                </w:p>
              </w:tc>
              <w:tc>
                <w:tcPr>
                  <w:tcW w:w="1128" w:type="dxa"/>
                  <w:vAlign w:val="center"/>
                </w:tcPr>
                <w:p>
                  <w:pPr>
                    <w:jc w:val="center"/>
                    <w:rPr>
                      <w:rFonts w:eastAsiaTheme="minorEastAsia"/>
                      <w:b/>
                      <w:szCs w:val="21"/>
                    </w:rPr>
                  </w:pPr>
                  <w:r>
                    <w:rPr>
                      <w:rFonts w:eastAsiaTheme="minorEastAsia"/>
                      <w:b/>
                      <w:szCs w:val="21"/>
                    </w:rPr>
                    <w:t>全厂排放量</w:t>
                  </w:r>
                </w:p>
              </w:tc>
              <w:tc>
                <w:tcPr>
                  <w:tcW w:w="1168" w:type="dxa"/>
                  <w:vAlign w:val="center"/>
                </w:tcPr>
                <w:p>
                  <w:pPr>
                    <w:jc w:val="center"/>
                    <w:rPr>
                      <w:rFonts w:eastAsiaTheme="minorEastAsia"/>
                      <w:b/>
                      <w:szCs w:val="21"/>
                    </w:rPr>
                  </w:pPr>
                  <w:r>
                    <w:rPr>
                      <w:rFonts w:eastAsiaTheme="minorEastAsia"/>
                      <w:b/>
                      <w:szCs w:val="21"/>
                    </w:rPr>
                    <w:t>全厂排放增减量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7" w:type="dxa"/>
                  <w:vAlign w:val="center"/>
                </w:tcPr>
                <w:p>
                  <w:pPr>
                    <w:jc w:val="center"/>
                    <w:rPr>
                      <w:rFonts w:eastAsiaTheme="minorEastAsia"/>
                      <w:szCs w:val="21"/>
                    </w:rPr>
                  </w:pPr>
                  <w:r>
                    <w:rPr>
                      <w:rFonts w:eastAsiaTheme="minorEastAsia"/>
                      <w:szCs w:val="21"/>
                    </w:rPr>
                    <w:t>废气</w:t>
                  </w:r>
                </w:p>
              </w:tc>
              <w:tc>
                <w:tcPr>
                  <w:tcW w:w="880" w:type="dxa"/>
                  <w:vAlign w:val="center"/>
                </w:tcPr>
                <w:p>
                  <w:pPr>
                    <w:jc w:val="center"/>
                    <w:rPr>
                      <w:rFonts w:eastAsiaTheme="minorEastAsia"/>
                      <w:szCs w:val="21"/>
                    </w:rPr>
                  </w:pPr>
                  <w:r>
                    <w:rPr>
                      <w:rFonts w:eastAsiaTheme="minorEastAsia"/>
                      <w:szCs w:val="21"/>
                    </w:rPr>
                    <w:t>VOCs</w:t>
                  </w:r>
                </w:p>
              </w:tc>
              <w:tc>
                <w:tcPr>
                  <w:tcW w:w="1238" w:type="dxa"/>
                  <w:vAlign w:val="center"/>
                </w:tcPr>
                <w:p>
                  <w:pPr>
                    <w:jc w:val="center"/>
                    <w:rPr>
                      <w:rFonts w:eastAsiaTheme="minorEastAsia"/>
                      <w:szCs w:val="21"/>
                    </w:rPr>
                  </w:pPr>
                  <w:r>
                    <w:rPr>
                      <w:rFonts w:hint="eastAsia" w:eastAsiaTheme="minorEastAsia"/>
                      <w:szCs w:val="21"/>
                    </w:rPr>
                    <w:t>0.2136</w:t>
                  </w:r>
                </w:p>
              </w:tc>
              <w:tc>
                <w:tcPr>
                  <w:tcW w:w="1064" w:type="dxa"/>
                  <w:vAlign w:val="center"/>
                </w:tcPr>
                <w:p>
                  <w:pPr>
                    <w:jc w:val="center"/>
                    <w:rPr>
                      <w:rFonts w:eastAsiaTheme="minorEastAsia"/>
                      <w:szCs w:val="21"/>
                    </w:rPr>
                  </w:pPr>
                  <w:r>
                    <w:rPr>
                      <w:rFonts w:hint="eastAsia" w:eastAsiaTheme="minorEastAsia"/>
                      <w:szCs w:val="21"/>
                    </w:rPr>
                    <w:t>0.2136</w:t>
                  </w:r>
                </w:p>
              </w:tc>
              <w:tc>
                <w:tcPr>
                  <w:tcW w:w="1047" w:type="dxa"/>
                  <w:vAlign w:val="center"/>
                </w:tcPr>
                <w:p>
                  <w:pPr>
                    <w:jc w:val="center"/>
                    <w:rPr>
                      <w:rFonts w:eastAsiaTheme="minorEastAsia"/>
                      <w:szCs w:val="21"/>
                    </w:rPr>
                  </w:pPr>
                  <w:r>
                    <w:rPr>
                      <w:rFonts w:hint="eastAsia" w:eastAsiaTheme="minorEastAsia"/>
                      <w:szCs w:val="21"/>
                    </w:rPr>
                    <w:t>0.0474</w:t>
                  </w:r>
                </w:p>
              </w:tc>
              <w:tc>
                <w:tcPr>
                  <w:tcW w:w="1198" w:type="dxa"/>
                  <w:vAlign w:val="center"/>
                </w:tcPr>
                <w:p>
                  <w:pPr>
                    <w:jc w:val="center"/>
                    <w:rPr>
                      <w:rFonts w:eastAsiaTheme="minorEastAsia"/>
                      <w:szCs w:val="21"/>
                    </w:rPr>
                  </w:pPr>
                  <w:r>
                    <w:rPr>
                      <w:rFonts w:hint="eastAsia" w:eastAsiaTheme="minorEastAsia"/>
                      <w:szCs w:val="21"/>
                    </w:rPr>
                    <w:t>0.1373</w:t>
                  </w:r>
                </w:p>
              </w:tc>
              <w:tc>
                <w:tcPr>
                  <w:tcW w:w="1128" w:type="dxa"/>
                  <w:vAlign w:val="center"/>
                </w:tcPr>
                <w:p>
                  <w:pPr>
                    <w:jc w:val="center"/>
                    <w:rPr>
                      <w:rFonts w:eastAsiaTheme="minorEastAsia"/>
                      <w:szCs w:val="21"/>
                    </w:rPr>
                  </w:pPr>
                  <w:r>
                    <w:rPr>
                      <w:rFonts w:hint="eastAsia" w:eastAsiaTheme="minorEastAsia"/>
                      <w:szCs w:val="21"/>
                    </w:rPr>
                    <w:t>0.1237</w:t>
                  </w:r>
                </w:p>
              </w:tc>
              <w:tc>
                <w:tcPr>
                  <w:tcW w:w="1168" w:type="dxa"/>
                  <w:vAlign w:val="center"/>
                </w:tcPr>
                <w:p>
                  <w:pPr>
                    <w:jc w:val="center"/>
                    <w:rPr>
                      <w:rFonts w:eastAsiaTheme="minorEastAsia"/>
                      <w:szCs w:val="21"/>
                    </w:rPr>
                  </w:pPr>
                  <w:r>
                    <w:rPr>
                      <w:rFonts w:hint="eastAsia" w:eastAsiaTheme="minorEastAsia"/>
                      <w:szCs w:val="21"/>
                    </w:rPr>
                    <w:t>-0.0899</w:t>
                  </w:r>
                </w:p>
              </w:tc>
            </w:tr>
          </w:tbl>
          <w:p>
            <w:pPr>
              <w:spacing w:line="480" w:lineRule="exact"/>
              <w:ind w:firstLine="482" w:firstLineChars="200"/>
              <w:rPr>
                <w:sz w:val="24"/>
              </w:rPr>
            </w:pPr>
            <w:r>
              <w:rPr>
                <w:rFonts w:hint="eastAsia"/>
                <w:b/>
                <w:sz w:val="24"/>
                <w:u w:val="single"/>
              </w:rPr>
              <w:t>根据新乡市生态环境局关于转发《河南省生态环境厅关于印发建设项目主要污染物排放总量指标管理工作内部规程的通知》的通知和《新乡市建设项目新增总量指标替代管理指导意见（试行）》的要求，重点污染物共有10项：</w:t>
            </w:r>
            <w:r>
              <w:rPr>
                <w:b/>
                <w:sz w:val="24"/>
                <w:u w:val="single"/>
              </w:rPr>
              <w:t>化学需氧量</w:t>
            </w:r>
            <w:r>
              <w:rPr>
                <w:rFonts w:hint="eastAsia"/>
                <w:b/>
                <w:sz w:val="24"/>
                <w:u w:val="single"/>
              </w:rPr>
              <w:t>、</w:t>
            </w:r>
            <w:r>
              <w:rPr>
                <w:b/>
                <w:sz w:val="24"/>
                <w:u w:val="single"/>
              </w:rPr>
              <w:t>氨氮</w:t>
            </w:r>
            <w:r>
              <w:rPr>
                <w:rFonts w:hint="eastAsia"/>
                <w:b/>
                <w:sz w:val="24"/>
                <w:u w:val="single"/>
              </w:rPr>
              <w:t>、</w:t>
            </w:r>
            <w:r>
              <w:rPr>
                <w:b/>
                <w:sz w:val="24"/>
                <w:u w:val="single"/>
              </w:rPr>
              <w:t>二氧化硫</w:t>
            </w:r>
            <w:r>
              <w:rPr>
                <w:rFonts w:hint="eastAsia"/>
                <w:b/>
                <w:sz w:val="24"/>
                <w:u w:val="single"/>
              </w:rPr>
              <w:t>、</w:t>
            </w:r>
            <w:r>
              <w:rPr>
                <w:b/>
                <w:sz w:val="24"/>
                <w:u w:val="single"/>
              </w:rPr>
              <w:t>氮氧化物</w:t>
            </w:r>
            <w:r>
              <w:rPr>
                <w:rFonts w:hint="eastAsia"/>
                <w:b/>
                <w:sz w:val="24"/>
                <w:u w:val="single"/>
              </w:rPr>
              <w:t>、</w:t>
            </w:r>
            <w:r>
              <w:rPr>
                <w:b/>
                <w:sz w:val="24"/>
                <w:u w:val="single"/>
              </w:rPr>
              <w:t>挥发性有机污染物</w:t>
            </w:r>
            <w:r>
              <w:rPr>
                <w:rFonts w:hint="eastAsia"/>
                <w:b/>
                <w:sz w:val="24"/>
                <w:u w:val="single"/>
              </w:rPr>
              <w:t>、</w:t>
            </w:r>
            <w:r>
              <w:rPr>
                <w:b/>
                <w:sz w:val="24"/>
                <w:u w:val="single"/>
              </w:rPr>
              <w:t>重金属铅</w:t>
            </w:r>
            <w:r>
              <w:rPr>
                <w:rFonts w:hint="eastAsia"/>
                <w:b/>
                <w:sz w:val="24"/>
                <w:u w:val="single"/>
              </w:rPr>
              <w:t>、</w:t>
            </w:r>
            <w:r>
              <w:rPr>
                <w:b/>
                <w:sz w:val="24"/>
                <w:u w:val="single"/>
              </w:rPr>
              <w:t>铬</w:t>
            </w:r>
            <w:r>
              <w:rPr>
                <w:rFonts w:hint="eastAsia"/>
                <w:b/>
                <w:sz w:val="24"/>
                <w:u w:val="single"/>
              </w:rPr>
              <w:t>、</w:t>
            </w:r>
            <w:r>
              <w:rPr>
                <w:b/>
                <w:sz w:val="24"/>
                <w:u w:val="single"/>
              </w:rPr>
              <w:t>砷</w:t>
            </w:r>
            <w:r>
              <w:rPr>
                <w:rFonts w:hint="eastAsia"/>
                <w:b/>
                <w:sz w:val="24"/>
                <w:u w:val="single"/>
              </w:rPr>
              <w:t>、</w:t>
            </w:r>
            <w:r>
              <w:rPr>
                <w:b/>
                <w:sz w:val="24"/>
                <w:u w:val="single"/>
              </w:rPr>
              <w:t>镉</w:t>
            </w:r>
            <w:r>
              <w:rPr>
                <w:rFonts w:hint="eastAsia"/>
                <w:b/>
                <w:sz w:val="24"/>
                <w:u w:val="single"/>
              </w:rPr>
              <w:t>、</w:t>
            </w:r>
            <w:r>
              <w:rPr>
                <w:b/>
                <w:sz w:val="24"/>
                <w:u w:val="single"/>
              </w:rPr>
              <w:t>汞</w:t>
            </w:r>
            <w:r>
              <w:rPr>
                <w:rFonts w:hint="eastAsia"/>
                <w:b/>
                <w:sz w:val="24"/>
                <w:u w:val="single"/>
              </w:rPr>
              <w:t>。本项目涉及到的重点污染物排放量为挥发性有机物0.0474t/a，经本次以新带老措施改造后可削减0.1373t/a，建成后挥发性有机物-0.0899t/a，不新增废气污染物排放。</w:t>
            </w:r>
          </w:p>
          <w:p>
            <w:pPr>
              <w:spacing w:line="420" w:lineRule="exact"/>
              <w:rPr>
                <w:sz w:val="24"/>
              </w:rPr>
            </w:pPr>
          </w:p>
        </w:tc>
      </w:tr>
    </w:tbl>
    <w:p>
      <w:pPr>
        <w:spacing w:line="440" w:lineRule="exact"/>
        <w:jc w:val="left"/>
        <w:rPr>
          <w:b/>
          <w:sz w:val="28"/>
        </w:rPr>
      </w:pPr>
      <w:r>
        <w:rPr>
          <w:b/>
          <w:sz w:val="28"/>
        </w:rPr>
        <w:t>建设项目工程分析</w:t>
      </w:r>
    </w:p>
    <w:tbl>
      <w:tblPr>
        <w:tblStyle w:val="19"/>
        <w:tblW w:w="9199"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autofit"/>
        <w:tblCellMar>
          <w:top w:w="0" w:type="dxa"/>
          <w:left w:w="108" w:type="dxa"/>
          <w:bottom w:w="0" w:type="dxa"/>
          <w:right w:w="108" w:type="dxa"/>
        </w:tblCellMar>
      </w:tblPr>
      <w:tblGrid>
        <w:gridCol w:w="920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4517" w:hRule="atLeast"/>
          <w:jc w:val="center"/>
        </w:trPr>
        <w:tc>
          <w:tcPr>
            <w:tcW w:w="9199" w:type="dxa"/>
            <w:tcBorders>
              <w:top w:val="single" w:color="000000" w:sz="8" w:space="0"/>
              <w:bottom w:val="single" w:color="000000" w:sz="8" w:space="0"/>
            </w:tcBorders>
            <w:shd w:val="clear" w:color="auto" w:fill="auto"/>
          </w:tcPr>
          <w:p>
            <w:pPr>
              <w:spacing w:line="440" w:lineRule="exact"/>
              <w:textAlignment w:val="baseline"/>
              <w:rPr>
                <w:rFonts w:eastAsia="黑体"/>
                <w:sz w:val="24"/>
              </w:rPr>
            </w:pPr>
            <w:r>
              <w:rPr>
                <w:rFonts w:eastAsia="黑体"/>
                <w:sz w:val="24"/>
              </w:rPr>
              <w:t>工艺流程简述(图示)：</w:t>
            </w:r>
          </w:p>
          <w:p>
            <w:pPr>
              <w:spacing w:line="440" w:lineRule="exact"/>
              <w:ind w:firstLine="482"/>
              <w:textAlignment w:val="baseline"/>
              <w:rPr>
                <w:sz w:val="24"/>
              </w:rPr>
            </w:pPr>
            <w:r>
              <w:rPr>
                <w:b/>
                <w:sz w:val="24"/>
              </w:rPr>
              <w:t>生产工艺介绍如下</w:t>
            </w:r>
            <w:r>
              <w:rPr>
                <w:sz w:val="24"/>
              </w:rPr>
              <w:t>：</w:t>
            </w:r>
          </w:p>
          <w:p>
            <w:pPr>
              <w:spacing w:line="440" w:lineRule="exact"/>
              <w:ind w:firstLine="482"/>
              <w:textAlignment w:val="baseline"/>
              <w:rPr>
                <w:sz w:val="24"/>
              </w:rPr>
            </w:pPr>
            <w:r>
              <w:rPr>
                <w:rFonts w:hint="eastAsia"/>
                <w:sz w:val="24"/>
              </w:rPr>
              <w:t>本项目产品包括电池密封圈和电池负极底两类，其具体生产工艺介绍如下。</w:t>
            </w:r>
          </w:p>
          <w:p>
            <w:pPr>
              <w:spacing w:beforeLines="50" w:line="440" w:lineRule="exact"/>
              <w:textAlignment w:val="baseline"/>
              <w:rPr>
                <w:b/>
                <w:sz w:val="24"/>
              </w:rPr>
            </w:pPr>
            <w:r>
              <w:rPr>
                <w:rFonts w:hint="eastAsia"/>
                <w:b/>
                <w:sz w:val="24"/>
              </w:rPr>
              <w:t>（一）电池密封圈</w:t>
            </w:r>
          </w:p>
          <w:p>
            <w:pPr>
              <w:snapToGrid w:val="0"/>
              <w:spacing w:line="440" w:lineRule="exact"/>
              <w:jc w:val="center"/>
              <w:rPr>
                <w:szCs w:val="21"/>
              </w:rPr>
            </w:pPr>
            <w:r>
              <w:rPr>
                <w:rFonts w:hint="eastAsia"/>
                <w:szCs w:val="21"/>
              </w:rPr>
              <w:drawing>
                <wp:anchor distT="0" distB="0" distL="114300" distR="114300" simplePos="0" relativeHeight="251852800" behindDoc="0" locked="0" layoutInCell="1" allowOverlap="1">
                  <wp:simplePos x="0" y="0"/>
                  <wp:positionH relativeFrom="column">
                    <wp:posOffset>19050</wp:posOffset>
                  </wp:positionH>
                  <wp:positionV relativeFrom="paragraph">
                    <wp:posOffset>142875</wp:posOffset>
                  </wp:positionV>
                  <wp:extent cx="5521960" cy="2009775"/>
                  <wp:effectExtent l="19050" t="0" r="2559" b="0"/>
                  <wp:wrapNone/>
                  <wp:docPr id="691" name="图片 691" descr="微信截图_2020061916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descr="微信截图_20200619163814"/>
                          <pic:cNvPicPr>
                            <a:picLocks noChangeAspect="1" noChangeArrowheads="1"/>
                          </pic:cNvPicPr>
                        </pic:nvPicPr>
                        <pic:blipFill>
                          <a:blip r:embed="rId18"/>
                          <a:srcRect/>
                          <a:stretch>
                            <a:fillRect/>
                          </a:stretch>
                        </pic:blipFill>
                        <pic:spPr>
                          <a:xfrm>
                            <a:off x="0" y="0"/>
                            <a:ext cx="5521941" cy="2009882"/>
                          </a:xfrm>
                          <a:prstGeom prst="rect">
                            <a:avLst/>
                          </a:prstGeom>
                          <a:noFill/>
                          <a:ln w="9525">
                            <a:noFill/>
                            <a:miter lim="800000"/>
                            <a:headEnd/>
                            <a:tailEnd/>
                          </a:ln>
                        </pic:spPr>
                      </pic:pic>
                    </a:graphicData>
                  </a:graphic>
                </wp:anchor>
              </w:drawing>
            </w: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szCs w:val="21"/>
              </w:rPr>
            </w:pPr>
          </w:p>
          <w:p>
            <w:pPr>
              <w:snapToGrid w:val="0"/>
              <w:spacing w:line="440" w:lineRule="exact"/>
              <w:jc w:val="center"/>
              <w:rPr>
                <w:rFonts w:ascii="黑体" w:eastAsia="黑体"/>
              </w:rPr>
            </w:pPr>
            <w:r>
              <w:rPr>
                <w:rFonts w:hint="eastAsia" w:ascii="黑体" w:eastAsia="黑体"/>
              </w:rPr>
              <w:t>图4  电池密封圈生产工艺流程及产污环节图</w:t>
            </w:r>
          </w:p>
          <w:p>
            <w:pPr>
              <w:spacing w:line="440" w:lineRule="exact"/>
              <w:textAlignment w:val="baseline"/>
              <w:rPr>
                <w:sz w:val="24"/>
              </w:rPr>
            </w:pPr>
          </w:p>
          <w:p>
            <w:pPr>
              <w:pStyle w:val="65"/>
              <w:spacing w:line="460" w:lineRule="exact"/>
              <w:ind w:firstLine="482" w:firstLineChars="200"/>
              <w:rPr>
                <w:b/>
                <w:sz w:val="24"/>
                <w:szCs w:val="24"/>
              </w:rPr>
            </w:pPr>
            <w:r>
              <w:rPr>
                <w:rFonts w:hint="eastAsia"/>
                <w:b/>
                <w:sz w:val="24"/>
                <w:szCs w:val="24"/>
              </w:rPr>
              <w:t>工艺说明：</w:t>
            </w:r>
          </w:p>
          <w:p>
            <w:pPr>
              <w:tabs>
                <w:tab w:val="left" w:pos="688"/>
              </w:tabs>
              <w:spacing w:line="440" w:lineRule="exact"/>
              <w:ind w:firstLine="480" w:firstLineChars="200"/>
              <w:rPr>
                <w:sz w:val="24"/>
              </w:rPr>
            </w:pPr>
            <w:r>
              <w:rPr>
                <w:rFonts w:hint="eastAsia"/>
                <w:sz w:val="24"/>
              </w:rPr>
              <w:t>①混料：项目外购的原材料聚丙烯、尼龙66、PC颗粒</w:t>
            </w:r>
            <w:r>
              <w:rPr>
                <w:sz w:val="24"/>
                <w:szCs w:val="32"/>
              </w:rPr>
              <w:t>均为袋装粒状物料，人工拆包后</w:t>
            </w:r>
            <w:r>
              <w:rPr>
                <w:sz w:val="24"/>
              </w:rPr>
              <w:t>按照</w:t>
            </w:r>
            <w:r>
              <w:rPr>
                <w:rFonts w:hint="eastAsia"/>
                <w:sz w:val="24"/>
              </w:rPr>
              <w:t>配方</w:t>
            </w:r>
            <w:r>
              <w:rPr>
                <w:sz w:val="24"/>
              </w:rPr>
              <w:t>比例</w:t>
            </w:r>
            <w:r>
              <w:rPr>
                <w:rFonts w:hint="eastAsia"/>
                <w:sz w:val="24"/>
              </w:rPr>
              <w:t>投入拌料机</w:t>
            </w:r>
            <w:r>
              <w:rPr>
                <w:sz w:val="24"/>
              </w:rPr>
              <w:t>中</w:t>
            </w:r>
            <w:r>
              <w:rPr>
                <w:rFonts w:hint="eastAsia"/>
                <w:sz w:val="24"/>
              </w:rPr>
              <w:t>。</w:t>
            </w:r>
            <w:r>
              <w:rPr>
                <w:rFonts w:hint="eastAsia"/>
                <w:sz w:val="24"/>
                <w:szCs w:val="32"/>
              </w:rPr>
              <w:t>混料过程在密闭的拌料机内进行，</w:t>
            </w:r>
            <w:r>
              <w:rPr>
                <w:sz w:val="24"/>
                <w:szCs w:val="32"/>
              </w:rPr>
              <w:t>本项目原料均为大粒径的塑料颗粒，无投料粉尘产生。</w:t>
            </w:r>
          </w:p>
          <w:p>
            <w:pPr>
              <w:tabs>
                <w:tab w:val="left" w:pos="688"/>
              </w:tabs>
              <w:spacing w:line="440" w:lineRule="exact"/>
              <w:ind w:firstLine="480" w:firstLineChars="200"/>
              <w:rPr>
                <w:sz w:val="24"/>
              </w:rPr>
            </w:pPr>
            <w:r>
              <w:rPr>
                <w:rFonts w:hint="eastAsia"/>
                <w:sz w:val="24"/>
              </w:rPr>
              <w:t>②烘干：阴雨天空气湿度较大时，原料在上料前需利用除湿机干燥，加热温度为70℃（电加热）。由于加热温度远小于聚丙烯、尼龙66、PC分解温度，故本工序仅产生少量水蒸气，不考虑废气排放。</w:t>
            </w:r>
          </w:p>
          <w:p>
            <w:pPr>
              <w:spacing w:line="440" w:lineRule="exact"/>
              <w:ind w:firstLine="480" w:firstLineChars="200"/>
              <w:rPr>
                <w:sz w:val="24"/>
              </w:rPr>
            </w:pPr>
            <w:r>
              <w:rPr>
                <w:rFonts w:hint="eastAsia"/>
                <w:sz w:val="24"/>
              </w:rPr>
              <w:t>③上料：混合均匀的物料经吸料机自动吸入注塑机</w:t>
            </w:r>
            <w:r>
              <w:rPr>
                <w:sz w:val="24"/>
                <w:szCs w:val="32"/>
              </w:rPr>
              <w:t>配套的料斗内</w:t>
            </w:r>
            <w:r>
              <w:rPr>
                <w:rFonts w:hint="eastAsia"/>
                <w:sz w:val="24"/>
                <w:szCs w:val="32"/>
              </w:rPr>
              <w:t>，经干燥机再次预加热干燥（电加热）后，</w:t>
            </w:r>
            <w:r>
              <w:rPr>
                <w:sz w:val="24"/>
                <w:szCs w:val="32"/>
              </w:rPr>
              <w:t>随管道进入注塑机的挤出工段</w:t>
            </w:r>
            <w:r>
              <w:rPr>
                <w:rFonts w:hint="eastAsia"/>
                <w:sz w:val="24"/>
              </w:rPr>
              <w:t>。干燥温度为80℃，加热温度远小于聚丙烯、尼龙66、PC分解温度，故本工序仅产生少量水蒸气，不考虑废气排放。</w:t>
            </w:r>
          </w:p>
          <w:p>
            <w:pPr>
              <w:spacing w:line="440" w:lineRule="exact"/>
              <w:ind w:firstLine="480" w:firstLineChars="200"/>
              <w:rPr>
                <w:sz w:val="24"/>
              </w:rPr>
            </w:pPr>
            <w:r>
              <w:rPr>
                <w:rFonts w:hint="eastAsia"/>
                <w:sz w:val="24"/>
              </w:rPr>
              <w:t>④注塑：混合均匀的物料在注塑机上的挤出段，通过模温机进行电</w:t>
            </w:r>
            <w:r>
              <w:rPr>
                <w:sz w:val="24"/>
              </w:rPr>
              <w:t>加热至</w:t>
            </w:r>
            <w:r>
              <w:rPr>
                <w:rFonts w:hint="eastAsia"/>
                <w:sz w:val="24"/>
              </w:rPr>
              <w:t>200℃</w:t>
            </w:r>
            <w:r>
              <w:rPr>
                <w:sz w:val="24"/>
              </w:rPr>
              <w:t>使塑料颗粒熔化，</w:t>
            </w:r>
            <w:r>
              <w:rPr>
                <w:rFonts w:hint="eastAsia"/>
                <w:sz w:val="24"/>
                <w:szCs w:val="32"/>
              </w:rPr>
              <w:t>然后借助螺杆向熔化好的物料施加压力，迫使加热熔体充入到闭合模腔中</w:t>
            </w:r>
            <w:r>
              <w:rPr>
                <w:rFonts w:hint="eastAsia"/>
                <w:sz w:val="24"/>
              </w:rPr>
              <w:t>。压制好的密封圈在经过挤出生产线后段冷却水间接冷却过程中，温度逐渐下降，硬度增加。</w:t>
            </w:r>
            <w:r>
              <w:rPr>
                <w:rFonts w:hint="eastAsia"/>
                <w:sz w:val="24"/>
                <w:szCs w:val="32"/>
              </w:rPr>
              <w:t>经过冷却和固化后制成具有形状和尺寸精度的电池密封圈。</w:t>
            </w:r>
            <w:r>
              <w:rPr>
                <w:rFonts w:hint="eastAsia"/>
                <w:sz w:val="24"/>
              </w:rPr>
              <w:t>该工序冷却水循环使用不外排。在注塑过程中会产生噪声和有机废气。</w:t>
            </w:r>
          </w:p>
          <w:p>
            <w:pPr>
              <w:spacing w:line="440" w:lineRule="exact"/>
              <w:ind w:firstLine="480" w:firstLineChars="200"/>
              <w:rPr>
                <w:snapToGrid w:val="0"/>
                <w:kern w:val="0"/>
                <w:sz w:val="24"/>
              </w:rPr>
            </w:pPr>
            <w:r>
              <w:rPr>
                <w:rFonts w:hint="eastAsia"/>
                <w:sz w:val="24"/>
                <w:szCs w:val="32"/>
              </w:rPr>
              <w:t>注塑机注塑温度为200℃，加热温度</w:t>
            </w:r>
            <w:r>
              <w:rPr>
                <w:sz w:val="24"/>
                <w:szCs w:val="32"/>
              </w:rPr>
              <w:t>未达到原料分解温度，理论上不会产生单体，仅有少量游离单体气体由于受到分子间的剪切挤压而释放。因此本工段会有少量有机废气产生。</w:t>
            </w:r>
          </w:p>
          <w:p>
            <w:pPr>
              <w:spacing w:line="480" w:lineRule="exact"/>
              <w:ind w:firstLine="480" w:firstLineChars="200"/>
              <w:rPr>
                <w:sz w:val="24"/>
                <w:szCs w:val="32"/>
              </w:rPr>
            </w:pPr>
            <w:r>
              <w:rPr>
                <w:rFonts w:hint="eastAsia"/>
                <w:sz w:val="24"/>
                <w:szCs w:val="32"/>
              </w:rPr>
              <w:t>注塑工序需要冷却水进行间接冷却，利用注塑机配备的冷却装置对加料口、模具进行冷却，冷却装置是一个封闭的循环系统，将冷却水分配到几个独立的回路上，并能对冷却介质的流量进行调节。厂内建有冷却水循环水池，冷却水循环使用不外排，仅需要时添加新鲜用水。</w:t>
            </w:r>
          </w:p>
          <w:p>
            <w:pPr>
              <w:spacing w:line="440" w:lineRule="exact"/>
              <w:ind w:firstLine="480" w:firstLineChars="200"/>
              <w:rPr>
                <w:sz w:val="24"/>
              </w:rPr>
            </w:pPr>
            <w:r>
              <w:rPr>
                <w:rFonts w:hint="eastAsia"/>
                <w:sz w:val="24"/>
              </w:rPr>
              <w:t>⑤挑选：冷却成型的塑料制品经过密封圈检验设备挑选，合格制品留用，不合格塑料件运至粉碎机，经粉碎机内铰刀切割成片状，之后再次投入注塑机的料斗内，回用于注塑工段，由于粉碎后仍为块状颗粒，粒径较大，且项目破碎均位于密闭间内进行，无可见粉尘外逸。</w:t>
            </w:r>
          </w:p>
          <w:p>
            <w:pPr>
              <w:spacing w:line="440" w:lineRule="exact"/>
              <w:ind w:firstLine="480" w:firstLineChars="200"/>
              <w:rPr>
                <w:snapToGrid w:val="0"/>
                <w:kern w:val="0"/>
                <w:sz w:val="24"/>
              </w:rPr>
            </w:pPr>
            <w:r>
              <w:rPr>
                <w:rFonts w:hint="eastAsia"/>
                <w:sz w:val="24"/>
              </w:rPr>
              <w:t>⑥包装：合格的电池密封圈经过包装封口后</w:t>
            </w:r>
            <w:r>
              <w:rPr>
                <w:snapToGrid w:val="0"/>
                <w:kern w:val="0"/>
                <w:sz w:val="24"/>
              </w:rPr>
              <w:t>入库</w:t>
            </w:r>
            <w:r>
              <w:rPr>
                <w:rFonts w:hint="eastAsia"/>
                <w:snapToGrid w:val="0"/>
                <w:kern w:val="0"/>
                <w:sz w:val="24"/>
              </w:rPr>
              <w:t>待售。该工序产生少量固废。</w:t>
            </w:r>
          </w:p>
          <w:p>
            <w:pPr>
              <w:spacing w:line="460" w:lineRule="exact"/>
              <w:ind w:firstLine="480" w:firstLineChars="200"/>
              <w:rPr>
                <w:sz w:val="24"/>
              </w:rPr>
            </w:pPr>
            <w:r>
              <w:rPr>
                <w:sz w:val="24"/>
              </w:rPr>
              <w:t>边角料</w:t>
            </w:r>
            <w:r>
              <w:rPr>
                <w:rFonts w:hint="eastAsia"/>
                <w:sz w:val="24"/>
              </w:rPr>
              <w:t>、</w:t>
            </w:r>
            <w:r>
              <w:rPr>
                <w:sz w:val="24"/>
              </w:rPr>
              <w:t>不合格产品粉碎回收利用简述</w:t>
            </w:r>
            <w:r>
              <w:rPr>
                <w:rFonts w:hint="eastAsia"/>
                <w:sz w:val="24"/>
              </w:rPr>
              <w:t>：</w:t>
            </w:r>
          </w:p>
          <w:p>
            <w:pPr>
              <w:spacing w:line="440" w:lineRule="exact"/>
              <w:ind w:firstLine="480" w:firstLineChars="200"/>
              <w:textAlignment w:val="baseline"/>
              <w:rPr>
                <w:sz w:val="24"/>
              </w:rPr>
            </w:pPr>
            <w:r>
              <w:rPr>
                <w:rFonts w:hint="eastAsia"/>
                <w:sz w:val="24"/>
              </w:rPr>
              <w:t>废边角料为注塑过程中切割下来的多余物料，表面较为清洁，且塑料属于相对比较稳定的物质，直接粉碎不会因与空气中的某些分子产生反应而产生黏胶状物质，粉碎后物料粒径较大（约1.5cm-2cm），且破碎车间为密闭车间，因此不考虑粉碎粉尘的产生。</w:t>
            </w:r>
          </w:p>
          <w:p>
            <w:pPr>
              <w:spacing w:line="440" w:lineRule="exact"/>
              <w:textAlignment w:val="baseline"/>
              <w:rPr>
                <w:sz w:val="24"/>
              </w:rPr>
            </w:pPr>
          </w:p>
          <w:p>
            <w:pPr>
              <w:spacing w:line="440" w:lineRule="exact"/>
              <w:textAlignment w:val="baseline"/>
              <w:rPr>
                <w:b/>
                <w:sz w:val="24"/>
              </w:rPr>
            </w:pPr>
            <w:r>
              <w:rPr>
                <w:rFonts w:hint="eastAsia"/>
                <w:b/>
                <w:sz w:val="24"/>
              </w:rPr>
              <w:t>（二）电池负极底</w:t>
            </w:r>
          </w:p>
          <w:p>
            <w:pPr>
              <w:snapToGrid w:val="0"/>
              <w:spacing w:line="440" w:lineRule="exact"/>
              <w:jc w:val="center"/>
              <w:rPr>
                <w:sz w:val="24"/>
              </w:rPr>
            </w:pPr>
            <w:r>
              <w:rPr>
                <w:rFonts w:hint="eastAsia"/>
                <w:sz w:val="24"/>
              </w:rPr>
              <w:drawing>
                <wp:anchor distT="0" distB="0" distL="114300" distR="114300" simplePos="0" relativeHeight="251853824" behindDoc="0" locked="0" layoutInCell="1" allowOverlap="1">
                  <wp:simplePos x="0" y="0"/>
                  <wp:positionH relativeFrom="column">
                    <wp:posOffset>292100</wp:posOffset>
                  </wp:positionH>
                  <wp:positionV relativeFrom="paragraph">
                    <wp:posOffset>114300</wp:posOffset>
                  </wp:positionV>
                  <wp:extent cx="5317490" cy="1978660"/>
                  <wp:effectExtent l="19050" t="0" r="0" b="0"/>
                  <wp:wrapNone/>
                  <wp:docPr id="692" name="图片 692" descr="微信截图_2020061916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微信截图_20200619163834"/>
                          <pic:cNvPicPr>
                            <a:picLocks noChangeAspect="1" noChangeArrowheads="1"/>
                          </pic:cNvPicPr>
                        </pic:nvPicPr>
                        <pic:blipFill>
                          <a:blip r:embed="rId19"/>
                          <a:srcRect/>
                          <a:stretch>
                            <a:fillRect/>
                          </a:stretch>
                        </pic:blipFill>
                        <pic:spPr>
                          <a:xfrm>
                            <a:off x="0" y="0"/>
                            <a:ext cx="5317225" cy="1978926"/>
                          </a:xfrm>
                          <a:prstGeom prst="rect">
                            <a:avLst/>
                          </a:prstGeom>
                          <a:noFill/>
                          <a:ln w="9525">
                            <a:noFill/>
                            <a:miter lim="800000"/>
                            <a:headEnd/>
                            <a:tailEnd/>
                          </a:ln>
                        </pic:spPr>
                      </pic:pic>
                    </a:graphicData>
                  </a:graphic>
                </wp:anchor>
              </w:drawing>
            </w: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sz w:val="24"/>
              </w:rPr>
            </w:pPr>
          </w:p>
          <w:p>
            <w:pPr>
              <w:snapToGrid w:val="0"/>
              <w:spacing w:line="440" w:lineRule="exact"/>
              <w:jc w:val="center"/>
              <w:rPr>
                <w:rFonts w:ascii="黑体" w:eastAsia="黑体"/>
              </w:rPr>
            </w:pPr>
            <w:r>
              <w:rPr>
                <w:rFonts w:hint="eastAsia" w:ascii="黑体" w:eastAsia="黑体"/>
              </w:rPr>
              <w:t>图5  电池负极底生产工艺流程及产污环节图</w:t>
            </w:r>
          </w:p>
          <w:p>
            <w:pPr>
              <w:pStyle w:val="65"/>
              <w:spacing w:line="460" w:lineRule="exact"/>
              <w:ind w:firstLine="482" w:firstLineChars="200"/>
              <w:rPr>
                <w:b/>
                <w:sz w:val="24"/>
                <w:szCs w:val="24"/>
              </w:rPr>
            </w:pPr>
          </w:p>
          <w:p>
            <w:pPr>
              <w:pStyle w:val="65"/>
              <w:spacing w:line="460" w:lineRule="exact"/>
              <w:ind w:firstLine="482" w:firstLineChars="200"/>
              <w:rPr>
                <w:b/>
                <w:sz w:val="24"/>
                <w:szCs w:val="24"/>
              </w:rPr>
            </w:pPr>
            <w:r>
              <w:rPr>
                <w:rFonts w:hint="eastAsia"/>
                <w:b/>
                <w:sz w:val="24"/>
                <w:szCs w:val="24"/>
              </w:rPr>
              <w:t>工艺说明：</w:t>
            </w:r>
          </w:p>
          <w:p>
            <w:pPr>
              <w:spacing w:line="440" w:lineRule="exact"/>
              <w:ind w:firstLine="480" w:firstLineChars="200"/>
              <w:textAlignment w:val="baseline"/>
              <w:rPr>
                <w:sz w:val="24"/>
              </w:rPr>
            </w:pPr>
            <w:r>
              <w:rPr>
                <w:rFonts w:hint="eastAsia"/>
                <w:sz w:val="24"/>
              </w:rPr>
              <w:t>①上料：采购的钢带放至上料机进行传送上料，此过程会产生噪声。</w:t>
            </w:r>
          </w:p>
          <w:p>
            <w:pPr>
              <w:spacing w:line="440" w:lineRule="exact"/>
              <w:ind w:firstLine="480" w:firstLineChars="200"/>
              <w:textAlignment w:val="baseline"/>
              <w:rPr>
                <w:sz w:val="24"/>
              </w:rPr>
            </w:pPr>
            <w:r>
              <w:rPr>
                <w:rFonts w:hint="eastAsia"/>
                <w:sz w:val="24"/>
              </w:rPr>
              <w:t>②冲压成型：上料机将钢带送至冲床进行冲压成型。此过程会产生固废（废边角料）和噪声。</w:t>
            </w:r>
          </w:p>
          <w:p>
            <w:pPr>
              <w:spacing w:line="440" w:lineRule="exact"/>
              <w:ind w:firstLine="480" w:firstLineChars="200"/>
              <w:textAlignment w:val="baseline"/>
              <w:rPr>
                <w:sz w:val="24"/>
              </w:rPr>
            </w:pPr>
            <w:r>
              <w:rPr>
                <w:rFonts w:hint="eastAsia"/>
                <w:sz w:val="24"/>
              </w:rPr>
              <w:t>成型的模具需要定期进行修整，车床对模具尺寸进行修整，内圆磨机对内圆进行修整，平面磨机对平面进行修整。</w:t>
            </w:r>
          </w:p>
          <w:p>
            <w:pPr>
              <w:spacing w:line="440" w:lineRule="exact"/>
              <w:ind w:firstLine="480" w:firstLineChars="200"/>
              <w:textAlignment w:val="baseline"/>
              <w:rPr>
                <w:sz w:val="24"/>
              </w:rPr>
            </w:pPr>
            <w:r>
              <w:rPr>
                <w:rFonts w:hint="eastAsia"/>
                <w:sz w:val="24"/>
              </w:rPr>
              <w:t>③打孔：冲压后的底盖需要经台钻进行打孔，此过程会产生噪声和固废（废边角料）。</w:t>
            </w:r>
          </w:p>
          <w:p>
            <w:pPr>
              <w:spacing w:line="440" w:lineRule="exact"/>
              <w:ind w:firstLine="480" w:firstLineChars="200"/>
              <w:textAlignment w:val="baseline"/>
              <w:rPr>
                <w:sz w:val="24"/>
              </w:rPr>
            </w:pPr>
            <w:r>
              <w:rPr>
                <w:rFonts w:hint="eastAsia"/>
                <w:sz w:val="24"/>
              </w:rPr>
              <w:t>④包装：成品放入纸箱进行包装，纸箱内放置塑料内衬袋，放好后用透明胶带对纸箱进行封口，即为成品。</w:t>
            </w:r>
          </w:p>
          <w:p>
            <w:pPr>
              <w:spacing w:line="440" w:lineRule="exact"/>
              <w:textAlignment w:val="baseline"/>
              <w:rPr>
                <w:sz w:val="24"/>
              </w:rPr>
            </w:pPr>
          </w:p>
          <w:p>
            <w:pPr>
              <w:spacing w:line="440" w:lineRule="exact"/>
              <w:textAlignment w:val="baseline"/>
              <w:rPr>
                <w:sz w:val="24"/>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6521" w:hRule="atLeast"/>
          <w:jc w:val="center"/>
        </w:trPr>
        <w:tc>
          <w:tcPr>
            <w:tcW w:w="9199" w:type="dxa"/>
            <w:tcBorders>
              <w:top w:val="single" w:color="000000" w:sz="8" w:space="0"/>
            </w:tcBorders>
            <w:shd w:val="clear" w:color="auto" w:fill="auto"/>
          </w:tcPr>
          <w:p>
            <w:pPr>
              <w:spacing w:line="440" w:lineRule="exact"/>
              <w:jc w:val="left"/>
              <w:rPr>
                <w:b/>
                <w:sz w:val="24"/>
              </w:rPr>
            </w:pPr>
            <w:r>
              <w:rPr>
                <w:b/>
                <w:sz w:val="24"/>
              </w:rPr>
              <w:t>主要污染工序：</w:t>
            </w:r>
          </w:p>
          <w:p>
            <w:pPr>
              <w:spacing w:line="440" w:lineRule="exact"/>
              <w:ind w:firstLine="588"/>
              <w:rPr>
                <w:sz w:val="24"/>
              </w:rPr>
            </w:pPr>
            <w:r>
              <w:rPr>
                <w:sz w:val="24"/>
              </w:rPr>
              <w:t>本项目营运期主要污染物、产污环节及防治措施详见</w:t>
            </w:r>
            <w:r>
              <w:rPr>
                <w:rFonts w:hint="eastAsia"/>
                <w:sz w:val="24"/>
              </w:rPr>
              <w:t>下表</w:t>
            </w:r>
            <w:r>
              <w:rPr>
                <w:sz w:val="24"/>
              </w:rPr>
              <w:t>。</w:t>
            </w:r>
          </w:p>
          <w:p>
            <w:pPr>
              <w:spacing w:line="440" w:lineRule="exact"/>
              <w:ind w:firstLine="588"/>
              <w:rPr>
                <w:rFonts w:eastAsia="黑体"/>
                <w:sz w:val="24"/>
              </w:rPr>
            </w:pPr>
            <w:r>
              <w:rPr>
                <w:rFonts w:eastAsia="黑体"/>
                <w:sz w:val="24"/>
              </w:rPr>
              <w:t>表</w:t>
            </w:r>
            <w:r>
              <w:rPr>
                <w:rFonts w:hint="eastAsia" w:eastAsia="黑体"/>
                <w:sz w:val="24"/>
              </w:rPr>
              <w:t>26</w:t>
            </w:r>
            <w:r>
              <w:rPr>
                <w:rFonts w:eastAsia="黑体"/>
                <w:sz w:val="24"/>
              </w:rPr>
              <w:t xml:space="preserve">  </w:t>
            </w:r>
            <w:r>
              <w:rPr>
                <w:rFonts w:hint="eastAsia" w:eastAsia="黑体"/>
                <w:sz w:val="24"/>
              </w:rPr>
              <w:t xml:space="preserve">                                  </w:t>
            </w:r>
            <w:r>
              <w:rPr>
                <w:rFonts w:eastAsia="黑体"/>
                <w:sz w:val="24"/>
              </w:rPr>
              <w:t xml:space="preserve"> 产污环节一览表</w:t>
            </w:r>
          </w:p>
          <w:tbl>
            <w:tblPr>
              <w:tblStyle w:val="19"/>
              <w:tblW w:w="8984" w:type="dxa"/>
              <w:jc w:val="center"/>
              <w:tblLayout w:type="autofit"/>
              <w:tblCellMar>
                <w:top w:w="0" w:type="dxa"/>
                <w:left w:w="108" w:type="dxa"/>
                <w:bottom w:w="0" w:type="dxa"/>
                <w:right w:w="108" w:type="dxa"/>
              </w:tblCellMar>
            </w:tblPr>
            <w:tblGrid>
              <w:gridCol w:w="949"/>
              <w:gridCol w:w="709"/>
              <w:gridCol w:w="1276"/>
              <w:gridCol w:w="2126"/>
              <w:gridCol w:w="3924"/>
            </w:tblGrid>
            <w:tr>
              <w:tblPrEx>
                <w:tblCellMar>
                  <w:top w:w="0" w:type="dxa"/>
                  <w:left w:w="108" w:type="dxa"/>
                  <w:bottom w:w="0" w:type="dxa"/>
                  <w:right w:w="108" w:type="dxa"/>
                </w:tblCellMar>
              </w:tblPrEx>
              <w:trPr>
                <w:trHeight w:val="397" w:hRule="atLeast"/>
                <w:jc w:val="center"/>
              </w:trPr>
              <w:tc>
                <w:tcPr>
                  <w:tcW w:w="949" w:type="dxa"/>
                  <w:tcBorders>
                    <w:top w:val="single" w:color="000000" w:sz="8" w:space="0"/>
                    <w:bottom w:val="single" w:color="000000" w:sz="4" w:space="0"/>
                    <w:right w:val="single" w:color="000000" w:sz="4" w:space="0"/>
                  </w:tcBorders>
                  <w:shd w:val="clear" w:color="auto" w:fill="auto"/>
                  <w:vAlign w:val="center"/>
                </w:tcPr>
                <w:p>
                  <w:pPr>
                    <w:jc w:val="center"/>
                    <w:rPr>
                      <w:b/>
                      <w:szCs w:val="21"/>
                    </w:rPr>
                  </w:pPr>
                  <w:r>
                    <w:rPr>
                      <w:b/>
                      <w:szCs w:val="21"/>
                    </w:rPr>
                    <w:t>污染因素</w:t>
                  </w:r>
                </w:p>
              </w:tc>
              <w:tc>
                <w:tcPr>
                  <w:tcW w:w="198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产污环节</w:t>
                  </w:r>
                </w:p>
              </w:tc>
              <w:tc>
                <w:tcPr>
                  <w:tcW w:w="2126" w:type="dxa"/>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b/>
                      <w:szCs w:val="21"/>
                    </w:rPr>
                  </w:pPr>
                  <w:r>
                    <w:rPr>
                      <w:b/>
                      <w:szCs w:val="21"/>
                    </w:rPr>
                    <w:t>污染物</w:t>
                  </w:r>
                </w:p>
              </w:tc>
              <w:tc>
                <w:tcPr>
                  <w:tcW w:w="3924" w:type="dxa"/>
                  <w:tcBorders>
                    <w:top w:val="single" w:color="000000" w:sz="8" w:space="0"/>
                    <w:left w:val="single" w:color="000000" w:sz="4" w:space="0"/>
                    <w:bottom w:val="single" w:color="000000" w:sz="4" w:space="0"/>
                  </w:tcBorders>
                  <w:shd w:val="clear" w:color="auto" w:fill="auto"/>
                  <w:vAlign w:val="center"/>
                </w:tcPr>
                <w:p>
                  <w:pPr>
                    <w:jc w:val="center"/>
                    <w:rPr>
                      <w:b/>
                      <w:szCs w:val="21"/>
                    </w:rPr>
                  </w:pPr>
                  <w:r>
                    <w:rPr>
                      <w:b/>
                      <w:szCs w:val="21"/>
                    </w:rPr>
                    <w:t>防治措施</w:t>
                  </w:r>
                </w:p>
              </w:tc>
            </w:tr>
            <w:tr>
              <w:tblPrEx>
                <w:tblCellMar>
                  <w:top w:w="0" w:type="dxa"/>
                  <w:left w:w="108" w:type="dxa"/>
                  <w:bottom w:w="0" w:type="dxa"/>
                  <w:right w:w="108" w:type="dxa"/>
                </w:tblCellMar>
              </w:tblPrEx>
              <w:trPr>
                <w:trHeight w:val="397" w:hRule="atLeast"/>
                <w:jc w:val="center"/>
              </w:trPr>
              <w:tc>
                <w:tcPr>
                  <w:tcW w:w="949" w:type="dxa"/>
                  <w:tcBorders>
                    <w:top w:val="single" w:color="000000" w:sz="4" w:space="0"/>
                    <w:right w:val="single" w:color="000000" w:sz="4" w:space="0"/>
                  </w:tcBorders>
                  <w:shd w:val="clear" w:color="auto" w:fill="auto"/>
                  <w:vAlign w:val="center"/>
                </w:tcPr>
                <w:p>
                  <w:pPr>
                    <w:jc w:val="center"/>
                    <w:rPr>
                      <w:szCs w:val="21"/>
                    </w:rPr>
                  </w:pPr>
                  <w:r>
                    <w:rPr>
                      <w:szCs w:val="21"/>
                    </w:rPr>
                    <w:t>废 气</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注塑废气</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非甲烷总烃</w:t>
                  </w:r>
                </w:p>
              </w:tc>
              <w:tc>
                <w:tcPr>
                  <w:tcW w:w="3924"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rFonts w:hint="eastAsia"/>
                      <w:szCs w:val="21"/>
                    </w:rPr>
                    <w:t>注塑区域密闭，废气经负压收集</w:t>
                  </w:r>
                  <w:r>
                    <w:rPr>
                      <w:szCs w:val="21"/>
                    </w:rPr>
                    <w:t>+UV光催化氧化装置+活性炭吸附装置+15m高排气筒</w:t>
                  </w:r>
                </w:p>
              </w:tc>
            </w:tr>
            <w:tr>
              <w:tblPrEx>
                <w:tblCellMar>
                  <w:top w:w="0" w:type="dxa"/>
                  <w:left w:w="108" w:type="dxa"/>
                  <w:bottom w:w="0" w:type="dxa"/>
                  <w:right w:w="108" w:type="dxa"/>
                </w:tblCellMar>
              </w:tblPrEx>
              <w:trPr>
                <w:trHeight w:val="397" w:hRule="atLeast"/>
                <w:jc w:val="center"/>
              </w:trPr>
              <w:tc>
                <w:tcPr>
                  <w:tcW w:w="949" w:type="dxa"/>
                  <w:tcBorders>
                    <w:top w:val="single" w:color="000000" w:sz="4" w:space="0"/>
                    <w:right w:val="single" w:color="000000" w:sz="4" w:space="0"/>
                  </w:tcBorders>
                  <w:shd w:val="clear" w:color="auto" w:fill="auto"/>
                  <w:vAlign w:val="center"/>
                </w:tcPr>
                <w:p>
                  <w:pPr>
                    <w:jc w:val="center"/>
                    <w:rPr>
                      <w:b/>
                      <w:szCs w:val="21"/>
                      <w:u w:val="single"/>
                    </w:rPr>
                  </w:pPr>
                  <w:r>
                    <w:rPr>
                      <w:b/>
                      <w:szCs w:val="21"/>
                      <w:u w:val="single"/>
                    </w:rPr>
                    <w:t>废水</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szCs w:val="21"/>
                      <w:u w:val="single"/>
                    </w:rPr>
                  </w:pPr>
                  <w:r>
                    <w:rPr>
                      <w:b/>
                      <w:szCs w:val="21"/>
                      <w:u w:val="single"/>
                    </w:rPr>
                    <w:t>职工生活污水</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szCs w:val="21"/>
                      <w:u w:val="single"/>
                    </w:rPr>
                  </w:pPr>
                  <w:r>
                    <w:rPr>
                      <w:rFonts w:hint="eastAsia"/>
                      <w:b/>
                      <w:szCs w:val="21"/>
                      <w:u w:val="single"/>
                    </w:rPr>
                    <w:t>COD、氨氮、TP、TN</w:t>
                  </w:r>
                </w:p>
              </w:tc>
              <w:tc>
                <w:tcPr>
                  <w:tcW w:w="3924" w:type="dxa"/>
                  <w:tcBorders>
                    <w:top w:val="single" w:color="000000" w:sz="4" w:space="0"/>
                    <w:left w:val="single" w:color="000000" w:sz="4" w:space="0"/>
                    <w:bottom w:val="single" w:color="000000" w:sz="4" w:space="0"/>
                  </w:tcBorders>
                  <w:shd w:val="clear" w:color="auto" w:fill="auto"/>
                  <w:vAlign w:val="center"/>
                </w:tcPr>
                <w:p>
                  <w:pPr>
                    <w:jc w:val="center"/>
                    <w:rPr>
                      <w:b/>
                      <w:szCs w:val="21"/>
                      <w:u w:val="single"/>
                    </w:rPr>
                  </w:pPr>
                  <w:r>
                    <w:rPr>
                      <w:rFonts w:hint="eastAsia"/>
                      <w:b/>
                      <w:szCs w:val="21"/>
                      <w:u w:val="single"/>
                    </w:rPr>
                    <w:t>排入化粪池中定期清运</w:t>
                  </w:r>
                </w:p>
              </w:tc>
            </w:tr>
            <w:tr>
              <w:tblPrEx>
                <w:tblCellMar>
                  <w:top w:w="0" w:type="dxa"/>
                  <w:left w:w="108" w:type="dxa"/>
                  <w:bottom w:w="0" w:type="dxa"/>
                  <w:right w:w="108" w:type="dxa"/>
                </w:tblCellMar>
              </w:tblPrEx>
              <w:trPr>
                <w:trHeight w:val="397" w:hRule="atLeast"/>
                <w:jc w:val="center"/>
              </w:trPr>
              <w:tc>
                <w:tcPr>
                  <w:tcW w:w="949" w:type="dxa"/>
                  <w:vMerge w:val="restart"/>
                  <w:tcBorders>
                    <w:top w:val="single" w:color="000000" w:sz="4" w:space="0"/>
                    <w:bottom w:val="single" w:color="000000" w:sz="4" w:space="0"/>
                    <w:right w:val="single" w:color="000000" w:sz="4" w:space="0"/>
                  </w:tcBorders>
                  <w:shd w:val="clear" w:color="auto" w:fill="auto"/>
                  <w:vAlign w:val="center"/>
                </w:tcPr>
                <w:p>
                  <w:pPr>
                    <w:jc w:val="center"/>
                    <w:rPr>
                      <w:szCs w:val="21"/>
                    </w:rPr>
                  </w:pPr>
                  <w:r>
                    <w:rPr>
                      <w:szCs w:val="21"/>
                    </w:rPr>
                    <w:t>固 废</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一般固废</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包装工序</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废包装材料</w:t>
                  </w:r>
                </w:p>
              </w:tc>
              <w:tc>
                <w:tcPr>
                  <w:tcW w:w="3924"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收集后外售</w:t>
                  </w:r>
                </w:p>
              </w:tc>
            </w:tr>
            <w:tr>
              <w:tblPrEx>
                <w:tblCellMar>
                  <w:top w:w="0" w:type="dxa"/>
                  <w:left w:w="108" w:type="dxa"/>
                  <w:bottom w:w="0" w:type="dxa"/>
                  <w:right w:w="108" w:type="dxa"/>
                </w:tblCellMar>
              </w:tblPrEx>
              <w:trPr>
                <w:trHeight w:val="397" w:hRule="atLeast"/>
                <w:jc w:val="center"/>
              </w:trPr>
              <w:tc>
                <w:tcPr>
                  <w:tcW w:w="9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冲压打孔</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废边角料</w:t>
                  </w:r>
                </w:p>
              </w:tc>
              <w:tc>
                <w:tcPr>
                  <w:tcW w:w="3924" w:type="dxa"/>
                  <w:tcBorders>
                    <w:top w:val="single" w:color="000000" w:sz="4" w:space="0"/>
                    <w:left w:val="single" w:color="000000" w:sz="4" w:space="0"/>
                    <w:bottom w:val="single" w:color="000000" w:sz="4" w:space="0"/>
                  </w:tcBorders>
                  <w:shd w:val="clear" w:color="auto" w:fill="auto"/>
                  <w:vAlign w:val="center"/>
                </w:tcPr>
                <w:p>
                  <w:pPr>
                    <w:jc w:val="center"/>
                    <w:rPr>
                      <w:szCs w:val="21"/>
                    </w:rPr>
                  </w:pPr>
                  <w:r>
                    <w:rPr>
                      <w:szCs w:val="21"/>
                    </w:rPr>
                    <w:t>收集后外售</w:t>
                  </w:r>
                </w:p>
              </w:tc>
            </w:tr>
            <w:tr>
              <w:tblPrEx>
                <w:tblCellMar>
                  <w:top w:w="0" w:type="dxa"/>
                  <w:left w:w="108" w:type="dxa"/>
                  <w:bottom w:w="0" w:type="dxa"/>
                  <w:right w:w="108" w:type="dxa"/>
                </w:tblCellMar>
              </w:tblPrEx>
              <w:trPr>
                <w:trHeight w:val="397" w:hRule="atLeast"/>
                <w:jc w:val="center"/>
              </w:trPr>
              <w:tc>
                <w:tcPr>
                  <w:tcW w:w="9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709" w:type="dxa"/>
                  <w:vMerge w:val="restart"/>
                  <w:tcBorders>
                    <w:top w:val="single" w:color="000000" w:sz="4" w:space="0"/>
                    <w:left w:val="single" w:color="000000" w:sz="4" w:space="0"/>
                    <w:right w:val="single" w:color="000000" w:sz="4" w:space="0"/>
                  </w:tcBorders>
                  <w:shd w:val="clear" w:color="auto" w:fill="auto"/>
                  <w:vAlign w:val="center"/>
                </w:tcPr>
                <w:p>
                  <w:pPr>
                    <w:jc w:val="center"/>
                    <w:rPr>
                      <w:szCs w:val="21"/>
                    </w:rPr>
                  </w:pPr>
                  <w:r>
                    <w:rPr>
                      <w:szCs w:val="21"/>
                    </w:rPr>
                    <w:t>危险废物</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维修</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废液压油</w:t>
                  </w:r>
                </w:p>
              </w:tc>
              <w:tc>
                <w:tcPr>
                  <w:tcW w:w="3924" w:type="dxa"/>
                  <w:vMerge w:val="restart"/>
                  <w:tcBorders>
                    <w:top w:val="single" w:color="000000" w:sz="4" w:space="0"/>
                    <w:left w:val="single" w:color="000000" w:sz="4" w:space="0"/>
                  </w:tcBorders>
                  <w:shd w:val="clear" w:color="auto" w:fill="auto"/>
                  <w:vAlign w:val="center"/>
                </w:tcPr>
                <w:p>
                  <w:pPr>
                    <w:jc w:val="center"/>
                    <w:rPr>
                      <w:szCs w:val="21"/>
                    </w:rPr>
                  </w:pPr>
                  <w:r>
                    <w:rPr>
                      <w:szCs w:val="21"/>
                    </w:rPr>
                    <w:t>密闭容器收集、危废暂存间暂存后交由有相应资质单位处置</w:t>
                  </w:r>
                </w:p>
              </w:tc>
            </w:tr>
            <w:tr>
              <w:tblPrEx>
                <w:tblCellMar>
                  <w:top w:w="0" w:type="dxa"/>
                  <w:left w:w="108" w:type="dxa"/>
                  <w:bottom w:w="0" w:type="dxa"/>
                  <w:right w:w="108" w:type="dxa"/>
                </w:tblCellMar>
              </w:tblPrEx>
              <w:trPr>
                <w:trHeight w:val="397" w:hRule="atLeast"/>
                <w:jc w:val="center"/>
              </w:trPr>
              <w:tc>
                <w:tcPr>
                  <w:tcW w:w="9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709" w:type="dxa"/>
                  <w:vMerge w:val="continue"/>
                  <w:tcBorders>
                    <w:left w:val="single" w:color="000000" w:sz="4" w:space="0"/>
                    <w:right w:val="single" w:color="000000" w:sz="4" w:space="0"/>
                  </w:tcBorders>
                  <w:shd w:val="clear" w:color="auto" w:fill="auto"/>
                  <w:vAlign w:val="center"/>
                </w:tcPr>
                <w:p>
                  <w:pPr>
                    <w:jc w:val="center"/>
                    <w:rPr>
                      <w:szCs w:val="21"/>
                    </w:rPr>
                  </w:pPr>
                </w:p>
              </w:tc>
              <w:tc>
                <w:tcPr>
                  <w:tcW w:w="1276" w:type="dxa"/>
                  <w:vMerge w:val="restart"/>
                  <w:tcBorders>
                    <w:top w:val="single" w:color="auto" w:sz="4" w:space="0"/>
                    <w:left w:val="single" w:color="000000" w:sz="4" w:space="0"/>
                    <w:right w:val="single" w:color="000000" w:sz="4" w:space="0"/>
                  </w:tcBorders>
                  <w:shd w:val="clear" w:color="auto" w:fill="auto"/>
                  <w:vAlign w:val="center"/>
                </w:tcPr>
                <w:p>
                  <w:pPr>
                    <w:jc w:val="center"/>
                    <w:rPr>
                      <w:szCs w:val="21"/>
                    </w:rPr>
                  </w:pPr>
                  <w:r>
                    <w:rPr>
                      <w:szCs w:val="21"/>
                    </w:rPr>
                    <w:t>废气治理</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废活性炭</w:t>
                  </w:r>
                </w:p>
              </w:tc>
              <w:tc>
                <w:tcPr>
                  <w:tcW w:w="3924" w:type="dxa"/>
                  <w:vMerge w:val="continue"/>
                  <w:tcBorders>
                    <w:left w:val="single" w:color="000000" w:sz="4" w:space="0"/>
                  </w:tcBorders>
                  <w:shd w:val="clear" w:color="auto" w:fill="auto"/>
                  <w:vAlign w:val="center"/>
                </w:tcPr>
                <w:p>
                  <w:pPr>
                    <w:jc w:val="center"/>
                    <w:rPr>
                      <w:szCs w:val="21"/>
                    </w:rPr>
                  </w:pPr>
                </w:p>
              </w:tc>
            </w:tr>
            <w:tr>
              <w:tblPrEx>
                <w:tblCellMar>
                  <w:top w:w="0" w:type="dxa"/>
                  <w:left w:w="108" w:type="dxa"/>
                  <w:bottom w:w="0" w:type="dxa"/>
                  <w:right w:w="108" w:type="dxa"/>
                </w:tblCellMar>
              </w:tblPrEx>
              <w:trPr>
                <w:trHeight w:val="397" w:hRule="atLeast"/>
                <w:jc w:val="center"/>
              </w:trPr>
              <w:tc>
                <w:tcPr>
                  <w:tcW w:w="9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709" w:type="dxa"/>
                  <w:vMerge w:val="continue"/>
                  <w:tcBorders>
                    <w:left w:val="single" w:color="000000" w:sz="4" w:space="0"/>
                    <w:right w:val="single" w:color="000000" w:sz="4" w:space="0"/>
                  </w:tcBorders>
                  <w:shd w:val="clear" w:color="auto" w:fill="auto"/>
                  <w:vAlign w:val="center"/>
                </w:tcPr>
                <w:p>
                  <w:pPr>
                    <w:jc w:val="center"/>
                    <w:rPr>
                      <w:szCs w:val="21"/>
                    </w:rPr>
                  </w:pPr>
                </w:p>
              </w:tc>
              <w:tc>
                <w:tcPr>
                  <w:tcW w:w="1276" w:type="dxa"/>
                  <w:vMerge w:val="continue"/>
                  <w:tcBorders>
                    <w:top w:val="single" w:color="auto" w:sz="4" w:space="0"/>
                    <w:left w:val="single" w:color="000000" w:sz="4" w:space="0"/>
                    <w:right w:val="single" w:color="000000" w:sz="4" w:space="0"/>
                  </w:tcBorders>
                  <w:shd w:val="clear" w:color="auto" w:fill="auto"/>
                  <w:vAlign w:val="center"/>
                </w:tcPr>
                <w:p>
                  <w:pPr>
                    <w:jc w:val="center"/>
                    <w:rPr>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废紫外灯管</w:t>
                  </w:r>
                </w:p>
              </w:tc>
              <w:tc>
                <w:tcPr>
                  <w:tcW w:w="3924" w:type="dxa"/>
                  <w:vMerge w:val="continue"/>
                  <w:tcBorders>
                    <w:left w:val="single" w:color="000000" w:sz="4" w:space="0"/>
                  </w:tcBorders>
                  <w:shd w:val="clear" w:color="auto" w:fill="auto"/>
                  <w:vAlign w:val="center"/>
                </w:tcPr>
                <w:p>
                  <w:pPr>
                    <w:jc w:val="center"/>
                    <w:rPr>
                      <w:szCs w:val="21"/>
                    </w:rPr>
                  </w:pPr>
                </w:p>
              </w:tc>
            </w:tr>
            <w:tr>
              <w:tblPrEx>
                <w:tblCellMar>
                  <w:top w:w="0" w:type="dxa"/>
                  <w:left w:w="108" w:type="dxa"/>
                  <w:bottom w:w="0" w:type="dxa"/>
                  <w:right w:w="108" w:type="dxa"/>
                </w:tblCellMar>
              </w:tblPrEx>
              <w:trPr>
                <w:trHeight w:val="397" w:hRule="atLeast"/>
                <w:jc w:val="center"/>
              </w:trPr>
              <w:tc>
                <w:tcPr>
                  <w:tcW w:w="949" w:type="dxa"/>
                  <w:vMerge w:val="continue"/>
                  <w:tcBorders>
                    <w:top w:val="single" w:color="000000" w:sz="4" w:space="0"/>
                    <w:bottom w:val="single" w:color="000000" w:sz="4" w:space="0"/>
                    <w:right w:val="single" w:color="000000" w:sz="4" w:space="0"/>
                  </w:tcBorders>
                  <w:shd w:val="clear" w:color="auto" w:fill="auto"/>
                  <w:vAlign w:val="center"/>
                </w:tcPr>
                <w:p>
                  <w:pPr>
                    <w:jc w:val="center"/>
                    <w:rPr>
                      <w:szCs w:val="21"/>
                    </w:rPr>
                  </w:pP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pPr>
                    <w:jc w:val="center"/>
                    <w:rPr>
                      <w:szCs w:val="21"/>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废催化板</w:t>
                  </w:r>
                </w:p>
              </w:tc>
              <w:tc>
                <w:tcPr>
                  <w:tcW w:w="3924" w:type="dxa"/>
                  <w:vMerge w:val="continue"/>
                  <w:tcBorders>
                    <w:left w:val="single" w:color="000000" w:sz="4" w:space="0"/>
                    <w:bottom w:val="single" w:color="000000" w:sz="4" w:space="0"/>
                  </w:tcBorders>
                  <w:shd w:val="clear" w:color="auto" w:fill="auto"/>
                  <w:vAlign w:val="center"/>
                </w:tcPr>
                <w:p>
                  <w:pPr>
                    <w:jc w:val="center"/>
                    <w:rPr>
                      <w:szCs w:val="21"/>
                    </w:rPr>
                  </w:pPr>
                </w:p>
              </w:tc>
            </w:tr>
            <w:tr>
              <w:tblPrEx>
                <w:tblCellMar>
                  <w:top w:w="0" w:type="dxa"/>
                  <w:left w:w="108" w:type="dxa"/>
                  <w:bottom w:w="0" w:type="dxa"/>
                  <w:right w:w="108" w:type="dxa"/>
                </w:tblCellMar>
              </w:tblPrEx>
              <w:trPr>
                <w:trHeight w:val="397" w:hRule="atLeast"/>
                <w:jc w:val="center"/>
              </w:trPr>
              <w:tc>
                <w:tcPr>
                  <w:tcW w:w="949" w:type="dxa"/>
                  <w:tcBorders>
                    <w:top w:val="single" w:color="000000" w:sz="4" w:space="0"/>
                    <w:bottom w:val="single" w:color="000000" w:sz="8" w:space="0"/>
                    <w:right w:val="single" w:color="000000" w:sz="4" w:space="0"/>
                  </w:tcBorders>
                  <w:shd w:val="clear" w:color="auto" w:fill="auto"/>
                  <w:vAlign w:val="center"/>
                </w:tcPr>
                <w:p>
                  <w:pPr>
                    <w:jc w:val="center"/>
                    <w:rPr>
                      <w:szCs w:val="21"/>
                    </w:rPr>
                  </w:pPr>
                  <w:r>
                    <w:rPr>
                      <w:szCs w:val="21"/>
                    </w:rPr>
                    <w:t>噪 声</w:t>
                  </w:r>
                </w:p>
              </w:tc>
              <w:tc>
                <w:tcPr>
                  <w:tcW w:w="1985"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冲床</w:t>
                  </w:r>
                  <w:r>
                    <w:rPr>
                      <w:rFonts w:hint="eastAsia"/>
                      <w:szCs w:val="21"/>
                    </w:rPr>
                    <w:t>、空压机</w:t>
                  </w:r>
                  <w:r>
                    <w:rPr>
                      <w:szCs w:val="21"/>
                    </w:rPr>
                    <w:t>等</w:t>
                  </w:r>
                </w:p>
              </w:tc>
              <w:tc>
                <w:tcPr>
                  <w:tcW w:w="212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设备噪声</w:t>
                  </w:r>
                </w:p>
              </w:tc>
              <w:tc>
                <w:tcPr>
                  <w:tcW w:w="3924" w:type="dxa"/>
                  <w:tcBorders>
                    <w:top w:val="single" w:color="000000" w:sz="4" w:space="0"/>
                    <w:left w:val="single" w:color="000000" w:sz="4" w:space="0"/>
                    <w:bottom w:val="single" w:color="000000" w:sz="8" w:space="0"/>
                  </w:tcBorders>
                  <w:shd w:val="clear" w:color="auto" w:fill="auto"/>
                  <w:vAlign w:val="center"/>
                </w:tcPr>
                <w:p>
                  <w:pPr>
                    <w:jc w:val="center"/>
                    <w:rPr>
                      <w:szCs w:val="21"/>
                    </w:rPr>
                  </w:pPr>
                  <w:r>
                    <w:rPr>
                      <w:szCs w:val="21"/>
                    </w:rPr>
                    <w:t>减振、厂房密闭隔音</w:t>
                  </w:r>
                </w:p>
              </w:tc>
            </w:tr>
          </w:tbl>
          <w:p>
            <w:pPr>
              <w:spacing w:line="440" w:lineRule="exact"/>
              <w:textAlignment w:val="baseline"/>
              <w:rPr>
                <w:rFonts w:eastAsia="黑体"/>
                <w:sz w:val="24"/>
              </w:rPr>
            </w:pPr>
          </w:p>
          <w:p>
            <w:pPr>
              <w:spacing w:line="440" w:lineRule="exact"/>
              <w:textAlignment w:val="baseline"/>
              <w:rPr>
                <w:rFonts w:eastAsia="黑体"/>
                <w:sz w:val="24"/>
              </w:rPr>
            </w:pPr>
          </w:p>
          <w:p>
            <w:pPr>
              <w:spacing w:line="440" w:lineRule="exact"/>
              <w:textAlignment w:val="baseline"/>
              <w:rPr>
                <w:rFonts w:eastAsia="黑体"/>
                <w:sz w:val="24"/>
              </w:rPr>
            </w:pPr>
          </w:p>
          <w:p>
            <w:pPr>
              <w:spacing w:line="440" w:lineRule="exact"/>
              <w:textAlignment w:val="baseline"/>
              <w:rPr>
                <w:rFonts w:eastAsia="黑体"/>
                <w:sz w:val="24"/>
              </w:rPr>
            </w:pPr>
          </w:p>
          <w:p>
            <w:pPr>
              <w:spacing w:line="440" w:lineRule="exact"/>
              <w:textAlignment w:val="baseline"/>
              <w:rPr>
                <w:rFonts w:eastAsia="黑体"/>
                <w:sz w:val="24"/>
              </w:rPr>
            </w:pPr>
          </w:p>
        </w:tc>
      </w:tr>
    </w:tbl>
    <w:p>
      <w:pPr>
        <w:spacing w:line="440" w:lineRule="exact"/>
        <w:jc w:val="left"/>
        <w:rPr>
          <w:b/>
          <w:sz w:val="28"/>
        </w:rPr>
      </w:pPr>
      <w:r>
        <w:rPr>
          <w:b/>
          <w:sz w:val="28"/>
        </w:rPr>
        <w:t>项目主要污染物产生及预计排放情况</w:t>
      </w:r>
    </w:p>
    <w:tbl>
      <w:tblPr>
        <w:tblStyle w:val="19"/>
        <w:tblW w:w="915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945"/>
        <w:gridCol w:w="1650"/>
        <w:gridCol w:w="1418"/>
        <w:gridCol w:w="2551"/>
        <w:gridCol w:w="259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shd w:val="clear" w:color="auto" w:fill="auto"/>
            <w:vAlign w:val="center"/>
          </w:tcPr>
          <w:p>
            <w:pPr>
              <w:spacing w:line="440" w:lineRule="exact"/>
              <w:ind w:firstLine="241"/>
              <w:jc w:val="center"/>
              <w:rPr>
                <w:b/>
                <w:sz w:val="24"/>
              </w:rPr>
            </w:pPr>
            <w:r>
              <w:rPr>
                <w:b/>
                <w:sz w:val="24"/>
              </w:rPr>
              <w:t>内容</w:t>
            </w:r>
          </w:p>
          <w:p>
            <w:pPr>
              <w:spacing w:line="440" w:lineRule="exact"/>
              <w:jc w:val="center"/>
              <w:rPr>
                <w:b/>
                <w:sz w:val="24"/>
              </w:rPr>
            </w:pPr>
          </w:p>
          <w:p>
            <w:pPr>
              <w:spacing w:line="440" w:lineRule="exact"/>
              <w:rPr>
                <w:b/>
                <w:sz w:val="24"/>
              </w:rPr>
            </w:pPr>
            <w:r>
              <w:rPr>
                <w:b/>
                <w:sz w:val="24"/>
              </w:rPr>
              <w:t>类型</w:t>
            </w:r>
          </w:p>
        </w:tc>
        <w:tc>
          <w:tcPr>
            <w:tcW w:w="1650" w:type="dxa"/>
            <w:shd w:val="clear" w:color="auto" w:fill="auto"/>
            <w:vAlign w:val="center"/>
          </w:tcPr>
          <w:p>
            <w:pPr>
              <w:spacing w:line="400" w:lineRule="exact"/>
              <w:jc w:val="center"/>
              <w:rPr>
                <w:b/>
                <w:sz w:val="24"/>
              </w:rPr>
            </w:pPr>
            <w:r>
              <w:rPr>
                <w:b/>
                <w:sz w:val="24"/>
              </w:rPr>
              <w:t>排放源</w:t>
            </w:r>
          </w:p>
          <w:p>
            <w:pPr>
              <w:spacing w:line="400" w:lineRule="exact"/>
              <w:jc w:val="center"/>
              <w:rPr>
                <w:b/>
                <w:sz w:val="24"/>
              </w:rPr>
            </w:pPr>
            <w:r>
              <w:rPr>
                <w:b/>
                <w:sz w:val="24"/>
              </w:rPr>
              <w:t>（编号）</w:t>
            </w:r>
          </w:p>
        </w:tc>
        <w:tc>
          <w:tcPr>
            <w:tcW w:w="1418" w:type="dxa"/>
            <w:shd w:val="clear" w:color="auto" w:fill="auto"/>
            <w:vAlign w:val="center"/>
          </w:tcPr>
          <w:p>
            <w:pPr>
              <w:spacing w:line="400" w:lineRule="exact"/>
              <w:jc w:val="center"/>
              <w:rPr>
                <w:b/>
                <w:sz w:val="24"/>
              </w:rPr>
            </w:pPr>
            <w:r>
              <w:rPr>
                <w:b/>
                <w:sz w:val="24"/>
              </w:rPr>
              <w:t>污染物</w:t>
            </w:r>
          </w:p>
          <w:p>
            <w:pPr>
              <w:spacing w:line="400" w:lineRule="exact"/>
              <w:jc w:val="center"/>
              <w:rPr>
                <w:b/>
                <w:sz w:val="24"/>
              </w:rPr>
            </w:pPr>
            <w:r>
              <w:rPr>
                <w:b/>
                <w:sz w:val="24"/>
              </w:rPr>
              <w:t>名  称</w:t>
            </w:r>
          </w:p>
        </w:tc>
        <w:tc>
          <w:tcPr>
            <w:tcW w:w="2551" w:type="dxa"/>
            <w:shd w:val="clear" w:color="auto" w:fill="auto"/>
            <w:vAlign w:val="center"/>
          </w:tcPr>
          <w:p>
            <w:pPr>
              <w:spacing w:line="400" w:lineRule="exact"/>
              <w:jc w:val="center"/>
              <w:rPr>
                <w:b/>
                <w:sz w:val="24"/>
              </w:rPr>
            </w:pPr>
            <w:r>
              <w:rPr>
                <w:b/>
                <w:sz w:val="24"/>
              </w:rPr>
              <w:t>处理前产生浓度及产生量（单位）</w:t>
            </w:r>
          </w:p>
        </w:tc>
        <w:tc>
          <w:tcPr>
            <w:tcW w:w="2594" w:type="dxa"/>
            <w:shd w:val="clear" w:color="auto" w:fill="auto"/>
            <w:vAlign w:val="center"/>
          </w:tcPr>
          <w:p>
            <w:pPr>
              <w:spacing w:line="400" w:lineRule="exact"/>
              <w:jc w:val="center"/>
              <w:rPr>
                <w:b/>
                <w:sz w:val="24"/>
              </w:rPr>
            </w:pPr>
            <w:r>
              <w:rPr>
                <w:b/>
                <w:sz w:val="24"/>
              </w:rPr>
              <w:t>排放浓度及排放量</w:t>
            </w:r>
          </w:p>
          <w:p>
            <w:pPr>
              <w:spacing w:line="400" w:lineRule="exact"/>
              <w:jc w:val="center"/>
              <w:rPr>
                <w:b/>
                <w:sz w:val="24"/>
              </w:rPr>
            </w:pPr>
            <w:r>
              <w:rPr>
                <w:b/>
                <w:sz w:val="24"/>
              </w:rPr>
              <w:t>（单位）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44" w:hRule="atLeast"/>
          <w:jc w:val="center"/>
        </w:trPr>
        <w:tc>
          <w:tcPr>
            <w:tcW w:w="945" w:type="dxa"/>
            <w:shd w:val="clear" w:color="auto" w:fill="auto"/>
            <w:vAlign w:val="center"/>
          </w:tcPr>
          <w:p>
            <w:pPr>
              <w:jc w:val="center"/>
              <w:rPr>
                <w:sz w:val="24"/>
              </w:rPr>
            </w:pPr>
            <w:r>
              <w:rPr>
                <w:sz w:val="24"/>
              </w:rPr>
              <w:t>大</w:t>
            </w:r>
          </w:p>
          <w:p>
            <w:pPr>
              <w:jc w:val="center"/>
              <w:rPr>
                <w:sz w:val="24"/>
              </w:rPr>
            </w:pPr>
            <w:r>
              <w:rPr>
                <w:sz w:val="24"/>
              </w:rPr>
              <w:t>气</w:t>
            </w:r>
          </w:p>
          <w:p>
            <w:pPr>
              <w:jc w:val="center"/>
              <w:rPr>
                <w:sz w:val="24"/>
              </w:rPr>
            </w:pPr>
            <w:r>
              <w:rPr>
                <w:sz w:val="24"/>
              </w:rPr>
              <w:t>污</w:t>
            </w:r>
          </w:p>
          <w:p>
            <w:pPr>
              <w:jc w:val="center"/>
              <w:rPr>
                <w:sz w:val="24"/>
              </w:rPr>
            </w:pPr>
            <w:r>
              <w:rPr>
                <w:sz w:val="24"/>
              </w:rPr>
              <w:t>染</w:t>
            </w:r>
          </w:p>
          <w:p>
            <w:pPr>
              <w:jc w:val="center"/>
              <w:rPr>
                <w:b/>
                <w:sz w:val="24"/>
              </w:rPr>
            </w:pPr>
            <w:r>
              <w:rPr>
                <w:sz w:val="24"/>
              </w:rPr>
              <w:t>物</w:t>
            </w:r>
          </w:p>
        </w:tc>
        <w:tc>
          <w:tcPr>
            <w:tcW w:w="1650" w:type="dxa"/>
            <w:shd w:val="clear" w:color="auto" w:fill="auto"/>
            <w:vAlign w:val="center"/>
          </w:tcPr>
          <w:p>
            <w:pPr>
              <w:jc w:val="center"/>
              <w:rPr>
                <w:sz w:val="24"/>
              </w:rPr>
            </w:pPr>
            <w:r>
              <w:rPr>
                <w:sz w:val="24"/>
              </w:rPr>
              <w:t>注塑废气</w:t>
            </w:r>
          </w:p>
        </w:tc>
        <w:tc>
          <w:tcPr>
            <w:tcW w:w="1418" w:type="dxa"/>
            <w:shd w:val="clear" w:color="auto" w:fill="auto"/>
            <w:vAlign w:val="center"/>
          </w:tcPr>
          <w:p>
            <w:pPr>
              <w:jc w:val="center"/>
              <w:rPr>
                <w:sz w:val="24"/>
              </w:rPr>
            </w:pPr>
            <w:r>
              <w:rPr>
                <w:sz w:val="24"/>
              </w:rPr>
              <w:t>非甲烷总烃</w:t>
            </w:r>
          </w:p>
        </w:tc>
        <w:tc>
          <w:tcPr>
            <w:tcW w:w="2551" w:type="dxa"/>
            <w:shd w:val="clear" w:color="auto" w:fill="auto"/>
            <w:vAlign w:val="center"/>
          </w:tcPr>
          <w:p>
            <w:pPr>
              <w:jc w:val="center"/>
              <w:rPr>
                <w:sz w:val="24"/>
              </w:rPr>
            </w:pPr>
            <w:r>
              <w:rPr>
                <w:rFonts w:hint="eastAsia"/>
                <w:sz w:val="24"/>
              </w:rPr>
              <w:t>28.2</w:t>
            </w:r>
            <w:r>
              <w:rPr>
                <w:sz w:val="24"/>
              </w:rPr>
              <w:t>mg/m</w:t>
            </w:r>
            <w:r>
              <w:rPr>
                <w:sz w:val="24"/>
                <w:vertAlign w:val="superscript"/>
              </w:rPr>
              <w:t>3</w:t>
            </w:r>
          </w:p>
          <w:p>
            <w:pPr>
              <w:jc w:val="center"/>
              <w:rPr>
                <w:sz w:val="24"/>
              </w:rPr>
            </w:pPr>
            <w:r>
              <w:rPr>
                <w:rFonts w:hint="eastAsia"/>
                <w:sz w:val="24"/>
              </w:rPr>
              <w:t>0.4736</w:t>
            </w:r>
            <w:r>
              <w:rPr>
                <w:sz w:val="24"/>
              </w:rPr>
              <w:t>t/a</w:t>
            </w:r>
          </w:p>
        </w:tc>
        <w:tc>
          <w:tcPr>
            <w:tcW w:w="2594" w:type="dxa"/>
            <w:shd w:val="clear" w:color="auto" w:fill="auto"/>
            <w:vAlign w:val="center"/>
          </w:tcPr>
          <w:p>
            <w:pPr>
              <w:jc w:val="center"/>
              <w:rPr>
                <w:sz w:val="24"/>
              </w:rPr>
            </w:pPr>
            <w:r>
              <w:rPr>
                <w:rFonts w:hint="eastAsia"/>
                <w:sz w:val="24"/>
              </w:rPr>
              <w:t xml:space="preserve">2.8 </w:t>
            </w:r>
            <w:r>
              <w:rPr>
                <w:sz w:val="24"/>
              </w:rPr>
              <w:t>mg/m</w:t>
            </w:r>
            <w:r>
              <w:rPr>
                <w:sz w:val="24"/>
                <w:vertAlign w:val="superscript"/>
              </w:rPr>
              <w:t>3</w:t>
            </w:r>
          </w:p>
          <w:p>
            <w:pPr>
              <w:jc w:val="center"/>
              <w:rPr>
                <w:sz w:val="24"/>
              </w:rPr>
            </w:pPr>
            <w:r>
              <w:rPr>
                <w:rFonts w:hint="eastAsia"/>
                <w:sz w:val="24"/>
              </w:rPr>
              <w:t>0.0474</w:t>
            </w:r>
            <w:r>
              <w:rPr>
                <w:sz w:val="24"/>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80" w:hRule="atLeast"/>
          <w:jc w:val="center"/>
        </w:trPr>
        <w:tc>
          <w:tcPr>
            <w:tcW w:w="945" w:type="dxa"/>
            <w:shd w:val="clear" w:color="auto" w:fill="auto"/>
            <w:vAlign w:val="center"/>
          </w:tcPr>
          <w:p>
            <w:pPr>
              <w:jc w:val="center"/>
              <w:rPr>
                <w:sz w:val="24"/>
              </w:rPr>
            </w:pPr>
            <w:r>
              <w:rPr>
                <w:sz w:val="24"/>
              </w:rPr>
              <w:t>水</w:t>
            </w:r>
          </w:p>
          <w:p>
            <w:pPr>
              <w:jc w:val="center"/>
              <w:rPr>
                <w:sz w:val="24"/>
              </w:rPr>
            </w:pPr>
            <w:r>
              <w:rPr>
                <w:sz w:val="24"/>
              </w:rPr>
              <w:t>污</w:t>
            </w:r>
          </w:p>
          <w:p>
            <w:pPr>
              <w:jc w:val="center"/>
              <w:rPr>
                <w:sz w:val="24"/>
              </w:rPr>
            </w:pPr>
            <w:r>
              <w:rPr>
                <w:sz w:val="24"/>
              </w:rPr>
              <w:t>染</w:t>
            </w:r>
          </w:p>
          <w:p>
            <w:pPr>
              <w:jc w:val="center"/>
              <w:rPr>
                <w:sz w:val="24"/>
              </w:rPr>
            </w:pPr>
            <w:r>
              <w:rPr>
                <w:sz w:val="24"/>
              </w:rPr>
              <w:t>物</w:t>
            </w:r>
          </w:p>
        </w:tc>
        <w:tc>
          <w:tcPr>
            <w:tcW w:w="1650" w:type="dxa"/>
            <w:shd w:val="clear" w:color="auto" w:fill="auto"/>
            <w:vAlign w:val="center"/>
          </w:tcPr>
          <w:p>
            <w:pPr>
              <w:jc w:val="center"/>
              <w:rPr>
                <w:b/>
                <w:sz w:val="24"/>
              </w:rPr>
            </w:pPr>
            <w:r>
              <w:rPr>
                <w:rFonts w:hint="eastAsia"/>
                <w:b/>
                <w:sz w:val="24"/>
              </w:rPr>
              <w:t>/</w:t>
            </w:r>
          </w:p>
        </w:tc>
        <w:tc>
          <w:tcPr>
            <w:tcW w:w="1418" w:type="dxa"/>
            <w:shd w:val="clear" w:color="auto" w:fill="auto"/>
            <w:vAlign w:val="center"/>
          </w:tcPr>
          <w:p>
            <w:pPr>
              <w:jc w:val="center"/>
              <w:rPr>
                <w:b/>
                <w:sz w:val="24"/>
              </w:rPr>
            </w:pPr>
            <w:r>
              <w:rPr>
                <w:rFonts w:hint="eastAsia"/>
                <w:b/>
                <w:sz w:val="24"/>
              </w:rPr>
              <w:t>/</w:t>
            </w:r>
          </w:p>
        </w:tc>
        <w:tc>
          <w:tcPr>
            <w:tcW w:w="2551" w:type="dxa"/>
            <w:shd w:val="clear" w:color="auto" w:fill="auto"/>
            <w:vAlign w:val="center"/>
          </w:tcPr>
          <w:p>
            <w:pPr>
              <w:ind w:firstLine="120"/>
              <w:jc w:val="center"/>
              <w:rPr>
                <w:b/>
                <w:sz w:val="24"/>
              </w:rPr>
            </w:pPr>
            <w:r>
              <w:rPr>
                <w:rFonts w:hint="eastAsia"/>
                <w:b/>
                <w:sz w:val="24"/>
              </w:rPr>
              <w:t>/</w:t>
            </w:r>
          </w:p>
        </w:tc>
        <w:tc>
          <w:tcPr>
            <w:tcW w:w="2594" w:type="dxa"/>
            <w:shd w:val="clear" w:color="auto" w:fill="auto"/>
            <w:vAlign w:val="center"/>
          </w:tcPr>
          <w:p>
            <w:pPr>
              <w:jc w:val="center"/>
              <w:rPr>
                <w:b/>
                <w:sz w:val="24"/>
                <w:lang w:val="fr-FR"/>
              </w:rPr>
            </w:pPr>
            <w:r>
              <w:rPr>
                <w:rFonts w:hint="eastAsia"/>
                <w:b/>
                <w:sz w:val="24"/>
                <w:lang w:val="fr-FR"/>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restart"/>
            <w:shd w:val="clear" w:color="auto" w:fill="auto"/>
            <w:vAlign w:val="center"/>
          </w:tcPr>
          <w:p>
            <w:pPr>
              <w:jc w:val="center"/>
              <w:rPr>
                <w:sz w:val="24"/>
              </w:rPr>
            </w:pPr>
            <w:r>
              <w:rPr>
                <w:sz w:val="24"/>
              </w:rPr>
              <w:t>固</w:t>
            </w:r>
          </w:p>
          <w:p>
            <w:pPr>
              <w:jc w:val="center"/>
              <w:rPr>
                <w:sz w:val="24"/>
              </w:rPr>
            </w:pPr>
            <w:r>
              <w:rPr>
                <w:sz w:val="24"/>
              </w:rPr>
              <w:t>体</w:t>
            </w:r>
          </w:p>
          <w:p>
            <w:pPr>
              <w:jc w:val="center"/>
              <w:rPr>
                <w:sz w:val="24"/>
              </w:rPr>
            </w:pPr>
            <w:r>
              <w:rPr>
                <w:sz w:val="24"/>
              </w:rPr>
              <w:t>废</w:t>
            </w:r>
          </w:p>
          <w:p>
            <w:pPr>
              <w:jc w:val="center"/>
              <w:rPr>
                <w:sz w:val="24"/>
              </w:rPr>
            </w:pPr>
            <w:r>
              <w:rPr>
                <w:sz w:val="24"/>
              </w:rPr>
              <w:t>物</w:t>
            </w:r>
          </w:p>
        </w:tc>
        <w:tc>
          <w:tcPr>
            <w:tcW w:w="1650" w:type="dxa"/>
            <w:shd w:val="clear" w:color="auto" w:fill="auto"/>
            <w:vAlign w:val="center"/>
          </w:tcPr>
          <w:p>
            <w:pPr>
              <w:jc w:val="center"/>
              <w:rPr>
                <w:sz w:val="24"/>
              </w:rPr>
            </w:pPr>
            <w:r>
              <w:rPr>
                <w:sz w:val="24"/>
              </w:rPr>
              <w:t>包装工序</w:t>
            </w:r>
          </w:p>
        </w:tc>
        <w:tc>
          <w:tcPr>
            <w:tcW w:w="1418" w:type="dxa"/>
            <w:shd w:val="clear" w:color="auto" w:fill="auto"/>
            <w:vAlign w:val="center"/>
          </w:tcPr>
          <w:p>
            <w:pPr>
              <w:snapToGrid w:val="0"/>
              <w:jc w:val="center"/>
              <w:textAlignment w:val="baseline"/>
              <w:rPr>
                <w:kern w:val="0"/>
                <w:sz w:val="24"/>
              </w:rPr>
            </w:pPr>
            <w:r>
              <w:rPr>
                <w:kern w:val="0"/>
                <w:sz w:val="24"/>
                <w:lang w:val="en-GB"/>
              </w:rPr>
              <w:t>废包装材料</w:t>
            </w:r>
          </w:p>
        </w:tc>
        <w:tc>
          <w:tcPr>
            <w:tcW w:w="2551" w:type="dxa"/>
            <w:shd w:val="clear" w:color="auto" w:fill="auto"/>
            <w:vAlign w:val="center"/>
          </w:tcPr>
          <w:p>
            <w:pPr>
              <w:pStyle w:val="126"/>
              <w:snapToGrid w:val="0"/>
              <w:rPr>
                <w:sz w:val="24"/>
                <w:highlight w:val="yellow"/>
              </w:rPr>
            </w:pPr>
            <w:r>
              <w:rPr>
                <w:rFonts w:hint="eastAsia"/>
                <w:sz w:val="24"/>
              </w:rPr>
              <w:t>0.2</w:t>
            </w:r>
            <w:r>
              <w:rPr>
                <w:sz w:val="24"/>
              </w:rPr>
              <w:t>t/a</w:t>
            </w:r>
          </w:p>
        </w:tc>
        <w:tc>
          <w:tcPr>
            <w:tcW w:w="2594" w:type="dxa"/>
            <w:shd w:val="clear" w:color="auto" w:fill="auto"/>
            <w:vAlign w:val="center"/>
          </w:tcPr>
          <w:p>
            <w:pPr>
              <w:jc w:val="center"/>
              <w:rPr>
                <w:sz w:val="24"/>
                <w:lang w:val="fr-FR"/>
              </w:rPr>
            </w:pPr>
            <w:r>
              <w:rPr>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continue"/>
            <w:shd w:val="clear" w:color="auto" w:fill="auto"/>
            <w:vAlign w:val="center"/>
          </w:tcPr>
          <w:p>
            <w:pPr>
              <w:jc w:val="center"/>
              <w:rPr>
                <w:sz w:val="24"/>
              </w:rPr>
            </w:pPr>
          </w:p>
        </w:tc>
        <w:tc>
          <w:tcPr>
            <w:tcW w:w="1650" w:type="dxa"/>
            <w:shd w:val="clear" w:color="auto" w:fill="auto"/>
            <w:vAlign w:val="center"/>
          </w:tcPr>
          <w:p>
            <w:pPr>
              <w:jc w:val="center"/>
              <w:rPr>
                <w:sz w:val="24"/>
              </w:rPr>
            </w:pPr>
            <w:r>
              <w:rPr>
                <w:sz w:val="24"/>
              </w:rPr>
              <w:t>冲压打孔</w:t>
            </w:r>
          </w:p>
        </w:tc>
        <w:tc>
          <w:tcPr>
            <w:tcW w:w="1418" w:type="dxa"/>
            <w:shd w:val="clear" w:color="auto" w:fill="auto"/>
            <w:vAlign w:val="center"/>
          </w:tcPr>
          <w:p>
            <w:pPr>
              <w:snapToGrid w:val="0"/>
              <w:jc w:val="center"/>
              <w:textAlignment w:val="baseline"/>
              <w:rPr>
                <w:kern w:val="0"/>
                <w:sz w:val="24"/>
              </w:rPr>
            </w:pPr>
            <w:r>
              <w:rPr>
                <w:kern w:val="0"/>
                <w:sz w:val="24"/>
              </w:rPr>
              <w:t>废边角料</w:t>
            </w:r>
          </w:p>
        </w:tc>
        <w:tc>
          <w:tcPr>
            <w:tcW w:w="2551" w:type="dxa"/>
            <w:shd w:val="clear" w:color="auto" w:fill="auto"/>
            <w:vAlign w:val="center"/>
          </w:tcPr>
          <w:p>
            <w:pPr>
              <w:pStyle w:val="126"/>
              <w:snapToGrid w:val="0"/>
              <w:rPr>
                <w:sz w:val="24"/>
              </w:rPr>
            </w:pPr>
            <w:r>
              <w:rPr>
                <w:rFonts w:hint="eastAsia"/>
                <w:sz w:val="24"/>
              </w:rPr>
              <w:t>1.5</w:t>
            </w:r>
            <w:r>
              <w:rPr>
                <w:sz w:val="24"/>
              </w:rPr>
              <w:t>t/a</w:t>
            </w:r>
          </w:p>
        </w:tc>
        <w:tc>
          <w:tcPr>
            <w:tcW w:w="2594" w:type="dxa"/>
            <w:shd w:val="clear" w:color="auto" w:fill="auto"/>
            <w:vAlign w:val="center"/>
          </w:tcPr>
          <w:p>
            <w:pPr>
              <w:jc w:val="center"/>
              <w:rPr>
                <w:sz w:val="24"/>
              </w:rPr>
            </w:pPr>
            <w:r>
              <w:rPr>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continue"/>
            <w:shd w:val="clear" w:color="auto" w:fill="auto"/>
            <w:vAlign w:val="center"/>
          </w:tcPr>
          <w:p>
            <w:pPr>
              <w:jc w:val="center"/>
              <w:rPr>
                <w:sz w:val="24"/>
              </w:rPr>
            </w:pPr>
          </w:p>
        </w:tc>
        <w:tc>
          <w:tcPr>
            <w:tcW w:w="1650" w:type="dxa"/>
            <w:shd w:val="clear" w:color="auto" w:fill="auto"/>
            <w:vAlign w:val="center"/>
          </w:tcPr>
          <w:p>
            <w:pPr>
              <w:jc w:val="center"/>
              <w:rPr>
                <w:sz w:val="24"/>
              </w:rPr>
            </w:pPr>
            <w:r>
              <w:rPr>
                <w:sz w:val="24"/>
              </w:rPr>
              <w:t>维修</w:t>
            </w:r>
          </w:p>
        </w:tc>
        <w:tc>
          <w:tcPr>
            <w:tcW w:w="1418" w:type="dxa"/>
            <w:shd w:val="clear" w:color="auto" w:fill="auto"/>
            <w:vAlign w:val="center"/>
          </w:tcPr>
          <w:p>
            <w:pPr>
              <w:snapToGrid w:val="0"/>
              <w:jc w:val="center"/>
              <w:textAlignment w:val="baseline"/>
              <w:rPr>
                <w:kern w:val="0"/>
                <w:sz w:val="24"/>
              </w:rPr>
            </w:pPr>
            <w:r>
              <w:rPr>
                <w:kern w:val="0"/>
                <w:sz w:val="24"/>
              </w:rPr>
              <w:t>废液压油</w:t>
            </w:r>
          </w:p>
        </w:tc>
        <w:tc>
          <w:tcPr>
            <w:tcW w:w="2551" w:type="dxa"/>
            <w:shd w:val="clear" w:color="auto" w:fill="auto"/>
            <w:vAlign w:val="center"/>
          </w:tcPr>
          <w:p>
            <w:pPr>
              <w:pStyle w:val="126"/>
              <w:snapToGrid w:val="0"/>
              <w:rPr>
                <w:sz w:val="24"/>
              </w:rPr>
            </w:pPr>
            <w:r>
              <w:rPr>
                <w:rFonts w:hint="eastAsia"/>
                <w:sz w:val="24"/>
              </w:rPr>
              <w:t>0.01t/a</w:t>
            </w:r>
          </w:p>
        </w:tc>
        <w:tc>
          <w:tcPr>
            <w:tcW w:w="2594" w:type="dxa"/>
            <w:shd w:val="clear" w:color="auto" w:fill="auto"/>
            <w:vAlign w:val="center"/>
          </w:tcPr>
          <w:p>
            <w:pPr>
              <w:jc w:val="center"/>
              <w:rPr>
                <w:sz w:val="24"/>
              </w:rPr>
            </w:pPr>
            <w:r>
              <w:rPr>
                <w:rFonts w:hint="eastAsia"/>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continue"/>
            <w:shd w:val="clear" w:color="auto" w:fill="auto"/>
            <w:vAlign w:val="center"/>
          </w:tcPr>
          <w:p>
            <w:pPr>
              <w:jc w:val="center"/>
              <w:rPr>
                <w:sz w:val="24"/>
              </w:rPr>
            </w:pPr>
          </w:p>
        </w:tc>
        <w:tc>
          <w:tcPr>
            <w:tcW w:w="1650" w:type="dxa"/>
            <w:vMerge w:val="restart"/>
            <w:shd w:val="clear" w:color="auto" w:fill="auto"/>
            <w:vAlign w:val="center"/>
          </w:tcPr>
          <w:p>
            <w:pPr>
              <w:spacing w:line="360" w:lineRule="exact"/>
              <w:jc w:val="center"/>
              <w:rPr>
                <w:sz w:val="24"/>
              </w:rPr>
            </w:pPr>
            <w:r>
              <w:rPr>
                <w:sz w:val="24"/>
              </w:rPr>
              <w:t>废气处理</w:t>
            </w:r>
          </w:p>
        </w:tc>
        <w:tc>
          <w:tcPr>
            <w:tcW w:w="1418" w:type="dxa"/>
            <w:shd w:val="clear" w:color="auto" w:fill="auto"/>
            <w:vAlign w:val="center"/>
          </w:tcPr>
          <w:p>
            <w:pPr>
              <w:snapToGrid w:val="0"/>
              <w:spacing w:before="60" w:line="276" w:lineRule="auto"/>
              <w:jc w:val="center"/>
              <w:textAlignment w:val="baseline"/>
              <w:rPr>
                <w:sz w:val="24"/>
              </w:rPr>
            </w:pPr>
            <w:r>
              <w:rPr>
                <w:sz w:val="24"/>
              </w:rPr>
              <w:t>废催化板</w:t>
            </w:r>
          </w:p>
        </w:tc>
        <w:tc>
          <w:tcPr>
            <w:tcW w:w="2551" w:type="dxa"/>
            <w:shd w:val="clear" w:color="auto" w:fill="auto"/>
            <w:vAlign w:val="center"/>
          </w:tcPr>
          <w:p>
            <w:pPr>
              <w:snapToGrid w:val="0"/>
              <w:spacing w:before="60" w:line="276" w:lineRule="auto"/>
              <w:jc w:val="center"/>
              <w:textAlignment w:val="baseline"/>
              <w:rPr>
                <w:kern w:val="0"/>
                <w:sz w:val="24"/>
              </w:rPr>
            </w:pPr>
            <w:r>
              <w:rPr>
                <w:kern w:val="0"/>
                <w:sz w:val="24"/>
              </w:rPr>
              <w:t>0.01</w:t>
            </w:r>
            <w:r>
              <w:rPr>
                <w:rFonts w:hint="eastAsia"/>
                <w:sz w:val="24"/>
              </w:rPr>
              <w:t>t/a</w:t>
            </w:r>
          </w:p>
        </w:tc>
        <w:tc>
          <w:tcPr>
            <w:tcW w:w="2594" w:type="dxa"/>
            <w:shd w:val="clear" w:color="auto" w:fill="auto"/>
            <w:vAlign w:val="center"/>
          </w:tcPr>
          <w:p>
            <w:pPr>
              <w:jc w:val="center"/>
              <w:rPr>
                <w:sz w:val="24"/>
              </w:rPr>
            </w:pPr>
            <w:r>
              <w:rPr>
                <w:rFonts w:hint="eastAsia"/>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continue"/>
            <w:shd w:val="clear" w:color="auto" w:fill="auto"/>
            <w:vAlign w:val="center"/>
          </w:tcPr>
          <w:p>
            <w:pPr>
              <w:jc w:val="center"/>
              <w:rPr>
                <w:sz w:val="24"/>
              </w:rPr>
            </w:pPr>
          </w:p>
        </w:tc>
        <w:tc>
          <w:tcPr>
            <w:tcW w:w="1650" w:type="dxa"/>
            <w:vMerge w:val="continue"/>
            <w:shd w:val="clear" w:color="auto" w:fill="auto"/>
            <w:vAlign w:val="center"/>
          </w:tcPr>
          <w:p>
            <w:pPr>
              <w:spacing w:line="360" w:lineRule="exact"/>
              <w:jc w:val="center"/>
              <w:rPr>
                <w:sz w:val="24"/>
              </w:rPr>
            </w:pPr>
          </w:p>
        </w:tc>
        <w:tc>
          <w:tcPr>
            <w:tcW w:w="1418" w:type="dxa"/>
            <w:shd w:val="clear" w:color="auto" w:fill="auto"/>
            <w:vAlign w:val="center"/>
          </w:tcPr>
          <w:p>
            <w:pPr>
              <w:jc w:val="center"/>
              <w:rPr>
                <w:sz w:val="24"/>
              </w:rPr>
            </w:pPr>
            <w:r>
              <w:rPr>
                <w:sz w:val="24"/>
              </w:rPr>
              <w:t>废活性炭</w:t>
            </w:r>
          </w:p>
        </w:tc>
        <w:tc>
          <w:tcPr>
            <w:tcW w:w="2551" w:type="dxa"/>
            <w:shd w:val="clear" w:color="auto" w:fill="auto"/>
            <w:vAlign w:val="center"/>
          </w:tcPr>
          <w:p>
            <w:pPr>
              <w:pStyle w:val="126"/>
              <w:snapToGrid w:val="0"/>
              <w:rPr>
                <w:sz w:val="24"/>
              </w:rPr>
            </w:pPr>
            <w:r>
              <w:rPr>
                <w:rFonts w:hint="eastAsia"/>
                <w:sz w:val="24"/>
              </w:rPr>
              <w:t>0.63</w:t>
            </w:r>
            <w:r>
              <w:rPr>
                <w:sz w:val="24"/>
              </w:rPr>
              <w:t>t/a</w:t>
            </w:r>
          </w:p>
        </w:tc>
        <w:tc>
          <w:tcPr>
            <w:tcW w:w="2594" w:type="dxa"/>
            <w:shd w:val="clear" w:color="auto" w:fill="auto"/>
            <w:vAlign w:val="center"/>
          </w:tcPr>
          <w:p>
            <w:pPr>
              <w:jc w:val="center"/>
              <w:rPr>
                <w:sz w:val="24"/>
              </w:rPr>
            </w:pPr>
            <w:r>
              <w:rPr>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vMerge w:val="continue"/>
            <w:shd w:val="clear" w:color="auto" w:fill="auto"/>
            <w:vAlign w:val="center"/>
          </w:tcPr>
          <w:p>
            <w:pPr>
              <w:jc w:val="center"/>
              <w:rPr>
                <w:sz w:val="24"/>
              </w:rPr>
            </w:pPr>
          </w:p>
        </w:tc>
        <w:tc>
          <w:tcPr>
            <w:tcW w:w="1650" w:type="dxa"/>
            <w:vMerge w:val="continue"/>
            <w:shd w:val="clear" w:color="auto" w:fill="auto"/>
            <w:vAlign w:val="center"/>
          </w:tcPr>
          <w:p>
            <w:pPr>
              <w:spacing w:line="360" w:lineRule="exact"/>
              <w:jc w:val="center"/>
              <w:rPr>
                <w:sz w:val="24"/>
              </w:rPr>
            </w:pPr>
          </w:p>
        </w:tc>
        <w:tc>
          <w:tcPr>
            <w:tcW w:w="1418" w:type="dxa"/>
            <w:shd w:val="clear" w:color="auto" w:fill="auto"/>
            <w:vAlign w:val="center"/>
          </w:tcPr>
          <w:p>
            <w:pPr>
              <w:jc w:val="center"/>
              <w:rPr>
                <w:sz w:val="24"/>
              </w:rPr>
            </w:pPr>
            <w:r>
              <w:rPr>
                <w:sz w:val="24"/>
              </w:rPr>
              <w:t>废紫外灯管</w:t>
            </w:r>
          </w:p>
        </w:tc>
        <w:tc>
          <w:tcPr>
            <w:tcW w:w="2551" w:type="dxa"/>
            <w:shd w:val="clear" w:color="auto" w:fill="auto"/>
            <w:vAlign w:val="center"/>
          </w:tcPr>
          <w:p>
            <w:pPr>
              <w:pStyle w:val="126"/>
              <w:snapToGrid w:val="0"/>
              <w:rPr>
                <w:sz w:val="24"/>
              </w:rPr>
            </w:pPr>
            <w:r>
              <w:rPr>
                <w:sz w:val="24"/>
              </w:rPr>
              <w:t>0.003t/a</w:t>
            </w:r>
          </w:p>
        </w:tc>
        <w:tc>
          <w:tcPr>
            <w:tcW w:w="2594" w:type="dxa"/>
            <w:shd w:val="clear" w:color="auto" w:fill="auto"/>
            <w:vAlign w:val="center"/>
          </w:tcPr>
          <w:p>
            <w:pPr>
              <w:jc w:val="center"/>
              <w:rPr>
                <w:sz w:val="24"/>
              </w:rPr>
            </w:pPr>
            <w:r>
              <w:rPr>
                <w:sz w:val="24"/>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shd w:val="clear" w:color="auto" w:fill="auto"/>
            <w:vAlign w:val="center"/>
          </w:tcPr>
          <w:p>
            <w:pPr>
              <w:spacing w:line="440" w:lineRule="exact"/>
              <w:jc w:val="center"/>
              <w:rPr>
                <w:sz w:val="24"/>
              </w:rPr>
            </w:pPr>
            <w:r>
              <w:rPr>
                <w:sz w:val="24"/>
              </w:rPr>
              <w:t>噪</w:t>
            </w:r>
          </w:p>
          <w:p>
            <w:pPr>
              <w:spacing w:line="440" w:lineRule="exact"/>
              <w:jc w:val="center"/>
              <w:rPr>
                <w:sz w:val="24"/>
              </w:rPr>
            </w:pPr>
            <w:r>
              <w:rPr>
                <w:sz w:val="24"/>
              </w:rPr>
              <w:t>声</w:t>
            </w:r>
          </w:p>
        </w:tc>
        <w:tc>
          <w:tcPr>
            <w:tcW w:w="8213" w:type="dxa"/>
            <w:gridSpan w:val="4"/>
            <w:shd w:val="clear" w:color="auto" w:fill="auto"/>
            <w:vAlign w:val="center"/>
          </w:tcPr>
          <w:p>
            <w:pPr>
              <w:spacing w:line="400" w:lineRule="exact"/>
              <w:ind w:firstLine="480"/>
              <w:rPr>
                <w:sz w:val="24"/>
              </w:rPr>
            </w:pPr>
            <w:r>
              <w:rPr>
                <w:sz w:val="24"/>
              </w:rPr>
              <w:t>本项目营运期噪声主要来源于</w:t>
            </w:r>
            <w:r>
              <w:rPr>
                <w:bCs/>
                <w:kern w:val="0"/>
                <w:sz w:val="24"/>
              </w:rPr>
              <w:t>冲床</w:t>
            </w:r>
            <w:r>
              <w:rPr>
                <w:rFonts w:hint="eastAsia"/>
                <w:bCs/>
                <w:kern w:val="0"/>
                <w:sz w:val="24"/>
              </w:rPr>
              <w:t>、</w:t>
            </w:r>
            <w:r>
              <w:rPr>
                <w:rFonts w:hint="eastAsia"/>
                <w:sz w:val="24"/>
              </w:rPr>
              <w:t>空压机</w:t>
            </w:r>
            <w:r>
              <w:rPr>
                <w:sz w:val="24"/>
              </w:rPr>
              <w:t>等设备，声源强度在7</w:t>
            </w:r>
            <w:r>
              <w:rPr>
                <w:rFonts w:hint="eastAsia"/>
                <w:sz w:val="24"/>
              </w:rPr>
              <w:t>5</w:t>
            </w:r>
            <w:r>
              <w:rPr>
                <w:sz w:val="24"/>
              </w:rPr>
              <w:t>~8</w:t>
            </w:r>
            <w:r>
              <w:rPr>
                <w:rFonts w:hint="eastAsia"/>
                <w:sz w:val="24"/>
              </w:rPr>
              <w:t>5</w:t>
            </w:r>
            <w:r>
              <w:rPr>
                <w:sz w:val="24"/>
              </w:rPr>
              <w:t>dB(A)之间，设备经基础减振、厂房隔声和距离衰减后，预测厂界噪声能达到《工业企业厂界环境噪声排放标准》（GB12348-2008）</w:t>
            </w:r>
            <w:r>
              <w:rPr>
                <w:rFonts w:hint="eastAsia"/>
                <w:sz w:val="24"/>
              </w:rPr>
              <w:t>2</w:t>
            </w:r>
            <w:r>
              <w:rPr>
                <w:sz w:val="24"/>
              </w:rPr>
              <w:t>类区昼间6</w:t>
            </w:r>
            <w:r>
              <w:rPr>
                <w:rFonts w:hint="eastAsia"/>
                <w:sz w:val="24"/>
              </w:rPr>
              <w:t>0</w:t>
            </w:r>
            <w:r>
              <w:rPr>
                <w:sz w:val="24"/>
              </w:rPr>
              <w:t>dB(A)、夜间5</w:t>
            </w:r>
            <w:r>
              <w:rPr>
                <w:rFonts w:hint="eastAsia"/>
                <w:sz w:val="24"/>
              </w:rPr>
              <w:t>0</w:t>
            </w:r>
            <w:r>
              <w:rPr>
                <w:sz w:val="24"/>
              </w:rPr>
              <w:t>dB(A)的标准要求。</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45" w:type="dxa"/>
            <w:shd w:val="clear" w:color="auto" w:fill="auto"/>
            <w:vAlign w:val="center"/>
          </w:tcPr>
          <w:p>
            <w:pPr>
              <w:jc w:val="center"/>
              <w:rPr>
                <w:sz w:val="24"/>
              </w:rPr>
            </w:pPr>
            <w:r>
              <w:rPr>
                <w:sz w:val="24"/>
              </w:rPr>
              <w:t>其</w:t>
            </w:r>
          </w:p>
          <w:p>
            <w:pPr>
              <w:jc w:val="center"/>
              <w:rPr>
                <w:sz w:val="24"/>
              </w:rPr>
            </w:pPr>
            <w:r>
              <w:rPr>
                <w:sz w:val="24"/>
              </w:rPr>
              <w:t>他</w:t>
            </w:r>
          </w:p>
        </w:tc>
        <w:tc>
          <w:tcPr>
            <w:tcW w:w="8213" w:type="dxa"/>
            <w:gridSpan w:val="4"/>
            <w:shd w:val="clear" w:color="auto" w:fill="auto"/>
            <w:vAlign w:val="center"/>
          </w:tcPr>
          <w:p>
            <w:pPr>
              <w:spacing w:line="440" w:lineRule="exact"/>
              <w:jc w:val="center"/>
              <w:rPr>
                <w:sz w:val="24"/>
              </w:rPr>
            </w:pPr>
          </w:p>
          <w:p>
            <w:pPr>
              <w:spacing w:line="440" w:lineRule="exact"/>
              <w:jc w:val="center"/>
              <w:rPr>
                <w:sz w:val="24"/>
              </w:rPr>
            </w:pPr>
            <w:r>
              <w:rPr>
                <w:sz w:val="24"/>
              </w:rPr>
              <w:t>/</w:t>
            </w:r>
          </w:p>
          <w:p>
            <w:pPr>
              <w:spacing w:line="440" w:lineRule="exact"/>
              <w:jc w:val="center"/>
              <w:rPr>
                <w:sz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158" w:type="dxa"/>
            <w:gridSpan w:val="5"/>
            <w:shd w:val="clear" w:color="auto" w:fill="auto"/>
            <w:vAlign w:val="center"/>
          </w:tcPr>
          <w:p>
            <w:pPr>
              <w:spacing w:line="420" w:lineRule="exact"/>
              <w:rPr>
                <w:b/>
                <w:sz w:val="24"/>
              </w:rPr>
            </w:pPr>
            <w:r>
              <w:rPr>
                <w:b/>
                <w:sz w:val="24"/>
              </w:rPr>
              <w:t>主要生态影响（不够时可附另页）：</w:t>
            </w:r>
          </w:p>
          <w:p>
            <w:pPr>
              <w:spacing w:line="420" w:lineRule="exact"/>
              <w:rPr>
                <w:b/>
                <w:sz w:val="24"/>
              </w:rPr>
            </w:pPr>
          </w:p>
          <w:p>
            <w:pPr>
              <w:spacing w:line="460" w:lineRule="exact"/>
              <w:ind w:firstLine="4080"/>
              <w:rPr>
                <w:bCs/>
                <w:sz w:val="24"/>
              </w:rPr>
            </w:pPr>
            <w:r>
              <w:rPr>
                <w:bCs/>
                <w:sz w:val="24"/>
              </w:rPr>
              <w:t>无</w:t>
            </w:r>
          </w:p>
          <w:p>
            <w:pPr>
              <w:spacing w:line="460" w:lineRule="exact"/>
              <w:rPr>
                <w:bCs/>
                <w:sz w:val="24"/>
              </w:rPr>
            </w:pPr>
          </w:p>
        </w:tc>
      </w:tr>
    </w:tbl>
    <w:p>
      <w:pPr>
        <w:spacing w:line="440" w:lineRule="exact"/>
        <w:jc w:val="left"/>
        <w:rPr>
          <w:b/>
          <w:sz w:val="28"/>
        </w:rPr>
      </w:pPr>
    </w:p>
    <w:p>
      <w:pPr>
        <w:spacing w:line="440" w:lineRule="exact"/>
        <w:jc w:val="left"/>
        <w:rPr>
          <w:b/>
          <w:sz w:val="28"/>
        </w:rPr>
      </w:pPr>
      <w:r>
        <w:rPr>
          <w:b/>
          <w:sz w:val="28"/>
        </w:rPr>
        <w:t>环境影响分析</w:t>
      </w:r>
    </w:p>
    <w:tbl>
      <w:tblPr>
        <w:tblStyle w:val="19"/>
        <w:tblW w:w="96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autofit"/>
        <w:tblCellMar>
          <w:top w:w="0" w:type="dxa"/>
          <w:left w:w="108" w:type="dxa"/>
          <w:bottom w:w="0" w:type="dxa"/>
          <w:right w:w="108" w:type="dxa"/>
        </w:tblCellMar>
      </w:tblPr>
      <w:tblGrid>
        <w:gridCol w:w="96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PrEx>
        <w:trPr>
          <w:trHeight w:val="922" w:hRule="atLeast"/>
          <w:jc w:val="center"/>
        </w:trPr>
        <w:tc>
          <w:tcPr>
            <w:tcW w:w="9638" w:type="dxa"/>
            <w:shd w:val="clear" w:color="auto" w:fill="auto"/>
          </w:tcPr>
          <w:p>
            <w:pPr>
              <w:spacing w:line="460" w:lineRule="exact"/>
              <w:jc w:val="left"/>
              <w:rPr>
                <w:b/>
                <w:sz w:val="24"/>
              </w:rPr>
            </w:pPr>
            <w:r>
              <w:rPr>
                <w:b/>
                <w:sz w:val="24"/>
              </w:rPr>
              <w:t>施工期环境影响简要分析：</w:t>
            </w:r>
          </w:p>
          <w:p>
            <w:pPr>
              <w:spacing w:beforeLines="100" w:afterLines="100" w:line="480" w:lineRule="exact"/>
              <w:ind w:firstLine="482"/>
              <w:jc w:val="left"/>
              <w:rPr>
                <w:sz w:val="24"/>
              </w:rPr>
            </w:pPr>
            <w:r>
              <w:rPr>
                <w:bCs/>
                <w:sz w:val="24"/>
              </w:rPr>
              <w:t>本项目利用现有厂房进行生产，故不对施工期进行环境影响分析</w:t>
            </w:r>
            <w:r>
              <w:rPr>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8060" w:hRule="atLeast"/>
          <w:jc w:val="center"/>
        </w:trPr>
        <w:tc>
          <w:tcPr>
            <w:tcW w:w="9638" w:type="dxa"/>
            <w:shd w:val="clear" w:color="auto" w:fill="auto"/>
          </w:tcPr>
          <w:p>
            <w:pPr>
              <w:spacing w:line="440" w:lineRule="exact"/>
              <w:jc w:val="left"/>
              <w:rPr>
                <w:b/>
                <w:sz w:val="24"/>
              </w:rPr>
            </w:pPr>
            <w:r>
              <w:rPr>
                <w:b/>
                <w:sz w:val="24"/>
              </w:rPr>
              <w:t>营运期环境影响分析：</w:t>
            </w:r>
          </w:p>
          <w:p>
            <w:pPr>
              <w:spacing w:line="480" w:lineRule="exact"/>
              <w:ind w:firstLine="470"/>
              <w:jc w:val="left"/>
              <w:rPr>
                <w:sz w:val="24"/>
              </w:rPr>
            </w:pPr>
            <w:r>
              <w:rPr>
                <w:sz w:val="24"/>
              </w:rPr>
              <w:t>项目营运期间，有废气、废水、固废和噪声产生。</w:t>
            </w:r>
          </w:p>
          <w:p>
            <w:pPr>
              <w:snapToGrid w:val="0"/>
              <w:spacing w:line="480" w:lineRule="exact"/>
              <w:ind w:firstLine="482"/>
              <w:textAlignment w:val="baseline"/>
              <w:rPr>
                <w:b/>
                <w:sz w:val="24"/>
              </w:rPr>
            </w:pPr>
            <w:r>
              <w:rPr>
                <w:b/>
                <w:sz w:val="24"/>
              </w:rPr>
              <w:t>一、废气</w:t>
            </w:r>
          </w:p>
          <w:p>
            <w:pPr>
              <w:spacing w:line="480" w:lineRule="exact"/>
              <w:ind w:firstLine="482"/>
              <w:rPr>
                <w:b/>
                <w:sz w:val="24"/>
              </w:rPr>
            </w:pPr>
            <w:r>
              <w:rPr>
                <w:b/>
                <w:sz w:val="24"/>
              </w:rPr>
              <w:t>1、有组织废气</w:t>
            </w:r>
          </w:p>
          <w:p>
            <w:pPr>
              <w:spacing w:line="480" w:lineRule="exact"/>
              <w:ind w:firstLine="480"/>
              <w:rPr>
                <w:sz w:val="24"/>
              </w:rPr>
            </w:pPr>
            <w:r>
              <w:rPr>
                <w:sz w:val="24"/>
              </w:rPr>
              <w:t>本工程废气主要为注塑工序产生的有机废气</w:t>
            </w:r>
            <w:r>
              <w:rPr>
                <w:rFonts w:hint="eastAsia"/>
                <w:sz w:val="24"/>
              </w:rPr>
              <w:t>。</w:t>
            </w:r>
          </w:p>
          <w:p>
            <w:pPr>
              <w:spacing w:line="480" w:lineRule="exact"/>
              <w:ind w:firstLine="480"/>
              <w:rPr>
                <w:b/>
                <w:sz w:val="24"/>
              </w:rPr>
            </w:pPr>
            <w:r>
              <w:rPr>
                <w:b/>
                <w:sz w:val="24"/>
              </w:rPr>
              <w:t>（1）废气产生情况</w:t>
            </w:r>
          </w:p>
          <w:p>
            <w:pPr>
              <w:spacing w:line="460" w:lineRule="exact"/>
              <w:ind w:firstLine="480" w:firstLineChars="200"/>
              <w:rPr>
                <w:sz w:val="24"/>
              </w:rPr>
            </w:pPr>
            <w:r>
              <w:rPr>
                <w:rFonts w:hint="eastAsia"/>
                <w:sz w:val="24"/>
              </w:rPr>
              <w:t>本工程原料为聚丙烯、尼龙66、PC等，加热熔融过程中会产生非甲烷总烃，根据企业提供的资料，注塑机加热温度控制在200℃，</w:t>
            </w:r>
            <w:r>
              <w:rPr>
                <w:sz w:val="24"/>
                <w:szCs w:val="32"/>
              </w:rPr>
              <w:t>聚丙烯热分解温度为</w:t>
            </w:r>
            <w:r>
              <w:rPr>
                <w:rFonts w:hint="eastAsia"/>
                <w:sz w:val="24"/>
                <w:szCs w:val="32"/>
              </w:rPr>
              <w:t>350-380</w:t>
            </w:r>
            <w:r>
              <w:rPr>
                <w:sz w:val="24"/>
                <w:szCs w:val="32"/>
              </w:rPr>
              <w:t>℃，</w:t>
            </w:r>
            <w:r>
              <w:rPr>
                <w:rFonts w:hint="eastAsia"/>
                <w:sz w:val="24"/>
                <w:szCs w:val="32"/>
              </w:rPr>
              <w:t>尼龙66</w:t>
            </w:r>
            <w:r>
              <w:rPr>
                <w:sz w:val="24"/>
                <w:szCs w:val="32"/>
              </w:rPr>
              <w:t>热分解温度大于</w:t>
            </w:r>
            <w:r>
              <w:rPr>
                <w:rFonts w:hint="eastAsia"/>
                <w:sz w:val="24"/>
                <w:szCs w:val="32"/>
              </w:rPr>
              <w:t>350</w:t>
            </w:r>
            <w:r>
              <w:rPr>
                <w:sz w:val="24"/>
                <w:szCs w:val="32"/>
              </w:rPr>
              <w:t>℃</w:t>
            </w:r>
            <w:r>
              <w:rPr>
                <w:rFonts w:hint="eastAsia"/>
                <w:sz w:val="24"/>
                <w:szCs w:val="32"/>
              </w:rPr>
              <w:t>，PC热分解温度大于270℃。本项目加热温度</w:t>
            </w:r>
            <w:r>
              <w:rPr>
                <w:rFonts w:hint="eastAsia"/>
                <w:sz w:val="24"/>
              </w:rPr>
              <w:t>达不到各原料的分解温度，理论上不会产生单体，仅有少量游离单体气体由于受到分子间的剪切挤压而释放。</w:t>
            </w:r>
          </w:p>
          <w:p>
            <w:pPr>
              <w:spacing w:line="480" w:lineRule="exact"/>
              <w:ind w:firstLine="472" w:firstLineChars="196"/>
              <w:rPr>
                <w:b/>
                <w:sz w:val="24"/>
                <w:u w:val="single"/>
              </w:rPr>
            </w:pPr>
            <w:r>
              <w:rPr>
                <w:b/>
                <w:sz w:val="24"/>
                <w:u w:val="single"/>
              </w:rPr>
              <w:t>根据《浙江省重点行业VOCs污染源排放量计算方法（2015.11）》中其他塑料制品制造工序，其中VOCs的排放系数为</w:t>
            </w:r>
            <w:r>
              <w:rPr>
                <w:rFonts w:hint="eastAsia"/>
                <w:b/>
                <w:sz w:val="24"/>
                <w:u w:val="single"/>
              </w:rPr>
              <w:t>2.368</w:t>
            </w:r>
            <w:r>
              <w:rPr>
                <w:b/>
                <w:sz w:val="24"/>
                <w:u w:val="single"/>
              </w:rPr>
              <w:t>kg/t原料。</w:t>
            </w:r>
            <w:r>
              <w:rPr>
                <w:rFonts w:hint="eastAsia"/>
                <w:b/>
                <w:sz w:val="24"/>
                <w:u w:val="single"/>
              </w:rPr>
              <w:t>本项目原料总用量为200t/a（其中聚丙烯130t/a，尼龙66 60t/a，PC 10t/a），故本项目的非甲烷总烃产生量为0.4736t/a。</w:t>
            </w:r>
          </w:p>
          <w:p>
            <w:pPr>
              <w:spacing w:line="480" w:lineRule="exact"/>
              <w:ind w:firstLine="480"/>
              <w:rPr>
                <w:b/>
                <w:sz w:val="24"/>
              </w:rPr>
            </w:pPr>
            <w:r>
              <w:rPr>
                <w:b/>
                <w:sz w:val="24"/>
              </w:rPr>
              <w:t>（2）废气风量确定</w:t>
            </w:r>
          </w:p>
          <w:p>
            <w:pPr>
              <w:spacing w:line="480" w:lineRule="exact"/>
              <w:ind w:firstLine="480"/>
              <w:rPr>
                <w:sz w:val="24"/>
              </w:rPr>
            </w:pPr>
            <w:r>
              <w:rPr>
                <w:rFonts w:hint="eastAsia"/>
                <w:sz w:val="24"/>
              </w:rPr>
              <w:t>根据</w:t>
            </w:r>
            <w:r>
              <w:rPr>
                <w:sz w:val="24"/>
              </w:rPr>
              <w:t>《河南省2019年工业企业无组织排放治理方案》中</w:t>
            </w:r>
            <w:r>
              <w:rPr>
                <w:rFonts w:hint="eastAsia"/>
                <w:sz w:val="24"/>
              </w:rPr>
              <w:t>“在生产过程中的产生VOC</w:t>
            </w:r>
            <w:r>
              <w:rPr>
                <w:rFonts w:hint="eastAsia"/>
                <w:sz w:val="24"/>
                <w:vertAlign w:val="subscript"/>
              </w:rPr>
              <w:t xml:space="preserve">S </w:t>
            </w:r>
            <w:r>
              <w:rPr>
                <w:rFonts w:hint="eastAsia"/>
                <w:sz w:val="24"/>
              </w:rPr>
              <w:t>的工序应在封闭的厂房内进行二次封闭，并安装集气设施和VOC</w:t>
            </w:r>
            <w:r>
              <w:rPr>
                <w:rFonts w:hint="eastAsia"/>
                <w:sz w:val="24"/>
                <w:vertAlign w:val="subscript"/>
              </w:rPr>
              <w:t>S</w:t>
            </w:r>
            <w:r>
              <w:rPr>
                <w:rFonts w:hint="eastAsia"/>
                <w:sz w:val="24"/>
              </w:rPr>
              <w:t xml:space="preserve"> 处理设施”的规定，评价要求对注塑机的注塑区域进行密闭，采用负压抽风使整个密闭区域保持微负压状态。</w:t>
            </w:r>
          </w:p>
          <w:p>
            <w:pPr>
              <w:spacing w:line="480" w:lineRule="exact"/>
              <w:ind w:firstLine="480"/>
              <w:rPr>
                <w:sz w:val="24"/>
              </w:rPr>
            </w:pPr>
            <w:r>
              <w:rPr>
                <w:rFonts w:hint="eastAsia"/>
                <w:sz w:val="24"/>
              </w:rPr>
              <w:t>根据设计参数，项目单个密闭区域体积为3m</w:t>
            </w:r>
            <w:r>
              <w:rPr>
                <w:rFonts w:hint="eastAsia"/>
                <w:sz w:val="24"/>
                <w:vertAlign w:val="superscript"/>
              </w:rPr>
              <w:t>3</w:t>
            </w:r>
            <w:r>
              <w:rPr>
                <w:rFonts w:hint="eastAsia"/>
                <w:sz w:val="24"/>
              </w:rPr>
              <w:t>（2</w:t>
            </w:r>
            <w:r>
              <w:rPr>
                <w:sz w:val="24"/>
              </w:rPr>
              <w:t>m×</w:t>
            </w:r>
            <w:r>
              <w:rPr>
                <w:rFonts w:hint="eastAsia"/>
                <w:sz w:val="24"/>
              </w:rPr>
              <w:t>1</w:t>
            </w:r>
            <w:r>
              <w:rPr>
                <w:sz w:val="24"/>
              </w:rPr>
              <w:t>m×</w:t>
            </w:r>
            <w:r>
              <w:rPr>
                <w:rFonts w:hint="eastAsia"/>
                <w:sz w:val="24"/>
              </w:rPr>
              <w:t>1.5m），本次工程共新建20台注塑机，故需设置20个密闭区域，密闭区域总体积为60m</w:t>
            </w:r>
            <w:r>
              <w:rPr>
                <w:rFonts w:hint="eastAsia"/>
                <w:sz w:val="24"/>
                <w:vertAlign w:val="superscript"/>
              </w:rPr>
              <w:t>3</w:t>
            </w:r>
            <w:r>
              <w:rPr>
                <w:rFonts w:hint="eastAsia"/>
                <w:sz w:val="24"/>
              </w:rPr>
              <w:t>。换气次数一般为25~60次/h，本次评价取60次/h，则项目密闭区域总风机风量为3600m</w:t>
            </w:r>
            <w:r>
              <w:rPr>
                <w:rFonts w:hint="eastAsia"/>
                <w:sz w:val="24"/>
                <w:vertAlign w:val="superscript"/>
              </w:rPr>
              <w:t>3</w:t>
            </w:r>
            <w:r>
              <w:rPr>
                <w:rFonts w:hint="eastAsia"/>
                <w:sz w:val="24"/>
              </w:rPr>
              <w:t>/h，设计风量以4000m</w:t>
            </w:r>
            <w:r>
              <w:rPr>
                <w:rFonts w:hint="eastAsia"/>
                <w:sz w:val="24"/>
                <w:vertAlign w:val="superscript"/>
              </w:rPr>
              <w:t>3</w:t>
            </w:r>
            <w:r>
              <w:rPr>
                <w:rFonts w:hint="eastAsia"/>
                <w:sz w:val="24"/>
              </w:rPr>
              <w:t>/h计。注塑机每天运行时间为14</w:t>
            </w:r>
            <w:r>
              <w:rPr>
                <w:sz w:val="24"/>
              </w:rPr>
              <w:t>h/d（</w:t>
            </w:r>
            <w:r>
              <w:rPr>
                <w:rFonts w:hint="eastAsia"/>
                <w:sz w:val="24"/>
              </w:rPr>
              <w:t>4200</w:t>
            </w:r>
            <w:r>
              <w:rPr>
                <w:sz w:val="24"/>
              </w:rPr>
              <w:t>h/a）</w:t>
            </w:r>
            <w:r>
              <w:rPr>
                <w:rFonts w:hint="eastAsia"/>
                <w:sz w:val="24"/>
              </w:rPr>
              <w:t>，</w:t>
            </w:r>
            <w:r>
              <w:rPr>
                <w:sz w:val="24"/>
              </w:rPr>
              <w:t>其他时间需要进行停机检修和维护模具。</w:t>
            </w:r>
          </w:p>
          <w:p>
            <w:pPr>
              <w:spacing w:line="480" w:lineRule="exact"/>
              <w:ind w:firstLine="480"/>
              <w:rPr>
                <w:b/>
                <w:sz w:val="24"/>
              </w:rPr>
            </w:pPr>
            <w:r>
              <w:rPr>
                <w:b/>
                <w:sz w:val="24"/>
              </w:rPr>
              <w:t>（3）废气治理</w:t>
            </w:r>
            <w:r>
              <w:rPr>
                <w:rFonts w:hint="eastAsia"/>
                <w:b/>
                <w:sz w:val="24"/>
              </w:rPr>
              <w:t>措施</w:t>
            </w:r>
          </w:p>
          <w:p>
            <w:pPr>
              <w:spacing w:line="480" w:lineRule="exact"/>
              <w:ind w:firstLine="480"/>
              <w:rPr>
                <w:b/>
                <w:sz w:val="24"/>
                <w:u w:val="single"/>
              </w:rPr>
            </w:pPr>
            <w:r>
              <w:rPr>
                <w:sz w:val="24"/>
              </w:rPr>
              <w:t>根据《河南省2019年挥发性有机物治理方案》相关要求：低浓度有机废气或恶臭气体采用低温等离子体技术、UV 光催化氧化技术、活性炭吸附技术等两种或两种以上组合工艺。</w:t>
            </w:r>
            <w:r>
              <w:rPr>
                <w:b/>
                <w:sz w:val="24"/>
                <w:u w:val="single"/>
              </w:rPr>
              <w:t>本次评价提出：将</w:t>
            </w:r>
            <w:r>
              <w:rPr>
                <w:rFonts w:hint="eastAsia"/>
                <w:b/>
                <w:sz w:val="24"/>
                <w:u w:val="single"/>
              </w:rPr>
              <w:t>注塑区域密闭，废气经负压收集装置收集，使整个操作间保持微负压状态，收集的注塑废气</w:t>
            </w:r>
            <w:r>
              <w:rPr>
                <w:b/>
                <w:sz w:val="24"/>
                <w:u w:val="single"/>
              </w:rPr>
              <w:t>经</w:t>
            </w:r>
            <w:r>
              <w:rPr>
                <w:rFonts w:hint="eastAsia"/>
                <w:b/>
                <w:sz w:val="24"/>
                <w:u w:val="single"/>
              </w:rPr>
              <w:t>“</w:t>
            </w:r>
            <w:r>
              <w:rPr>
                <w:b/>
                <w:sz w:val="24"/>
                <w:u w:val="single"/>
              </w:rPr>
              <w:t>UV光催化氧化装置</w:t>
            </w:r>
            <w:r>
              <w:rPr>
                <w:rFonts w:hint="eastAsia"/>
                <w:b/>
                <w:sz w:val="24"/>
                <w:u w:val="single"/>
              </w:rPr>
              <w:t>（处理效率50%）</w:t>
            </w:r>
            <w:r>
              <w:rPr>
                <w:b/>
                <w:sz w:val="24"/>
                <w:u w:val="single"/>
              </w:rPr>
              <w:t>+活性炭吸附装置</w:t>
            </w:r>
            <w:r>
              <w:rPr>
                <w:rFonts w:hint="eastAsia"/>
                <w:b/>
                <w:sz w:val="24"/>
                <w:u w:val="single"/>
              </w:rPr>
              <w:t>（处理效率80%）”处理后，尾气</w:t>
            </w:r>
            <w:r>
              <w:rPr>
                <w:b/>
                <w:sz w:val="24"/>
                <w:u w:val="single"/>
              </w:rPr>
              <w:t>经15m高排气筒排放</w:t>
            </w:r>
            <w:r>
              <w:rPr>
                <w:rFonts w:hint="eastAsia"/>
                <w:b/>
                <w:sz w:val="24"/>
                <w:u w:val="single"/>
              </w:rPr>
              <w:t>。收集效率以100%计。该治理措施的总治理效率为90%。</w:t>
            </w:r>
          </w:p>
          <w:p>
            <w:pPr>
              <w:spacing w:line="480" w:lineRule="exact"/>
              <w:ind w:firstLine="480"/>
              <w:rPr>
                <w:b/>
                <w:sz w:val="24"/>
              </w:rPr>
            </w:pPr>
            <w:r>
              <w:rPr>
                <w:rFonts w:hint="eastAsia"/>
                <w:b/>
                <w:sz w:val="24"/>
              </w:rPr>
              <w:t>（4）排放情况</w:t>
            </w:r>
          </w:p>
          <w:p>
            <w:pPr>
              <w:spacing w:line="460" w:lineRule="exact"/>
              <w:ind w:firstLine="482"/>
              <w:rPr>
                <w:sz w:val="24"/>
              </w:rPr>
            </w:pPr>
            <w:r>
              <w:rPr>
                <w:rFonts w:hint="eastAsia"/>
                <w:sz w:val="24"/>
              </w:rPr>
              <w:t>现有工程经过以新带老后，废气经过一套</w:t>
            </w:r>
            <w:r>
              <w:rPr>
                <w:sz w:val="24"/>
              </w:rPr>
              <w:t>UV光催化氧化装置+活性炭吸附装置</w:t>
            </w:r>
            <w:r>
              <w:rPr>
                <w:rFonts w:hint="eastAsia"/>
                <w:sz w:val="24"/>
              </w:rPr>
              <w:t>处理，本次工程废气经过一套新建的</w:t>
            </w:r>
            <w:r>
              <w:rPr>
                <w:sz w:val="24"/>
              </w:rPr>
              <w:t>UV光催化氧化装置+活性炭吸附装置</w:t>
            </w:r>
            <w:r>
              <w:rPr>
                <w:rFonts w:hint="eastAsia"/>
                <w:sz w:val="24"/>
              </w:rPr>
              <w:t>处理，尾气与现有工程废气一同</w:t>
            </w:r>
            <w:r>
              <w:rPr>
                <w:sz w:val="24"/>
              </w:rPr>
              <w:t>经15m高排气筒排放</w:t>
            </w:r>
            <w:r>
              <w:rPr>
                <w:rFonts w:hint="eastAsia"/>
                <w:sz w:val="24"/>
              </w:rPr>
              <w:t>。</w:t>
            </w:r>
            <w:r>
              <w:rPr>
                <w:sz w:val="24"/>
              </w:rPr>
              <w:t>项目污染物非甲烷总烃产生及排放情况如下：</w:t>
            </w:r>
          </w:p>
          <w:p>
            <w:pPr>
              <w:spacing w:line="460" w:lineRule="exact"/>
              <w:ind w:firstLine="482" w:firstLineChars="200"/>
              <w:jc w:val="left"/>
              <w:rPr>
                <w:rFonts w:eastAsia="黑体"/>
                <w:b/>
                <w:sz w:val="24"/>
                <w:u w:val="single"/>
              </w:rPr>
            </w:pPr>
            <w:r>
              <w:rPr>
                <w:rFonts w:eastAsia="黑体"/>
                <w:b/>
                <w:sz w:val="24"/>
                <w:u w:val="single"/>
              </w:rPr>
              <w:t>表</w:t>
            </w:r>
            <w:r>
              <w:rPr>
                <w:rFonts w:hint="eastAsia" w:eastAsia="黑体"/>
                <w:b/>
                <w:sz w:val="24"/>
                <w:u w:val="single"/>
              </w:rPr>
              <w:t>27                            本项目</w:t>
            </w:r>
            <w:r>
              <w:rPr>
                <w:rFonts w:eastAsia="黑体"/>
                <w:b/>
                <w:sz w:val="24"/>
                <w:u w:val="single"/>
              </w:rPr>
              <w:t>非甲烷总烃产生及排放情况</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10"/>
              <w:gridCol w:w="855"/>
              <w:gridCol w:w="988"/>
              <w:gridCol w:w="1131"/>
              <w:gridCol w:w="852"/>
              <w:gridCol w:w="838"/>
              <w:gridCol w:w="1043"/>
              <w:gridCol w:w="1111"/>
              <w:gridCol w:w="129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vMerge w:val="restart"/>
                  <w:shd w:val="clear" w:color="auto" w:fill="auto"/>
                  <w:vAlign w:val="center"/>
                </w:tcPr>
                <w:p>
                  <w:pPr>
                    <w:jc w:val="center"/>
                    <w:rPr>
                      <w:b/>
                      <w:szCs w:val="21"/>
                      <w:u w:val="single"/>
                      <w:lang w:val="pt-BR"/>
                    </w:rPr>
                  </w:pPr>
                  <w:r>
                    <w:rPr>
                      <w:rFonts w:hint="eastAsia"/>
                      <w:b/>
                      <w:szCs w:val="21"/>
                      <w:u w:val="single"/>
                      <w:lang w:val="pt-BR"/>
                    </w:rPr>
                    <w:t>污染物</w:t>
                  </w:r>
                </w:p>
              </w:tc>
              <w:tc>
                <w:tcPr>
                  <w:tcW w:w="3826" w:type="dxa"/>
                  <w:gridSpan w:val="4"/>
                  <w:shd w:val="clear" w:color="auto" w:fill="auto"/>
                  <w:vAlign w:val="center"/>
                </w:tcPr>
                <w:p>
                  <w:pPr>
                    <w:jc w:val="center"/>
                    <w:rPr>
                      <w:b/>
                      <w:szCs w:val="21"/>
                      <w:u w:val="single"/>
                      <w:lang w:val="pt-BR"/>
                    </w:rPr>
                  </w:pPr>
                  <w:r>
                    <w:rPr>
                      <w:b/>
                      <w:szCs w:val="21"/>
                      <w:u w:val="single"/>
                    </w:rPr>
                    <w:t>产生情况</w:t>
                  </w:r>
                </w:p>
              </w:tc>
              <w:tc>
                <w:tcPr>
                  <w:tcW w:w="838" w:type="dxa"/>
                  <w:vMerge w:val="restart"/>
                  <w:shd w:val="clear" w:color="auto" w:fill="auto"/>
                  <w:vAlign w:val="center"/>
                </w:tcPr>
                <w:p>
                  <w:pPr>
                    <w:jc w:val="center"/>
                    <w:rPr>
                      <w:b/>
                      <w:szCs w:val="21"/>
                      <w:u w:val="single"/>
                      <w:lang w:val="pt-BR"/>
                    </w:rPr>
                  </w:pPr>
                  <w:r>
                    <w:rPr>
                      <w:b/>
                      <w:szCs w:val="21"/>
                      <w:u w:val="single"/>
                    </w:rPr>
                    <w:t>处理效率</w:t>
                  </w:r>
                </w:p>
              </w:tc>
              <w:tc>
                <w:tcPr>
                  <w:tcW w:w="3448" w:type="dxa"/>
                  <w:gridSpan w:val="3"/>
                  <w:shd w:val="clear" w:color="auto" w:fill="auto"/>
                  <w:vAlign w:val="center"/>
                </w:tcPr>
                <w:p>
                  <w:pPr>
                    <w:jc w:val="center"/>
                    <w:rPr>
                      <w:b/>
                      <w:szCs w:val="21"/>
                      <w:u w:val="single"/>
                      <w:lang w:val="pt-BR"/>
                    </w:rPr>
                  </w:pPr>
                  <w:r>
                    <w:rPr>
                      <w:b/>
                      <w:szCs w:val="21"/>
                      <w:u w:val="single"/>
                    </w:rPr>
                    <w:t>排放情况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vMerge w:val="continue"/>
                  <w:shd w:val="clear" w:color="auto" w:fill="auto"/>
                  <w:vAlign w:val="center"/>
                </w:tcPr>
                <w:p>
                  <w:pPr>
                    <w:widowControl/>
                    <w:jc w:val="left"/>
                    <w:rPr>
                      <w:b/>
                      <w:szCs w:val="21"/>
                      <w:u w:val="single"/>
                      <w:lang w:val="pt-BR"/>
                    </w:rPr>
                  </w:pPr>
                </w:p>
              </w:tc>
              <w:tc>
                <w:tcPr>
                  <w:tcW w:w="855" w:type="dxa"/>
                  <w:shd w:val="clear" w:color="auto" w:fill="auto"/>
                  <w:vAlign w:val="center"/>
                </w:tcPr>
                <w:p>
                  <w:pPr>
                    <w:jc w:val="center"/>
                    <w:rPr>
                      <w:b/>
                      <w:szCs w:val="21"/>
                      <w:u w:val="single"/>
                      <w:lang w:val="pt-BR"/>
                    </w:rPr>
                  </w:pPr>
                  <w:r>
                    <w:rPr>
                      <w:b/>
                      <w:szCs w:val="21"/>
                      <w:u w:val="single"/>
                      <w:lang w:val="pt-BR"/>
                    </w:rPr>
                    <w:t>产生量</w:t>
                  </w:r>
                  <w:r>
                    <w:rPr>
                      <w:rFonts w:hint="eastAsia"/>
                      <w:b/>
                      <w:szCs w:val="21"/>
                      <w:u w:val="single"/>
                      <w:lang w:val="pt-BR"/>
                    </w:rPr>
                    <w:t>(</w:t>
                  </w:r>
                  <w:r>
                    <w:rPr>
                      <w:b/>
                      <w:szCs w:val="21"/>
                      <w:u w:val="single"/>
                      <w:lang w:val="pt-BR"/>
                    </w:rPr>
                    <w:t>t/a</w:t>
                  </w:r>
                  <w:r>
                    <w:rPr>
                      <w:rFonts w:hint="eastAsia"/>
                      <w:b/>
                      <w:szCs w:val="21"/>
                      <w:u w:val="single"/>
                      <w:lang w:val="pt-BR"/>
                    </w:rPr>
                    <w:t>)</w:t>
                  </w:r>
                </w:p>
              </w:tc>
              <w:tc>
                <w:tcPr>
                  <w:tcW w:w="988" w:type="dxa"/>
                  <w:shd w:val="clear" w:color="auto" w:fill="auto"/>
                  <w:vAlign w:val="center"/>
                </w:tcPr>
                <w:p>
                  <w:pPr>
                    <w:jc w:val="center"/>
                    <w:rPr>
                      <w:b/>
                      <w:szCs w:val="21"/>
                      <w:u w:val="single"/>
                      <w:lang w:val="pt-BR"/>
                    </w:rPr>
                  </w:pPr>
                  <w:r>
                    <w:rPr>
                      <w:b/>
                      <w:szCs w:val="21"/>
                      <w:u w:val="single"/>
                    </w:rPr>
                    <w:t>产生速率</w:t>
                  </w:r>
                  <w:r>
                    <w:rPr>
                      <w:rFonts w:hint="eastAsia"/>
                      <w:b/>
                      <w:szCs w:val="21"/>
                      <w:u w:val="single"/>
                    </w:rPr>
                    <w:t>(</w:t>
                  </w:r>
                  <w:r>
                    <w:rPr>
                      <w:b/>
                      <w:szCs w:val="21"/>
                      <w:u w:val="single"/>
                    </w:rPr>
                    <w:t>kg/h</w:t>
                  </w:r>
                  <w:r>
                    <w:rPr>
                      <w:rFonts w:hint="eastAsia"/>
                      <w:b/>
                      <w:szCs w:val="21"/>
                      <w:u w:val="single"/>
                    </w:rPr>
                    <w:t>)</w:t>
                  </w:r>
                </w:p>
              </w:tc>
              <w:tc>
                <w:tcPr>
                  <w:tcW w:w="1131" w:type="dxa"/>
                  <w:shd w:val="clear" w:color="auto" w:fill="auto"/>
                  <w:vAlign w:val="center"/>
                </w:tcPr>
                <w:p>
                  <w:pPr>
                    <w:jc w:val="center"/>
                    <w:rPr>
                      <w:b/>
                      <w:szCs w:val="21"/>
                      <w:u w:val="single"/>
                      <w:lang w:val="pt-BR"/>
                    </w:rPr>
                  </w:pPr>
                  <w:r>
                    <w:rPr>
                      <w:rFonts w:hint="eastAsia"/>
                      <w:b/>
                      <w:szCs w:val="21"/>
                      <w:u w:val="single"/>
                    </w:rPr>
                    <w:t>产生</w:t>
                  </w:r>
                  <w:r>
                    <w:rPr>
                      <w:b/>
                      <w:szCs w:val="21"/>
                      <w:u w:val="single"/>
                    </w:rPr>
                    <w:t>浓度</w:t>
                  </w:r>
                  <w:r>
                    <w:rPr>
                      <w:rFonts w:hint="eastAsia"/>
                      <w:b/>
                      <w:szCs w:val="21"/>
                      <w:u w:val="single"/>
                    </w:rPr>
                    <w:t>(</w:t>
                  </w:r>
                  <w:r>
                    <w:rPr>
                      <w:b/>
                      <w:szCs w:val="21"/>
                      <w:u w:val="single"/>
                    </w:rPr>
                    <w:t>mg/m</w:t>
                  </w:r>
                  <w:r>
                    <w:rPr>
                      <w:b/>
                      <w:szCs w:val="21"/>
                      <w:u w:val="single"/>
                      <w:vertAlign w:val="superscript"/>
                    </w:rPr>
                    <w:t>3</w:t>
                  </w:r>
                  <w:r>
                    <w:rPr>
                      <w:rFonts w:hint="eastAsia"/>
                      <w:b/>
                      <w:szCs w:val="21"/>
                      <w:u w:val="single"/>
                    </w:rPr>
                    <w:t>)</w:t>
                  </w:r>
                </w:p>
              </w:tc>
              <w:tc>
                <w:tcPr>
                  <w:tcW w:w="852" w:type="dxa"/>
                  <w:shd w:val="clear" w:color="auto" w:fill="auto"/>
                  <w:vAlign w:val="center"/>
                </w:tcPr>
                <w:p>
                  <w:pPr>
                    <w:jc w:val="center"/>
                    <w:rPr>
                      <w:b/>
                      <w:szCs w:val="21"/>
                      <w:u w:val="single"/>
                      <w:lang w:val="pt-BR"/>
                    </w:rPr>
                  </w:pPr>
                  <w:r>
                    <w:rPr>
                      <w:b/>
                      <w:szCs w:val="21"/>
                      <w:u w:val="single"/>
                      <w:lang w:val="pt-BR"/>
                    </w:rPr>
                    <w:t>工作时间</w:t>
                  </w:r>
                  <w:r>
                    <w:rPr>
                      <w:rFonts w:hint="eastAsia"/>
                      <w:b/>
                      <w:szCs w:val="21"/>
                      <w:u w:val="single"/>
                      <w:lang w:val="pt-BR"/>
                    </w:rPr>
                    <w:t>(h)</w:t>
                  </w:r>
                </w:p>
              </w:tc>
              <w:tc>
                <w:tcPr>
                  <w:tcW w:w="838" w:type="dxa"/>
                  <w:vMerge w:val="continue"/>
                  <w:shd w:val="clear" w:color="auto" w:fill="auto"/>
                  <w:vAlign w:val="center"/>
                </w:tcPr>
                <w:p>
                  <w:pPr>
                    <w:widowControl/>
                    <w:jc w:val="left"/>
                    <w:rPr>
                      <w:b/>
                      <w:szCs w:val="21"/>
                      <w:u w:val="single"/>
                      <w:lang w:val="pt-BR"/>
                    </w:rPr>
                  </w:pPr>
                </w:p>
              </w:tc>
              <w:tc>
                <w:tcPr>
                  <w:tcW w:w="1043" w:type="dxa"/>
                  <w:shd w:val="clear" w:color="auto" w:fill="auto"/>
                  <w:vAlign w:val="center"/>
                </w:tcPr>
                <w:p>
                  <w:pPr>
                    <w:jc w:val="center"/>
                    <w:rPr>
                      <w:b/>
                      <w:szCs w:val="21"/>
                      <w:u w:val="single"/>
                    </w:rPr>
                  </w:pPr>
                  <w:r>
                    <w:rPr>
                      <w:b/>
                      <w:szCs w:val="21"/>
                      <w:u w:val="single"/>
                    </w:rPr>
                    <w:t>排放量</w:t>
                  </w:r>
                  <w:r>
                    <w:rPr>
                      <w:rFonts w:hint="eastAsia"/>
                      <w:b/>
                      <w:szCs w:val="21"/>
                      <w:u w:val="single"/>
                    </w:rPr>
                    <w:t>(</w:t>
                  </w:r>
                  <w:r>
                    <w:rPr>
                      <w:b/>
                      <w:szCs w:val="21"/>
                      <w:u w:val="single"/>
                    </w:rPr>
                    <w:t>t/a</w:t>
                  </w:r>
                  <w:r>
                    <w:rPr>
                      <w:rFonts w:hint="eastAsia"/>
                      <w:b/>
                      <w:szCs w:val="21"/>
                      <w:u w:val="single"/>
                    </w:rPr>
                    <w:t>)</w:t>
                  </w:r>
                </w:p>
              </w:tc>
              <w:tc>
                <w:tcPr>
                  <w:tcW w:w="1111" w:type="dxa"/>
                  <w:shd w:val="clear" w:color="auto" w:fill="auto"/>
                  <w:vAlign w:val="center"/>
                </w:tcPr>
                <w:p>
                  <w:pPr>
                    <w:jc w:val="center"/>
                    <w:rPr>
                      <w:b/>
                      <w:szCs w:val="21"/>
                      <w:u w:val="single"/>
                    </w:rPr>
                  </w:pPr>
                  <w:r>
                    <w:rPr>
                      <w:b/>
                      <w:szCs w:val="21"/>
                      <w:u w:val="single"/>
                    </w:rPr>
                    <w:t>排放速率</w:t>
                  </w:r>
                  <w:r>
                    <w:rPr>
                      <w:rFonts w:hint="eastAsia"/>
                      <w:b/>
                      <w:szCs w:val="21"/>
                      <w:u w:val="single"/>
                    </w:rPr>
                    <w:t>(</w:t>
                  </w:r>
                  <w:r>
                    <w:rPr>
                      <w:b/>
                      <w:szCs w:val="21"/>
                      <w:u w:val="single"/>
                    </w:rPr>
                    <w:t>kg/h</w:t>
                  </w:r>
                  <w:r>
                    <w:rPr>
                      <w:rFonts w:hint="eastAsia"/>
                      <w:b/>
                      <w:szCs w:val="21"/>
                      <w:u w:val="single"/>
                    </w:rPr>
                    <w:t>)</w:t>
                  </w:r>
                </w:p>
              </w:tc>
              <w:tc>
                <w:tcPr>
                  <w:tcW w:w="1294" w:type="dxa"/>
                  <w:shd w:val="clear" w:color="auto" w:fill="auto"/>
                  <w:vAlign w:val="center"/>
                </w:tcPr>
                <w:p>
                  <w:pPr>
                    <w:jc w:val="center"/>
                    <w:rPr>
                      <w:b/>
                      <w:szCs w:val="21"/>
                      <w:u w:val="single"/>
                    </w:rPr>
                  </w:pPr>
                  <w:r>
                    <w:rPr>
                      <w:b/>
                      <w:szCs w:val="21"/>
                      <w:u w:val="single"/>
                    </w:rPr>
                    <w:t>排放浓度</w:t>
                  </w:r>
                  <w:r>
                    <w:rPr>
                      <w:rFonts w:hint="eastAsia"/>
                      <w:b/>
                      <w:szCs w:val="21"/>
                      <w:u w:val="single"/>
                    </w:rPr>
                    <w:t>(</w:t>
                  </w:r>
                  <w:r>
                    <w:rPr>
                      <w:b/>
                      <w:szCs w:val="21"/>
                      <w:u w:val="single"/>
                    </w:rPr>
                    <w:t>mg/m</w:t>
                  </w:r>
                  <w:r>
                    <w:rPr>
                      <w:b/>
                      <w:szCs w:val="21"/>
                      <w:u w:val="single"/>
                      <w:vertAlign w:val="superscript"/>
                    </w:rPr>
                    <w:t>3</w:t>
                  </w:r>
                  <w:r>
                    <w:rPr>
                      <w:rFonts w:hint="eastAsia"/>
                      <w:b/>
                      <w:szCs w:val="21"/>
                      <w:u w:val="single"/>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1310" w:type="dxa"/>
                  <w:shd w:val="clear" w:color="auto" w:fill="auto"/>
                  <w:vAlign w:val="center"/>
                </w:tcPr>
                <w:p>
                  <w:pPr>
                    <w:ind w:firstLine="41"/>
                    <w:jc w:val="center"/>
                    <w:rPr>
                      <w:b/>
                      <w:szCs w:val="21"/>
                      <w:u w:val="single"/>
                      <w:lang w:val="pt-BR"/>
                    </w:rPr>
                  </w:pPr>
                  <w:r>
                    <w:rPr>
                      <w:b/>
                      <w:szCs w:val="21"/>
                      <w:u w:val="single"/>
                      <w:lang w:val="pt-BR"/>
                    </w:rPr>
                    <w:t>非甲烷总烃</w:t>
                  </w:r>
                </w:p>
              </w:tc>
              <w:tc>
                <w:tcPr>
                  <w:tcW w:w="855" w:type="dxa"/>
                  <w:shd w:val="clear" w:color="auto" w:fill="auto"/>
                  <w:vAlign w:val="center"/>
                </w:tcPr>
                <w:p>
                  <w:pPr>
                    <w:ind w:firstLine="36"/>
                    <w:jc w:val="center"/>
                    <w:rPr>
                      <w:b/>
                      <w:szCs w:val="21"/>
                      <w:u w:val="single"/>
                    </w:rPr>
                  </w:pPr>
                  <w:r>
                    <w:rPr>
                      <w:rFonts w:hint="eastAsia"/>
                      <w:b/>
                      <w:szCs w:val="21"/>
                      <w:u w:val="single"/>
                    </w:rPr>
                    <w:t>0.4736</w:t>
                  </w:r>
                </w:p>
              </w:tc>
              <w:tc>
                <w:tcPr>
                  <w:tcW w:w="988" w:type="dxa"/>
                  <w:shd w:val="clear" w:color="auto" w:fill="auto"/>
                  <w:vAlign w:val="center"/>
                </w:tcPr>
                <w:p>
                  <w:pPr>
                    <w:ind w:firstLine="36"/>
                    <w:jc w:val="center"/>
                    <w:rPr>
                      <w:b/>
                      <w:szCs w:val="21"/>
                      <w:u w:val="single"/>
                      <w:lang w:val="pt-BR"/>
                    </w:rPr>
                  </w:pPr>
                  <w:r>
                    <w:rPr>
                      <w:rFonts w:hint="eastAsia"/>
                      <w:b/>
                      <w:szCs w:val="21"/>
                      <w:u w:val="single"/>
                      <w:lang w:val="pt-BR"/>
                    </w:rPr>
                    <w:t>0.113</w:t>
                  </w:r>
                </w:p>
              </w:tc>
              <w:tc>
                <w:tcPr>
                  <w:tcW w:w="1131" w:type="dxa"/>
                  <w:shd w:val="clear" w:color="auto" w:fill="auto"/>
                  <w:vAlign w:val="center"/>
                </w:tcPr>
                <w:p>
                  <w:pPr>
                    <w:jc w:val="center"/>
                    <w:rPr>
                      <w:b/>
                      <w:szCs w:val="21"/>
                      <w:u w:val="single"/>
                      <w:lang w:val="pt-BR"/>
                    </w:rPr>
                  </w:pPr>
                  <w:r>
                    <w:rPr>
                      <w:rFonts w:hint="eastAsia"/>
                      <w:b/>
                      <w:szCs w:val="21"/>
                      <w:u w:val="single"/>
                      <w:lang w:val="pt-BR"/>
                    </w:rPr>
                    <w:t>28.2</w:t>
                  </w:r>
                </w:p>
              </w:tc>
              <w:tc>
                <w:tcPr>
                  <w:tcW w:w="852" w:type="dxa"/>
                  <w:shd w:val="clear" w:color="auto" w:fill="auto"/>
                  <w:vAlign w:val="center"/>
                </w:tcPr>
                <w:p>
                  <w:pPr>
                    <w:ind w:firstLine="36"/>
                    <w:jc w:val="center"/>
                    <w:rPr>
                      <w:b/>
                      <w:szCs w:val="21"/>
                      <w:u w:val="single"/>
                      <w:lang w:val="pt-BR"/>
                    </w:rPr>
                  </w:pPr>
                  <w:r>
                    <w:rPr>
                      <w:rFonts w:hint="eastAsia"/>
                      <w:b/>
                      <w:szCs w:val="21"/>
                      <w:u w:val="single"/>
                      <w:lang w:val="pt-BR"/>
                    </w:rPr>
                    <w:t>4200</w:t>
                  </w:r>
                </w:p>
              </w:tc>
              <w:tc>
                <w:tcPr>
                  <w:tcW w:w="838" w:type="dxa"/>
                  <w:shd w:val="clear" w:color="auto" w:fill="auto"/>
                  <w:vAlign w:val="center"/>
                </w:tcPr>
                <w:p>
                  <w:pPr>
                    <w:ind w:firstLine="36"/>
                    <w:jc w:val="center"/>
                    <w:rPr>
                      <w:b/>
                      <w:szCs w:val="21"/>
                      <w:u w:val="single"/>
                    </w:rPr>
                  </w:pPr>
                  <w:r>
                    <w:rPr>
                      <w:rFonts w:hint="eastAsia"/>
                      <w:b/>
                      <w:szCs w:val="21"/>
                      <w:u w:val="single"/>
                    </w:rPr>
                    <w:t>90%</w:t>
                  </w:r>
                </w:p>
              </w:tc>
              <w:tc>
                <w:tcPr>
                  <w:tcW w:w="1043" w:type="dxa"/>
                  <w:shd w:val="clear" w:color="auto" w:fill="auto"/>
                  <w:vAlign w:val="center"/>
                </w:tcPr>
                <w:p>
                  <w:pPr>
                    <w:ind w:firstLine="36"/>
                    <w:jc w:val="center"/>
                    <w:rPr>
                      <w:b/>
                      <w:szCs w:val="21"/>
                      <w:u w:val="single"/>
                    </w:rPr>
                  </w:pPr>
                  <w:r>
                    <w:rPr>
                      <w:rFonts w:hint="eastAsia"/>
                      <w:b/>
                      <w:szCs w:val="21"/>
                      <w:u w:val="single"/>
                    </w:rPr>
                    <w:t>0.0474</w:t>
                  </w:r>
                </w:p>
              </w:tc>
              <w:tc>
                <w:tcPr>
                  <w:tcW w:w="1111" w:type="dxa"/>
                  <w:shd w:val="clear" w:color="auto" w:fill="auto"/>
                  <w:vAlign w:val="center"/>
                </w:tcPr>
                <w:p>
                  <w:pPr>
                    <w:jc w:val="center"/>
                    <w:rPr>
                      <w:b/>
                      <w:szCs w:val="22"/>
                      <w:u w:val="single"/>
                    </w:rPr>
                  </w:pPr>
                  <w:r>
                    <w:rPr>
                      <w:rFonts w:hint="eastAsia"/>
                      <w:b/>
                      <w:szCs w:val="22"/>
                      <w:u w:val="single"/>
                    </w:rPr>
                    <w:t>0.011</w:t>
                  </w:r>
                </w:p>
              </w:tc>
              <w:tc>
                <w:tcPr>
                  <w:tcW w:w="1294" w:type="dxa"/>
                  <w:shd w:val="clear" w:color="auto" w:fill="auto"/>
                  <w:vAlign w:val="center"/>
                </w:tcPr>
                <w:p>
                  <w:pPr>
                    <w:jc w:val="center"/>
                    <w:rPr>
                      <w:b/>
                      <w:szCs w:val="22"/>
                      <w:u w:val="single"/>
                    </w:rPr>
                  </w:pPr>
                  <w:r>
                    <w:rPr>
                      <w:rFonts w:hint="eastAsia"/>
                      <w:b/>
                      <w:szCs w:val="22"/>
                      <w:u w:val="single"/>
                    </w:rPr>
                    <w:t>2.8</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22" w:type="dxa"/>
                  <w:gridSpan w:val="9"/>
                  <w:shd w:val="clear" w:color="auto" w:fill="auto"/>
                  <w:vAlign w:val="center"/>
                </w:tcPr>
                <w:p>
                  <w:pPr>
                    <w:jc w:val="center"/>
                    <w:rPr>
                      <w:b/>
                      <w:szCs w:val="22"/>
                      <w:u w:val="single"/>
                    </w:rPr>
                  </w:pPr>
                  <w:r>
                    <w:rPr>
                      <w:rFonts w:hint="eastAsia"/>
                      <w:b/>
                      <w:szCs w:val="22"/>
                      <w:u w:val="single"/>
                    </w:rPr>
                    <w:t>设计风量为4000m</w:t>
                  </w:r>
                  <w:r>
                    <w:rPr>
                      <w:rFonts w:hint="eastAsia"/>
                      <w:b/>
                      <w:szCs w:val="22"/>
                      <w:u w:val="single"/>
                      <w:vertAlign w:val="superscript"/>
                    </w:rPr>
                    <w:t>3</w:t>
                  </w:r>
                  <w:r>
                    <w:rPr>
                      <w:rFonts w:hint="eastAsia"/>
                      <w:b/>
                      <w:szCs w:val="22"/>
                      <w:u w:val="single"/>
                    </w:rPr>
                    <w:t>/h</w:t>
                  </w:r>
                </w:p>
              </w:tc>
            </w:tr>
          </w:tbl>
          <w:p>
            <w:pPr>
              <w:spacing w:line="460" w:lineRule="exact"/>
              <w:ind w:firstLine="482" w:firstLineChars="200"/>
              <w:jc w:val="left"/>
              <w:rPr>
                <w:rFonts w:eastAsia="黑体"/>
                <w:b/>
                <w:sz w:val="24"/>
                <w:u w:val="single"/>
              </w:rPr>
            </w:pPr>
            <w:r>
              <w:rPr>
                <w:rFonts w:eastAsia="黑体"/>
                <w:b/>
                <w:sz w:val="24"/>
                <w:u w:val="single"/>
              </w:rPr>
              <w:t>表</w:t>
            </w:r>
            <w:r>
              <w:rPr>
                <w:rFonts w:hint="eastAsia" w:eastAsia="黑体"/>
                <w:b/>
                <w:sz w:val="24"/>
                <w:u w:val="single"/>
              </w:rPr>
              <w:t>28                               全厂</w:t>
            </w:r>
            <w:r>
              <w:rPr>
                <w:rFonts w:eastAsia="黑体"/>
                <w:b/>
                <w:sz w:val="24"/>
                <w:u w:val="single"/>
              </w:rPr>
              <w:t>非甲烷总烃产生及排放情况</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10"/>
              <w:gridCol w:w="855"/>
              <w:gridCol w:w="988"/>
              <w:gridCol w:w="1131"/>
              <w:gridCol w:w="852"/>
              <w:gridCol w:w="838"/>
              <w:gridCol w:w="1043"/>
              <w:gridCol w:w="1111"/>
              <w:gridCol w:w="129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vMerge w:val="restart"/>
                  <w:shd w:val="clear" w:color="auto" w:fill="auto"/>
                  <w:vAlign w:val="center"/>
                </w:tcPr>
                <w:p>
                  <w:pPr>
                    <w:jc w:val="center"/>
                    <w:rPr>
                      <w:b/>
                      <w:szCs w:val="21"/>
                      <w:u w:val="single"/>
                      <w:lang w:val="pt-BR"/>
                    </w:rPr>
                  </w:pPr>
                  <w:r>
                    <w:rPr>
                      <w:rFonts w:hint="eastAsia"/>
                      <w:b/>
                      <w:szCs w:val="21"/>
                      <w:u w:val="single"/>
                      <w:lang w:val="pt-BR"/>
                    </w:rPr>
                    <w:t>污染物</w:t>
                  </w:r>
                </w:p>
              </w:tc>
              <w:tc>
                <w:tcPr>
                  <w:tcW w:w="3826" w:type="dxa"/>
                  <w:gridSpan w:val="4"/>
                  <w:shd w:val="clear" w:color="auto" w:fill="auto"/>
                  <w:vAlign w:val="center"/>
                </w:tcPr>
                <w:p>
                  <w:pPr>
                    <w:jc w:val="center"/>
                    <w:rPr>
                      <w:b/>
                      <w:szCs w:val="21"/>
                      <w:u w:val="single"/>
                      <w:lang w:val="pt-BR"/>
                    </w:rPr>
                  </w:pPr>
                  <w:r>
                    <w:rPr>
                      <w:b/>
                      <w:szCs w:val="21"/>
                      <w:u w:val="single"/>
                    </w:rPr>
                    <w:t>产生情况</w:t>
                  </w:r>
                </w:p>
              </w:tc>
              <w:tc>
                <w:tcPr>
                  <w:tcW w:w="838" w:type="dxa"/>
                  <w:vMerge w:val="restart"/>
                  <w:shd w:val="clear" w:color="auto" w:fill="auto"/>
                  <w:vAlign w:val="center"/>
                </w:tcPr>
                <w:p>
                  <w:pPr>
                    <w:jc w:val="center"/>
                    <w:rPr>
                      <w:b/>
                      <w:szCs w:val="21"/>
                      <w:u w:val="single"/>
                      <w:lang w:val="pt-BR"/>
                    </w:rPr>
                  </w:pPr>
                  <w:r>
                    <w:rPr>
                      <w:b/>
                      <w:szCs w:val="21"/>
                      <w:u w:val="single"/>
                    </w:rPr>
                    <w:t>处理效率</w:t>
                  </w:r>
                </w:p>
              </w:tc>
              <w:tc>
                <w:tcPr>
                  <w:tcW w:w="3448" w:type="dxa"/>
                  <w:gridSpan w:val="3"/>
                  <w:shd w:val="clear" w:color="auto" w:fill="auto"/>
                  <w:vAlign w:val="center"/>
                </w:tcPr>
                <w:p>
                  <w:pPr>
                    <w:jc w:val="center"/>
                    <w:rPr>
                      <w:b/>
                      <w:szCs w:val="21"/>
                      <w:u w:val="single"/>
                      <w:lang w:val="pt-BR"/>
                    </w:rPr>
                  </w:pPr>
                  <w:r>
                    <w:rPr>
                      <w:b/>
                      <w:szCs w:val="21"/>
                      <w:u w:val="single"/>
                    </w:rPr>
                    <w:t>排放情况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vMerge w:val="continue"/>
                  <w:shd w:val="clear" w:color="auto" w:fill="auto"/>
                  <w:vAlign w:val="center"/>
                </w:tcPr>
                <w:p>
                  <w:pPr>
                    <w:widowControl/>
                    <w:jc w:val="left"/>
                    <w:rPr>
                      <w:b/>
                      <w:szCs w:val="21"/>
                      <w:u w:val="single"/>
                      <w:lang w:val="pt-BR"/>
                    </w:rPr>
                  </w:pPr>
                </w:p>
              </w:tc>
              <w:tc>
                <w:tcPr>
                  <w:tcW w:w="855" w:type="dxa"/>
                  <w:shd w:val="clear" w:color="auto" w:fill="auto"/>
                  <w:vAlign w:val="center"/>
                </w:tcPr>
                <w:p>
                  <w:pPr>
                    <w:jc w:val="center"/>
                    <w:rPr>
                      <w:b/>
                      <w:szCs w:val="21"/>
                      <w:u w:val="single"/>
                      <w:lang w:val="pt-BR"/>
                    </w:rPr>
                  </w:pPr>
                  <w:r>
                    <w:rPr>
                      <w:b/>
                      <w:szCs w:val="21"/>
                      <w:u w:val="single"/>
                      <w:lang w:val="pt-BR"/>
                    </w:rPr>
                    <w:t>产生量</w:t>
                  </w:r>
                  <w:r>
                    <w:rPr>
                      <w:rFonts w:hint="eastAsia"/>
                      <w:b/>
                      <w:szCs w:val="21"/>
                      <w:u w:val="single"/>
                      <w:lang w:val="pt-BR"/>
                    </w:rPr>
                    <w:t>(</w:t>
                  </w:r>
                  <w:r>
                    <w:rPr>
                      <w:b/>
                      <w:szCs w:val="21"/>
                      <w:u w:val="single"/>
                      <w:lang w:val="pt-BR"/>
                    </w:rPr>
                    <w:t>t/a</w:t>
                  </w:r>
                  <w:r>
                    <w:rPr>
                      <w:rFonts w:hint="eastAsia"/>
                      <w:b/>
                      <w:szCs w:val="21"/>
                      <w:u w:val="single"/>
                      <w:lang w:val="pt-BR"/>
                    </w:rPr>
                    <w:t>)</w:t>
                  </w:r>
                </w:p>
              </w:tc>
              <w:tc>
                <w:tcPr>
                  <w:tcW w:w="988" w:type="dxa"/>
                  <w:shd w:val="clear" w:color="auto" w:fill="auto"/>
                  <w:vAlign w:val="center"/>
                </w:tcPr>
                <w:p>
                  <w:pPr>
                    <w:jc w:val="center"/>
                    <w:rPr>
                      <w:b/>
                      <w:szCs w:val="21"/>
                      <w:u w:val="single"/>
                      <w:lang w:val="pt-BR"/>
                    </w:rPr>
                  </w:pPr>
                  <w:r>
                    <w:rPr>
                      <w:b/>
                      <w:szCs w:val="21"/>
                      <w:u w:val="single"/>
                    </w:rPr>
                    <w:t>产生速率</w:t>
                  </w:r>
                  <w:r>
                    <w:rPr>
                      <w:rFonts w:hint="eastAsia"/>
                      <w:b/>
                      <w:szCs w:val="21"/>
                      <w:u w:val="single"/>
                    </w:rPr>
                    <w:t>(</w:t>
                  </w:r>
                  <w:r>
                    <w:rPr>
                      <w:b/>
                      <w:szCs w:val="21"/>
                      <w:u w:val="single"/>
                    </w:rPr>
                    <w:t>kg/h</w:t>
                  </w:r>
                  <w:r>
                    <w:rPr>
                      <w:rFonts w:hint="eastAsia"/>
                      <w:b/>
                      <w:szCs w:val="21"/>
                      <w:u w:val="single"/>
                    </w:rPr>
                    <w:t>)</w:t>
                  </w:r>
                </w:p>
              </w:tc>
              <w:tc>
                <w:tcPr>
                  <w:tcW w:w="1131" w:type="dxa"/>
                  <w:shd w:val="clear" w:color="auto" w:fill="auto"/>
                  <w:vAlign w:val="center"/>
                </w:tcPr>
                <w:p>
                  <w:pPr>
                    <w:jc w:val="center"/>
                    <w:rPr>
                      <w:b/>
                      <w:szCs w:val="21"/>
                      <w:u w:val="single"/>
                      <w:lang w:val="pt-BR"/>
                    </w:rPr>
                  </w:pPr>
                  <w:r>
                    <w:rPr>
                      <w:rFonts w:hint="eastAsia"/>
                      <w:b/>
                      <w:szCs w:val="21"/>
                      <w:u w:val="single"/>
                    </w:rPr>
                    <w:t>产生</w:t>
                  </w:r>
                  <w:r>
                    <w:rPr>
                      <w:b/>
                      <w:szCs w:val="21"/>
                      <w:u w:val="single"/>
                    </w:rPr>
                    <w:t>浓度</w:t>
                  </w:r>
                  <w:r>
                    <w:rPr>
                      <w:rFonts w:hint="eastAsia"/>
                      <w:b/>
                      <w:szCs w:val="21"/>
                      <w:u w:val="single"/>
                    </w:rPr>
                    <w:t>(</w:t>
                  </w:r>
                  <w:r>
                    <w:rPr>
                      <w:b/>
                      <w:szCs w:val="21"/>
                      <w:u w:val="single"/>
                    </w:rPr>
                    <w:t>mg/m</w:t>
                  </w:r>
                  <w:r>
                    <w:rPr>
                      <w:b/>
                      <w:szCs w:val="21"/>
                      <w:u w:val="single"/>
                      <w:vertAlign w:val="superscript"/>
                    </w:rPr>
                    <w:t>3</w:t>
                  </w:r>
                  <w:r>
                    <w:rPr>
                      <w:rFonts w:hint="eastAsia"/>
                      <w:b/>
                      <w:szCs w:val="21"/>
                      <w:u w:val="single"/>
                    </w:rPr>
                    <w:t>)</w:t>
                  </w:r>
                </w:p>
              </w:tc>
              <w:tc>
                <w:tcPr>
                  <w:tcW w:w="852" w:type="dxa"/>
                  <w:shd w:val="clear" w:color="auto" w:fill="auto"/>
                  <w:vAlign w:val="center"/>
                </w:tcPr>
                <w:p>
                  <w:pPr>
                    <w:jc w:val="center"/>
                    <w:rPr>
                      <w:b/>
                      <w:szCs w:val="21"/>
                      <w:u w:val="single"/>
                      <w:lang w:val="pt-BR"/>
                    </w:rPr>
                  </w:pPr>
                  <w:r>
                    <w:rPr>
                      <w:b/>
                      <w:szCs w:val="21"/>
                      <w:u w:val="single"/>
                      <w:lang w:val="pt-BR"/>
                    </w:rPr>
                    <w:t>工作时间</w:t>
                  </w:r>
                  <w:r>
                    <w:rPr>
                      <w:rFonts w:hint="eastAsia"/>
                      <w:b/>
                      <w:szCs w:val="21"/>
                      <w:u w:val="single"/>
                      <w:lang w:val="pt-BR"/>
                    </w:rPr>
                    <w:t>(h)</w:t>
                  </w:r>
                </w:p>
              </w:tc>
              <w:tc>
                <w:tcPr>
                  <w:tcW w:w="838" w:type="dxa"/>
                  <w:vMerge w:val="continue"/>
                  <w:shd w:val="clear" w:color="auto" w:fill="auto"/>
                  <w:vAlign w:val="center"/>
                </w:tcPr>
                <w:p>
                  <w:pPr>
                    <w:widowControl/>
                    <w:jc w:val="left"/>
                    <w:rPr>
                      <w:b/>
                      <w:szCs w:val="21"/>
                      <w:u w:val="single"/>
                      <w:lang w:val="pt-BR"/>
                    </w:rPr>
                  </w:pPr>
                </w:p>
              </w:tc>
              <w:tc>
                <w:tcPr>
                  <w:tcW w:w="1043" w:type="dxa"/>
                  <w:shd w:val="clear" w:color="auto" w:fill="auto"/>
                  <w:vAlign w:val="center"/>
                </w:tcPr>
                <w:p>
                  <w:pPr>
                    <w:jc w:val="center"/>
                    <w:rPr>
                      <w:b/>
                      <w:szCs w:val="21"/>
                      <w:u w:val="single"/>
                    </w:rPr>
                  </w:pPr>
                  <w:r>
                    <w:rPr>
                      <w:b/>
                      <w:szCs w:val="21"/>
                      <w:u w:val="single"/>
                    </w:rPr>
                    <w:t>排放量</w:t>
                  </w:r>
                  <w:r>
                    <w:rPr>
                      <w:rFonts w:hint="eastAsia"/>
                      <w:b/>
                      <w:szCs w:val="21"/>
                      <w:u w:val="single"/>
                    </w:rPr>
                    <w:t>(</w:t>
                  </w:r>
                  <w:r>
                    <w:rPr>
                      <w:b/>
                      <w:szCs w:val="21"/>
                      <w:u w:val="single"/>
                    </w:rPr>
                    <w:t>t/a</w:t>
                  </w:r>
                  <w:r>
                    <w:rPr>
                      <w:rFonts w:hint="eastAsia"/>
                      <w:b/>
                      <w:szCs w:val="21"/>
                      <w:u w:val="single"/>
                    </w:rPr>
                    <w:t>)</w:t>
                  </w:r>
                </w:p>
              </w:tc>
              <w:tc>
                <w:tcPr>
                  <w:tcW w:w="1111" w:type="dxa"/>
                  <w:shd w:val="clear" w:color="auto" w:fill="auto"/>
                  <w:vAlign w:val="center"/>
                </w:tcPr>
                <w:p>
                  <w:pPr>
                    <w:jc w:val="center"/>
                    <w:rPr>
                      <w:b/>
                      <w:szCs w:val="21"/>
                      <w:u w:val="single"/>
                    </w:rPr>
                  </w:pPr>
                  <w:r>
                    <w:rPr>
                      <w:b/>
                      <w:szCs w:val="21"/>
                      <w:u w:val="single"/>
                    </w:rPr>
                    <w:t>排放速率</w:t>
                  </w:r>
                  <w:r>
                    <w:rPr>
                      <w:rFonts w:hint="eastAsia"/>
                      <w:b/>
                      <w:szCs w:val="21"/>
                      <w:u w:val="single"/>
                    </w:rPr>
                    <w:t>(</w:t>
                  </w:r>
                  <w:r>
                    <w:rPr>
                      <w:b/>
                      <w:szCs w:val="21"/>
                      <w:u w:val="single"/>
                    </w:rPr>
                    <w:t>kg/h</w:t>
                  </w:r>
                  <w:r>
                    <w:rPr>
                      <w:rFonts w:hint="eastAsia"/>
                      <w:b/>
                      <w:szCs w:val="21"/>
                      <w:u w:val="single"/>
                    </w:rPr>
                    <w:t>)</w:t>
                  </w:r>
                </w:p>
              </w:tc>
              <w:tc>
                <w:tcPr>
                  <w:tcW w:w="1294" w:type="dxa"/>
                  <w:shd w:val="clear" w:color="auto" w:fill="auto"/>
                  <w:vAlign w:val="center"/>
                </w:tcPr>
                <w:p>
                  <w:pPr>
                    <w:jc w:val="center"/>
                    <w:rPr>
                      <w:b/>
                      <w:szCs w:val="21"/>
                      <w:u w:val="single"/>
                    </w:rPr>
                  </w:pPr>
                  <w:r>
                    <w:rPr>
                      <w:b/>
                      <w:szCs w:val="21"/>
                      <w:u w:val="single"/>
                    </w:rPr>
                    <w:t>排放浓度</w:t>
                  </w:r>
                  <w:r>
                    <w:rPr>
                      <w:rFonts w:hint="eastAsia"/>
                      <w:b/>
                      <w:szCs w:val="21"/>
                      <w:u w:val="single"/>
                    </w:rPr>
                    <w:t>(</w:t>
                  </w:r>
                  <w:r>
                    <w:rPr>
                      <w:b/>
                      <w:szCs w:val="21"/>
                      <w:u w:val="single"/>
                    </w:rPr>
                    <w:t>mg/m</w:t>
                  </w:r>
                  <w:r>
                    <w:rPr>
                      <w:b/>
                      <w:szCs w:val="21"/>
                      <w:u w:val="single"/>
                      <w:vertAlign w:val="superscript"/>
                    </w:rPr>
                    <w:t>3</w:t>
                  </w:r>
                  <w:r>
                    <w:rPr>
                      <w:rFonts w:hint="eastAsia"/>
                      <w:b/>
                      <w:szCs w:val="21"/>
                      <w:u w:val="single"/>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shd w:val="clear" w:color="auto" w:fill="auto"/>
                  <w:vAlign w:val="center"/>
                </w:tcPr>
                <w:p>
                  <w:pPr>
                    <w:ind w:firstLine="41"/>
                    <w:jc w:val="center"/>
                    <w:rPr>
                      <w:b/>
                      <w:szCs w:val="21"/>
                      <w:u w:val="single"/>
                      <w:lang w:val="pt-BR"/>
                    </w:rPr>
                  </w:pPr>
                  <w:r>
                    <w:rPr>
                      <w:b/>
                      <w:szCs w:val="21"/>
                      <w:u w:val="single"/>
                      <w:lang w:val="pt-BR"/>
                    </w:rPr>
                    <w:t>本项目非甲烷总烃</w:t>
                  </w:r>
                </w:p>
              </w:tc>
              <w:tc>
                <w:tcPr>
                  <w:tcW w:w="855" w:type="dxa"/>
                  <w:shd w:val="clear" w:color="auto" w:fill="auto"/>
                  <w:vAlign w:val="center"/>
                </w:tcPr>
                <w:p>
                  <w:pPr>
                    <w:ind w:firstLine="36"/>
                    <w:jc w:val="center"/>
                    <w:rPr>
                      <w:b/>
                      <w:szCs w:val="21"/>
                      <w:u w:val="single"/>
                    </w:rPr>
                  </w:pPr>
                  <w:r>
                    <w:rPr>
                      <w:rFonts w:hint="eastAsia"/>
                      <w:b/>
                      <w:szCs w:val="21"/>
                      <w:u w:val="single"/>
                    </w:rPr>
                    <w:t>0.4736</w:t>
                  </w:r>
                </w:p>
              </w:tc>
              <w:tc>
                <w:tcPr>
                  <w:tcW w:w="988" w:type="dxa"/>
                  <w:shd w:val="clear" w:color="auto" w:fill="auto"/>
                  <w:vAlign w:val="center"/>
                </w:tcPr>
                <w:p>
                  <w:pPr>
                    <w:ind w:firstLine="36"/>
                    <w:jc w:val="center"/>
                    <w:rPr>
                      <w:b/>
                      <w:szCs w:val="21"/>
                      <w:u w:val="single"/>
                      <w:lang w:val="pt-BR"/>
                    </w:rPr>
                  </w:pPr>
                  <w:r>
                    <w:rPr>
                      <w:rFonts w:hint="eastAsia"/>
                      <w:b/>
                      <w:szCs w:val="21"/>
                      <w:u w:val="single"/>
                      <w:lang w:val="pt-BR"/>
                    </w:rPr>
                    <w:t>0.113</w:t>
                  </w:r>
                </w:p>
              </w:tc>
              <w:tc>
                <w:tcPr>
                  <w:tcW w:w="1131" w:type="dxa"/>
                  <w:shd w:val="clear" w:color="auto" w:fill="auto"/>
                  <w:vAlign w:val="center"/>
                </w:tcPr>
                <w:p>
                  <w:pPr>
                    <w:jc w:val="center"/>
                    <w:rPr>
                      <w:b/>
                      <w:szCs w:val="21"/>
                      <w:u w:val="single"/>
                      <w:lang w:val="pt-BR"/>
                    </w:rPr>
                  </w:pPr>
                  <w:r>
                    <w:rPr>
                      <w:rFonts w:hint="eastAsia"/>
                      <w:b/>
                      <w:szCs w:val="21"/>
                      <w:u w:val="single"/>
                      <w:lang w:val="pt-BR"/>
                    </w:rPr>
                    <w:t>28.2</w:t>
                  </w:r>
                </w:p>
              </w:tc>
              <w:tc>
                <w:tcPr>
                  <w:tcW w:w="852" w:type="dxa"/>
                  <w:shd w:val="clear" w:color="auto" w:fill="auto"/>
                  <w:vAlign w:val="center"/>
                </w:tcPr>
                <w:p>
                  <w:pPr>
                    <w:ind w:firstLine="36"/>
                    <w:jc w:val="center"/>
                    <w:rPr>
                      <w:b/>
                      <w:szCs w:val="21"/>
                      <w:u w:val="single"/>
                      <w:lang w:val="pt-BR"/>
                    </w:rPr>
                  </w:pPr>
                  <w:r>
                    <w:rPr>
                      <w:rFonts w:hint="eastAsia"/>
                      <w:b/>
                      <w:szCs w:val="21"/>
                      <w:u w:val="single"/>
                      <w:lang w:val="pt-BR"/>
                    </w:rPr>
                    <w:t>4200</w:t>
                  </w:r>
                </w:p>
              </w:tc>
              <w:tc>
                <w:tcPr>
                  <w:tcW w:w="838" w:type="dxa"/>
                  <w:shd w:val="clear" w:color="auto" w:fill="auto"/>
                  <w:vAlign w:val="center"/>
                </w:tcPr>
                <w:p>
                  <w:pPr>
                    <w:ind w:firstLine="36"/>
                    <w:jc w:val="center"/>
                    <w:rPr>
                      <w:b/>
                      <w:szCs w:val="21"/>
                      <w:u w:val="single"/>
                    </w:rPr>
                  </w:pPr>
                  <w:r>
                    <w:rPr>
                      <w:rFonts w:hint="eastAsia"/>
                      <w:b/>
                      <w:szCs w:val="21"/>
                      <w:u w:val="single"/>
                    </w:rPr>
                    <w:t>90%</w:t>
                  </w:r>
                </w:p>
              </w:tc>
              <w:tc>
                <w:tcPr>
                  <w:tcW w:w="1043" w:type="dxa"/>
                  <w:shd w:val="clear" w:color="auto" w:fill="auto"/>
                  <w:vAlign w:val="center"/>
                </w:tcPr>
                <w:p>
                  <w:pPr>
                    <w:ind w:firstLine="36"/>
                    <w:jc w:val="center"/>
                    <w:rPr>
                      <w:b/>
                      <w:szCs w:val="21"/>
                      <w:u w:val="single"/>
                    </w:rPr>
                  </w:pPr>
                  <w:r>
                    <w:rPr>
                      <w:rFonts w:hint="eastAsia"/>
                      <w:b/>
                      <w:szCs w:val="21"/>
                      <w:u w:val="single"/>
                    </w:rPr>
                    <w:t>0.0474</w:t>
                  </w:r>
                </w:p>
              </w:tc>
              <w:tc>
                <w:tcPr>
                  <w:tcW w:w="1111" w:type="dxa"/>
                  <w:shd w:val="clear" w:color="auto" w:fill="auto"/>
                  <w:vAlign w:val="center"/>
                </w:tcPr>
                <w:p>
                  <w:pPr>
                    <w:jc w:val="center"/>
                    <w:rPr>
                      <w:b/>
                      <w:szCs w:val="22"/>
                      <w:u w:val="single"/>
                    </w:rPr>
                  </w:pPr>
                  <w:r>
                    <w:rPr>
                      <w:rFonts w:hint="eastAsia"/>
                      <w:b/>
                      <w:szCs w:val="22"/>
                      <w:u w:val="single"/>
                    </w:rPr>
                    <w:t>/</w:t>
                  </w:r>
                </w:p>
              </w:tc>
              <w:tc>
                <w:tcPr>
                  <w:tcW w:w="1294" w:type="dxa"/>
                  <w:shd w:val="clear" w:color="auto" w:fill="auto"/>
                  <w:vAlign w:val="center"/>
                </w:tcPr>
                <w:p>
                  <w:pPr>
                    <w:jc w:val="center"/>
                    <w:rPr>
                      <w:b/>
                      <w:szCs w:val="22"/>
                      <w:u w:val="single"/>
                    </w:rPr>
                  </w:pPr>
                  <w:r>
                    <w:rPr>
                      <w:rFonts w:hint="eastAsia"/>
                      <w:b/>
                      <w:szCs w:val="22"/>
                      <w:u w:val="single"/>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shd w:val="clear" w:color="auto" w:fill="auto"/>
                  <w:vAlign w:val="center"/>
                </w:tcPr>
                <w:p>
                  <w:pPr>
                    <w:ind w:firstLine="41"/>
                    <w:jc w:val="center"/>
                    <w:rPr>
                      <w:b/>
                      <w:szCs w:val="21"/>
                      <w:u w:val="single"/>
                      <w:lang w:val="pt-BR"/>
                    </w:rPr>
                  </w:pPr>
                  <w:r>
                    <w:rPr>
                      <w:b/>
                      <w:szCs w:val="21"/>
                      <w:u w:val="single"/>
                      <w:lang w:val="pt-BR"/>
                    </w:rPr>
                    <w:t>现有工程非甲烷总烃</w:t>
                  </w:r>
                </w:p>
              </w:tc>
              <w:tc>
                <w:tcPr>
                  <w:tcW w:w="855" w:type="dxa"/>
                  <w:shd w:val="clear" w:color="auto" w:fill="auto"/>
                  <w:vAlign w:val="center"/>
                </w:tcPr>
                <w:p>
                  <w:pPr>
                    <w:ind w:firstLine="36"/>
                    <w:jc w:val="center"/>
                    <w:rPr>
                      <w:b/>
                      <w:szCs w:val="21"/>
                      <w:u w:val="single"/>
                    </w:rPr>
                  </w:pPr>
                  <w:r>
                    <w:rPr>
                      <w:rFonts w:hint="eastAsia"/>
                      <w:b/>
                      <w:szCs w:val="21"/>
                      <w:u w:val="single"/>
                    </w:rPr>
                    <w:t>0.7632</w:t>
                  </w:r>
                </w:p>
              </w:tc>
              <w:tc>
                <w:tcPr>
                  <w:tcW w:w="988" w:type="dxa"/>
                  <w:shd w:val="clear" w:color="auto" w:fill="auto"/>
                  <w:vAlign w:val="center"/>
                </w:tcPr>
                <w:p>
                  <w:pPr>
                    <w:ind w:firstLine="36"/>
                    <w:jc w:val="center"/>
                    <w:rPr>
                      <w:b/>
                      <w:szCs w:val="21"/>
                      <w:u w:val="single"/>
                      <w:lang w:val="pt-BR"/>
                    </w:rPr>
                  </w:pPr>
                  <w:r>
                    <w:rPr>
                      <w:rFonts w:hint="eastAsia"/>
                      <w:b/>
                      <w:szCs w:val="21"/>
                      <w:u w:val="single"/>
                      <w:lang w:val="pt-BR"/>
                    </w:rPr>
                    <w:t>0.159</w:t>
                  </w:r>
                </w:p>
              </w:tc>
              <w:tc>
                <w:tcPr>
                  <w:tcW w:w="1131" w:type="dxa"/>
                  <w:shd w:val="clear" w:color="auto" w:fill="auto"/>
                  <w:vAlign w:val="center"/>
                </w:tcPr>
                <w:p>
                  <w:pPr>
                    <w:jc w:val="center"/>
                    <w:rPr>
                      <w:b/>
                      <w:szCs w:val="21"/>
                      <w:u w:val="single"/>
                      <w:lang w:val="pt-BR"/>
                    </w:rPr>
                  </w:pPr>
                  <w:r>
                    <w:rPr>
                      <w:rFonts w:hint="eastAsia"/>
                      <w:b/>
                      <w:szCs w:val="21"/>
                      <w:u w:val="single"/>
                      <w:lang w:val="pt-BR"/>
                    </w:rPr>
                    <w:t>106</w:t>
                  </w:r>
                </w:p>
              </w:tc>
              <w:tc>
                <w:tcPr>
                  <w:tcW w:w="852" w:type="dxa"/>
                  <w:shd w:val="clear" w:color="auto" w:fill="auto"/>
                  <w:vAlign w:val="center"/>
                </w:tcPr>
                <w:p>
                  <w:pPr>
                    <w:ind w:firstLine="36"/>
                    <w:jc w:val="center"/>
                    <w:rPr>
                      <w:b/>
                      <w:szCs w:val="21"/>
                      <w:u w:val="single"/>
                      <w:lang w:val="pt-BR"/>
                    </w:rPr>
                  </w:pPr>
                  <w:r>
                    <w:rPr>
                      <w:rFonts w:hint="eastAsia"/>
                      <w:b/>
                      <w:szCs w:val="21"/>
                      <w:u w:val="single"/>
                      <w:lang w:val="pt-BR"/>
                    </w:rPr>
                    <w:t>4800</w:t>
                  </w:r>
                </w:p>
              </w:tc>
              <w:tc>
                <w:tcPr>
                  <w:tcW w:w="838" w:type="dxa"/>
                  <w:shd w:val="clear" w:color="auto" w:fill="auto"/>
                  <w:vAlign w:val="center"/>
                </w:tcPr>
                <w:p>
                  <w:pPr>
                    <w:ind w:firstLine="36"/>
                    <w:jc w:val="center"/>
                    <w:rPr>
                      <w:b/>
                      <w:szCs w:val="21"/>
                      <w:u w:val="single"/>
                    </w:rPr>
                  </w:pPr>
                  <w:r>
                    <w:rPr>
                      <w:rFonts w:hint="eastAsia"/>
                      <w:b/>
                      <w:szCs w:val="21"/>
                      <w:u w:val="single"/>
                    </w:rPr>
                    <w:t>90%</w:t>
                  </w:r>
                </w:p>
              </w:tc>
              <w:tc>
                <w:tcPr>
                  <w:tcW w:w="1043" w:type="dxa"/>
                  <w:shd w:val="clear" w:color="auto" w:fill="auto"/>
                  <w:vAlign w:val="center"/>
                </w:tcPr>
                <w:p>
                  <w:pPr>
                    <w:ind w:firstLine="36"/>
                    <w:jc w:val="center"/>
                    <w:rPr>
                      <w:b/>
                      <w:szCs w:val="21"/>
                      <w:u w:val="single"/>
                    </w:rPr>
                  </w:pPr>
                  <w:r>
                    <w:rPr>
                      <w:rFonts w:hint="eastAsia"/>
                      <w:b/>
                      <w:szCs w:val="21"/>
                      <w:u w:val="single"/>
                    </w:rPr>
                    <w:t>0.0763</w:t>
                  </w:r>
                </w:p>
              </w:tc>
              <w:tc>
                <w:tcPr>
                  <w:tcW w:w="1111" w:type="dxa"/>
                  <w:shd w:val="clear" w:color="auto" w:fill="auto"/>
                  <w:vAlign w:val="center"/>
                </w:tcPr>
                <w:p>
                  <w:pPr>
                    <w:jc w:val="center"/>
                    <w:rPr>
                      <w:b/>
                      <w:szCs w:val="22"/>
                      <w:u w:val="single"/>
                    </w:rPr>
                  </w:pPr>
                  <w:r>
                    <w:rPr>
                      <w:rFonts w:hint="eastAsia"/>
                      <w:b/>
                      <w:szCs w:val="22"/>
                      <w:u w:val="single"/>
                    </w:rPr>
                    <w:t>/</w:t>
                  </w:r>
                </w:p>
              </w:tc>
              <w:tc>
                <w:tcPr>
                  <w:tcW w:w="1294" w:type="dxa"/>
                  <w:shd w:val="clear" w:color="auto" w:fill="auto"/>
                  <w:vAlign w:val="center"/>
                </w:tcPr>
                <w:p>
                  <w:pPr>
                    <w:jc w:val="center"/>
                    <w:rPr>
                      <w:b/>
                      <w:szCs w:val="22"/>
                      <w:u w:val="single"/>
                    </w:rPr>
                  </w:pPr>
                  <w:r>
                    <w:rPr>
                      <w:rFonts w:hint="eastAsia"/>
                      <w:b/>
                      <w:szCs w:val="22"/>
                      <w:u w:val="single"/>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0" w:type="dxa"/>
                  <w:shd w:val="clear" w:color="auto" w:fill="auto"/>
                  <w:vAlign w:val="center"/>
                </w:tcPr>
                <w:p>
                  <w:pPr>
                    <w:ind w:firstLine="41"/>
                    <w:jc w:val="center"/>
                    <w:rPr>
                      <w:b/>
                      <w:szCs w:val="21"/>
                      <w:u w:val="single"/>
                      <w:lang w:val="pt-BR"/>
                    </w:rPr>
                  </w:pPr>
                  <w:r>
                    <w:rPr>
                      <w:b/>
                      <w:szCs w:val="21"/>
                      <w:u w:val="single"/>
                      <w:lang w:val="pt-BR"/>
                    </w:rPr>
                    <w:t>全厂非甲烷总烃</w:t>
                  </w:r>
                </w:p>
              </w:tc>
              <w:tc>
                <w:tcPr>
                  <w:tcW w:w="855" w:type="dxa"/>
                  <w:shd w:val="clear" w:color="auto" w:fill="auto"/>
                  <w:vAlign w:val="center"/>
                </w:tcPr>
                <w:p>
                  <w:pPr>
                    <w:ind w:firstLine="36"/>
                    <w:jc w:val="center"/>
                    <w:rPr>
                      <w:b/>
                      <w:szCs w:val="21"/>
                      <w:u w:val="single"/>
                    </w:rPr>
                  </w:pPr>
                  <w:r>
                    <w:rPr>
                      <w:rFonts w:hint="eastAsia"/>
                      <w:b/>
                      <w:szCs w:val="21"/>
                      <w:u w:val="single"/>
                    </w:rPr>
                    <w:t>1.2368</w:t>
                  </w:r>
                </w:p>
              </w:tc>
              <w:tc>
                <w:tcPr>
                  <w:tcW w:w="988" w:type="dxa"/>
                  <w:shd w:val="clear" w:color="auto" w:fill="auto"/>
                  <w:vAlign w:val="center"/>
                </w:tcPr>
                <w:p>
                  <w:pPr>
                    <w:ind w:firstLine="36"/>
                    <w:jc w:val="center"/>
                    <w:rPr>
                      <w:b/>
                      <w:szCs w:val="21"/>
                      <w:u w:val="single"/>
                      <w:lang w:val="pt-BR"/>
                    </w:rPr>
                  </w:pPr>
                  <w:r>
                    <w:rPr>
                      <w:rFonts w:hint="eastAsia"/>
                      <w:b/>
                      <w:szCs w:val="21"/>
                      <w:u w:val="single"/>
                      <w:lang w:val="pt-BR"/>
                    </w:rPr>
                    <w:t>/</w:t>
                  </w:r>
                </w:p>
              </w:tc>
              <w:tc>
                <w:tcPr>
                  <w:tcW w:w="1131" w:type="dxa"/>
                  <w:shd w:val="clear" w:color="auto" w:fill="auto"/>
                  <w:vAlign w:val="center"/>
                </w:tcPr>
                <w:p>
                  <w:pPr>
                    <w:jc w:val="center"/>
                    <w:rPr>
                      <w:b/>
                      <w:szCs w:val="21"/>
                      <w:u w:val="single"/>
                      <w:lang w:val="pt-BR"/>
                    </w:rPr>
                  </w:pPr>
                  <w:r>
                    <w:rPr>
                      <w:rFonts w:hint="eastAsia"/>
                      <w:b/>
                      <w:szCs w:val="21"/>
                      <w:u w:val="single"/>
                      <w:lang w:val="pt-BR"/>
                    </w:rPr>
                    <w:t>/</w:t>
                  </w:r>
                </w:p>
              </w:tc>
              <w:tc>
                <w:tcPr>
                  <w:tcW w:w="852" w:type="dxa"/>
                  <w:shd w:val="clear" w:color="auto" w:fill="auto"/>
                  <w:vAlign w:val="center"/>
                </w:tcPr>
                <w:p>
                  <w:pPr>
                    <w:ind w:firstLine="36"/>
                    <w:jc w:val="center"/>
                    <w:rPr>
                      <w:b/>
                      <w:szCs w:val="21"/>
                      <w:u w:val="single"/>
                      <w:lang w:val="pt-BR"/>
                    </w:rPr>
                  </w:pPr>
                  <w:r>
                    <w:rPr>
                      <w:rFonts w:hint="eastAsia"/>
                      <w:b/>
                      <w:szCs w:val="21"/>
                      <w:u w:val="single"/>
                      <w:lang w:val="pt-BR"/>
                    </w:rPr>
                    <w:t>/</w:t>
                  </w:r>
                </w:p>
              </w:tc>
              <w:tc>
                <w:tcPr>
                  <w:tcW w:w="838" w:type="dxa"/>
                  <w:shd w:val="clear" w:color="auto" w:fill="auto"/>
                  <w:vAlign w:val="center"/>
                </w:tcPr>
                <w:p>
                  <w:pPr>
                    <w:ind w:firstLine="36"/>
                    <w:jc w:val="center"/>
                    <w:rPr>
                      <w:b/>
                      <w:szCs w:val="21"/>
                      <w:u w:val="single"/>
                    </w:rPr>
                  </w:pPr>
                  <w:r>
                    <w:rPr>
                      <w:rFonts w:hint="eastAsia"/>
                      <w:b/>
                      <w:szCs w:val="21"/>
                      <w:u w:val="single"/>
                    </w:rPr>
                    <w:t>/</w:t>
                  </w:r>
                </w:p>
              </w:tc>
              <w:tc>
                <w:tcPr>
                  <w:tcW w:w="1043" w:type="dxa"/>
                  <w:shd w:val="clear" w:color="auto" w:fill="auto"/>
                  <w:vAlign w:val="center"/>
                </w:tcPr>
                <w:p>
                  <w:pPr>
                    <w:ind w:firstLine="36"/>
                    <w:jc w:val="center"/>
                    <w:rPr>
                      <w:b/>
                      <w:szCs w:val="21"/>
                      <w:u w:val="single"/>
                    </w:rPr>
                  </w:pPr>
                  <w:r>
                    <w:rPr>
                      <w:rFonts w:hint="eastAsia"/>
                      <w:b/>
                      <w:szCs w:val="21"/>
                      <w:u w:val="single"/>
                    </w:rPr>
                    <w:t>0.1237</w:t>
                  </w:r>
                </w:p>
              </w:tc>
              <w:tc>
                <w:tcPr>
                  <w:tcW w:w="1111" w:type="dxa"/>
                  <w:shd w:val="clear" w:color="auto" w:fill="auto"/>
                  <w:vAlign w:val="center"/>
                </w:tcPr>
                <w:p>
                  <w:pPr>
                    <w:jc w:val="center"/>
                    <w:rPr>
                      <w:b/>
                      <w:szCs w:val="22"/>
                      <w:u w:val="single"/>
                    </w:rPr>
                  </w:pPr>
                  <w:r>
                    <w:rPr>
                      <w:rFonts w:hint="eastAsia"/>
                      <w:b/>
                      <w:szCs w:val="22"/>
                      <w:u w:val="single"/>
                    </w:rPr>
                    <w:t>0.026</w:t>
                  </w:r>
                </w:p>
              </w:tc>
              <w:tc>
                <w:tcPr>
                  <w:tcW w:w="1294" w:type="dxa"/>
                  <w:shd w:val="clear" w:color="auto" w:fill="auto"/>
                  <w:vAlign w:val="center"/>
                </w:tcPr>
                <w:p>
                  <w:pPr>
                    <w:jc w:val="center"/>
                    <w:rPr>
                      <w:b/>
                      <w:szCs w:val="22"/>
                      <w:u w:val="single"/>
                    </w:rPr>
                  </w:pPr>
                  <w:r>
                    <w:rPr>
                      <w:rFonts w:hint="eastAsia"/>
                      <w:b/>
                      <w:szCs w:val="22"/>
                      <w:u w:val="single"/>
                    </w:rPr>
                    <w:t>4.7</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22" w:type="dxa"/>
                  <w:gridSpan w:val="9"/>
                  <w:shd w:val="clear" w:color="auto" w:fill="auto"/>
                  <w:vAlign w:val="center"/>
                </w:tcPr>
                <w:p>
                  <w:pPr>
                    <w:jc w:val="center"/>
                    <w:rPr>
                      <w:b/>
                      <w:szCs w:val="22"/>
                      <w:u w:val="single"/>
                    </w:rPr>
                  </w:pPr>
                  <w:r>
                    <w:rPr>
                      <w:rFonts w:hint="eastAsia"/>
                      <w:b/>
                      <w:szCs w:val="22"/>
                      <w:u w:val="single"/>
                    </w:rPr>
                    <w:t>总风量为5500m</w:t>
                  </w:r>
                  <w:r>
                    <w:rPr>
                      <w:rFonts w:hint="eastAsia"/>
                      <w:b/>
                      <w:szCs w:val="22"/>
                      <w:u w:val="single"/>
                      <w:vertAlign w:val="superscript"/>
                    </w:rPr>
                    <w:t>3</w:t>
                  </w:r>
                  <w:r>
                    <w:rPr>
                      <w:rFonts w:hint="eastAsia"/>
                      <w:b/>
                      <w:szCs w:val="22"/>
                      <w:u w:val="single"/>
                    </w:rPr>
                    <w:t>/h</w:t>
                  </w:r>
                </w:p>
              </w:tc>
            </w:tr>
          </w:tbl>
          <w:p>
            <w:pPr>
              <w:spacing w:line="460" w:lineRule="exact"/>
              <w:ind w:firstLine="480"/>
              <w:jc w:val="left"/>
              <w:rPr>
                <w:sz w:val="24"/>
              </w:rPr>
            </w:pPr>
            <w:r>
              <w:rPr>
                <w:sz w:val="24"/>
              </w:rPr>
              <w:t>由上表可知</w:t>
            </w:r>
            <w:r>
              <w:rPr>
                <w:rFonts w:hint="eastAsia"/>
                <w:sz w:val="24"/>
              </w:rPr>
              <w:t>，</w:t>
            </w:r>
            <w:r>
              <w:rPr>
                <w:sz w:val="24"/>
              </w:rPr>
              <w:t>生产车间的非甲烷总烃排放浓度均能够满足</w:t>
            </w:r>
            <w:r>
              <w:rPr>
                <w:rFonts w:hint="eastAsia"/>
                <w:sz w:val="24"/>
              </w:rPr>
              <w:t>《合成树脂工业污染物排放标准》（GB31572-2015）表5-大气污染物特别排放限值</w:t>
            </w:r>
            <w:r>
              <w:rPr>
                <w:sz w:val="24"/>
              </w:rPr>
              <w:t>非甲烷总烃排放浓度</w:t>
            </w:r>
            <w:r>
              <w:rPr>
                <w:rFonts w:hint="eastAsia"/>
                <w:sz w:val="24"/>
              </w:rPr>
              <w:t>6</w:t>
            </w:r>
            <w:r>
              <w:rPr>
                <w:sz w:val="24"/>
              </w:rPr>
              <w:t>0mg/m</w:t>
            </w:r>
            <w:r>
              <w:rPr>
                <w:sz w:val="24"/>
                <w:vertAlign w:val="superscript"/>
              </w:rPr>
              <w:t>3</w:t>
            </w:r>
            <w:r>
              <w:rPr>
                <w:sz w:val="24"/>
              </w:rPr>
              <w:t>（15m排气筒）的限值要求；且能够满足《关于全省开展工业企业挥发性有机物专项治理工作中排放建议值的通知》（豫环攻坚办（2017）162号）中其他行业有机废气排放口非甲烷总烃</w:t>
            </w:r>
            <w:r>
              <w:rPr>
                <w:rFonts w:hint="eastAsia"/>
                <w:sz w:val="24"/>
              </w:rPr>
              <w:t>8</w:t>
            </w:r>
            <w:r>
              <w:rPr>
                <w:sz w:val="24"/>
              </w:rPr>
              <w:t>0mg/m</w:t>
            </w:r>
            <w:r>
              <w:rPr>
                <w:sz w:val="24"/>
                <w:vertAlign w:val="superscript"/>
              </w:rPr>
              <w:t>3</w:t>
            </w:r>
            <w:r>
              <w:rPr>
                <w:sz w:val="24"/>
              </w:rPr>
              <w:t>限值要求和去除效率满足70%要求</w:t>
            </w:r>
            <w:r>
              <w:rPr>
                <w:rFonts w:hint="eastAsia"/>
                <w:sz w:val="24"/>
              </w:rPr>
              <w:t>。同时，本项目</w:t>
            </w:r>
            <w:r>
              <w:rPr>
                <w:bCs/>
                <w:sz w:val="24"/>
              </w:rPr>
              <w:t>单位产品非甲烷总烃排放量为</w:t>
            </w:r>
            <w:r>
              <w:rPr>
                <w:rFonts w:hint="eastAsia"/>
                <w:bCs/>
                <w:sz w:val="24"/>
              </w:rPr>
              <w:t>0.24</w:t>
            </w:r>
            <w:r>
              <w:rPr>
                <w:bCs/>
                <w:sz w:val="24"/>
              </w:rPr>
              <w:t>kg/t产品，</w:t>
            </w:r>
            <w:r>
              <w:rPr>
                <w:rFonts w:hint="eastAsia"/>
                <w:bCs/>
                <w:sz w:val="24"/>
              </w:rPr>
              <w:t>全厂</w:t>
            </w:r>
            <w:r>
              <w:rPr>
                <w:bCs/>
                <w:sz w:val="24"/>
              </w:rPr>
              <w:t>单位产品非甲烷总烃排放量为</w:t>
            </w:r>
            <w:r>
              <w:rPr>
                <w:rFonts w:hint="eastAsia"/>
                <w:bCs/>
                <w:sz w:val="24"/>
              </w:rPr>
              <w:t>0.1</w:t>
            </w:r>
            <w:r>
              <w:rPr>
                <w:bCs/>
                <w:sz w:val="24"/>
              </w:rPr>
              <w:t>kg/t产品，均能够满足《合成树脂工业污染物排放标准》（GB31572-2015）单位产品非甲烷总烃排放量≤0.3kg/t产品</w:t>
            </w:r>
            <w:r>
              <w:rPr>
                <w:sz w:val="24"/>
              </w:rPr>
              <w:t>的要求。</w:t>
            </w:r>
          </w:p>
          <w:p>
            <w:pPr>
              <w:spacing w:line="480" w:lineRule="exact"/>
              <w:ind w:firstLine="482" w:firstLineChars="200"/>
              <w:rPr>
                <w:b/>
                <w:sz w:val="24"/>
              </w:rPr>
            </w:pPr>
            <w:r>
              <w:rPr>
                <w:rFonts w:hint="eastAsia"/>
                <w:b/>
                <w:sz w:val="24"/>
              </w:rPr>
              <w:t>（5）措施可行性分析</w:t>
            </w:r>
          </w:p>
          <w:p>
            <w:pPr>
              <w:widowControl/>
              <w:spacing w:line="480" w:lineRule="exact"/>
              <w:ind w:firstLine="480" w:firstLineChars="200"/>
              <w:jc w:val="left"/>
              <w:rPr>
                <w:rFonts w:hAnsi="宋体"/>
                <w:sz w:val="24"/>
              </w:rPr>
            </w:pPr>
            <w:r>
              <w:rPr>
                <w:rFonts w:hint="eastAsia" w:hAnsi="宋体"/>
                <w:sz w:val="24"/>
              </w:rPr>
              <w:t>目前，有机废气的净化方法有直接燃烧法、活性炭吸附、冷凝法、吸收法、催化燃烧法、低温等离子体、</w:t>
            </w:r>
            <w:r>
              <w:rPr>
                <w:rFonts w:hAnsi="宋体"/>
                <w:sz w:val="24"/>
              </w:rPr>
              <w:t>UV</w:t>
            </w:r>
            <w:r>
              <w:rPr>
                <w:rFonts w:hint="eastAsia" w:hAnsi="宋体"/>
                <w:sz w:val="24"/>
              </w:rPr>
              <w:t>光解催化氧化法等，各种方法的主要优缺点见下表。</w:t>
            </w:r>
          </w:p>
          <w:p>
            <w:pPr>
              <w:autoSpaceDE w:val="0"/>
              <w:autoSpaceDN w:val="0"/>
              <w:adjustRightInd w:val="0"/>
              <w:snapToGrid w:val="0"/>
              <w:spacing w:line="480" w:lineRule="exact"/>
              <w:ind w:firstLine="480" w:firstLineChars="200"/>
              <w:rPr>
                <w:rFonts w:eastAsia="黑体"/>
                <w:sz w:val="24"/>
              </w:rPr>
            </w:pPr>
            <w:r>
              <w:rPr>
                <w:rFonts w:hAnsi="黑体" w:eastAsia="黑体"/>
                <w:sz w:val="24"/>
              </w:rPr>
              <w:t>表</w:t>
            </w:r>
            <w:r>
              <w:rPr>
                <w:rFonts w:hint="eastAsia" w:eastAsia="黑体"/>
                <w:sz w:val="24"/>
              </w:rPr>
              <w:t>29</w:t>
            </w:r>
            <w:r>
              <w:rPr>
                <w:rFonts w:hAnsi="黑体" w:eastAsia="黑体"/>
                <w:sz w:val="24"/>
              </w:rPr>
              <w:t>有机废气净化方法比较一览表</w:t>
            </w:r>
          </w:p>
          <w:tbl>
            <w:tblPr>
              <w:tblStyle w:val="19"/>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85" w:type="dxa"/>
                <w:left w:w="108" w:type="dxa"/>
                <w:bottom w:w="85" w:type="dxa"/>
                <w:right w:w="108" w:type="dxa"/>
              </w:tblCellMar>
            </w:tblPr>
            <w:tblGrid>
              <w:gridCol w:w="947"/>
              <w:gridCol w:w="2295"/>
              <w:gridCol w:w="2100"/>
              <w:gridCol w:w="2131"/>
              <w:gridCol w:w="17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
                      <w:bCs/>
                      <w:kern w:val="21"/>
                      <w:szCs w:val="21"/>
                    </w:rPr>
                  </w:pPr>
                  <w:r>
                    <w:rPr>
                      <w:b/>
                      <w:bCs/>
                      <w:kern w:val="21"/>
                      <w:szCs w:val="21"/>
                    </w:rPr>
                    <w:t>方法</w:t>
                  </w:r>
                </w:p>
              </w:tc>
              <w:tc>
                <w:tcPr>
                  <w:tcW w:w="2295" w:type="dxa"/>
                  <w:tcMar>
                    <w:top w:w="28" w:type="dxa"/>
                    <w:left w:w="51" w:type="dxa"/>
                    <w:bottom w:w="28" w:type="dxa"/>
                    <w:right w:w="51" w:type="dxa"/>
                  </w:tcMar>
                  <w:vAlign w:val="center"/>
                </w:tcPr>
                <w:p>
                  <w:pPr>
                    <w:adjustRightInd w:val="0"/>
                    <w:snapToGrid w:val="0"/>
                    <w:jc w:val="center"/>
                    <w:rPr>
                      <w:b/>
                      <w:bCs/>
                      <w:kern w:val="21"/>
                      <w:szCs w:val="21"/>
                    </w:rPr>
                  </w:pPr>
                  <w:r>
                    <w:rPr>
                      <w:b/>
                      <w:bCs/>
                      <w:kern w:val="21"/>
                      <w:szCs w:val="21"/>
                    </w:rPr>
                    <w:t>原理</w:t>
                  </w:r>
                </w:p>
              </w:tc>
              <w:tc>
                <w:tcPr>
                  <w:tcW w:w="2100" w:type="dxa"/>
                  <w:tcMar>
                    <w:top w:w="28" w:type="dxa"/>
                    <w:left w:w="51" w:type="dxa"/>
                    <w:bottom w:w="28" w:type="dxa"/>
                    <w:right w:w="51" w:type="dxa"/>
                  </w:tcMar>
                  <w:vAlign w:val="center"/>
                </w:tcPr>
                <w:p>
                  <w:pPr>
                    <w:adjustRightInd w:val="0"/>
                    <w:snapToGrid w:val="0"/>
                    <w:jc w:val="center"/>
                    <w:rPr>
                      <w:b/>
                      <w:bCs/>
                      <w:kern w:val="21"/>
                      <w:szCs w:val="21"/>
                    </w:rPr>
                  </w:pPr>
                  <w:r>
                    <w:rPr>
                      <w:b/>
                      <w:bCs/>
                      <w:kern w:val="21"/>
                      <w:szCs w:val="21"/>
                    </w:rPr>
                    <w:t>优点</w:t>
                  </w:r>
                </w:p>
              </w:tc>
              <w:tc>
                <w:tcPr>
                  <w:tcW w:w="2131" w:type="dxa"/>
                  <w:tcMar>
                    <w:top w:w="28" w:type="dxa"/>
                    <w:left w:w="51" w:type="dxa"/>
                    <w:bottom w:w="28" w:type="dxa"/>
                    <w:right w:w="51" w:type="dxa"/>
                  </w:tcMar>
                  <w:vAlign w:val="center"/>
                </w:tcPr>
                <w:p>
                  <w:pPr>
                    <w:adjustRightInd w:val="0"/>
                    <w:snapToGrid w:val="0"/>
                    <w:jc w:val="center"/>
                    <w:rPr>
                      <w:b/>
                      <w:bCs/>
                      <w:kern w:val="21"/>
                      <w:szCs w:val="21"/>
                    </w:rPr>
                  </w:pPr>
                  <w:r>
                    <w:rPr>
                      <w:b/>
                      <w:bCs/>
                      <w:kern w:val="21"/>
                      <w:szCs w:val="21"/>
                    </w:rPr>
                    <w:t>缺点</w:t>
                  </w:r>
                </w:p>
              </w:tc>
              <w:tc>
                <w:tcPr>
                  <w:tcW w:w="1795" w:type="dxa"/>
                  <w:tcMar>
                    <w:top w:w="28" w:type="dxa"/>
                    <w:left w:w="51" w:type="dxa"/>
                    <w:bottom w:w="28" w:type="dxa"/>
                    <w:right w:w="51" w:type="dxa"/>
                  </w:tcMar>
                  <w:vAlign w:val="center"/>
                </w:tcPr>
                <w:p>
                  <w:pPr>
                    <w:adjustRightInd w:val="0"/>
                    <w:snapToGrid w:val="0"/>
                    <w:jc w:val="center"/>
                    <w:rPr>
                      <w:b/>
                      <w:bCs/>
                      <w:kern w:val="21"/>
                      <w:szCs w:val="21"/>
                    </w:rPr>
                  </w:pPr>
                  <w:r>
                    <w:rPr>
                      <w:b/>
                      <w:bCs/>
                      <w:kern w:val="21"/>
                      <w:szCs w:val="21"/>
                    </w:rPr>
                    <w:t>适用范围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直接燃烧法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废气与燃烧室火焰直接接触，有害物燃烧成CO</w:t>
                  </w:r>
                  <w:r>
                    <w:rPr>
                      <w:bCs/>
                      <w:kern w:val="21"/>
                      <w:szCs w:val="21"/>
                      <w:vertAlign w:val="subscript"/>
                    </w:rPr>
                    <w:t>2</w:t>
                  </w:r>
                  <w:r>
                    <w:rPr>
                      <w:bCs/>
                      <w:kern w:val="21"/>
                      <w:szCs w:val="21"/>
                    </w:rPr>
                    <w:t>和H</w:t>
                  </w:r>
                  <w:r>
                    <w:rPr>
                      <w:bCs/>
                      <w:kern w:val="21"/>
                      <w:szCs w:val="21"/>
                      <w:vertAlign w:val="subscript"/>
                    </w:rPr>
                    <w:t>2</w:t>
                  </w:r>
                  <w:r>
                    <w:rPr>
                      <w:bCs/>
                      <w:kern w:val="21"/>
                      <w:szCs w:val="21"/>
                    </w:rPr>
                    <w:t>O，使废气净化</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燃烧效率高，管理容易，维护简单；装置占地面积小；不稳定因素少，可靠性高</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处理温度高，燃料费用高，设备造价高，处理低浓度、风量大的废气不经济</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使用于有机溶剂含量高、湿度高的废气治理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吸附法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废气分子扩散到固体吸附剂表面，有害成分被吸附而达到净化</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可处理含有低浓度的碳氢化合物和低温废气；溶剂可回收，进行有效利用；处理程度可控制</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吸附剂再生和补充费用高；在处理喷漆废气时要预先除漆雾</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适用常温、低浓度、废气量较小的废气治理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冷凝法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降低有害气体的温度，使某些成分冷凝成液体</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设备、操作条件简单，回收物质纯度高</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rFonts w:hint="eastAsia"/>
                      <w:bCs/>
                      <w:kern w:val="21"/>
                      <w:szCs w:val="21"/>
                    </w:rPr>
                    <w:t>冷凝后的气体仍含有较高浓度有机废气</w:t>
                  </w:r>
                  <w:r>
                    <w:rPr>
                      <w:bCs/>
                      <w:kern w:val="21"/>
                      <w:szCs w:val="21"/>
                    </w:rPr>
                    <w:t>，不能达到标准要求</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适用于组分单一的高浓度有机废气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吸收法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液体作为吸收剂，使废气中有害气体被吸收剂吸收而达到净化</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设备费用低，运转费用少；无爆炸、火灾等危险，安全性高</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需要对产生废水进行二次处理，对涂料品种有限制</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适用于高、低浓度非甲烷总烃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催化燃烧法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在催化剂作用下，使有机废气在引燃点温度以下燃烧生成CO</w:t>
                  </w:r>
                  <w:r>
                    <w:rPr>
                      <w:bCs/>
                      <w:kern w:val="21"/>
                      <w:szCs w:val="21"/>
                      <w:vertAlign w:val="subscript"/>
                    </w:rPr>
                    <w:t>2</w:t>
                  </w:r>
                  <w:r>
                    <w:rPr>
                      <w:bCs/>
                      <w:kern w:val="21"/>
                      <w:szCs w:val="21"/>
                    </w:rPr>
                    <w:t>和H</w:t>
                  </w:r>
                  <w:r>
                    <w:rPr>
                      <w:bCs/>
                      <w:kern w:val="21"/>
                      <w:szCs w:val="21"/>
                      <w:vertAlign w:val="subscript"/>
                    </w:rPr>
                    <w:t>2</w:t>
                  </w:r>
                  <w:r>
                    <w:rPr>
                      <w:bCs/>
                      <w:kern w:val="21"/>
                      <w:szCs w:val="21"/>
                    </w:rPr>
                    <w:t>O而被净化</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与直接燃烧法相比，能在低温下氧化分解，燃料费可剩1/2；装置占地面积小；NO</w:t>
                  </w:r>
                  <w:r>
                    <w:rPr>
                      <w:bCs/>
                      <w:kern w:val="21"/>
                      <w:szCs w:val="21"/>
                      <w:vertAlign w:val="subscript"/>
                    </w:rPr>
                    <w:t>X</w:t>
                  </w:r>
                  <w:r>
                    <w:rPr>
                      <w:bCs/>
                      <w:kern w:val="21"/>
                      <w:szCs w:val="21"/>
                    </w:rPr>
                    <w:t>生成少</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催化剂价格高，需考虑催化剂中毒和催化剂寿命；必须进行前处理除去尘埃、漆雾等；催化剂和设备价格高</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适用于废气温度高、流量小、有机溶剂浓度高、含杂质少的场合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低温等离子体</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放电过程中，电子从电场中获得能量，使污染物分子被激发或发生电离形成活性基团，活性基团之间发生反应，最终转化为CO</w:t>
                  </w:r>
                  <w:r>
                    <w:rPr>
                      <w:bCs/>
                      <w:kern w:val="21"/>
                      <w:szCs w:val="21"/>
                      <w:vertAlign w:val="subscript"/>
                    </w:rPr>
                    <w:t>2</w:t>
                  </w:r>
                  <w:r>
                    <w:rPr>
                      <w:bCs/>
                      <w:kern w:val="21"/>
                      <w:szCs w:val="21"/>
                    </w:rPr>
                    <w:t>和H</w:t>
                  </w:r>
                  <w:r>
                    <w:rPr>
                      <w:bCs/>
                      <w:kern w:val="21"/>
                      <w:szCs w:val="21"/>
                      <w:vertAlign w:val="subscript"/>
                    </w:rPr>
                    <w:t>2</w:t>
                  </w:r>
                  <w:r>
                    <w:rPr>
                      <w:bCs/>
                      <w:kern w:val="21"/>
                      <w:szCs w:val="21"/>
                    </w:rPr>
                    <w:t>O等物质而达到净化</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电子能量高，几乎可以和所有的有机气体发生作用；反应快，不受气速限制，只需用电，操作简单，占地小，运行成本低廉</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rFonts w:hint="eastAsia"/>
                      <w:bCs/>
                      <w:kern w:val="21"/>
                      <w:szCs w:val="21"/>
                    </w:rPr>
                    <w:t>不适用易燃易爆废气治理、设备投资高，</w:t>
                  </w:r>
                  <w:r>
                    <w:rPr>
                      <w:bCs/>
                      <w:kern w:val="21"/>
                      <w:szCs w:val="21"/>
                    </w:rPr>
                    <w:t>净化效率较燃烧法低</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适用于低浓度(＜300mg/m</w:t>
                  </w:r>
                  <w:r>
                    <w:rPr>
                      <w:bCs/>
                      <w:kern w:val="21"/>
                      <w:szCs w:val="21"/>
                      <w:vertAlign w:val="superscript"/>
                    </w:rPr>
                    <w:t>3</w:t>
                  </w:r>
                  <w:r>
                    <w:rPr>
                      <w:bCs/>
                      <w:kern w:val="21"/>
                      <w:szCs w:val="21"/>
                    </w:rPr>
                    <w:t>)有机废气的治理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40" w:hRule="atLeast"/>
                <w:jc w:val="center"/>
              </w:trPr>
              <w:tc>
                <w:tcPr>
                  <w:tcW w:w="947"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UV光解催化氧化法</w:t>
                  </w:r>
                </w:p>
              </w:tc>
              <w:tc>
                <w:tcPr>
                  <w:tcW w:w="2295" w:type="dxa"/>
                  <w:tcMar>
                    <w:top w:w="28" w:type="dxa"/>
                    <w:left w:w="51" w:type="dxa"/>
                    <w:bottom w:w="28" w:type="dxa"/>
                    <w:right w:w="51" w:type="dxa"/>
                  </w:tcMar>
                  <w:vAlign w:val="center"/>
                </w:tcPr>
                <w:p>
                  <w:pPr>
                    <w:adjustRightInd w:val="0"/>
                    <w:snapToGrid w:val="0"/>
                    <w:jc w:val="center"/>
                    <w:rPr>
                      <w:bCs/>
                      <w:kern w:val="21"/>
                      <w:szCs w:val="21"/>
                    </w:rPr>
                  </w:pPr>
                  <w:r>
                    <w:rPr>
                      <w:bCs/>
                      <w:kern w:val="21"/>
                      <w:szCs w:val="21"/>
                    </w:rPr>
                    <w:t>利用高能高臭氧UV紫外线光束分解空气中的氧分子产生游离氧，游离氧与氧分子结合产生臭氧。UV＋O</w:t>
                  </w:r>
                  <w:r>
                    <w:rPr>
                      <w:bCs/>
                      <w:kern w:val="21"/>
                      <w:szCs w:val="21"/>
                      <w:vertAlign w:val="subscript"/>
                    </w:rPr>
                    <w:t>2</w:t>
                  </w:r>
                  <w:r>
                    <w:rPr>
                      <w:bCs/>
                      <w:kern w:val="21"/>
                      <w:szCs w:val="21"/>
                    </w:rPr>
                    <w:t>→O</w:t>
                  </w:r>
                  <w:r>
                    <w:rPr>
                      <w:bCs/>
                      <w:kern w:val="21"/>
                      <w:szCs w:val="21"/>
                      <w:vertAlign w:val="superscript"/>
                    </w:rPr>
                    <w:t>-</w:t>
                  </w:r>
                  <w:r>
                    <w:rPr>
                      <w:bCs/>
                      <w:kern w:val="21"/>
                      <w:szCs w:val="21"/>
                    </w:rPr>
                    <w:t>+O*(活性氧)O+O</w:t>
                  </w:r>
                  <w:r>
                    <w:rPr>
                      <w:bCs/>
                      <w:kern w:val="21"/>
                      <w:szCs w:val="21"/>
                      <w:vertAlign w:val="subscript"/>
                    </w:rPr>
                    <w:t>2</w:t>
                  </w:r>
                  <w:r>
                    <w:rPr>
                      <w:bCs/>
                      <w:kern w:val="21"/>
                      <w:szCs w:val="21"/>
                    </w:rPr>
                    <w:t>→O</w:t>
                  </w:r>
                  <w:r>
                    <w:rPr>
                      <w:bCs/>
                      <w:kern w:val="21"/>
                      <w:szCs w:val="21"/>
                      <w:vertAlign w:val="subscript"/>
                    </w:rPr>
                    <w:t>3</w:t>
                  </w:r>
                  <w:r>
                    <w:rPr>
                      <w:bCs/>
                      <w:kern w:val="21"/>
                      <w:szCs w:val="21"/>
                    </w:rPr>
                    <w:t>(臭氧)，臭氧将有机物废气氧化成CO</w:t>
                  </w:r>
                  <w:r>
                    <w:rPr>
                      <w:bCs/>
                      <w:kern w:val="21"/>
                      <w:szCs w:val="21"/>
                      <w:vertAlign w:val="subscript"/>
                    </w:rPr>
                    <w:t>2</w:t>
                  </w:r>
                  <w:r>
                    <w:rPr>
                      <w:bCs/>
                      <w:kern w:val="21"/>
                      <w:szCs w:val="21"/>
                    </w:rPr>
                    <w:t>和H</w:t>
                  </w:r>
                  <w:r>
                    <w:rPr>
                      <w:bCs/>
                      <w:kern w:val="21"/>
                      <w:szCs w:val="21"/>
                      <w:vertAlign w:val="subscript"/>
                    </w:rPr>
                    <w:t>2</w:t>
                  </w:r>
                  <w:r>
                    <w:rPr>
                      <w:bCs/>
                      <w:kern w:val="21"/>
                      <w:szCs w:val="21"/>
                    </w:rPr>
                    <w:t>O。</w:t>
                  </w:r>
                </w:p>
              </w:tc>
              <w:tc>
                <w:tcPr>
                  <w:tcW w:w="2100" w:type="dxa"/>
                  <w:tcMar>
                    <w:top w:w="28" w:type="dxa"/>
                    <w:left w:w="51" w:type="dxa"/>
                    <w:bottom w:w="28" w:type="dxa"/>
                    <w:right w:w="51" w:type="dxa"/>
                  </w:tcMar>
                  <w:vAlign w:val="center"/>
                </w:tcPr>
                <w:p>
                  <w:pPr>
                    <w:adjustRightInd w:val="0"/>
                    <w:snapToGrid w:val="0"/>
                    <w:jc w:val="center"/>
                    <w:rPr>
                      <w:bCs/>
                      <w:kern w:val="21"/>
                      <w:szCs w:val="21"/>
                    </w:rPr>
                  </w:pPr>
                  <w:r>
                    <w:rPr>
                      <w:rFonts w:hint="eastAsia"/>
                      <w:kern w:val="21"/>
                      <w:szCs w:val="21"/>
                    </w:rPr>
                    <w:t>处理效率高，占地小，投资运行费用较低，适应性强、高效除恶臭、运行成本低、有机废气无需预处理等</w:t>
                  </w:r>
                </w:p>
              </w:tc>
              <w:tc>
                <w:tcPr>
                  <w:tcW w:w="2131" w:type="dxa"/>
                  <w:tcMar>
                    <w:top w:w="28" w:type="dxa"/>
                    <w:left w:w="51" w:type="dxa"/>
                    <w:bottom w:w="28" w:type="dxa"/>
                    <w:right w:w="51" w:type="dxa"/>
                  </w:tcMar>
                  <w:vAlign w:val="center"/>
                </w:tcPr>
                <w:p>
                  <w:pPr>
                    <w:adjustRightInd w:val="0"/>
                    <w:snapToGrid w:val="0"/>
                    <w:jc w:val="center"/>
                    <w:rPr>
                      <w:bCs/>
                      <w:kern w:val="21"/>
                      <w:szCs w:val="21"/>
                    </w:rPr>
                  </w:pPr>
                  <w:r>
                    <w:rPr>
                      <w:rFonts w:hint="eastAsia"/>
                      <w:kern w:val="21"/>
                      <w:szCs w:val="21"/>
                    </w:rPr>
                    <w:t>需要定期保养与维护</w:t>
                  </w:r>
                </w:p>
              </w:tc>
              <w:tc>
                <w:tcPr>
                  <w:tcW w:w="1795" w:type="dxa"/>
                  <w:tcMar>
                    <w:top w:w="28" w:type="dxa"/>
                    <w:left w:w="51" w:type="dxa"/>
                    <w:bottom w:w="28" w:type="dxa"/>
                    <w:right w:w="51" w:type="dxa"/>
                  </w:tcMar>
                  <w:vAlign w:val="center"/>
                </w:tcPr>
                <w:p>
                  <w:pPr>
                    <w:adjustRightInd w:val="0"/>
                    <w:snapToGrid w:val="0"/>
                    <w:jc w:val="center"/>
                    <w:rPr>
                      <w:bCs/>
                      <w:kern w:val="21"/>
                      <w:szCs w:val="21"/>
                    </w:rPr>
                  </w:pPr>
                  <w:r>
                    <w:rPr>
                      <w:rFonts w:hint="eastAsia"/>
                      <w:kern w:val="21"/>
                      <w:szCs w:val="21"/>
                    </w:rPr>
                    <w:t>适用于大部分有机废气，适用于中低浓度、中小风量的废气治理</w:t>
                  </w:r>
                </w:p>
              </w:tc>
            </w:tr>
          </w:tbl>
          <w:p>
            <w:pPr>
              <w:spacing w:line="480" w:lineRule="exact"/>
              <w:ind w:firstLine="480" w:firstLineChars="200"/>
              <w:rPr>
                <w:sz w:val="24"/>
              </w:rPr>
            </w:pPr>
            <w:r>
              <w:rPr>
                <w:rFonts w:hint="eastAsia"/>
                <w:sz w:val="24"/>
              </w:rPr>
              <w:t>综上所述，经过多方案比选，考虑到本项目废气无回收价值，洗涤吸收法会造成二次污染，催化燃烧发投资较大，评价提出采用</w:t>
            </w:r>
            <w:r>
              <w:rPr>
                <w:sz w:val="24"/>
              </w:rPr>
              <w:t>UV光催化氧化装置+活性炭吸附装置对废气进行治理</w:t>
            </w:r>
            <w:r>
              <w:rPr>
                <w:rFonts w:hint="eastAsia"/>
                <w:sz w:val="24"/>
              </w:rPr>
              <w:t>。</w:t>
            </w:r>
          </w:p>
          <w:p>
            <w:pPr>
              <w:spacing w:line="480" w:lineRule="exact"/>
              <w:ind w:firstLine="480" w:firstLineChars="200"/>
              <w:rPr>
                <w:sz w:val="24"/>
              </w:rPr>
            </w:pPr>
            <w:r>
              <w:rPr>
                <w:rFonts w:hint="eastAsia"/>
                <w:sz w:val="24"/>
              </w:rPr>
              <w:t>本项目有机废气主要为注塑产生的非甲烷总烃，评价要求对注塑机的注塑区域进行密闭，采用负压抽风使整个密闭区域保持微负压状态。有机废气经</w:t>
            </w:r>
            <w:r>
              <w:rPr>
                <w:sz w:val="24"/>
              </w:rPr>
              <w:t>UV光催化氧化装置+活性炭吸附装置对废气进行治理后有组织排放</w:t>
            </w:r>
            <w:r>
              <w:rPr>
                <w:rFonts w:hint="eastAsia"/>
                <w:sz w:val="24"/>
              </w:rPr>
              <w:t>。</w:t>
            </w:r>
          </w:p>
          <w:p>
            <w:pPr>
              <w:spacing w:line="480" w:lineRule="exact"/>
              <w:ind w:firstLine="482"/>
              <w:rPr>
                <w:b/>
                <w:sz w:val="24"/>
              </w:rPr>
            </w:pPr>
            <w:r>
              <w:rPr>
                <w:b/>
                <w:sz w:val="24"/>
              </w:rPr>
              <w:t>2、无组织废气</w:t>
            </w:r>
          </w:p>
          <w:p>
            <w:pPr>
              <w:spacing w:line="480" w:lineRule="exact"/>
              <w:ind w:firstLine="480" w:firstLineChars="200"/>
              <w:rPr>
                <w:kern w:val="21"/>
                <w:sz w:val="24"/>
              </w:rPr>
            </w:pPr>
            <w:r>
              <w:rPr>
                <w:rFonts w:hint="eastAsia"/>
                <w:sz w:val="24"/>
              </w:rPr>
              <w:t>本项目注塑区域为密闭区域，废气经负压抽吸，区域内形成微负压状态，不存在无组织有机废气散失。</w:t>
            </w:r>
          </w:p>
          <w:p>
            <w:pPr>
              <w:spacing w:line="480" w:lineRule="exact"/>
              <w:ind w:firstLine="480" w:firstLineChars="200"/>
              <w:rPr>
                <w:kern w:val="21"/>
                <w:sz w:val="24"/>
              </w:rPr>
            </w:pPr>
            <w:r>
              <w:rPr>
                <w:kern w:val="21"/>
                <w:sz w:val="24"/>
              </w:rPr>
              <w:t>本项目原料为</w:t>
            </w:r>
            <w:r>
              <w:rPr>
                <w:rFonts w:hint="eastAsia"/>
                <w:sz w:val="24"/>
              </w:rPr>
              <w:t>聚丙烯、尼龙66、PC等，均为颗粒态物料，投料时无投料粉尘产生。项目</w:t>
            </w:r>
            <w:r>
              <w:rPr>
                <w:kern w:val="21"/>
                <w:sz w:val="24"/>
              </w:rPr>
              <w:t>破碎</w:t>
            </w:r>
            <w:r>
              <w:rPr>
                <w:rFonts w:hint="eastAsia"/>
                <w:kern w:val="21"/>
                <w:sz w:val="24"/>
              </w:rPr>
              <w:t>工序</w:t>
            </w:r>
            <w:r>
              <w:rPr>
                <w:kern w:val="21"/>
                <w:sz w:val="24"/>
              </w:rPr>
              <w:t>位于</w:t>
            </w:r>
            <w:r>
              <w:rPr>
                <w:rFonts w:hint="eastAsia"/>
                <w:kern w:val="21"/>
                <w:sz w:val="24"/>
              </w:rPr>
              <w:t>封闭</w:t>
            </w:r>
            <w:r>
              <w:rPr>
                <w:kern w:val="21"/>
                <w:sz w:val="24"/>
              </w:rPr>
              <w:t>的厂房内，且破碎后仍为较大颗粒，故无无组织粉尘逸散。原料及破碎后的颗粒如下图所示</w:t>
            </w:r>
            <w:r>
              <w:rPr>
                <w:rFonts w:hint="eastAsia"/>
                <w:kern w:val="21"/>
                <w:sz w:val="24"/>
              </w:rPr>
              <w:t>。</w:t>
            </w:r>
          </w:p>
          <w:p>
            <w:pPr>
              <w:spacing w:line="440" w:lineRule="exact"/>
              <w:rPr>
                <w:kern w:val="21"/>
                <w:sz w:val="24"/>
              </w:rPr>
            </w:pPr>
            <w:r>
              <w:rPr>
                <w:kern w:val="21"/>
                <w:sz w:val="24"/>
              </w:rPr>
              <w:pict>
                <v:shape id="_x0000_s1559" o:spid="_x0000_s1559" o:spt="202" type="#_x0000_t202" style="position:absolute;left:0pt;margin-left:26.1pt;margin-top:6.05pt;height:135.65pt;width:219.15pt;z-index:251714560;mso-width-relative:page;mso-height-relative:page;" filled="f" stroked="f" coordsize="21600,21600">
                  <v:path/>
                  <v:fill on="f" focussize="0,0"/>
                  <v:stroke on="f" weight="1pt" joinstyle="miter"/>
                  <v:imagedata o:title=""/>
                  <o:lock v:ext="edit"/>
                  <v:textbox>
                    <w:txbxContent>
                      <w:p>
                        <w:r>
                          <w:drawing>
                            <wp:inline distT="0" distB="0" distL="0" distR="0">
                              <wp:extent cx="2207895" cy="1497330"/>
                              <wp:effectExtent l="19050" t="19050" r="20803" b="26280"/>
                              <wp:docPr id="7" name="图片 4" descr="IMG_6065"/>
                              <wp:cNvGraphicFramePr/>
                              <a:graphic xmlns:a="http://schemas.openxmlformats.org/drawingml/2006/main">
                                <a:graphicData uri="http://schemas.openxmlformats.org/drawingml/2006/picture">
                                  <pic:pic xmlns:pic="http://schemas.openxmlformats.org/drawingml/2006/picture">
                                    <pic:nvPicPr>
                                      <pic:cNvPr id="7" name="图片 4" descr="IMG_6065"/>
                                      <pic:cNvPicPr>
                                        <a:picLocks noChangeArrowheads="1"/>
                                      </pic:cNvPicPr>
                                    </pic:nvPicPr>
                                    <pic:blipFill>
                                      <a:blip r:embed="rId20"/>
                                      <a:srcRect l="5249" t="13368" r="13718"/>
                                      <a:stretch>
                                        <a:fillRect/>
                                      </a:stretch>
                                    </pic:blipFill>
                                    <pic:spPr>
                                      <a:xfrm>
                                        <a:off x="0" y="0"/>
                                        <a:ext cx="2209819" cy="1498922"/>
                                      </a:xfrm>
                                      <a:prstGeom prst="rect">
                                        <a:avLst/>
                                      </a:prstGeom>
                                      <a:noFill/>
                                      <a:ln w="12700" cmpd="sng">
                                        <a:solidFill>
                                          <a:srgbClr val="000000"/>
                                        </a:solidFill>
                                        <a:miter lim="800000"/>
                                        <a:headEnd/>
                                        <a:tailEnd/>
                                      </a:ln>
                                      <a:effectLst/>
                                    </pic:spPr>
                                  </pic:pic>
                                </a:graphicData>
                              </a:graphic>
                            </wp:inline>
                          </w:drawing>
                        </w:r>
                      </w:p>
                    </w:txbxContent>
                  </v:textbox>
                </v:shape>
              </w:pict>
            </w:r>
            <w:r>
              <w:rPr>
                <w:kern w:val="21"/>
                <w:sz w:val="24"/>
              </w:rPr>
              <w:pict>
                <v:shape id="_x0000_s1561" o:spid="_x0000_s1561" o:spt="202" type="#_x0000_t202" style="position:absolute;left:0pt;margin-left:236.75pt;margin-top:6.3pt;height:138.8pt;width:202.05pt;z-index:251715584;mso-width-relative:page;mso-height-relative:page;" filled="f" stroked="f" coordsize="21600,21600">
                  <v:path/>
                  <v:fill on="f" focussize="0,0"/>
                  <v:stroke on="f" weight="1pt" joinstyle="miter"/>
                  <v:imagedata o:title=""/>
                  <o:lock v:ext="edit"/>
                  <v:textbox>
                    <w:txbxContent>
                      <w:p>
                        <w:r>
                          <w:drawing>
                            <wp:inline distT="0" distB="0" distL="0" distR="0">
                              <wp:extent cx="2052955" cy="1539240"/>
                              <wp:effectExtent l="19050" t="19050" r="23287" b="22228"/>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srcRect/>
                                      <a:stretch>
                                        <a:fillRect/>
                                      </a:stretch>
                                    </pic:blipFill>
                                    <pic:spPr>
                                      <a:xfrm>
                                        <a:off x="0" y="0"/>
                                        <a:ext cx="2053886" cy="1540415"/>
                                      </a:xfrm>
                                      <a:prstGeom prst="rect">
                                        <a:avLst/>
                                      </a:prstGeom>
                                      <a:solidFill>
                                        <a:schemeClr val="tx1"/>
                                      </a:solidFill>
                                      <a:ln w="9525">
                                        <a:solidFill>
                                          <a:schemeClr val="tx1"/>
                                        </a:solidFill>
                                        <a:miter lim="800000"/>
                                        <a:headEnd/>
                                        <a:tailEnd/>
                                      </a:ln>
                                    </pic:spPr>
                                  </pic:pic>
                                </a:graphicData>
                              </a:graphic>
                            </wp:inline>
                          </w:drawing>
                        </w:r>
                      </w:p>
                    </w:txbxContent>
                  </v:textbox>
                </v:shape>
              </w:pict>
            </w:r>
          </w:p>
          <w:p>
            <w:pPr>
              <w:spacing w:line="440" w:lineRule="exact"/>
              <w:rPr>
                <w:kern w:val="21"/>
                <w:sz w:val="24"/>
              </w:rPr>
            </w:pPr>
          </w:p>
          <w:p>
            <w:pPr>
              <w:spacing w:line="440" w:lineRule="exact"/>
              <w:rPr>
                <w:kern w:val="21"/>
                <w:sz w:val="24"/>
              </w:rPr>
            </w:pPr>
          </w:p>
          <w:p>
            <w:pPr>
              <w:spacing w:line="440" w:lineRule="exact"/>
              <w:rPr>
                <w:kern w:val="21"/>
                <w:sz w:val="24"/>
              </w:rPr>
            </w:pPr>
          </w:p>
          <w:p>
            <w:pPr>
              <w:spacing w:line="440" w:lineRule="exact"/>
              <w:rPr>
                <w:kern w:val="21"/>
                <w:sz w:val="24"/>
              </w:rPr>
            </w:pPr>
          </w:p>
          <w:p>
            <w:pPr>
              <w:spacing w:line="440" w:lineRule="exact"/>
              <w:rPr>
                <w:kern w:val="21"/>
                <w:sz w:val="24"/>
              </w:rPr>
            </w:pPr>
          </w:p>
          <w:p>
            <w:pPr>
              <w:spacing w:line="480" w:lineRule="exact"/>
              <w:ind w:firstLine="1560" w:firstLineChars="650"/>
              <w:rPr>
                <w:rFonts w:eastAsia="黑体"/>
                <w:kern w:val="21"/>
                <w:sz w:val="24"/>
              </w:rPr>
            </w:pPr>
            <w:r>
              <w:rPr>
                <w:rFonts w:hAnsi="黑体" w:eastAsia="黑体"/>
                <w:kern w:val="21"/>
                <w:sz w:val="24"/>
              </w:rPr>
              <w:t>图</w:t>
            </w:r>
            <w:r>
              <w:rPr>
                <w:rFonts w:hint="eastAsia" w:eastAsia="黑体"/>
                <w:kern w:val="21"/>
                <w:sz w:val="24"/>
              </w:rPr>
              <w:t>6</w:t>
            </w:r>
            <w:r>
              <w:rPr>
                <w:rFonts w:eastAsia="黑体"/>
                <w:kern w:val="21"/>
                <w:sz w:val="24"/>
              </w:rPr>
              <w:t xml:space="preserve">  原料颗粒</w:t>
            </w:r>
            <w:r>
              <w:rPr>
                <w:rFonts w:hint="eastAsia" w:eastAsia="黑体"/>
                <w:kern w:val="21"/>
                <w:sz w:val="24"/>
              </w:rPr>
              <w:t xml:space="preserve">                                       图7  </w:t>
            </w:r>
            <w:r>
              <w:rPr>
                <w:rFonts w:hAnsi="黑体" w:eastAsia="黑体"/>
                <w:kern w:val="21"/>
                <w:sz w:val="24"/>
              </w:rPr>
              <w:t>破碎后的颗粒</w:t>
            </w:r>
          </w:p>
          <w:p>
            <w:pPr>
              <w:spacing w:line="480" w:lineRule="exact"/>
              <w:ind w:firstLine="482"/>
              <w:rPr>
                <w:b/>
                <w:sz w:val="24"/>
              </w:rPr>
            </w:pPr>
          </w:p>
          <w:p>
            <w:pPr>
              <w:spacing w:line="480" w:lineRule="exact"/>
              <w:ind w:firstLine="482"/>
              <w:rPr>
                <w:sz w:val="24"/>
              </w:rPr>
            </w:pPr>
            <w:r>
              <w:rPr>
                <w:b/>
                <w:sz w:val="24"/>
              </w:rPr>
              <w:t>3、废气污染物排放核算量</w:t>
            </w:r>
          </w:p>
          <w:p>
            <w:pPr>
              <w:spacing w:line="480" w:lineRule="exact"/>
              <w:ind w:firstLine="480"/>
              <w:rPr>
                <w:sz w:val="24"/>
              </w:rPr>
            </w:pPr>
            <w:r>
              <w:rPr>
                <w:sz w:val="24"/>
              </w:rPr>
              <w:t>（1）有组织排放核算</w:t>
            </w:r>
          </w:p>
          <w:p>
            <w:pPr>
              <w:spacing w:line="480" w:lineRule="exact"/>
              <w:ind w:firstLine="480"/>
              <w:rPr>
                <w:sz w:val="24"/>
                <w:szCs w:val="22"/>
              </w:rPr>
            </w:pPr>
            <w:r>
              <w:rPr>
                <w:rFonts w:hint="eastAsia"/>
                <w:sz w:val="24"/>
                <w:szCs w:val="22"/>
              </w:rPr>
              <w:t>全厂</w:t>
            </w:r>
            <w:r>
              <w:rPr>
                <w:sz w:val="24"/>
                <w:szCs w:val="22"/>
              </w:rPr>
              <w:t>大气污染物排放量核算见</w:t>
            </w:r>
            <w:r>
              <w:rPr>
                <w:rFonts w:hint="eastAsia"/>
                <w:sz w:val="24"/>
                <w:szCs w:val="22"/>
              </w:rPr>
              <w:t>下表</w:t>
            </w:r>
            <w:r>
              <w:rPr>
                <w:sz w:val="24"/>
                <w:szCs w:val="22"/>
              </w:rPr>
              <w:t>。</w:t>
            </w:r>
          </w:p>
          <w:p>
            <w:pPr>
              <w:snapToGrid w:val="0"/>
              <w:spacing w:line="520" w:lineRule="exact"/>
              <w:ind w:firstLine="480"/>
              <w:rPr>
                <w:rFonts w:eastAsia="黑体"/>
                <w:sz w:val="24"/>
                <w:szCs w:val="22"/>
              </w:rPr>
            </w:pPr>
            <w:r>
              <w:rPr>
                <w:rFonts w:eastAsia="黑体"/>
                <w:sz w:val="24"/>
                <w:szCs w:val="22"/>
              </w:rPr>
              <w:t>表</w:t>
            </w:r>
            <w:r>
              <w:rPr>
                <w:rFonts w:hint="eastAsia" w:eastAsia="黑体"/>
                <w:sz w:val="24"/>
                <w:szCs w:val="22"/>
              </w:rPr>
              <w:t>30                                   全厂</w:t>
            </w:r>
            <w:r>
              <w:rPr>
                <w:rFonts w:eastAsia="黑体"/>
                <w:sz w:val="24"/>
                <w:szCs w:val="22"/>
              </w:rPr>
              <w:t>大气污染物排放量核算表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944"/>
              <w:gridCol w:w="1641"/>
              <w:gridCol w:w="1596"/>
              <w:gridCol w:w="1754"/>
              <w:gridCol w:w="1757"/>
              <w:gridCol w:w="173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44" w:type="dxa"/>
                  <w:shd w:val="clear" w:color="auto" w:fill="auto"/>
                  <w:vAlign w:val="center"/>
                </w:tcPr>
                <w:p>
                  <w:pPr>
                    <w:snapToGrid w:val="0"/>
                    <w:jc w:val="center"/>
                    <w:rPr>
                      <w:b/>
                      <w:szCs w:val="21"/>
                    </w:rPr>
                  </w:pPr>
                  <w:r>
                    <w:rPr>
                      <w:b/>
                      <w:szCs w:val="21"/>
                    </w:rPr>
                    <w:t>序号</w:t>
                  </w:r>
                </w:p>
              </w:tc>
              <w:tc>
                <w:tcPr>
                  <w:tcW w:w="1641" w:type="dxa"/>
                  <w:shd w:val="clear" w:color="auto" w:fill="auto"/>
                  <w:vAlign w:val="center"/>
                </w:tcPr>
                <w:p>
                  <w:pPr>
                    <w:snapToGrid w:val="0"/>
                    <w:jc w:val="center"/>
                    <w:rPr>
                      <w:b/>
                      <w:szCs w:val="21"/>
                    </w:rPr>
                  </w:pPr>
                  <w:r>
                    <w:rPr>
                      <w:b/>
                      <w:szCs w:val="21"/>
                    </w:rPr>
                    <w:t>排放口编号</w:t>
                  </w:r>
                </w:p>
              </w:tc>
              <w:tc>
                <w:tcPr>
                  <w:tcW w:w="1596" w:type="dxa"/>
                  <w:shd w:val="clear" w:color="auto" w:fill="auto"/>
                  <w:vAlign w:val="center"/>
                </w:tcPr>
                <w:p>
                  <w:pPr>
                    <w:snapToGrid w:val="0"/>
                    <w:jc w:val="center"/>
                    <w:rPr>
                      <w:b/>
                      <w:szCs w:val="21"/>
                    </w:rPr>
                  </w:pPr>
                  <w:r>
                    <w:rPr>
                      <w:b/>
                      <w:szCs w:val="21"/>
                    </w:rPr>
                    <w:t>污染物</w:t>
                  </w:r>
                </w:p>
              </w:tc>
              <w:tc>
                <w:tcPr>
                  <w:tcW w:w="1754" w:type="dxa"/>
                  <w:shd w:val="clear" w:color="auto" w:fill="auto"/>
                  <w:vAlign w:val="center"/>
                </w:tcPr>
                <w:p>
                  <w:pPr>
                    <w:snapToGrid w:val="0"/>
                    <w:jc w:val="center"/>
                    <w:rPr>
                      <w:b/>
                      <w:szCs w:val="21"/>
                    </w:rPr>
                  </w:pPr>
                  <w:r>
                    <w:rPr>
                      <w:b/>
                      <w:szCs w:val="21"/>
                    </w:rPr>
                    <w:t>核算排放浓度/</w:t>
                  </w:r>
                </w:p>
                <w:p>
                  <w:pPr>
                    <w:snapToGrid w:val="0"/>
                    <w:jc w:val="center"/>
                    <w:rPr>
                      <w:b/>
                      <w:szCs w:val="21"/>
                    </w:rPr>
                  </w:pPr>
                  <w:r>
                    <w:rPr>
                      <w:b/>
                      <w:szCs w:val="21"/>
                    </w:rPr>
                    <w:t>（mg/m</w:t>
                  </w:r>
                  <w:r>
                    <w:rPr>
                      <w:b/>
                      <w:szCs w:val="21"/>
                      <w:vertAlign w:val="superscript"/>
                    </w:rPr>
                    <w:t>3</w:t>
                  </w:r>
                  <w:r>
                    <w:rPr>
                      <w:b/>
                      <w:szCs w:val="21"/>
                    </w:rPr>
                    <w:t>）</w:t>
                  </w:r>
                </w:p>
              </w:tc>
              <w:tc>
                <w:tcPr>
                  <w:tcW w:w="1757" w:type="dxa"/>
                  <w:shd w:val="clear" w:color="auto" w:fill="auto"/>
                  <w:vAlign w:val="center"/>
                </w:tcPr>
                <w:p>
                  <w:pPr>
                    <w:snapToGrid w:val="0"/>
                    <w:jc w:val="center"/>
                    <w:rPr>
                      <w:b/>
                      <w:szCs w:val="21"/>
                    </w:rPr>
                  </w:pPr>
                  <w:r>
                    <w:rPr>
                      <w:b/>
                      <w:szCs w:val="21"/>
                    </w:rPr>
                    <w:t>核算排放速率/</w:t>
                  </w:r>
                </w:p>
                <w:p>
                  <w:pPr>
                    <w:snapToGrid w:val="0"/>
                    <w:jc w:val="center"/>
                    <w:rPr>
                      <w:b/>
                      <w:szCs w:val="21"/>
                    </w:rPr>
                  </w:pPr>
                  <w:r>
                    <w:rPr>
                      <w:b/>
                      <w:szCs w:val="21"/>
                    </w:rPr>
                    <w:t>（kg/h）</w:t>
                  </w:r>
                </w:p>
              </w:tc>
              <w:tc>
                <w:tcPr>
                  <w:tcW w:w="1730" w:type="dxa"/>
                  <w:shd w:val="clear" w:color="auto" w:fill="auto"/>
                  <w:vAlign w:val="center"/>
                </w:tcPr>
                <w:p>
                  <w:pPr>
                    <w:snapToGrid w:val="0"/>
                    <w:jc w:val="center"/>
                    <w:rPr>
                      <w:b/>
                      <w:szCs w:val="21"/>
                    </w:rPr>
                  </w:pPr>
                  <w:r>
                    <w:rPr>
                      <w:b/>
                      <w:szCs w:val="21"/>
                    </w:rPr>
                    <w:t>核算年排放量/</w:t>
                  </w:r>
                </w:p>
                <w:p>
                  <w:pPr>
                    <w:snapToGrid w:val="0"/>
                    <w:jc w:val="center"/>
                    <w:rPr>
                      <w:b/>
                      <w:szCs w:val="21"/>
                    </w:rPr>
                  </w:pPr>
                  <w:r>
                    <w:rPr>
                      <w:b/>
                      <w:szCs w:val="21"/>
                    </w:rPr>
                    <w:t>（t/a）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44" w:type="dxa"/>
                  <w:shd w:val="clear" w:color="auto" w:fill="auto"/>
                  <w:vAlign w:val="center"/>
                </w:tcPr>
                <w:p>
                  <w:pPr>
                    <w:snapToGrid w:val="0"/>
                    <w:jc w:val="center"/>
                    <w:rPr>
                      <w:szCs w:val="21"/>
                    </w:rPr>
                  </w:pPr>
                  <w:r>
                    <w:rPr>
                      <w:szCs w:val="21"/>
                    </w:rPr>
                    <w:t>1</w:t>
                  </w:r>
                </w:p>
              </w:tc>
              <w:tc>
                <w:tcPr>
                  <w:tcW w:w="1641" w:type="dxa"/>
                  <w:shd w:val="clear" w:color="auto" w:fill="auto"/>
                  <w:vAlign w:val="center"/>
                </w:tcPr>
                <w:p>
                  <w:pPr>
                    <w:snapToGrid w:val="0"/>
                    <w:jc w:val="center"/>
                    <w:rPr>
                      <w:szCs w:val="21"/>
                    </w:rPr>
                  </w:pPr>
                  <w:r>
                    <w:rPr>
                      <w:szCs w:val="21"/>
                    </w:rPr>
                    <w:t>P</w:t>
                  </w:r>
                </w:p>
              </w:tc>
              <w:tc>
                <w:tcPr>
                  <w:tcW w:w="1596" w:type="dxa"/>
                  <w:shd w:val="clear" w:color="auto" w:fill="auto"/>
                  <w:vAlign w:val="center"/>
                </w:tcPr>
                <w:p>
                  <w:pPr>
                    <w:snapToGrid w:val="0"/>
                    <w:jc w:val="center"/>
                    <w:rPr>
                      <w:szCs w:val="21"/>
                      <w:lang w:val="fr-FR"/>
                    </w:rPr>
                  </w:pPr>
                  <w:r>
                    <w:rPr>
                      <w:szCs w:val="21"/>
                      <w:lang w:val="fr-FR"/>
                    </w:rPr>
                    <w:t>非甲烷总烃</w:t>
                  </w:r>
                </w:p>
              </w:tc>
              <w:tc>
                <w:tcPr>
                  <w:tcW w:w="1754" w:type="dxa"/>
                  <w:shd w:val="clear" w:color="auto" w:fill="auto"/>
                  <w:vAlign w:val="center"/>
                </w:tcPr>
                <w:p>
                  <w:pPr>
                    <w:snapToGrid w:val="0"/>
                    <w:jc w:val="center"/>
                    <w:rPr>
                      <w:szCs w:val="21"/>
                      <w:lang w:val="fr-FR"/>
                    </w:rPr>
                  </w:pPr>
                  <w:r>
                    <w:rPr>
                      <w:rFonts w:hint="eastAsia"/>
                      <w:szCs w:val="21"/>
                      <w:lang w:val="fr-FR"/>
                    </w:rPr>
                    <w:t>4.7</w:t>
                  </w:r>
                </w:p>
              </w:tc>
              <w:tc>
                <w:tcPr>
                  <w:tcW w:w="1757" w:type="dxa"/>
                  <w:shd w:val="clear" w:color="auto" w:fill="auto"/>
                  <w:vAlign w:val="center"/>
                </w:tcPr>
                <w:p>
                  <w:pPr>
                    <w:jc w:val="center"/>
                    <w:rPr>
                      <w:szCs w:val="21"/>
                      <w:lang w:val="fr-FR"/>
                    </w:rPr>
                  </w:pPr>
                  <w:r>
                    <w:rPr>
                      <w:rFonts w:hint="eastAsia"/>
                      <w:szCs w:val="21"/>
                      <w:lang w:val="fr-FR"/>
                    </w:rPr>
                    <w:t>0.026</w:t>
                  </w:r>
                </w:p>
              </w:tc>
              <w:tc>
                <w:tcPr>
                  <w:tcW w:w="1730" w:type="dxa"/>
                  <w:shd w:val="clear" w:color="auto" w:fill="auto"/>
                  <w:vAlign w:val="center"/>
                </w:tcPr>
                <w:p>
                  <w:pPr>
                    <w:jc w:val="center"/>
                    <w:rPr>
                      <w:szCs w:val="21"/>
                      <w:lang w:val="fr-FR"/>
                    </w:rPr>
                  </w:pPr>
                  <w:r>
                    <w:rPr>
                      <w:rFonts w:hint="eastAsia"/>
                      <w:szCs w:val="21"/>
                      <w:lang w:val="fr-FR"/>
                    </w:rPr>
                    <w:t>0.1237</w:t>
                  </w:r>
                </w:p>
              </w:tc>
            </w:tr>
          </w:tbl>
          <w:p>
            <w:pPr>
              <w:spacing w:line="480" w:lineRule="exact"/>
              <w:ind w:firstLine="480"/>
              <w:rPr>
                <w:sz w:val="24"/>
                <w:szCs w:val="22"/>
                <w:lang w:val="fr-FR"/>
              </w:rPr>
            </w:pPr>
            <w:r>
              <w:rPr>
                <w:sz w:val="24"/>
                <w:szCs w:val="22"/>
                <w:lang w:val="fr-FR"/>
              </w:rPr>
              <w:t>（</w:t>
            </w:r>
            <w:r>
              <w:rPr>
                <w:rFonts w:hint="eastAsia"/>
                <w:sz w:val="24"/>
                <w:szCs w:val="22"/>
                <w:lang w:val="fr-FR"/>
              </w:rPr>
              <w:t>2</w:t>
            </w:r>
            <w:r>
              <w:rPr>
                <w:sz w:val="24"/>
                <w:szCs w:val="22"/>
                <w:lang w:val="fr-FR"/>
              </w:rPr>
              <w:t>）</w:t>
            </w:r>
            <w:r>
              <w:rPr>
                <w:sz w:val="24"/>
                <w:szCs w:val="22"/>
              </w:rPr>
              <w:t>大气污染物年排放量核算</w:t>
            </w:r>
          </w:p>
          <w:p>
            <w:pPr>
              <w:spacing w:line="480" w:lineRule="exact"/>
              <w:ind w:firstLine="480"/>
              <w:rPr>
                <w:sz w:val="24"/>
                <w:szCs w:val="22"/>
              </w:rPr>
            </w:pPr>
            <w:r>
              <w:rPr>
                <w:rFonts w:hint="eastAsia"/>
                <w:sz w:val="24"/>
                <w:szCs w:val="22"/>
              </w:rPr>
              <w:t>全厂</w:t>
            </w:r>
            <w:r>
              <w:rPr>
                <w:sz w:val="24"/>
                <w:szCs w:val="22"/>
              </w:rPr>
              <w:t>大气污染物年排放量核算见</w:t>
            </w:r>
            <w:r>
              <w:rPr>
                <w:rFonts w:hint="eastAsia"/>
                <w:sz w:val="24"/>
                <w:szCs w:val="22"/>
              </w:rPr>
              <w:t>下表</w:t>
            </w:r>
            <w:r>
              <w:rPr>
                <w:sz w:val="24"/>
                <w:szCs w:val="22"/>
              </w:rPr>
              <w:t>。</w:t>
            </w:r>
          </w:p>
          <w:p>
            <w:pPr>
              <w:snapToGrid w:val="0"/>
              <w:spacing w:line="480" w:lineRule="exact"/>
              <w:ind w:firstLine="480"/>
              <w:rPr>
                <w:rFonts w:eastAsia="黑体"/>
                <w:sz w:val="24"/>
              </w:rPr>
            </w:pPr>
            <w:r>
              <w:rPr>
                <w:rFonts w:eastAsia="黑体"/>
                <w:sz w:val="24"/>
              </w:rPr>
              <w:t>表</w:t>
            </w:r>
            <w:r>
              <w:rPr>
                <w:rFonts w:hint="eastAsia" w:eastAsia="黑体"/>
                <w:sz w:val="24"/>
              </w:rPr>
              <w:t>31                                  全厂</w:t>
            </w:r>
            <w:r>
              <w:rPr>
                <w:rFonts w:eastAsia="黑体"/>
                <w:sz w:val="24"/>
              </w:rPr>
              <w:t>大气污染物年排放量核算表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2082"/>
              <w:gridCol w:w="3525"/>
              <w:gridCol w:w="381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082" w:type="dxa"/>
                  <w:shd w:val="clear" w:color="auto" w:fill="auto"/>
                  <w:vAlign w:val="center"/>
                </w:tcPr>
                <w:p>
                  <w:pPr>
                    <w:snapToGrid w:val="0"/>
                    <w:jc w:val="center"/>
                    <w:rPr>
                      <w:b/>
                      <w:szCs w:val="21"/>
                    </w:rPr>
                  </w:pPr>
                  <w:r>
                    <w:rPr>
                      <w:b/>
                      <w:szCs w:val="21"/>
                    </w:rPr>
                    <w:t>序号</w:t>
                  </w:r>
                </w:p>
              </w:tc>
              <w:tc>
                <w:tcPr>
                  <w:tcW w:w="3525" w:type="dxa"/>
                  <w:shd w:val="clear" w:color="auto" w:fill="auto"/>
                  <w:vAlign w:val="center"/>
                </w:tcPr>
                <w:p>
                  <w:pPr>
                    <w:snapToGrid w:val="0"/>
                    <w:jc w:val="center"/>
                    <w:rPr>
                      <w:b/>
                      <w:szCs w:val="21"/>
                    </w:rPr>
                  </w:pPr>
                  <w:r>
                    <w:rPr>
                      <w:b/>
                      <w:szCs w:val="21"/>
                    </w:rPr>
                    <w:t>污染物</w:t>
                  </w:r>
                </w:p>
              </w:tc>
              <w:tc>
                <w:tcPr>
                  <w:tcW w:w="3815" w:type="dxa"/>
                  <w:shd w:val="clear" w:color="auto" w:fill="auto"/>
                  <w:vAlign w:val="center"/>
                </w:tcPr>
                <w:p>
                  <w:pPr>
                    <w:snapToGrid w:val="0"/>
                    <w:jc w:val="center"/>
                    <w:rPr>
                      <w:b/>
                      <w:szCs w:val="21"/>
                    </w:rPr>
                  </w:pPr>
                  <w:r>
                    <w:rPr>
                      <w:b/>
                      <w:szCs w:val="21"/>
                    </w:rPr>
                    <w:t>年排放量/（t/a）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082" w:type="dxa"/>
                  <w:shd w:val="clear" w:color="auto" w:fill="auto"/>
                  <w:vAlign w:val="center"/>
                </w:tcPr>
                <w:p>
                  <w:pPr>
                    <w:snapToGrid w:val="0"/>
                    <w:jc w:val="center"/>
                    <w:rPr>
                      <w:szCs w:val="21"/>
                    </w:rPr>
                  </w:pPr>
                  <w:r>
                    <w:rPr>
                      <w:szCs w:val="21"/>
                    </w:rPr>
                    <w:t>1</w:t>
                  </w:r>
                </w:p>
              </w:tc>
              <w:tc>
                <w:tcPr>
                  <w:tcW w:w="3525" w:type="dxa"/>
                  <w:shd w:val="clear" w:color="auto" w:fill="auto"/>
                  <w:vAlign w:val="center"/>
                </w:tcPr>
                <w:p>
                  <w:pPr>
                    <w:snapToGrid w:val="0"/>
                    <w:jc w:val="center"/>
                    <w:rPr>
                      <w:szCs w:val="21"/>
                      <w:lang w:val="fr-FR"/>
                    </w:rPr>
                  </w:pPr>
                  <w:r>
                    <w:rPr>
                      <w:szCs w:val="21"/>
                      <w:lang w:val="fr-FR"/>
                    </w:rPr>
                    <w:t>非甲烷总烃</w:t>
                  </w:r>
                </w:p>
              </w:tc>
              <w:tc>
                <w:tcPr>
                  <w:tcW w:w="3815" w:type="dxa"/>
                  <w:shd w:val="clear" w:color="auto" w:fill="auto"/>
                  <w:vAlign w:val="center"/>
                </w:tcPr>
                <w:p>
                  <w:pPr>
                    <w:snapToGrid w:val="0"/>
                    <w:jc w:val="center"/>
                    <w:rPr>
                      <w:szCs w:val="21"/>
                    </w:rPr>
                  </w:pPr>
                  <w:r>
                    <w:rPr>
                      <w:rFonts w:hint="eastAsia"/>
                      <w:szCs w:val="21"/>
                    </w:rPr>
                    <w:t>0.1237</w:t>
                  </w:r>
                </w:p>
              </w:tc>
            </w:tr>
          </w:tbl>
          <w:p>
            <w:pPr>
              <w:spacing w:line="480" w:lineRule="exact"/>
              <w:ind w:firstLine="480"/>
              <w:rPr>
                <w:sz w:val="24"/>
                <w:szCs w:val="22"/>
              </w:rPr>
            </w:pPr>
            <w:r>
              <w:rPr>
                <w:sz w:val="24"/>
                <w:szCs w:val="22"/>
                <w:lang w:val="fr-FR"/>
              </w:rPr>
              <w:t>（</w:t>
            </w:r>
            <w:r>
              <w:rPr>
                <w:rFonts w:hint="eastAsia"/>
                <w:sz w:val="24"/>
                <w:szCs w:val="22"/>
                <w:lang w:val="fr-FR"/>
              </w:rPr>
              <w:t>3</w:t>
            </w:r>
            <w:r>
              <w:rPr>
                <w:sz w:val="24"/>
                <w:szCs w:val="22"/>
                <w:lang w:val="fr-FR"/>
              </w:rPr>
              <w:t>）</w:t>
            </w:r>
            <w:r>
              <w:rPr>
                <w:rFonts w:hint="eastAsia"/>
                <w:sz w:val="24"/>
                <w:szCs w:val="22"/>
              </w:rPr>
              <w:t>全厂废气污染物三本账</w:t>
            </w:r>
          </w:p>
          <w:p>
            <w:pPr>
              <w:spacing w:line="420" w:lineRule="exact"/>
              <w:ind w:firstLine="480" w:firstLineChars="200"/>
              <w:rPr>
                <w:sz w:val="24"/>
                <w:szCs w:val="22"/>
              </w:rPr>
            </w:pPr>
            <w:r>
              <w:rPr>
                <w:rFonts w:hint="eastAsia"/>
                <w:sz w:val="24"/>
                <w:szCs w:val="22"/>
              </w:rPr>
              <w:t>本项目为扩建项目，以新带老后做到自身削减，扩建项目建成后能够增产减污。</w:t>
            </w:r>
          </w:p>
          <w:p>
            <w:pPr>
              <w:spacing w:line="420" w:lineRule="exact"/>
              <w:ind w:firstLine="480" w:firstLineChars="200"/>
              <w:rPr>
                <w:rFonts w:eastAsia="黑体"/>
                <w:sz w:val="24"/>
              </w:rPr>
            </w:pPr>
            <w:r>
              <w:rPr>
                <w:rFonts w:hAnsi="黑体" w:eastAsia="黑体"/>
                <w:sz w:val="24"/>
              </w:rPr>
              <w:t>表</w:t>
            </w:r>
            <w:r>
              <w:rPr>
                <w:rFonts w:eastAsia="黑体"/>
                <w:sz w:val="24"/>
              </w:rPr>
              <w:t>3</w:t>
            </w:r>
            <w:r>
              <w:rPr>
                <w:rFonts w:hint="eastAsia" w:eastAsia="黑体"/>
                <w:sz w:val="24"/>
              </w:rPr>
              <w:t xml:space="preserve">2                                          </w:t>
            </w:r>
            <w:r>
              <w:rPr>
                <w:rFonts w:hAnsi="黑体" w:eastAsia="黑体"/>
                <w:sz w:val="24"/>
              </w:rPr>
              <w:t>全厂废气污染物三本账</w:t>
            </w:r>
            <w:r>
              <w:rPr>
                <w:rFonts w:hint="eastAsia" w:hAnsi="黑体" w:eastAsia="黑体"/>
                <w:sz w:val="24"/>
              </w:rPr>
              <w:t xml:space="preserve">                                       </w:t>
            </w:r>
            <w:r>
              <w:rPr>
                <w:rFonts w:hAnsi="黑体" w:eastAsia="黑体"/>
                <w:sz w:val="24"/>
              </w:rPr>
              <w:t>单位：</w:t>
            </w:r>
            <w:r>
              <w:rPr>
                <w:rFonts w:eastAsia="黑体"/>
                <w:sz w:val="24"/>
              </w:rPr>
              <w:t>t/a</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274"/>
              <w:gridCol w:w="1471"/>
              <w:gridCol w:w="1168"/>
              <w:gridCol w:w="1335"/>
              <w:gridCol w:w="1335"/>
              <w:gridCol w:w="15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04" w:type="dxa"/>
                  <w:vAlign w:val="center"/>
                </w:tcPr>
                <w:p>
                  <w:pPr>
                    <w:jc w:val="center"/>
                    <w:rPr>
                      <w:rFonts w:eastAsiaTheme="minorEastAsia"/>
                      <w:b/>
                      <w:szCs w:val="21"/>
                    </w:rPr>
                  </w:pPr>
                  <w:r>
                    <w:rPr>
                      <w:rFonts w:eastAsiaTheme="minorEastAsia"/>
                      <w:b/>
                      <w:szCs w:val="21"/>
                    </w:rPr>
                    <w:t>污染物</w:t>
                  </w:r>
                </w:p>
              </w:tc>
              <w:tc>
                <w:tcPr>
                  <w:tcW w:w="1082" w:type="dxa"/>
                  <w:vAlign w:val="center"/>
                </w:tcPr>
                <w:p>
                  <w:pPr>
                    <w:jc w:val="center"/>
                    <w:rPr>
                      <w:rFonts w:eastAsiaTheme="minorEastAsia"/>
                      <w:b/>
                      <w:szCs w:val="21"/>
                    </w:rPr>
                  </w:pPr>
                  <w:r>
                    <w:rPr>
                      <w:rFonts w:hAnsiTheme="minorEastAsia" w:eastAsiaTheme="minorEastAsia"/>
                      <w:b/>
                      <w:szCs w:val="21"/>
                    </w:rPr>
                    <w:t>现有工程实际排放量</w:t>
                  </w:r>
                </w:p>
              </w:tc>
              <w:tc>
                <w:tcPr>
                  <w:tcW w:w="1250" w:type="dxa"/>
                  <w:vAlign w:val="center"/>
                </w:tcPr>
                <w:p>
                  <w:pPr>
                    <w:jc w:val="center"/>
                    <w:rPr>
                      <w:rFonts w:eastAsiaTheme="minorEastAsia"/>
                      <w:b/>
                      <w:szCs w:val="21"/>
                    </w:rPr>
                  </w:pPr>
                  <w:r>
                    <w:rPr>
                      <w:rFonts w:hint="eastAsia" w:eastAsiaTheme="minorEastAsia"/>
                      <w:b/>
                      <w:szCs w:val="21"/>
                    </w:rPr>
                    <w:t>现有工程许可排放量</w:t>
                  </w:r>
                </w:p>
              </w:tc>
              <w:tc>
                <w:tcPr>
                  <w:tcW w:w="992" w:type="dxa"/>
                  <w:vAlign w:val="center"/>
                </w:tcPr>
                <w:p>
                  <w:pPr>
                    <w:jc w:val="center"/>
                    <w:rPr>
                      <w:rFonts w:eastAsiaTheme="minorEastAsia"/>
                      <w:b/>
                      <w:szCs w:val="21"/>
                    </w:rPr>
                  </w:pPr>
                  <w:r>
                    <w:rPr>
                      <w:rFonts w:eastAsiaTheme="minorEastAsia"/>
                      <w:b/>
                      <w:szCs w:val="21"/>
                    </w:rPr>
                    <w:t>本工程排放量</w:t>
                  </w:r>
                </w:p>
              </w:tc>
              <w:tc>
                <w:tcPr>
                  <w:tcW w:w="1134" w:type="dxa"/>
                  <w:vAlign w:val="center"/>
                </w:tcPr>
                <w:p>
                  <w:pPr>
                    <w:jc w:val="center"/>
                    <w:rPr>
                      <w:rFonts w:eastAsiaTheme="minorEastAsia"/>
                      <w:b/>
                      <w:szCs w:val="21"/>
                    </w:rPr>
                  </w:pPr>
                  <w:r>
                    <w:rPr>
                      <w:rFonts w:hAnsiTheme="minorEastAsia" w:eastAsiaTheme="minorEastAsia"/>
                      <w:b/>
                      <w:szCs w:val="21"/>
                    </w:rPr>
                    <w:t>以新带老削减量</w:t>
                  </w:r>
                </w:p>
              </w:tc>
              <w:tc>
                <w:tcPr>
                  <w:tcW w:w="1134" w:type="dxa"/>
                  <w:vAlign w:val="center"/>
                </w:tcPr>
                <w:p>
                  <w:pPr>
                    <w:jc w:val="center"/>
                    <w:rPr>
                      <w:rFonts w:eastAsiaTheme="minorEastAsia"/>
                      <w:b/>
                      <w:szCs w:val="21"/>
                    </w:rPr>
                  </w:pPr>
                  <w:r>
                    <w:rPr>
                      <w:rFonts w:hAnsiTheme="minorEastAsia" w:eastAsiaTheme="minorEastAsia"/>
                      <w:b/>
                      <w:szCs w:val="21"/>
                    </w:rPr>
                    <w:t>全厂排放量</w:t>
                  </w:r>
                </w:p>
              </w:tc>
              <w:tc>
                <w:tcPr>
                  <w:tcW w:w="1308" w:type="dxa"/>
                  <w:vAlign w:val="center"/>
                </w:tcPr>
                <w:p>
                  <w:pPr>
                    <w:jc w:val="center"/>
                    <w:rPr>
                      <w:rFonts w:eastAsiaTheme="minorEastAsia"/>
                      <w:b/>
                      <w:szCs w:val="21"/>
                    </w:rPr>
                  </w:pPr>
                  <w:r>
                    <w:rPr>
                      <w:rFonts w:eastAsiaTheme="minorEastAsia"/>
                      <w:b/>
                      <w:szCs w:val="21"/>
                    </w:rPr>
                    <w:t>全厂排放增减量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Align w:val="center"/>
                </w:tcPr>
                <w:p>
                  <w:pPr>
                    <w:jc w:val="center"/>
                    <w:rPr>
                      <w:rFonts w:eastAsiaTheme="minorEastAsia"/>
                      <w:szCs w:val="21"/>
                    </w:rPr>
                  </w:pPr>
                  <w:r>
                    <w:rPr>
                      <w:rFonts w:eastAsiaTheme="minorEastAsia"/>
                      <w:szCs w:val="21"/>
                    </w:rPr>
                    <w:t>VOCs</w:t>
                  </w:r>
                </w:p>
              </w:tc>
              <w:tc>
                <w:tcPr>
                  <w:tcW w:w="1082" w:type="dxa"/>
                  <w:vAlign w:val="center"/>
                </w:tcPr>
                <w:p>
                  <w:pPr>
                    <w:jc w:val="center"/>
                    <w:rPr>
                      <w:rFonts w:eastAsiaTheme="minorEastAsia"/>
                      <w:szCs w:val="21"/>
                    </w:rPr>
                  </w:pPr>
                  <w:r>
                    <w:rPr>
                      <w:rFonts w:hint="eastAsia" w:eastAsiaTheme="minorEastAsia"/>
                      <w:szCs w:val="21"/>
                    </w:rPr>
                    <w:t>0.2136</w:t>
                  </w:r>
                </w:p>
              </w:tc>
              <w:tc>
                <w:tcPr>
                  <w:tcW w:w="1250" w:type="dxa"/>
                  <w:vAlign w:val="center"/>
                </w:tcPr>
                <w:p>
                  <w:pPr>
                    <w:jc w:val="center"/>
                    <w:rPr>
                      <w:rFonts w:eastAsiaTheme="minorEastAsia"/>
                      <w:szCs w:val="21"/>
                    </w:rPr>
                  </w:pPr>
                  <w:r>
                    <w:rPr>
                      <w:rFonts w:hint="eastAsia" w:eastAsiaTheme="minorEastAsia"/>
                      <w:szCs w:val="21"/>
                    </w:rPr>
                    <w:t>0.2136</w:t>
                  </w:r>
                </w:p>
              </w:tc>
              <w:tc>
                <w:tcPr>
                  <w:tcW w:w="992" w:type="dxa"/>
                  <w:vAlign w:val="center"/>
                </w:tcPr>
                <w:p>
                  <w:pPr>
                    <w:jc w:val="center"/>
                    <w:rPr>
                      <w:rFonts w:eastAsiaTheme="minorEastAsia"/>
                      <w:szCs w:val="21"/>
                    </w:rPr>
                  </w:pPr>
                  <w:r>
                    <w:rPr>
                      <w:rFonts w:hint="eastAsia" w:eastAsiaTheme="minorEastAsia"/>
                      <w:szCs w:val="21"/>
                    </w:rPr>
                    <w:t>0.0474</w:t>
                  </w:r>
                </w:p>
              </w:tc>
              <w:tc>
                <w:tcPr>
                  <w:tcW w:w="1134" w:type="dxa"/>
                  <w:vAlign w:val="center"/>
                </w:tcPr>
                <w:p>
                  <w:pPr>
                    <w:jc w:val="center"/>
                    <w:rPr>
                      <w:rFonts w:eastAsiaTheme="minorEastAsia"/>
                      <w:szCs w:val="21"/>
                    </w:rPr>
                  </w:pPr>
                  <w:r>
                    <w:rPr>
                      <w:rFonts w:hint="eastAsia" w:eastAsiaTheme="minorEastAsia"/>
                      <w:szCs w:val="21"/>
                    </w:rPr>
                    <w:t>0.1373</w:t>
                  </w:r>
                </w:p>
              </w:tc>
              <w:tc>
                <w:tcPr>
                  <w:tcW w:w="1134" w:type="dxa"/>
                  <w:vAlign w:val="center"/>
                </w:tcPr>
                <w:p>
                  <w:pPr>
                    <w:jc w:val="center"/>
                    <w:rPr>
                      <w:rFonts w:eastAsiaTheme="minorEastAsia"/>
                      <w:szCs w:val="21"/>
                    </w:rPr>
                  </w:pPr>
                  <w:r>
                    <w:rPr>
                      <w:rFonts w:hint="eastAsia" w:eastAsiaTheme="minorEastAsia"/>
                      <w:szCs w:val="21"/>
                    </w:rPr>
                    <w:t>0.1237</w:t>
                  </w:r>
                </w:p>
              </w:tc>
              <w:tc>
                <w:tcPr>
                  <w:tcW w:w="1308" w:type="dxa"/>
                  <w:vAlign w:val="center"/>
                </w:tcPr>
                <w:p>
                  <w:pPr>
                    <w:jc w:val="center"/>
                    <w:rPr>
                      <w:rFonts w:eastAsiaTheme="minorEastAsia"/>
                      <w:szCs w:val="21"/>
                    </w:rPr>
                  </w:pPr>
                  <w:r>
                    <w:rPr>
                      <w:rFonts w:hint="eastAsia" w:eastAsiaTheme="minorEastAsia"/>
                      <w:szCs w:val="21"/>
                    </w:rPr>
                    <w:t>-0.0899</w:t>
                  </w:r>
                </w:p>
              </w:tc>
            </w:tr>
          </w:tbl>
          <w:p>
            <w:pPr>
              <w:spacing w:line="480" w:lineRule="exact"/>
              <w:ind w:firstLine="482"/>
              <w:rPr>
                <w:b/>
                <w:sz w:val="24"/>
              </w:rPr>
            </w:pPr>
            <w:r>
              <w:rPr>
                <w:b/>
                <w:sz w:val="24"/>
              </w:rPr>
              <w:t>4、环境空气质量影响分析</w:t>
            </w:r>
          </w:p>
          <w:p>
            <w:pPr>
              <w:spacing w:line="480" w:lineRule="exact"/>
              <w:ind w:firstLine="480"/>
              <w:outlineLvl w:val="1"/>
              <w:rPr>
                <w:bCs/>
                <w:sz w:val="24"/>
              </w:rPr>
            </w:pPr>
            <w:r>
              <w:rPr>
                <w:bCs/>
                <w:sz w:val="24"/>
              </w:rPr>
              <w:t>（1）预测因子</w:t>
            </w:r>
          </w:p>
          <w:p>
            <w:pPr>
              <w:spacing w:line="480" w:lineRule="exact"/>
              <w:ind w:firstLine="480"/>
              <w:rPr>
                <w:sz w:val="24"/>
              </w:rPr>
            </w:pPr>
            <w:r>
              <w:rPr>
                <w:sz w:val="24"/>
              </w:rPr>
              <w:t>根据项目工程特点，选取非甲烷总烃作为预测因子。</w:t>
            </w:r>
          </w:p>
          <w:p>
            <w:pPr>
              <w:spacing w:line="480" w:lineRule="exact"/>
              <w:ind w:firstLine="480"/>
              <w:outlineLvl w:val="2"/>
              <w:rPr>
                <w:bCs/>
                <w:sz w:val="24"/>
              </w:rPr>
            </w:pPr>
            <w:r>
              <w:rPr>
                <w:bCs/>
                <w:sz w:val="24"/>
              </w:rPr>
              <w:t>（2）评价标准</w:t>
            </w:r>
          </w:p>
          <w:p>
            <w:pPr>
              <w:spacing w:line="480" w:lineRule="exact"/>
              <w:ind w:firstLine="480"/>
              <w:rPr>
                <w:sz w:val="24"/>
              </w:rPr>
            </w:pPr>
            <w:r>
              <w:rPr>
                <w:sz w:val="24"/>
              </w:rPr>
              <w:t>本次评价标准执行见</w:t>
            </w:r>
            <w:r>
              <w:rPr>
                <w:rFonts w:hint="eastAsia"/>
                <w:sz w:val="24"/>
              </w:rPr>
              <w:t>下表</w:t>
            </w:r>
            <w:r>
              <w:rPr>
                <w:sz w:val="24"/>
              </w:rPr>
              <w:t>。</w:t>
            </w:r>
          </w:p>
          <w:p>
            <w:pPr>
              <w:spacing w:line="440" w:lineRule="exact"/>
              <w:ind w:firstLine="480"/>
              <w:rPr>
                <w:rFonts w:eastAsia="黑体"/>
                <w:sz w:val="24"/>
              </w:rPr>
            </w:pPr>
            <w:r>
              <w:rPr>
                <w:rFonts w:eastAsia="黑体"/>
                <w:sz w:val="24"/>
              </w:rPr>
              <w:t>表</w:t>
            </w:r>
            <w:r>
              <w:rPr>
                <w:rFonts w:hint="eastAsia" w:eastAsia="黑体"/>
                <w:sz w:val="24"/>
              </w:rPr>
              <w:t>33</w:t>
            </w:r>
            <w:r>
              <w:rPr>
                <w:rFonts w:eastAsia="黑体"/>
                <w:sz w:val="24"/>
              </w:rPr>
              <w:t xml:space="preserve">        </w:t>
            </w:r>
            <w:r>
              <w:rPr>
                <w:rFonts w:hint="eastAsia" w:eastAsia="黑体"/>
                <w:sz w:val="24"/>
              </w:rPr>
              <w:t xml:space="preserve">                                       </w:t>
            </w:r>
            <w:r>
              <w:rPr>
                <w:rFonts w:eastAsia="黑体"/>
                <w:sz w:val="24"/>
              </w:rPr>
              <w:t xml:space="preserve">   评价标准</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592"/>
              <w:gridCol w:w="2410"/>
              <w:gridCol w:w="542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1592" w:type="dxa"/>
                  <w:shd w:val="clear" w:color="auto" w:fill="auto"/>
                  <w:vAlign w:val="center"/>
                </w:tcPr>
                <w:p>
                  <w:pPr>
                    <w:snapToGrid w:val="0"/>
                    <w:jc w:val="center"/>
                    <w:rPr>
                      <w:b/>
                      <w:szCs w:val="21"/>
                    </w:rPr>
                  </w:pPr>
                  <w:r>
                    <w:rPr>
                      <w:b/>
                      <w:szCs w:val="21"/>
                    </w:rPr>
                    <w:t>评价因子</w:t>
                  </w:r>
                </w:p>
              </w:tc>
              <w:tc>
                <w:tcPr>
                  <w:tcW w:w="2410" w:type="dxa"/>
                  <w:shd w:val="clear" w:color="auto" w:fill="auto"/>
                  <w:vAlign w:val="center"/>
                </w:tcPr>
                <w:p>
                  <w:pPr>
                    <w:snapToGrid w:val="0"/>
                    <w:jc w:val="center"/>
                    <w:rPr>
                      <w:b/>
                      <w:szCs w:val="21"/>
                    </w:rPr>
                  </w:pPr>
                  <w:r>
                    <w:rPr>
                      <w:b/>
                      <w:szCs w:val="21"/>
                    </w:rPr>
                    <w:t>浓度值</w:t>
                  </w:r>
                </w:p>
              </w:tc>
              <w:tc>
                <w:tcPr>
                  <w:tcW w:w="5420" w:type="dxa"/>
                  <w:shd w:val="clear" w:color="auto" w:fill="auto"/>
                  <w:vAlign w:val="center"/>
                </w:tcPr>
                <w:p>
                  <w:pPr>
                    <w:snapToGrid w:val="0"/>
                    <w:jc w:val="center"/>
                    <w:rPr>
                      <w:b/>
                      <w:szCs w:val="21"/>
                    </w:rPr>
                  </w:pPr>
                  <w:r>
                    <w:rPr>
                      <w:b/>
                      <w:szCs w:val="21"/>
                    </w:rPr>
                    <w:t>标准名称</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592" w:type="dxa"/>
                  <w:shd w:val="clear" w:color="auto" w:fill="auto"/>
                  <w:vAlign w:val="center"/>
                </w:tcPr>
                <w:p>
                  <w:pPr>
                    <w:jc w:val="center"/>
                    <w:rPr>
                      <w:szCs w:val="21"/>
                    </w:rPr>
                  </w:pPr>
                  <w:r>
                    <w:rPr>
                      <w:szCs w:val="21"/>
                    </w:rPr>
                    <w:t>非甲烷总烃</w:t>
                  </w:r>
                </w:p>
              </w:tc>
              <w:tc>
                <w:tcPr>
                  <w:tcW w:w="2410" w:type="dxa"/>
                  <w:shd w:val="clear" w:color="auto" w:fill="auto"/>
                  <w:vAlign w:val="center"/>
                </w:tcPr>
                <w:p>
                  <w:pPr>
                    <w:jc w:val="center"/>
                  </w:pPr>
                  <w:r>
                    <w:t>2.0mg/m</w:t>
                  </w:r>
                  <w:r>
                    <w:rPr>
                      <w:vertAlign w:val="superscript"/>
                    </w:rPr>
                    <w:t>3</w:t>
                  </w:r>
                  <w:r>
                    <w:t>（</w:t>
                  </w:r>
                  <w:r>
                    <w:rPr>
                      <w:spacing w:val="-5"/>
                    </w:rPr>
                    <w:t>1小时平均</w:t>
                  </w:r>
                  <w:r>
                    <w:t>）</w:t>
                  </w:r>
                </w:p>
              </w:tc>
              <w:tc>
                <w:tcPr>
                  <w:tcW w:w="5420" w:type="dxa"/>
                  <w:shd w:val="clear" w:color="auto" w:fill="auto"/>
                  <w:vAlign w:val="center"/>
                </w:tcPr>
                <w:p>
                  <w:pPr>
                    <w:snapToGrid w:val="0"/>
                    <w:jc w:val="center"/>
                    <w:rPr>
                      <w:bCs/>
                      <w:spacing w:val="5"/>
                      <w:szCs w:val="21"/>
                    </w:rPr>
                  </w:pPr>
                  <w:r>
                    <w:rPr>
                      <w:bCs/>
                      <w:spacing w:val="5"/>
                      <w:szCs w:val="21"/>
                    </w:rPr>
                    <w:t>《大气综合污染物排放标准详解》第四章标准值说明</w:t>
                  </w:r>
                </w:p>
                <w:p>
                  <w:pPr>
                    <w:snapToGrid w:val="0"/>
                    <w:jc w:val="center"/>
                    <w:rPr>
                      <w:szCs w:val="21"/>
                    </w:rPr>
                  </w:pPr>
                  <w:r>
                    <w:rPr>
                      <w:bCs/>
                      <w:spacing w:val="5"/>
                      <w:szCs w:val="21"/>
                    </w:rPr>
                    <w:t>三十一、非甲烷总烃</w:t>
                  </w:r>
                </w:p>
              </w:tc>
            </w:tr>
          </w:tbl>
          <w:p>
            <w:pPr>
              <w:spacing w:line="440" w:lineRule="exact"/>
              <w:ind w:firstLine="480"/>
              <w:outlineLvl w:val="2"/>
              <w:rPr>
                <w:bCs/>
                <w:sz w:val="24"/>
              </w:rPr>
            </w:pPr>
            <w:r>
              <w:rPr>
                <w:bCs/>
                <w:sz w:val="24"/>
              </w:rPr>
              <w:t>（3）污染源排放清单</w:t>
            </w:r>
          </w:p>
          <w:p>
            <w:pPr>
              <w:spacing w:line="460" w:lineRule="exact"/>
              <w:ind w:firstLine="480"/>
              <w:rPr>
                <w:sz w:val="24"/>
              </w:rPr>
            </w:pPr>
            <w:r>
              <w:rPr>
                <w:sz w:val="24"/>
              </w:rPr>
              <w:t>项目污染源排放参数见</w:t>
            </w:r>
            <w:r>
              <w:rPr>
                <w:rFonts w:hint="eastAsia"/>
                <w:sz w:val="24"/>
              </w:rPr>
              <w:t>下表</w:t>
            </w:r>
            <w:r>
              <w:rPr>
                <w:sz w:val="24"/>
              </w:rPr>
              <w:t>。</w:t>
            </w:r>
          </w:p>
          <w:p>
            <w:pPr>
              <w:spacing w:line="440" w:lineRule="exact"/>
              <w:ind w:firstLine="480"/>
              <w:rPr>
                <w:rFonts w:eastAsia="黑体"/>
                <w:sz w:val="24"/>
              </w:rPr>
            </w:pPr>
            <w:r>
              <w:rPr>
                <w:rFonts w:eastAsia="黑体"/>
                <w:sz w:val="24"/>
              </w:rPr>
              <w:t>表</w:t>
            </w:r>
            <w:r>
              <w:rPr>
                <w:rFonts w:hint="eastAsia" w:eastAsia="黑体"/>
                <w:sz w:val="24"/>
              </w:rPr>
              <w:t>34</w:t>
            </w:r>
            <w:r>
              <w:rPr>
                <w:rFonts w:eastAsia="黑体"/>
                <w:sz w:val="24"/>
              </w:rPr>
              <w:t xml:space="preserve">   </w:t>
            </w:r>
            <w:r>
              <w:rPr>
                <w:rFonts w:hint="eastAsia" w:eastAsia="黑体"/>
                <w:sz w:val="24"/>
              </w:rPr>
              <w:t xml:space="preserve">                                    </w:t>
            </w:r>
            <w:r>
              <w:rPr>
                <w:rFonts w:eastAsia="黑体"/>
                <w:sz w:val="24"/>
              </w:rPr>
              <w:t>项目点源排放参数调查表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8"/>
              <w:gridCol w:w="507"/>
              <w:gridCol w:w="497"/>
              <w:gridCol w:w="957"/>
              <w:gridCol w:w="786"/>
              <w:gridCol w:w="746"/>
              <w:gridCol w:w="754"/>
              <w:gridCol w:w="754"/>
              <w:gridCol w:w="697"/>
              <w:gridCol w:w="678"/>
              <w:gridCol w:w="1183"/>
              <w:gridCol w:w="96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898" w:type="dxa"/>
                  <w:shd w:val="clear" w:color="auto" w:fill="auto"/>
                  <w:vAlign w:val="center"/>
                </w:tcPr>
                <w:p>
                  <w:pPr>
                    <w:jc w:val="center"/>
                    <w:rPr>
                      <w:b/>
                      <w:szCs w:val="21"/>
                    </w:rPr>
                  </w:pPr>
                  <w:r>
                    <w:rPr>
                      <w:b/>
                      <w:szCs w:val="21"/>
                    </w:rPr>
                    <w:t>点源</w:t>
                  </w:r>
                </w:p>
                <w:p>
                  <w:pPr>
                    <w:jc w:val="center"/>
                    <w:rPr>
                      <w:b/>
                      <w:szCs w:val="21"/>
                    </w:rPr>
                  </w:pPr>
                  <w:r>
                    <w:rPr>
                      <w:b/>
                      <w:szCs w:val="21"/>
                    </w:rPr>
                    <w:t>名称</w:t>
                  </w:r>
                </w:p>
              </w:tc>
              <w:tc>
                <w:tcPr>
                  <w:tcW w:w="507" w:type="dxa"/>
                  <w:shd w:val="clear" w:color="auto" w:fill="auto"/>
                  <w:vAlign w:val="center"/>
                </w:tcPr>
                <w:p>
                  <w:pPr>
                    <w:jc w:val="center"/>
                    <w:rPr>
                      <w:b/>
                      <w:szCs w:val="21"/>
                    </w:rPr>
                  </w:pPr>
                  <w:r>
                    <w:rPr>
                      <w:b/>
                      <w:szCs w:val="21"/>
                    </w:rPr>
                    <w:t>X坐标</w:t>
                  </w:r>
                </w:p>
              </w:tc>
              <w:tc>
                <w:tcPr>
                  <w:tcW w:w="497" w:type="dxa"/>
                  <w:shd w:val="clear" w:color="auto" w:fill="auto"/>
                  <w:vAlign w:val="center"/>
                </w:tcPr>
                <w:p>
                  <w:pPr>
                    <w:jc w:val="center"/>
                    <w:rPr>
                      <w:b/>
                      <w:szCs w:val="21"/>
                    </w:rPr>
                  </w:pPr>
                  <w:r>
                    <w:rPr>
                      <w:b/>
                      <w:szCs w:val="21"/>
                    </w:rPr>
                    <w:t>Y坐标</w:t>
                  </w:r>
                </w:p>
              </w:tc>
              <w:tc>
                <w:tcPr>
                  <w:tcW w:w="957" w:type="dxa"/>
                  <w:shd w:val="clear" w:color="auto" w:fill="auto"/>
                  <w:vAlign w:val="center"/>
                </w:tcPr>
                <w:p>
                  <w:pPr>
                    <w:jc w:val="center"/>
                    <w:rPr>
                      <w:b/>
                      <w:szCs w:val="21"/>
                    </w:rPr>
                  </w:pPr>
                  <w:r>
                    <w:rPr>
                      <w:b/>
                      <w:szCs w:val="21"/>
                    </w:rPr>
                    <w:t>排气筒底部海拔</w:t>
                  </w:r>
                </w:p>
              </w:tc>
              <w:tc>
                <w:tcPr>
                  <w:tcW w:w="786" w:type="dxa"/>
                  <w:shd w:val="clear" w:color="auto" w:fill="auto"/>
                  <w:vAlign w:val="center"/>
                </w:tcPr>
                <w:p>
                  <w:pPr>
                    <w:jc w:val="center"/>
                    <w:rPr>
                      <w:b/>
                      <w:szCs w:val="21"/>
                    </w:rPr>
                  </w:pPr>
                  <w:r>
                    <w:rPr>
                      <w:b/>
                      <w:szCs w:val="21"/>
                    </w:rPr>
                    <w:t>排气筒高度</w:t>
                  </w:r>
                </w:p>
              </w:tc>
              <w:tc>
                <w:tcPr>
                  <w:tcW w:w="746" w:type="dxa"/>
                  <w:shd w:val="clear" w:color="auto" w:fill="auto"/>
                  <w:vAlign w:val="center"/>
                </w:tcPr>
                <w:p>
                  <w:pPr>
                    <w:jc w:val="center"/>
                    <w:rPr>
                      <w:b/>
                      <w:szCs w:val="21"/>
                    </w:rPr>
                  </w:pPr>
                  <w:r>
                    <w:rPr>
                      <w:b/>
                      <w:szCs w:val="21"/>
                    </w:rPr>
                    <w:t>排气筒内径</w:t>
                  </w:r>
                </w:p>
              </w:tc>
              <w:tc>
                <w:tcPr>
                  <w:tcW w:w="754" w:type="dxa"/>
                  <w:shd w:val="clear" w:color="auto" w:fill="auto"/>
                  <w:vAlign w:val="center"/>
                </w:tcPr>
                <w:p>
                  <w:pPr>
                    <w:jc w:val="center"/>
                    <w:rPr>
                      <w:b/>
                      <w:szCs w:val="21"/>
                    </w:rPr>
                  </w:pPr>
                  <w:r>
                    <w:rPr>
                      <w:b/>
                      <w:szCs w:val="21"/>
                    </w:rPr>
                    <w:t>废气出口速度</w:t>
                  </w:r>
                </w:p>
              </w:tc>
              <w:tc>
                <w:tcPr>
                  <w:tcW w:w="754" w:type="dxa"/>
                  <w:shd w:val="clear" w:color="auto" w:fill="auto"/>
                  <w:vAlign w:val="center"/>
                </w:tcPr>
                <w:p>
                  <w:pPr>
                    <w:jc w:val="center"/>
                    <w:rPr>
                      <w:b/>
                      <w:szCs w:val="21"/>
                    </w:rPr>
                  </w:pPr>
                  <w:r>
                    <w:rPr>
                      <w:b/>
                      <w:szCs w:val="21"/>
                    </w:rPr>
                    <w:t>废气出口温度</w:t>
                  </w:r>
                </w:p>
              </w:tc>
              <w:tc>
                <w:tcPr>
                  <w:tcW w:w="697" w:type="dxa"/>
                  <w:shd w:val="clear" w:color="auto" w:fill="auto"/>
                  <w:vAlign w:val="center"/>
                </w:tcPr>
                <w:p>
                  <w:pPr>
                    <w:jc w:val="center"/>
                    <w:rPr>
                      <w:b/>
                      <w:szCs w:val="21"/>
                    </w:rPr>
                  </w:pPr>
                  <w:r>
                    <w:rPr>
                      <w:b/>
                      <w:szCs w:val="21"/>
                    </w:rPr>
                    <w:t>年排放小时数</w:t>
                  </w:r>
                </w:p>
              </w:tc>
              <w:tc>
                <w:tcPr>
                  <w:tcW w:w="678" w:type="dxa"/>
                  <w:shd w:val="clear" w:color="auto" w:fill="auto"/>
                  <w:vAlign w:val="center"/>
                </w:tcPr>
                <w:p>
                  <w:pPr>
                    <w:jc w:val="center"/>
                    <w:rPr>
                      <w:b/>
                      <w:szCs w:val="21"/>
                    </w:rPr>
                  </w:pPr>
                  <w:r>
                    <w:rPr>
                      <w:b/>
                      <w:szCs w:val="21"/>
                    </w:rPr>
                    <w:t>排放</w:t>
                  </w:r>
                </w:p>
                <w:p>
                  <w:pPr>
                    <w:jc w:val="center"/>
                    <w:rPr>
                      <w:b/>
                      <w:szCs w:val="21"/>
                    </w:rPr>
                  </w:pPr>
                  <w:r>
                    <w:rPr>
                      <w:b/>
                      <w:szCs w:val="21"/>
                    </w:rPr>
                    <w:t>工况</w:t>
                  </w:r>
                </w:p>
              </w:tc>
              <w:tc>
                <w:tcPr>
                  <w:tcW w:w="1183" w:type="dxa"/>
                  <w:vMerge w:val="restart"/>
                  <w:shd w:val="clear" w:color="auto" w:fill="auto"/>
                  <w:vAlign w:val="center"/>
                </w:tcPr>
                <w:p>
                  <w:pPr>
                    <w:jc w:val="center"/>
                    <w:rPr>
                      <w:b/>
                      <w:szCs w:val="21"/>
                    </w:rPr>
                  </w:pPr>
                  <w:r>
                    <w:rPr>
                      <w:b/>
                      <w:szCs w:val="21"/>
                    </w:rPr>
                    <w:t>污染物</w:t>
                  </w:r>
                </w:p>
              </w:tc>
              <w:tc>
                <w:tcPr>
                  <w:tcW w:w="965" w:type="dxa"/>
                  <w:shd w:val="clear" w:color="auto" w:fill="auto"/>
                  <w:vAlign w:val="center"/>
                </w:tcPr>
                <w:p>
                  <w:pPr>
                    <w:jc w:val="center"/>
                    <w:rPr>
                      <w:b/>
                      <w:szCs w:val="21"/>
                    </w:rPr>
                  </w:pPr>
                  <w:r>
                    <w:rPr>
                      <w:b/>
                      <w:szCs w:val="21"/>
                    </w:rPr>
                    <w:t>源强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dxa"/>
                  <w:shd w:val="clear" w:color="auto" w:fill="auto"/>
                  <w:vAlign w:val="center"/>
                </w:tcPr>
                <w:p>
                  <w:pPr>
                    <w:jc w:val="center"/>
                    <w:rPr>
                      <w:b/>
                      <w:szCs w:val="21"/>
                    </w:rPr>
                  </w:pPr>
                  <w:r>
                    <w:rPr>
                      <w:b/>
                      <w:szCs w:val="21"/>
                    </w:rPr>
                    <w:t>单位</w:t>
                  </w:r>
                </w:p>
              </w:tc>
              <w:tc>
                <w:tcPr>
                  <w:tcW w:w="507" w:type="dxa"/>
                  <w:shd w:val="clear" w:color="auto" w:fill="auto"/>
                  <w:vAlign w:val="center"/>
                </w:tcPr>
                <w:p>
                  <w:pPr>
                    <w:jc w:val="center"/>
                    <w:rPr>
                      <w:b/>
                      <w:szCs w:val="21"/>
                    </w:rPr>
                  </w:pPr>
                  <w:r>
                    <w:rPr>
                      <w:b/>
                      <w:szCs w:val="21"/>
                    </w:rPr>
                    <w:t>m</w:t>
                  </w:r>
                </w:p>
              </w:tc>
              <w:tc>
                <w:tcPr>
                  <w:tcW w:w="497" w:type="dxa"/>
                  <w:shd w:val="clear" w:color="auto" w:fill="auto"/>
                  <w:vAlign w:val="center"/>
                </w:tcPr>
                <w:p>
                  <w:pPr>
                    <w:jc w:val="center"/>
                    <w:rPr>
                      <w:b/>
                      <w:szCs w:val="21"/>
                    </w:rPr>
                  </w:pPr>
                  <w:r>
                    <w:rPr>
                      <w:b/>
                      <w:szCs w:val="21"/>
                    </w:rPr>
                    <w:t>m</w:t>
                  </w:r>
                </w:p>
              </w:tc>
              <w:tc>
                <w:tcPr>
                  <w:tcW w:w="957" w:type="dxa"/>
                  <w:shd w:val="clear" w:color="auto" w:fill="auto"/>
                  <w:vAlign w:val="center"/>
                </w:tcPr>
                <w:p>
                  <w:pPr>
                    <w:jc w:val="center"/>
                    <w:rPr>
                      <w:b/>
                      <w:szCs w:val="21"/>
                    </w:rPr>
                  </w:pPr>
                  <w:r>
                    <w:rPr>
                      <w:b/>
                      <w:szCs w:val="21"/>
                    </w:rPr>
                    <w:t>m</w:t>
                  </w:r>
                </w:p>
              </w:tc>
              <w:tc>
                <w:tcPr>
                  <w:tcW w:w="786" w:type="dxa"/>
                  <w:shd w:val="clear" w:color="auto" w:fill="auto"/>
                  <w:vAlign w:val="center"/>
                </w:tcPr>
                <w:p>
                  <w:pPr>
                    <w:jc w:val="center"/>
                    <w:rPr>
                      <w:b/>
                      <w:szCs w:val="21"/>
                    </w:rPr>
                  </w:pPr>
                  <w:r>
                    <w:rPr>
                      <w:b/>
                      <w:szCs w:val="21"/>
                    </w:rPr>
                    <w:t>m</w:t>
                  </w:r>
                </w:p>
              </w:tc>
              <w:tc>
                <w:tcPr>
                  <w:tcW w:w="746" w:type="dxa"/>
                  <w:shd w:val="clear" w:color="auto" w:fill="auto"/>
                  <w:vAlign w:val="center"/>
                </w:tcPr>
                <w:p>
                  <w:pPr>
                    <w:jc w:val="center"/>
                    <w:rPr>
                      <w:b/>
                      <w:szCs w:val="21"/>
                    </w:rPr>
                  </w:pPr>
                  <w:r>
                    <w:rPr>
                      <w:b/>
                      <w:szCs w:val="21"/>
                    </w:rPr>
                    <w:t>m</w:t>
                  </w:r>
                </w:p>
              </w:tc>
              <w:tc>
                <w:tcPr>
                  <w:tcW w:w="754" w:type="dxa"/>
                  <w:shd w:val="clear" w:color="auto" w:fill="auto"/>
                  <w:vAlign w:val="center"/>
                </w:tcPr>
                <w:p>
                  <w:pPr>
                    <w:jc w:val="center"/>
                    <w:rPr>
                      <w:b/>
                      <w:szCs w:val="21"/>
                    </w:rPr>
                  </w:pPr>
                  <w:r>
                    <w:rPr>
                      <w:b/>
                      <w:szCs w:val="21"/>
                    </w:rPr>
                    <w:t>m/s</w:t>
                  </w:r>
                </w:p>
              </w:tc>
              <w:tc>
                <w:tcPr>
                  <w:tcW w:w="754" w:type="dxa"/>
                  <w:shd w:val="clear" w:color="auto" w:fill="auto"/>
                  <w:vAlign w:val="center"/>
                </w:tcPr>
                <w:p>
                  <w:pPr>
                    <w:jc w:val="center"/>
                    <w:rPr>
                      <w:b/>
                      <w:szCs w:val="21"/>
                    </w:rPr>
                  </w:pPr>
                  <w:r>
                    <w:rPr>
                      <w:b/>
                      <w:szCs w:val="21"/>
                    </w:rPr>
                    <w:t>K</w:t>
                  </w:r>
                </w:p>
              </w:tc>
              <w:tc>
                <w:tcPr>
                  <w:tcW w:w="697" w:type="dxa"/>
                  <w:shd w:val="clear" w:color="auto" w:fill="auto"/>
                  <w:vAlign w:val="center"/>
                </w:tcPr>
                <w:p>
                  <w:pPr>
                    <w:jc w:val="center"/>
                    <w:rPr>
                      <w:b/>
                      <w:szCs w:val="21"/>
                    </w:rPr>
                  </w:pPr>
                  <w:r>
                    <w:rPr>
                      <w:b/>
                      <w:szCs w:val="21"/>
                    </w:rPr>
                    <w:t>h</w:t>
                  </w:r>
                </w:p>
              </w:tc>
              <w:tc>
                <w:tcPr>
                  <w:tcW w:w="678" w:type="dxa"/>
                  <w:shd w:val="clear" w:color="auto" w:fill="auto"/>
                  <w:vAlign w:val="center"/>
                </w:tcPr>
                <w:p>
                  <w:pPr>
                    <w:jc w:val="center"/>
                    <w:rPr>
                      <w:b/>
                      <w:szCs w:val="21"/>
                    </w:rPr>
                  </w:pPr>
                  <w:r>
                    <w:rPr>
                      <w:b/>
                      <w:szCs w:val="21"/>
                    </w:rPr>
                    <w:t>/</w:t>
                  </w:r>
                </w:p>
              </w:tc>
              <w:tc>
                <w:tcPr>
                  <w:tcW w:w="1183" w:type="dxa"/>
                  <w:vMerge w:val="continue"/>
                  <w:shd w:val="clear" w:color="auto" w:fill="auto"/>
                  <w:vAlign w:val="center"/>
                </w:tcPr>
                <w:p>
                  <w:pPr>
                    <w:jc w:val="center"/>
                    <w:rPr>
                      <w:b/>
                      <w:szCs w:val="21"/>
                    </w:rPr>
                  </w:pPr>
                </w:p>
              </w:tc>
              <w:tc>
                <w:tcPr>
                  <w:tcW w:w="965" w:type="dxa"/>
                  <w:shd w:val="clear" w:color="auto" w:fill="auto"/>
                  <w:vAlign w:val="center"/>
                </w:tcPr>
                <w:p>
                  <w:pPr>
                    <w:jc w:val="center"/>
                    <w:rPr>
                      <w:b/>
                      <w:szCs w:val="21"/>
                    </w:rPr>
                  </w:pPr>
                  <w:r>
                    <w:rPr>
                      <w:b/>
                      <w:szCs w:val="21"/>
                    </w:rPr>
                    <w:t>kg/h</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dxa"/>
                  <w:shd w:val="clear" w:color="auto" w:fill="auto"/>
                  <w:vAlign w:val="center"/>
                </w:tcPr>
                <w:p>
                  <w:pPr>
                    <w:jc w:val="center"/>
                    <w:rPr>
                      <w:szCs w:val="21"/>
                    </w:rPr>
                  </w:pPr>
                  <w:r>
                    <w:rPr>
                      <w:szCs w:val="21"/>
                    </w:rPr>
                    <w:t>排气筒</w:t>
                  </w:r>
                </w:p>
              </w:tc>
              <w:tc>
                <w:tcPr>
                  <w:tcW w:w="507" w:type="dxa"/>
                  <w:shd w:val="clear" w:color="auto" w:fill="auto"/>
                  <w:vAlign w:val="center"/>
                </w:tcPr>
                <w:p>
                  <w:pPr>
                    <w:jc w:val="center"/>
                    <w:rPr>
                      <w:szCs w:val="21"/>
                    </w:rPr>
                  </w:pPr>
                  <w:r>
                    <w:rPr>
                      <w:szCs w:val="21"/>
                    </w:rPr>
                    <w:t>0</w:t>
                  </w:r>
                </w:p>
              </w:tc>
              <w:tc>
                <w:tcPr>
                  <w:tcW w:w="497" w:type="dxa"/>
                  <w:shd w:val="clear" w:color="auto" w:fill="auto"/>
                  <w:vAlign w:val="center"/>
                </w:tcPr>
                <w:p>
                  <w:pPr>
                    <w:jc w:val="center"/>
                    <w:rPr>
                      <w:szCs w:val="21"/>
                    </w:rPr>
                  </w:pPr>
                  <w:r>
                    <w:rPr>
                      <w:szCs w:val="21"/>
                    </w:rPr>
                    <w:t>0</w:t>
                  </w:r>
                </w:p>
              </w:tc>
              <w:tc>
                <w:tcPr>
                  <w:tcW w:w="957" w:type="dxa"/>
                  <w:shd w:val="clear" w:color="auto" w:fill="auto"/>
                  <w:vAlign w:val="center"/>
                </w:tcPr>
                <w:p>
                  <w:pPr>
                    <w:jc w:val="center"/>
                    <w:rPr>
                      <w:szCs w:val="21"/>
                    </w:rPr>
                  </w:pPr>
                  <w:r>
                    <w:rPr>
                      <w:szCs w:val="21"/>
                    </w:rPr>
                    <w:t>75</w:t>
                  </w:r>
                </w:p>
              </w:tc>
              <w:tc>
                <w:tcPr>
                  <w:tcW w:w="786" w:type="dxa"/>
                  <w:shd w:val="clear" w:color="auto" w:fill="auto"/>
                  <w:vAlign w:val="center"/>
                </w:tcPr>
                <w:p>
                  <w:pPr>
                    <w:jc w:val="center"/>
                    <w:rPr>
                      <w:szCs w:val="21"/>
                    </w:rPr>
                  </w:pPr>
                  <w:r>
                    <w:rPr>
                      <w:szCs w:val="21"/>
                    </w:rPr>
                    <w:t>15</w:t>
                  </w:r>
                </w:p>
              </w:tc>
              <w:tc>
                <w:tcPr>
                  <w:tcW w:w="746" w:type="dxa"/>
                  <w:shd w:val="clear" w:color="auto" w:fill="auto"/>
                  <w:vAlign w:val="center"/>
                </w:tcPr>
                <w:p>
                  <w:pPr>
                    <w:jc w:val="center"/>
                    <w:rPr>
                      <w:szCs w:val="21"/>
                    </w:rPr>
                  </w:pPr>
                  <w:r>
                    <w:rPr>
                      <w:szCs w:val="21"/>
                    </w:rPr>
                    <w:t>0.</w:t>
                  </w:r>
                  <w:r>
                    <w:rPr>
                      <w:rFonts w:hint="eastAsia"/>
                      <w:szCs w:val="21"/>
                    </w:rPr>
                    <w:t>3</w:t>
                  </w:r>
                </w:p>
              </w:tc>
              <w:tc>
                <w:tcPr>
                  <w:tcW w:w="754" w:type="dxa"/>
                  <w:shd w:val="clear" w:color="auto" w:fill="auto"/>
                  <w:vAlign w:val="center"/>
                </w:tcPr>
                <w:p>
                  <w:pPr>
                    <w:jc w:val="center"/>
                    <w:rPr>
                      <w:szCs w:val="21"/>
                    </w:rPr>
                  </w:pPr>
                  <w:r>
                    <w:rPr>
                      <w:rFonts w:hint="eastAsia"/>
                      <w:szCs w:val="21"/>
                    </w:rPr>
                    <w:t>21.6</w:t>
                  </w:r>
                </w:p>
              </w:tc>
              <w:tc>
                <w:tcPr>
                  <w:tcW w:w="754" w:type="dxa"/>
                  <w:shd w:val="clear" w:color="auto" w:fill="auto"/>
                  <w:vAlign w:val="center"/>
                </w:tcPr>
                <w:p>
                  <w:pPr>
                    <w:jc w:val="center"/>
                    <w:rPr>
                      <w:szCs w:val="21"/>
                    </w:rPr>
                  </w:pPr>
                  <w:r>
                    <w:rPr>
                      <w:rFonts w:hint="eastAsia"/>
                      <w:szCs w:val="21"/>
                    </w:rPr>
                    <w:t>313</w:t>
                  </w:r>
                </w:p>
              </w:tc>
              <w:tc>
                <w:tcPr>
                  <w:tcW w:w="697" w:type="dxa"/>
                  <w:shd w:val="clear" w:color="auto" w:fill="auto"/>
                  <w:vAlign w:val="center"/>
                </w:tcPr>
                <w:p>
                  <w:pPr>
                    <w:jc w:val="center"/>
                    <w:rPr>
                      <w:szCs w:val="21"/>
                    </w:rPr>
                  </w:pPr>
                  <w:r>
                    <w:rPr>
                      <w:rFonts w:hint="eastAsia"/>
                      <w:szCs w:val="21"/>
                    </w:rPr>
                    <w:t>4200</w:t>
                  </w:r>
                </w:p>
              </w:tc>
              <w:tc>
                <w:tcPr>
                  <w:tcW w:w="678" w:type="dxa"/>
                  <w:shd w:val="clear" w:color="auto" w:fill="auto"/>
                  <w:vAlign w:val="center"/>
                </w:tcPr>
                <w:p>
                  <w:pPr>
                    <w:jc w:val="center"/>
                    <w:rPr>
                      <w:szCs w:val="21"/>
                    </w:rPr>
                  </w:pPr>
                  <w:r>
                    <w:rPr>
                      <w:szCs w:val="21"/>
                    </w:rPr>
                    <w:t>正常</w:t>
                  </w:r>
                </w:p>
              </w:tc>
              <w:tc>
                <w:tcPr>
                  <w:tcW w:w="1183" w:type="dxa"/>
                  <w:shd w:val="clear" w:color="auto" w:fill="auto"/>
                  <w:vAlign w:val="center"/>
                </w:tcPr>
                <w:p>
                  <w:pPr>
                    <w:jc w:val="center"/>
                    <w:rPr>
                      <w:szCs w:val="21"/>
                    </w:rPr>
                  </w:pPr>
                  <w:r>
                    <w:rPr>
                      <w:szCs w:val="21"/>
                    </w:rPr>
                    <w:t>非甲烷总烃</w:t>
                  </w:r>
                </w:p>
              </w:tc>
              <w:tc>
                <w:tcPr>
                  <w:tcW w:w="965" w:type="dxa"/>
                  <w:shd w:val="clear" w:color="auto" w:fill="auto"/>
                  <w:vAlign w:val="center"/>
                </w:tcPr>
                <w:p>
                  <w:pPr>
                    <w:jc w:val="center"/>
                    <w:rPr>
                      <w:rFonts w:ascii="宋体" w:hAnsi="宋体" w:cs="宋体"/>
                      <w:szCs w:val="21"/>
                    </w:rPr>
                  </w:pPr>
                  <w:r>
                    <w:rPr>
                      <w:rFonts w:hint="eastAsia"/>
                      <w:szCs w:val="22"/>
                    </w:rPr>
                    <w:t>0.011</w:t>
                  </w:r>
                </w:p>
              </w:tc>
            </w:tr>
          </w:tbl>
          <w:p>
            <w:pPr>
              <w:spacing w:line="480" w:lineRule="exact"/>
              <w:ind w:firstLine="480"/>
              <w:outlineLvl w:val="2"/>
              <w:rPr>
                <w:bCs/>
                <w:sz w:val="24"/>
              </w:rPr>
            </w:pPr>
            <w:r>
              <w:rPr>
                <w:bCs/>
                <w:sz w:val="24"/>
              </w:rPr>
              <w:t>（4）评价等级及评价范围</w:t>
            </w:r>
          </w:p>
          <w:p>
            <w:pPr>
              <w:spacing w:line="480" w:lineRule="exact"/>
              <w:ind w:firstLine="482"/>
            </w:pPr>
            <w:r>
              <w:rPr>
                <w:sz w:val="24"/>
              </w:rPr>
              <w:t>采用《环境影响评价技术导则  大气环境》(HJ2.2-2018)推荐的估算模式AERSCREEN计算工程主要污染源污染物的最大落地浓度及其出现距离，估算模型参数见下表</w:t>
            </w:r>
            <w:r>
              <w:t>。</w:t>
            </w:r>
          </w:p>
          <w:p>
            <w:pPr>
              <w:spacing w:line="480" w:lineRule="exact"/>
              <w:ind w:firstLine="482"/>
            </w:pPr>
          </w:p>
          <w:p>
            <w:pPr>
              <w:spacing w:line="480" w:lineRule="exact"/>
              <w:ind w:firstLine="482"/>
            </w:pPr>
          </w:p>
          <w:p>
            <w:pPr>
              <w:spacing w:line="480" w:lineRule="exact"/>
              <w:ind w:firstLine="482"/>
            </w:pPr>
          </w:p>
          <w:p>
            <w:pPr>
              <w:pStyle w:val="135"/>
              <w:ind w:firstLine="480"/>
              <w:rPr>
                <w:color w:val="auto"/>
              </w:rPr>
            </w:pPr>
            <w:r>
              <w:rPr>
                <w:color w:val="auto"/>
              </w:rPr>
              <w:t>表3</w:t>
            </w:r>
            <w:r>
              <w:rPr>
                <w:rFonts w:hint="eastAsia"/>
                <w:color w:val="auto"/>
              </w:rPr>
              <w:t>5</w:t>
            </w:r>
            <w:r>
              <w:rPr>
                <w:color w:val="auto"/>
              </w:rPr>
              <w:t xml:space="preserve">    </w:t>
            </w:r>
            <w:r>
              <w:rPr>
                <w:rFonts w:hint="eastAsia"/>
                <w:color w:val="auto"/>
              </w:rPr>
              <w:t xml:space="preserve">                                      </w:t>
            </w:r>
            <w:r>
              <w:rPr>
                <w:color w:val="auto"/>
              </w:rPr>
              <w:t>估算模型参数表</w:t>
            </w:r>
          </w:p>
          <w:tbl>
            <w:tblPr>
              <w:tblStyle w:val="19"/>
              <w:tblW w:w="5000" w:type="pct"/>
              <w:jc w:val="center"/>
              <w:tblLayout w:type="autofit"/>
              <w:tblCellMar>
                <w:top w:w="0" w:type="dxa"/>
                <w:left w:w="28" w:type="dxa"/>
                <w:bottom w:w="0" w:type="dxa"/>
                <w:right w:w="28" w:type="dxa"/>
              </w:tblCellMar>
            </w:tblPr>
            <w:tblGrid>
              <w:gridCol w:w="2470"/>
              <w:gridCol w:w="3819"/>
              <w:gridCol w:w="3133"/>
            </w:tblGrid>
            <w:tr>
              <w:tblPrEx>
                <w:tblCellMar>
                  <w:top w:w="0" w:type="dxa"/>
                  <w:left w:w="28" w:type="dxa"/>
                  <w:bottom w:w="0" w:type="dxa"/>
                  <w:right w:w="28" w:type="dxa"/>
                </w:tblCellMar>
              </w:tblPrEx>
              <w:trPr>
                <w:trHeight w:val="397" w:hRule="atLeast"/>
                <w:jc w:val="center"/>
              </w:trPr>
              <w:tc>
                <w:tcPr>
                  <w:tcW w:w="6290" w:type="dxa"/>
                  <w:gridSpan w:val="2"/>
                  <w:tcBorders>
                    <w:top w:val="single" w:color="000000" w:sz="8" w:space="0"/>
                    <w:bottom w:val="single" w:color="000000" w:sz="4" w:space="0"/>
                    <w:right w:val="single" w:color="000000" w:sz="4" w:space="0"/>
                  </w:tcBorders>
                  <w:shd w:val="clear" w:color="auto" w:fill="auto"/>
                  <w:vAlign w:val="center"/>
                </w:tcPr>
                <w:p>
                  <w:pPr>
                    <w:pStyle w:val="133"/>
                    <w:ind w:firstLine="211"/>
                    <w:rPr>
                      <w:b/>
                      <w:color w:val="auto"/>
                    </w:rPr>
                  </w:pPr>
                  <w:r>
                    <w:rPr>
                      <w:b/>
                      <w:color w:val="auto"/>
                    </w:rPr>
                    <w:t>参数</w:t>
                  </w:r>
                </w:p>
              </w:tc>
              <w:tc>
                <w:tcPr>
                  <w:tcW w:w="3132" w:type="dxa"/>
                  <w:tcBorders>
                    <w:top w:val="single" w:color="000000" w:sz="8" w:space="0"/>
                    <w:left w:val="single" w:color="000000" w:sz="4" w:space="0"/>
                    <w:bottom w:val="single" w:color="000000" w:sz="4" w:space="0"/>
                  </w:tcBorders>
                  <w:shd w:val="clear" w:color="auto" w:fill="auto"/>
                  <w:vAlign w:val="center"/>
                </w:tcPr>
                <w:p>
                  <w:pPr>
                    <w:pStyle w:val="133"/>
                    <w:ind w:firstLine="211"/>
                    <w:rPr>
                      <w:b/>
                      <w:color w:val="auto"/>
                    </w:rPr>
                  </w:pPr>
                  <w:r>
                    <w:rPr>
                      <w:b/>
                      <w:color w:val="auto"/>
                    </w:rPr>
                    <w:t>取值</w:t>
                  </w:r>
                </w:p>
              </w:tc>
            </w:tr>
            <w:tr>
              <w:tblPrEx>
                <w:tblCellMar>
                  <w:top w:w="0" w:type="dxa"/>
                  <w:left w:w="28" w:type="dxa"/>
                  <w:bottom w:w="0" w:type="dxa"/>
                  <w:right w:w="28" w:type="dxa"/>
                </w:tblCellMar>
              </w:tblPrEx>
              <w:trPr>
                <w:trHeight w:val="397" w:hRule="atLeast"/>
                <w:jc w:val="center"/>
              </w:trPr>
              <w:tc>
                <w:tcPr>
                  <w:tcW w:w="2471" w:type="dxa"/>
                  <w:vMerge w:val="restart"/>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城市/农村选项</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城市/农村</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农村</w:t>
                  </w:r>
                </w:p>
              </w:tc>
            </w:tr>
            <w:tr>
              <w:tblPrEx>
                <w:tblCellMar>
                  <w:top w:w="0" w:type="dxa"/>
                  <w:left w:w="28" w:type="dxa"/>
                  <w:bottom w:w="0" w:type="dxa"/>
                  <w:right w:w="28" w:type="dxa"/>
                </w:tblCellMar>
              </w:tblPrEx>
              <w:trPr>
                <w:trHeight w:val="397" w:hRule="atLeast"/>
                <w:jc w:val="center"/>
              </w:trPr>
              <w:tc>
                <w:tcPr>
                  <w:tcW w:w="2471" w:type="dxa"/>
                  <w:vMerge w:val="continue"/>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u w:val="single"/>
                    </w:rPr>
                  </w:pP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人口数（城市选项时）</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10"/>
                    <w:rPr>
                      <w:color w:val="auto"/>
                    </w:rPr>
                  </w:pPr>
                  <w:r>
                    <w:rPr>
                      <w:color w:val="auto"/>
                    </w:rPr>
                    <w:t>/</w:t>
                  </w:r>
                </w:p>
              </w:tc>
            </w:tr>
            <w:tr>
              <w:tblPrEx>
                <w:tblCellMar>
                  <w:top w:w="0" w:type="dxa"/>
                  <w:left w:w="28" w:type="dxa"/>
                  <w:bottom w:w="0" w:type="dxa"/>
                  <w:right w:w="28" w:type="dxa"/>
                </w:tblCellMar>
              </w:tblPrEx>
              <w:trPr>
                <w:trHeight w:val="397" w:hRule="atLeast"/>
                <w:jc w:val="center"/>
              </w:trPr>
              <w:tc>
                <w:tcPr>
                  <w:tcW w:w="6290" w:type="dxa"/>
                  <w:gridSpan w:val="2"/>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最高环境温度/℃</w:t>
                  </w:r>
                </w:p>
              </w:tc>
              <w:tc>
                <w:tcPr>
                  <w:tcW w:w="3132"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40.9</w:t>
                  </w:r>
                </w:p>
              </w:tc>
            </w:tr>
            <w:tr>
              <w:tblPrEx>
                <w:tblCellMar>
                  <w:top w:w="0" w:type="dxa"/>
                  <w:left w:w="28" w:type="dxa"/>
                  <w:bottom w:w="0" w:type="dxa"/>
                  <w:right w:w="28" w:type="dxa"/>
                </w:tblCellMar>
              </w:tblPrEx>
              <w:trPr>
                <w:trHeight w:val="397" w:hRule="atLeast"/>
                <w:jc w:val="center"/>
              </w:trPr>
              <w:tc>
                <w:tcPr>
                  <w:tcW w:w="6290" w:type="dxa"/>
                  <w:gridSpan w:val="2"/>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最低环境温度/℃</w:t>
                  </w:r>
                </w:p>
              </w:tc>
              <w:tc>
                <w:tcPr>
                  <w:tcW w:w="3132"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-13.1</w:t>
                  </w:r>
                </w:p>
              </w:tc>
            </w:tr>
            <w:tr>
              <w:tblPrEx>
                <w:tblCellMar>
                  <w:top w:w="0" w:type="dxa"/>
                  <w:left w:w="28" w:type="dxa"/>
                  <w:bottom w:w="0" w:type="dxa"/>
                  <w:right w:w="28" w:type="dxa"/>
                </w:tblCellMar>
              </w:tblPrEx>
              <w:trPr>
                <w:trHeight w:val="397" w:hRule="atLeast"/>
                <w:jc w:val="center"/>
              </w:trPr>
              <w:tc>
                <w:tcPr>
                  <w:tcW w:w="6290" w:type="dxa"/>
                  <w:gridSpan w:val="2"/>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土地利用类型</w:t>
                  </w:r>
                </w:p>
              </w:tc>
              <w:tc>
                <w:tcPr>
                  <w:tcW w:w="3132"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农作地</w:t>
                  </w:r>
                </w:p>
              </w:tc>
            </w:tr>
            <w:tr>
              <w:tblPrEx>
                <w:tblCellMar>
                  <w:top w:w="0" w:type="dxa"/>
                  <w:left w:w="28" w:type="dxa"/>
                  <w:bottom w:w="0" w:type="dxa"/>
                  <w:right w:w="28" w:type="dxa"/>
                </w:tblCellMar>
              </w:tblPrEx>
              <w:trPr>
                <w:trHeight w:val="397" w:hRule="atLeast"/>
                <w:jc w:val="center"/>
              </w:trPr>
              <w:tc>
                <w:tcPr>
                  <w:tcW w:w="6290" w:type="dxa"/>
                  <w:gridSpan w:val="2"/>
                  <w:tcBorders>
                    <w:top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区域湿度条件</w:t>
                  </w:r>
                </w:p>
              </w:tc>
              <w:tc>
                <w:tcPr>
                  <w:tcW w:w="3132"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中等湿度气候</w:t>
                  </w:r>
                </w:p>
              </w:tc>
            </w:tr>
            <w:tr>
              <w:tblPrEx>
                <w:tblCellMar>
                  <w:top w:w="0" w:type="dxa"/>
                  <w:left w:w="28" w:type="dxa"/>
                  <w:bottom w:w="0" w:type="dxa"/>
                  <w:right w:w="28" w:type="dxa"/>
                </w:tblCellMar>
              </w:tblPrEx>
              <w:trPr>
                <w:trHeight w:val="397" w:hRule="atLeast"/>
                <w:jc w:val="center"/>
              </w:trPr>
              <w:tc>
                <w:tcPr>
                  <w:tcW w:w="2471" w:type="dxa"/>
                  <w:vMerge w:val="restart"/>
                  <w:tcBorders>
                    <w:top w:val="single" w:color="000000" w:sz="4" w:space="0"/>
                    <w:bottom w:val="single" w:color="000000" w:sz="4" w:space="0"/>
                    <w:right w:val="single" w:color="000000" w:sz="4" w:space="0"/>
                  </w:tcBorders>
                  <w:shd w:val="clear" w:color="auto" w:fill="auto"/>
                  <w:vAlign w:val="center"/>
                </w:tcPr>
                <w:p>
                  <w:pPr>
                    <w:pStyle w:val="133"/>
                    <w:ind w:firstLine="202"/>
                    <w:rPr>
                      <w:color w:val="auto"/>
                      <w:spacing w:val="-4"/>
                    </w:rPr>
                  </w:pPr>
                  <w:r>
                    <w:rPr>
                      <w:color w:val="auto"/>
                      <w:spacing w:val="-4"/>
                    </w:rPr>
                    <w:t>是否考虑地形</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考虑地形</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否</w:t>
                  </w:r>
                </w:p>
              </w:tc>
            </w:tr>
            <w:tr>
              <w:tblPrEx>
                <w:tblCellMar>
                  <w:top w:w="0" w:type="dxa"/>
                  <w:left w:w="28" w:type="dxa"/>
                  <w:bottom w:w="0" w:type="dxa"/>
                  <w:right w:w="28" w:type="dxa"/>
                </w:tblCellMar>
              </w:tblPrEx>
              <w:trPr>
                <w:trHeight w:val="397" w:hRule="atLeast"/>
                <w:jc w:val="center"/>
              </w:trPr>
              <w:tc>
                <w:tcPr>
                  <w:tcW w:w="2471" w:type="dxa"/>
                  <w:vMerge w:val="continue"/>
                  <w:tcBorders>
                    <w:top w:val="single" w:color="000000" w:sz="4" w:space="0"/>
                    <w:bottom w:val="single" w:color="000000" w:sz="4" w:space="0"/>
                    <w:right w:val="single" w:color="000000" w:sz="4" w:space="0"/>
                  </w:tcBorders>
                  <w:shd w:val="clear" w:color="auto" w:fill="auto"/>
                  <w:vAlign w:val="center"/>
                </w:tcPr>
                <w:p>
                  <w:pPr>
                    <w:pStyle w:val="133"/>
                    <w:ind w:firstLine="202"/>
                    <w:rPr>
                      <w:color w:val="auto"/>
                      <w:spacing w:val="-4"/>
                    </w:rPr>
                  </w:pP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10"/>
                    <w:rPr>
                      <w:color w:val="auto"/>
                    </w:rPr>
                  </w:pPr>
                  <w:r>
                    <w:rPr>
                      <w:color w:val="auto"/>
                    </w:rPr>
                    <w:t>地形数据分辨率/m</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rFonts w:hint="eastAsia"/>
                      <w:color w:val="auto"/>
                      <w:spacing w:val="-4"/>
                    </w:rPr>
                    <w:t>/</w:t>
                  </w:r>
                </w:p>
              </w:tc>
            </w:tr>
            <w:tr>
              <w:tblPrEx>
                <w:tblCellMar>
                  <w:top w:w="0" w:type="dxa"/>
                  <w:left w:w="28" w:type="dxa"/>
                  <w:bottom w:w="0" w:type="dxa"/>
                  <w:right w:w="28" w:type="dxa"/>
                </w:tblCellMar>
              </w:tblPrEx>
              <w:trPr>
                <w:trHeight w:val="397" w:hRule="atLeast"/>
                <w:jc w:val="center"/>
              </w:trPr>
              <w:tc>
                <w:tcPr>
                  <w:tcW w:w="2471" w:type="dxa"/>
                  <w:vMerge w:val="restart"/>
                  <w:tcBorders>
                    <w:top w:val="single" w:color="000000" w:sz="4" w:space="0"/>
                    <w:bottom w:val="single" w:color="000000" w:sz="4" w:space="0"/>
                    <w:right w:val="single" w:color="000000" w:sz="4" w:space="0"/>
                  </w:tcBorders>
                  <w:shd w:val="clear" w:color="auto" w:fill="auto"/>
                  <w:vAlign w:val="center"/>
                </w:tcPr>
                <w:p>
                  <w:pPr>
                    <w:pStyle w:val="133"/>
                    <w:ind w:firstLine="202"/>
                    <w:rPr>
                      <w:color w:val="auto"/>
                      <w:spacing w:val="-4"/>
                    </w:rPr>
                  </w:pPr>
                  <w:r>
                    <w:rPr>
                      <w:color w:val="auto"/>
                      <w:spacing w:val="-4"/>
                    </w:rPr>
                    <w:t>是否考虑岸线熏烟</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02"/>
                    <w:rPr>
                      <w:color w:val="auto"/>
                    </w:rPr>
                  </w:pPr>
                  <w:r>
                    <w:rPr>
                      <w:color w:val="auto"/>
                      <w:spacing w:val="-4"/>
                    </w:rPr>
                    <w:t>考虑岸线熏烟</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否</w:t>
                  </w:r>
                </w:p>
              </w:tc>
            </w:tr>
            <w:tr>
              <w:tblPrEx>
                <w:tblCellMar>
                  <w:top w:w="0" w:type="dxa"/>
                  <w:left w:w="28" w:type="dxa"/>
                  <w:bottom w:w="0" w:type="dxa"/>
                  <w:right w:w="28" w:type="dxa"/>
                </w:tblCellMar>
              </w:tblPrEx>
              <w:trPr>
                <w:trHeight w:val="397" w:hRule="atLeast"/>
                <w:jc w:val="center"/>
              </w:trPr>
              <w:tc>
                <w:tcPr>
                  <w:tcW w:w="2471" w:type="dxa"/>
                  <w:vMerge w:val="continue"/>
                  <w:tcBorders>
                    <w:top w:val="single" w:color="000000" w:sz="4" w:space="0"/>
                    <w:bottom w:val="single" w:color="000000" w:sz="4" w:space="0"/>
                    <w:right w:val="single" w:color="000000" w:sz="4" w:space="0"/>
                  </w:tcBorders>
                  <w:shd w:val="clear" w:color="auto" w:fill="auto"/>
                  <w:vAlign w:val="center"/>
                </w:tcPr>
                <w:p>
                  <w:pPr>
                    <w:pStyle w:val="133"/>
                    <w:ind w:firstLine="202"/>
                    <w:rPr>
                      <w:color w:val="auto"/>
                      <w:spacing w:val="-4"/>
                      <w:u w:val="single"/>
                    </w:rPr>
                  </w:pP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3"/>
                    <w:ind w:firstLine="202"/>
                    <w:rPr>
                      <w:color w:val="auto"/>
                    </w:rPr>
                  </w:pPr>
                  <w:r>
                    <w:rPr>
                      <w:color w:val="auto"/>
                      <w:spacing w:val="-4"/>
                    </w:rPr>
                    <w:t>岸线距离/km</w:t>
                  </w:r>
                </w:p>
              </w:tc>
              <w:tc>
                <w:tcPr>
                  <w:tcW w:w="3133" w:type="dxa"/>
                  <w:tcBorders>
                    <w:top w:val="single" w:color="000000" w:sz="4" w:space="0"/>
                    <w:left w:val="single" w:color="000000" w:sz="4" w:space="0"/>
                    <w:bottom w:val="single" w:color="000000" w:sz="4" w:space="0"/>
                  </w:tcBorders>
                  <w:shd w:val="clear" w:color="auto" w:fill="auto"/>
                  <w:vAlign w:val="center"/>
                </w:tcPr>
                <w:p>
                  <w:pPr>
                    <w:pStyle w:val="133"/>
                    <w:ind w:firstLine="202"/>
                    <w:rPr>
                      <w:color w:val="auto"/>
                      <w:spacing w:val="-4"/>
                    </w:rPr>
                  </w:pPr>
                  <w:r>
                    <w:rPr>
                      <w:color w:val="auto"/>
                      <w:spacing w:val="-4"/>
                    </w:rPr>
                    <w:t>/</w:t>
                  </w:r>
                </w:p>
              </w:tc>
            </w:tr>
            <w:tr>
              <w:tblPrEx>
                <w:tblCellMar>
                  <w:top w:w="0" w:type="dxa"/>
                  <w:left w:w="28" w:type="dxa"/>
                  <w:bottom w:w="0" w:type="dxa"/>
                  <w:right w:w="28" w:type="dxa"/>
                </w:tblCellMar>
              </w:tblPrEx>
              <w:trPr>
                <w:trHeight w:val="397" w:hRule="atLeast"/>
                <w:jc w:val="center"/>
              </w:trPr>
              <w:tc>
                <w:tcPr>
                  <w:tcW w:w="2471" w:type="dxa"/>
                  <w:vMerge w:val="continue"/>
                  <w:tcBorders>
                    <w:top w:val="single" w:color="000000" w:sz="4" w:space="0"/>
                    <w:bottom w:val="single" w:color="000000" w:sz="8" w:space="0"/>
                    <w:right w:val="single" w:color="000000" w:sz="4" w:space="0"/>
                  </w:tcBorders>
                  <w:shd w:val="clear" w:color="auto" w:fill="auto"/>
                  <w:vAlign w:val="center"/>
                </w:tcPr>
                <w:p>
                  <w:pPr>
                    <w:pStyle w:val="133"/>
                    <w:ind w:firstLine="202"/>
                    <w:rPr>
                      <w:color w:val="auto"/>
                      <w:spacing w:val="-4"/>
                      <w:u w:val="single"/>
                    </w:rPr>
                  </w:pPr>
                </w:p>
              </w:tc>
              <w:tc>
                <w:tcPr>
                  <w:tcW w:w="3818" w:type="dxa"/>
                  <w:tcBorders>
                    <w:top w:val="single" w:color="000000" w:sz="4" w:space="0"/>
                    <w:left w:val="single" w:color="000000" w:sz="4" w:space="0"/>
                    <w:bottom w:val="single" w:color="000000" w:sz="8" w:space="0"/>
                    <w:right w:val="single" w:color="000000" w:sz="4" w:space="0"/>
                  </w:tcBorders>
                  <w:shd w:val="clear" w:color="auto" w:fill="auto"/>
                  <w:vAlign w:val="center"/>
                </w:tcPr>
                <w:p>
                  <w:pPr>
                    <w:pStyle w:val="133"/>
                    <w:ind w:firstLine="202"/>
                    <w:rPr>
                      <w:color w:val="auto"/>
                    </w:rPr>
                  </w:pPr>
                  <w:r>
                    <w:rPr>
                      <w:color w:val="auto"/>
                      <w:spacing w:val="-4"/>
                    </w:rPr>
                    <w:t xml:space="preserve">岸线方向/ </w:t>
                  </w:r>
                  <w:r>
                    <w:rPr>
                      <w:rFonts w:ascii="宋体" w:hAnsi="宋体"/>
                      <w:color w:val="auto"/>
                      <w:spacing w:val="-4"/>
                    </w:rPr>
                    <w:t>º</w:t>
                  </w:r>
                </w:p>
              </w:tc>
              <w:tc>
                <w:tcPr>
                  <w:tcW w:w="3133" w:type="dxa"/>
                  <w:tcBorders>
                    <w:top w:val="single" w:color="000000" w:sz="4" w:space="0"/>
                    <w:left w:val="single" w:color="000000" w:sz="4" w:space="0"/>
                    <w:bottom w:val="single" w:color="000000" w:sz="8" w:space="0"/>
                  </w:tcBorders>
                  <w:shd w:val="clear" w:color="auto" w:fill="auto"/>
                  <w:vAlign w:val="center"/>
                </w:tcPr>
                <w:p>
                  <w:pPr>
                    <w:pStyle w:val="133"/>
                    <w:ind w:firstLine="202"/>
                    <w:rPr>
                      <w:color w:val="auto"/>
                      <w:spacing w:val="-4"/>
                    </w:rPr>
                  </w:pPr>
                  <w:r>
                    <w:rPr>
                      <w:color w:val="auto"/>
                      <w:spacing w:val="-4"/>
                    </w:rPr>
                    <w:t>/</w:t>
                  </w:r>
                </w:p>
              </w:tc>
            </w:tr>
          </w:tbl>
          <w:p>
            <w:pPr>
              <w:tabs>
                <w:tab w:val="left" w:pos="0"/>
              </w:tabs>
              <w:spacing w:line="480" w:lineRule="exact"/>
              <w:ind w:firstLine="487"/>
              <w:rPr>
                <w:sz w:val="24"/>
              </w:rPr>
            </w:pPr>
            <w:r>
              <w:rPr>
                <w:sz w:val="24"/>
              </w:rPr>
              <w:t>采用估算模式计算污染物的最大地面浓度及其占标率Pi。计算公式采用：</w:t>
            </w:r>
          </w:p>
          <w:p>
            <w:pPr>
              <w:spacing w:line="480" w:lineRule="exact"/>
              <w:jc w:val="center"/>
              <w:rPr>
                <w:sz w:val="24"/>
              </w:rPr>
            </w:pPr>
            <w:r>
              <w:rPr>
                <w:sz w:val="24"/>
              </w:rPr>
              <w:t>Pi＝Ci/Coi×100</w:t>
            </w:r>
            <w:r>
              <w:rPr>
                <w:rFonts w:hint="eastAsia"/>
                <w:sz w:val="24"/>
              </w:rPr>
              <w:t>%</w:t>
            </w:r>
          </w:p>
          <w:p>
            <w:pPr>
              <w:spacing w:line="480" w:lineRule="exact"/>
              <w:ind w:firstLine="480"/>
              <w:rPr>
                <w:sz w:val="24"/>
              </w:rPr>
            </w:pPr>
            <w:r>
              <w:rPr>
                <w:sz w:val="24"/>
              </w:rPr>
              <w:t>式中： Pi－第i个污染物的最大地面浓度占标率，</w:t>
            </w:r>
            <w:r>
              <w:rPr>
                <w:rFonts w:hint="eastAsia"/>
                <w:sz w:val="24"/>
              </w:rPr>
              <w:t>%</w:t>
            </w:r>
            <w:r>
              <w:rPr>
                <w:sz w:val="24"/>
              </w:rPr>
              <w:t>；</w:t>
            </w:r>
          </w:p>
          <w:p>
            <w:pPr>
              <w:spacing w:line="480" w:lineRule="exact"/>
              <w:ind w:firstLine="1320"/>
              <w:rPr>
                <w:sz w:val="24"/>
              </w:rPr>
            </w:pPr>
            <w:r>
              <w:rPr>
                <w:sz w:val="24"/>
              </w:rPr>
              <w:t>Ci－估算模式计算出的第i个污染物的最大地面浓度，mg/m</w:t>
            </w:r>
            <w:r>
              <w:rPr>
                <w:sz w:val="24"/>
                <w:vertAlign w:val="superscript"/>
              </w:rPr>
              <w:t>3</w:t>
            </w:r>
            <w:r>
              <w:rPr>
                <w:sz w:val="24"/>
              </w:rPr>
              <w:t>；</w:t>
            </w:r>
          </w:p>
          <w:p>
            <w:pPr>
              <w:spacing w:line="480" w:lineRule="exact"/>
              <w:ind w:firstLine="1320"/>
              <w:rPr>
                <w:sz w:val="24"/>
              </w:rPr>
            </w:pPr>
            <w:r>
              <w:rPr>
                <w:sz w:val="24"/>
              </w:rPr>
              <w:t>Coi－第i个污染物的环境空气质量标准，mg/m</w:t>
            </w:r>
            <w:r>
              <w:rPr>
                <w:sz w:val="24"/>
                <w:vertAlign w:val="superscript"/>
              </w:rPr>
              <w:t>3</w:t>
            </w:r>
            <w:r>
              <w:rPr>
                <w:sz w:val="24"/>
              </w:rPr>
              <w:t>；</w:t>
            </w:r>
          </w:p>
          <w:p>
            <w:pPr>
              <w:spacing w:line="480" w:lineRule="exact"/>
              <w:ind w:firstLine="480"/>
              <w:rPr>
                <w:sz w:val="24"/>
              </w:rPr>
            </w:pPr>
            <w:r>
              <w:rPr>
                <w:sz w:val="24"/>
              </w:rPr>
              <w:t>主要污染源估算模型计算结果见下表。</w:t>
            </w:r>
          </w:p>
          <w:p>
            <w:pPr>
              <w:spacing w:line="480" w:lineRule="exact"/>
              <w:ind w:firstLine="480"/>
              <w:rPr>
                <w:rFonts w:eastAsia="黑体"/>
                <w:b/>
                <w:sz w:val="24"/>
                <w:u w:val="single"/>
              </w:rPr>
            </w:pPr>
            <w:r>
              <w:rPr>
                <w:rFonts w:eastAsia="黑体"/>
                <w:b/>
                <w:sz w:val="24"/>
                <w:u w:val="single"/>
              </w:rPr>
              <w:t>表3</w:t>
            </w:r>
            <w:r>
              <w:rPr>
                <w:rFonts w:hint="eastAsia" w:eastAsia="黑体"/>
                <w:b/>
                <w:sz w:val="24"/>
                <w:u w:val="single"/>
              </w:rPr>
              <w:t>6</w:t>
            </w:r>
            <w:r>
              <w:rPr>
                <w:rFonts w:eastAsia="黑体"/>
                <w:b/>
                <w:sz w:val="24"/>
                <w:u w:val="single"/>
              </w:rPr>
              <w:t xml:space="preserve">   </w:t>
            </w:r>
            <w:r>
              <w:rPr>
                <w:rFonts w:hint="eastAsia" w:eastAsia="黑体"/>
                <w:b/>
                <w:sz w:val="24"/>
                <w:u w:val="single"/>
              </w:rPr>
              <w:t xml:space="preserve">                                  </w:t>
            </w:r>
            <w:r>
              <w:rPr>
                <w:rFonts w:eastAsia="黑体"/>
                <w:b/>
                <w:sz w:val="24"/>
                <w:u w:val="single"/>
              </w:rPr>
              <w:t xml:space="preserve">  估算结果表（污染物i）</w:t>
            </w:r>
          </w:p>
          <w:tbl>
            <w:tblPr>
              <w:tblStyle w:val="19"/>
              <w:tblW w:w="9269"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03"/>
              <w:gridCol w:w="942"/>
              <w:gridCol w:w="1531"/>
              <w:gridCol w:w="1308"/>
              <w:gridCol w:w="1560"/>
              <w:gridCol w:w="1221"/>
              <w:gridCol w:w="140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3" w:type="dxa"/>
                  <w:shd w:val="clear" w:color="auto" w:fill="auto"/>
                  <w:vAlign w:val="center"/>
                </w:tcPr>
                <w:p>
                  <w:pPr>
                    <w:jc w:val="center"/>
                    <w:rPr>
                      <w:b/>
                      <w:szCs w:val="21"/>
                      <w:u w:val="single"/>
                    </w:rPr>
                  </w:pPr>
                  <w:r>
                    <w:rPr>
                      <w:b/>
                      <w:szCs w:val="21"/>
                      <w:u w:val="single"/>
                    </w:rPr>
                    <w:t>点源名称</w:t>
                  </w:r>
                </w:p>
              </w:tc>
              <w:tc>
                <w:tcPr>
                  <w:tcW w:w="942" w:type="dxa"/>
                  <w:shd w:val="clear" w:color="auto" w:fill="auto"/>
                  <w:vAlign w:val="center"/>
                </w:tcPr>
                <w:p>
                  <w:pPr>
                    <w:jc w:val="center"/>
                    <w:rPr>
                      <w:b/>
                      <w:szCs w:val="21"/>
                      <w:u w:val="single"/>
                    </w:rPr>
                  </w:pPr>
                  <w:r>
                    <w:rPr>
                      <w:b/>
                      <w:szCs w:val="21"/>
                      <w:u w:val="single"/>
                    </w:rPr>
                    <w:t>污染物</w:t>
                  </w:r>
                </w:p>
              </w:tc>
              <w:tc>
                <w:tcPr>
                  <w:tcW w:w="1531" w:type="dxa"/>
                  <w:shd w:val="clear" w:color="auto" w:fill="auto"/>
                  <w:vAlign w:val="center"/>
                </w:tcPr>
                <w:p>
                  <w:pPr>
                    <w:jc w:val="center"/>
                    <w:rPr>
                      <w:b/>
                      <w:szCs w:val="21"/>
                      <w:u w:val="single"/>
                    </w:rPr>
                  </w:pPr>
                  <w:r>
                    <w:rPr>
                      <w:b/>
                      <w:szCs w:val="21"/>
                      <w:u w:val="single"/>
                    </w:rPr>
                    <w:t>距源中心下风向距离（m）</w:t>
                  </w:r>
                </w:p>
              </w:tc>
              <w:tc>
                <w:tcPr>
                  <w:tcW w:w="1308" w:type="dxa"/>
                  <w:shd w:val="clear" w:color="auto" w:fill="auto"/>
                  <w:vAlign w:val="center"/>
                </w:tcPr>
                <w:p>
                  <w:pPr>
                    <w:jc w:val="center"/>
                    <w:rPr>
                      <w:b/>
                      <w:szCs w:val="21"/>
                      <w:u w:val="single"/>
                    </w:rPr>
                  </w:pPr>
                  <w:r>
                    <w:rPr>
                      <w:b/>
                      <w:szCs w:val="21"/>
                      <w:u w:val="single"/>
                    </w:rPr>
                    <w:t>最大地面浓度（mg/m</w:t>
                  </w:r>
                  <w:r>
                    <w:rPr>
                      <w:b/>
                      <w:szCs w:val="21"/>
                      <w:u w:val="single"/>
                      <w:vertAlign w:val="superscript"/>
                    </w:rPr>
                    <w:t>3</w:t>
                  </w:r>
                  <w:r>
                    <w:rPr>
                      <w:b/>
                      <w:szCs w:val="21"/>
                      <w:u w:val="single"/>
                    </w:rPr>
                    <w:t>）</w:t>
                  </w:r>
                </w:p>
              </w:tc>
              <w:tc>
                <w:tcPr>
                  <w:tcW w:w="1560" w:type="dxa"/>
                  <w:shd w:val="clear" w:color="auto" w:fill="auto"/>
                  <w:vAlign w:val="center"/>
                </w:tcPr>
                <w:p>
                  <w:pPr>
                    <w:jc w:val="center"/>
                    <w:rPr>
                      <w:b/>
                      <w:szCs w:val="21"/>
                      <w:u w:val="single"/>
                    </w:rPr>
                  </w:pPr>
                  <w:r>
                    <w:rPr>
                      <w:b/>
                      <w:szCs w:val="21"/>
                      <w:u w:val="single"/>
                    </w:rPr>
                    <w:t>最大落地浓度占标率（％）</w:t>
                  </w:r>
                </w:p>
              </w:tc>
              <w:tc>
                <w:tcPr>
                  <w:tcW w:w="1221" w:type="dxa"/>
                  <w:shd w:val="clear" w:color="auto" w:fill="auto"/>
                  <w:vAlign w:val="center"/>
                </w:tcPr>
                <w:p>
                  <w:pPr>
                    <w:jc w:val="center"/>
                    <w:rPr>
                      <w:b/>
                      <w:szCs w:val="21"/>
                      <w:u w:val="single"/>
                    </w:rPr>
                  </w:pPr>
                  <w:r>
                    <w:rPr>
                      <w:b/>
                      <w:szCs w:val="21"/>
                      <w:u w:val="single"/>
                    </w:rPr>
                    <w:t>标准</w:t>
                  </w:r>
                </w:p>
                <w:p>
                  <w:pPr>
                    <w:jc w:val="center"/>
                    <w:rPr>
                      <w:b/>
                      <w:szCs w:val="21"/>
                      <w:u w:val="single"/>
                    </w:rPr>
                  </w:pPr>
                  <w:r>
                    <w:rPr>
                      <w:b/>
                      <w:szCs w:val="21"/>
                      <w:u w:val="single"/>
                    </w:rPr>
                    <w:t>（mg/m</w:t>
                  </w:r>
                  <w:r>
                    <w:rPr>
                      <w:b/>
                      <w:szCs w:val="21"/>
                      <w:u w:val="single"/>
                      <w:vertAlign w:val="superscript"/>
                    </w:rPr>
                    <w:t>3</w:t>
                  </w:r>
                  <w:r>
                    <w:rPr>
                      <w:b/>
                      <w:szCs w:val="21"/>
                      <w:u w:val="single"/>
                    </w:rPr>
                    <w:t>）</w:t>
                  </w:r>
                </w:p>
              </w:tc>
              <w:tc>
                <w:tcPr>
                  <w:tcW w:w="1404" w:type="dxa"/>
                  <w:shd w:val="clear" w:color="auto" w:fill="auto"/>
                  <w:vAlign w:val="center"/>
                </w:tcPr>
                <w:p>
                  <w:pPr>
                    <w:jc w:val="center"/>
                    <w:rPr>
                      <w:b/>
                      <w:szCs w:val="21"/>
                      <w:u w:val="single"/>
                    </w:rPr>
                  </w:pPr>
                  <w:r>
                    <w:rPr>
                      <w:b/>
                      <w:szCs w:val="21"/>
                      <w:u w:val="single"/>
                    </w:rPr>
                    <w:t>评价等级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3" w:type="dxa"/>
                  <w:shd w:val="clear" w:color="auto" w:fill="auto"/>
                  <w:vAlign w:val="center"/>
                </w:tcPr>
                <w:p>
                  <w:pPr>
                    <w:snapToGrid w:val="0"/>
                    <w:jc w:val="center"/>
                    <w:rPr>
                      <w:b/>
                      <w:szCs w:val="21"/>
                      <w:u w:val="single"/>
                    </w:rPr>
                  </w:pPr>
                  <w:r>
                    <w:rPr>
                      <w:b/>
                      <w:bCs/>
                      <w:szCs w:val="21"/>
                      <w:u w:val="single"/>
                    </w:rPr>
                    <w:t>废气排气筒</w:t>
                  </w:r>
                </w:p>
              </w:tc>
              <w:tc>
                <w:tcPr>
                  <w:tcW w:w="942" w:type="dxa"/>
                  <w:shd w:val="clear" w:color="auto" w:fill="auto"/>
                  <w:vAlign w:val="center"/>
                </w:tcPr>
                <w:p>
                  <w:pPr>
                    <w:snapToGrid w:val="0"/>
                    <w:jc w:val="center"/>
                    <w:rPr>
                      <w:b/>
                      <w:szCs w:val="21"/>
                      <w:u w:val="single"/>
                    </w:rPr>
                  </w:pPr>
                  <w:r>
                    <w:rPr>
                      <w:b/>
                      <w:szCs w:val="21"/>
                      <w:u w:val="single"/>
                    </w:rPr>
                    <w:t>非甲烷总烃</w:t>
                  </w:r>
                </w:p>
              </w:tc>
              <w:tc>
                <w:tcPr>
                  <w:tcW w:w="1531" w:type="dxa"/>
                  <w:shd w:val="clear" w:color="auto" w:fill="auto"/>
                  <w:vAlign w:val="center"/>
                </w:tcPr>
                <w:p>
                  <w:pPr>
                    <w:jc w:val="center"/>
                    <w:rPr>
                      <w:b/>
                      <w:szCs w:val="21"/>
                      <w:u w:val="single"/>
                    </w:rPr>
                  </w:pPr>
                  <w:r>
                    <w:rPr>
                      <w:b/>
                      <w:szCs w:val="21"/>
                      <w:u w:val="single"/>
                    </w:rPr>
                    <w:t>297</w:t>
                  </w:r>
                </w:p>
              </w:tc>
              <w:tc>
                <w:tcPr>
                  <w:tcW w:w="1308" w:type="dxa"/>
                  <w:shd w:val="clear" w:color="auto" w:fill="auto"/>
                  <w:vAlign w:val="center"/>
                </w:tcPr>
                <w:p>
                  <w:pPr>
                    <w:jc w:val="center"/>
                    <w:rPr>
                      <w:b/>
                      <w:szCs w:val="21"/>
                      <w:u w:val="single"/>
                    </w:rPr>
                  </w:pPr>
                  <w:r>
                    <w:rPr>
                      <w:b/>
                      <w:szCs w:val="21"/>
                      <w:u w:val="single"/>
                    </w:rPr>
                    <w:t>0.0003151</w:t>
                  </w:r>
                </w:p>
              </w:tc>
              <w:tc>
                <w:tcPr>
                  <w:tcW w:w="1560" w:type="dxa"/>
                  <w:shd w:val="clear" w:color="auto" w:fill="auto"/>
                  <w:vAlign w:val="center"/>
                </w:tcPr>
                <w:p>
                  <w:pPr>
                    <w:jc w:val="center"/>
                    <w:rPr>
                      <w:b/>
                      <w:szCs w:val="21"/>
                      <w:u w:val="single"/>
                    </w:rPr>
                  </w:pPr>
                  <w:r>
                    <w:rPr>
                      <w:b/>
                      <w:szCs w:val="21"/>
                      <w:u w:val="single"/>
                    </w:rPr>
                    <w:t>0.02</w:t>
                  </w:r>
                </w:p>
              </w:tc>
              <w:tc>
                <w:tcPr>
                  <w:tcW w:w="1221" w:type="dxa"/>
                  <w:shd w:val="clear" w:color="auto" w:fill="auto"/>
                  <w:vAlign w:val="center"/>
                </w:tcPr>
                <w:p>
                  <w:pPr>
                    <w:jc w:val="center"/>
                    <w:rPr>
                      <w:b/>
                      <w:szCs w:val="21"/>
                      <w:u w:val="single"/>
                    </w:rPr>
                  </w:pPr>
                  <w:r>
                    <w:rPr>
                      <w:b/>
                      <w:szCs w:val="21"/>
                      <w:u w:val="single"/>
                    </w:rPr>
                    <w:t>2.0</w:t>
                  </w:r>
                </w:p>
              </w:tc>
              <w:tc>
                <w:tcPr>
                  <w:tcW w:w="1404" w:type="dxa"/>
                  <w:shd w:val="clear" w:color="auto" w:fill="auto"/>
                  <w:vAlign w:val="center"/>
                </w:tcPr>
                <w:p>
                  <w:pPr>
                    <w:jc w:val="center"/>
                    <w:rPr>
                      <w:b/>
                      <w:szCs w:val="21"/>
                      <w:u w:val="single"/>
                    </w:rPr>
                  </w:pPr>
                  <w:r>
                    <w:rPr>
                      <w:b/>
                      <w:szCs w:val="21"/>
                      <w:u w:val="single"/>
                    </w:rPr>
                    <w:t>P</w:t>
                  </w:r>
                  <w:r>
                    <w:rPr>
                      <w:b/>
                      <w:szCs w:val="21"/>
                      <w:u w:val="single"/>
                      <w:vertAlign w:val="subscript"/>
                    </w:rPr>
                    <w:t>max</w:t>
                  </w:r>
                  <w:r>
                    <w:rPr>
                      <w:b/>
                      <w:szCs w:val="21"/>
                      <w:u w:val="single"/>
                    </w:rPr>
                    <w:t>＜1%</w:t>
                  </w:r>
                </w:p>
                <w:p>
                  <w:pPr>
                    <w:jc w:val="center"/>
                    <w:rPr>
                      <w:b/>
                      <w:szCs w:val="21"/>
                      <w:u w:val="single"/>
                    </w:rPr>
                  </w:pPr>
                  <w:r>
                    <w:rPr>
                      <w:b/>
                      <w:szCs w:val="21"/>
                      <w:u w:val="single"/>
                    </w:rPr>
                    <w:t>三级</w:t>
                  </w:r>
                </w:p>
              </w:tc>
            </w:tr>
          </w:tbl>
          <w:p>
            <w:pPr>
              <w:spacing w:line="480" w:lineRule="exact"/>
              <w:ind w:firstLine="480"/>
              <w:rPr>
                <w:sz w:val="24"/>
              </w:rPr>
            </w:pPr>
            <w:r>
              <w:rPr>
                <w:sz w:val="24"/>
              </w:rPr>
              <w:t>由预测结果可知，非甲烷总烃的最大落地浓度值不超标，Pmax＜1%。根据评价等级评判标准，确定本项目大气环境评价工作等级为三级。</w:t>
            </w:r>
          </w:p>
          <w:p>
            <w:pPr>
              <w:pStyle w:val="138"/>
              <w:spacing w:before="0" w:line="480" w:lineRule="exact"/>
              <w:ind w:firstLine="480"/>
              <w:outlineLvl w:val="2"/>
              <w:rPr>
                <w:sz w:val="24"/>
                <w:szCs w:val="24"/>
              </w:rPr>
            </w:pPr>
            <w:r>
              <w:rPr>
                <w:rFonts w:cs="Times New Roman"/>
                <w:b w:val="0"/>
                <w:sz w:val="24"/>
                <w:szCs w:val="24"/>
              </w:rPr>
              <w:t>（5）项目厂界浓度预测</w:t>
            </w:r>
          </w:p>
          <w:p>
            <w:pPr>
              <w:spacing w:line="480" w:lineRule="exact"/>
              <w:ind w:firstLine="480"/>
              <w:rPr>
                <w:sz w:val="24"/>
              </w:rPr>
            </w:pPr>
            <w:r>
              <w:rPr>
                <w:sz w:val="24"/>
              </w:rPr>
              <w:t>项目厂界浓度预测结果见</w:t>
            </w:r>
            <w:r>
              <w:rPr>
                <w:rFonts w:hint="eastAsia"/>
                <w:sz w:val="24"/>
              </w:rPr>
              <w:t>下表</w:t>
            </w:r>
            <w:r>
              <w:rPr>
                <w:sz w:val="24"/>
              </w:rPr>
              <w:t>。</w:t>
            </w:r>
          </w:p>
          <w:p>
            <w:pPr>
              <w:spacing w:line="480" w:lineRule="exact"/>
              <w:ind w:firstLine="480"/>
              <w:rPr>
                <w:sz w:val="24"/>
              </w:rPr>
            </w:pPr>
          </w:p>
          <w:p>
            <w:pPr>
              <w:spacing w:line="480" w:lineRule="exact"/>
              <w:ind w:firstLine="480"/>
              <w:rPr>
                <w:sz w:val="24"/>
              </w:rPr>
            </w:pPr>
          </w:p>
          <w:p>
            <w:pPr>
              <w:spacing w:line="480" w:lineRule="exact"/>
              <w:ind w:firstLine="480"/>
              <w:rPr>
                <w:sz w:val="24"/>
              </w:rPr>
            </w:pPr>
          </w:p>
          <w:p>
            <w:pPr>
              <w:pStyle w:val="131"/>
              <w:spacing w:line="480" w:lineRule="exact"/>
              <w:ind w:firstLine="480"/>
              <w:rPr>
                <w:b/>
                <w:u w:val="single"/>
              </w:rPr>
            </w:pPr>
            <w:r>
              <w:rPr>
                <w:b/>
                <w:u w:val="single"/>
              </w:rPr>
              <w:t>表</w:t>
            </w:r>
            <w:r>
              <w:rPr>
                <w:rFonts w:hint="eastAsia"/>
                <w:b/>
                <w:u w:val="single"/>
              </w:rPr>
              <w:t>37</w:t>
            </w:r>
            <w:r>
              <w:rPr>
                <w:b/>
                <w:u w:val="single"/>
              </w:rPr>
              <w:t xml:space="preserve">    </w:t>
            </w:r>
            <w:r>
              <w:rPr>
                <w:rFonts w:hint="eastAsia"/>
                <w:b/>
                <w:u w:val="single"/>
              </w:rPr>
              <w:t xml:space="preserve">                             </w:t>
            </w:r>
            <w:r>
              <w:rPr>
                <w:b/>
                <w:u w:val="single"/>
              </w:rPr>
              <w:t>项目废气排放对厂界的贡献值</w:t>
            </w:r>
          </w:p>
          <w:tbl>
            <w:tblPr>
              <w:tblStyle w:val="19"/>
              <w:tblW w:w="5000"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59"/>
              <w:gridCol w:w="1313"/>
              <w:gridCol w:w="1500"/>
              <w:gridCol w:w="2251"/>
              <w:gridCol w:w="299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28" w:type="dxa"/>
                  <w:shd w:val="clear" w:color="auto" w:fill="auto"/>
                  <w:vAlign w:val="center"/>
                </w:tcPr>
                <w:p>
                  <w:pPr>
                    <w:jc w:val="center"/>
                    <w:rPr>
                      <w:b/>
                      <w:szCs w:val="21"/>
                      <w:u w:val="single"/>
                    </w:rPr>
                  </w:pPr>
                  <w:r>
                    <w:rPr>
                      <w:b/>
                      <w:szCs w:val="21"/>
                      <w:u w:val="single"/>
                    </w:rPr>
                    <w:t>项目</w:t>
                  </w:r>
                </w:p>
              </w:tc>
              <w:tc>
                <w:tcPr>
                  <w:tcW w:w="993" w:type="dxa"/>
                  <w:shd w:val="clear" w:color="auto" w:fill="auto"/>
                  <w:vAlign w:val="center"/>
                </w:tcPr>
                <w:p>
                  <w:pPr>
                    <w:jc w:val="center"/>
                    <w:rPr>
                      <w:b/>
                      <w:szCs w:val="21"/>
                      <w:u w:val="single"/>
                    </w:rPr>
                  </w:pPr>
                  <w:r>
                    <w:rPr>
                      <w:b/>
                      <w:szCs w:val="21"/>
                      <w:u w:val="single"/>
                    </w:rPr>
                    <w:t>厂界</w:t>
                  </w:r>
                </w:p>
              </w:tc>
              <w:tc>
                <w:tcPr>
                  <w:tcW w:w="1134" w:type="dxa"/>
                  <w:shd w:val="clear" w:color="auto" w:fill="auto"/>
                  <w:vAlign w:val="center"/>
                </w:tcPr>
                <w:p>
                  <w:pPr>
                    <w:jc w:val="center"/>
                    <w:rPr>
                      <w:b/>
                      <w:szCs w:val="21"/>
                      <w:u w:val="single"/>
                    </w:rPr>
                  </w:pPr>
                  <w:r>
                    <w:rPr>
                      <w:b/>
                      <w:szCs w:val="21"/>
                      <w:u w:val="single"/>
                    </w:rPr>
                    <w:t>距厂界的距离（m）</w:t>
                  </w:r>
                </w:p>
              </w:tc>
              <w:tc>
                <w:tcPr>
                  <w:tcW w:w="1702" w:type="dxa"/>
                  <w:shd w:val="clear" w:color="auto" w:fill="auto"/>
                  <w:vAlign w:val="center"/>
                </w:tcPr>
                <w:p>
                  <w:pPr>
                    <w:jc w:val="center"/>
                    <w:rPr>
                      <w:b/>
                      <w:szCs w:val="21"/>
                      <w:u w:val="single"/>
                    </w:rPr>
                  </w:pPr>
                  <w:r>
                    <w:rPr>
                      <w:b/>
                      <w:szCs w:val="21"/>
                      <w:u w:val="single"/>
                    </w:rPr>
                    <w:t>预测浓度（mg/m</w:t>
                  </w:r>
                  <w:r>
                    <w:rPr>
                      <w:b/>
                      <w:szCs w:val="21"/>
                      <w:u w:val="single"/>
                      <w:vertAlign w:val="superscript"/>
                    </w:rPr>
                    <w:t>3</w:t>
                  </w:r>
                  <w:r>
                    <w:rPr>
                      <w:b/>
                      <w:szCs w:val="21"/>
                      <w:u w:val="single"/>
                    </w:rPr>
                    <w:t>）</w:t>
                  </w:r>
                </w:p>
              </w:tc>
              <w:tc>
                <w:tcPr>
                  <w:tcW w:w="2268" w:type="dxa"/>
                  <w:shd w:val="clear" w:color="auto" w:fill="auto"/>
                  <w:vAlign w:val="center"/>
                </w:tcPr>
                <w:p>
                  <w:pPr>
                    <w:jc w:val="center"/>
                    <w:rPr>
                      <w:b/>
                      <w:szCs w:val="21"/>
                      <w:u w:val="single"/>
                    </w:rPr>
                  </w:pPr>
                  <w:r>
                    <w:rPr>
                      <w:b/>
                      <w:szCs w:val="21"/>
                      <w:u w:val="single"/>
                    </w:rPr>
                    <w:t>关于全省开展工业企业挥发性有机物专项治理工作中排放建议值的通知》工业企业边界</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28" w:type="dxa"/>
                  <w:vMerge w:val="restart"/>
                  <w:shd w:val="clear" w:color="auto" w:fill="auto"/>
                  <w:vAlign w:val="center"/>
                </w:tcPr>
                <w:p>
                  <w:pPr>
                    <w:jc w:val="center"/>
                    <w:rPr>
                      <w:b/>
                      <w:szCs w:val="21"/>
                      <w:u w:val="single"/>
                    </w:rPr>
                  </w:pPr>
                  <w:r>
                    <w:rPr>
                      <w:b/>
                      <w:szCs w:val="21"/>
                      <w:u w:val="single"/>
                    </w:rPr>
                    <w:t>非甲烷总烃</w:t>
                  </w:r>
                </w:p>
              </w:tc>
              <w:tc>
                <w:tcPr>
                  <w:tcW w:w="993" w:type="dxa"/>
                  <w:shd w:val="clear" w:color="auto" w:fill="auto"/>
                  <w:vAlign w:val="center"/>
                </w:tcPr>
                <w:p>
                  <w:pPr>
                    <w:jc w:val="center"/>
                    <w:rPr>
                      <w:b/>
                      <w:szCs w:val="21"/>
                      <w:u w:val="single"/>
                    </w:rPr>
                  </w:pPr>
                  <w:r>
                    <w:rPr>
                      <w:b/>
                      <w:szCs w:val="21"/>
                      <w:u w:val="single"/>
                    </w:rPr>
                    <w:t>南厂界</w:t>
                  </w:r>
                </w:p>
              </w:tc>
              <w:tc>
                <w:tcPr>
                  <w:tcW w:w="1134" w:type="dxa"/>
                  <w:shd w:val="clear" w:color="auto" w:fill="auto"/>
                  <w:vAlign w:val="center"/>
                </w:tcPr>
                <w:p>
                  <w:pPr>
                    <w:pStyle w:val="137"/>
                    <w:jc w:val="center"/>
                    <w:rPr>
                      <w:rFonts w:ascii="Times New Roman" w:hAnsi="Times New Roman" w:eastAsia="宋体"/>
                      <w:b/>
                      <w:kern w:val="2"/>
                      <w:sz w:val="21"/>
                      <w:szCs w:val="21"/>
                      <w:u w:val="single"/>
                    </w:rPr>
                  </w:pPr>
                  <w:r>
                    <w:rPr>
                      <w:rFonts w:hint="eastAsia" w:ascii="Times New Roman" w:hAnsi="Times New Roman" w:eastAsia="宋体"/>
                      <w:b/>
                      <w:kern w:val="2"/>
                      <w:sz w:val="21"/>
                      <w:szCs w:val="21"/>
                      <w:u w:val="single"/>
                    </w:rPr>
                    <w:t>40</w:t>
                  </w:r>
                </w:p>
              </w:tc>
              <w:tc>
                <w:tcPr>
                  <w:tcW w:w="1702" w:type="dxa"/>
                  <w:shd w:val="clear" w:color="auto" w:fill="auto"/>
                  <w:vAlign w:val="center"/>
                </w:tcPr>
                <w:p>
                  <w:pPr>
                    <w:jc w:val="center"/>
                    <w:rPr>
                      <w:b/>
                      <w:szCs w:val="21"/>
                      <w:u w:val="single"/>
                    </w:rPr>
                  </w:pPr>
                  <w:r>
                    <w:rPr>
                      <w:rFonts w:hint="eastAsia"/>
                      <w:b/>
                      <w:szCs w:val="21"/>
                      <w:u w:val="single"/>
                    </w:rPr>
                    <w:t>7.046</w:t>
                  </w:r>
                  <w:r>
                    <w:rPr>
                      <w:b/>
                      <w:szCs w:val="21"/>
                      <w:u w:val="single"/>
                    </w:rPr>
                    <w:t>×10</w:t>
                  </w:r>
                  <w:r>
                    <w:rPr>
                      <w:b/>
                      <w:szCs w:val="21"/>
                      <w:u w:val="single"/>
                      <w:vertAlign w:val="superscript"/>
                    </w:rPr>
                    <w:t>-</w:t>
                  </w:r>
                  <w:r>
                    <w:rPr>
                      <w:rFonts w:hint="eastAsia"/>
                      <w:b/>
                      <w:szCs w:val="21"/>
                      <w:u w:val="single"/>
                      <w:vertAlign w:val="superscript"/>
                    </w:rPr>
                    <w:t>6</w:t>
                  </w:r>
                </w:p>
              </w:tc>
              <w:tc>
                <w:tcPr>
                  <w:tcW w:w="2268" w:type="dxa"/>
                  <w:vMerge w:val="restart"/>
                  <w:shd w:val="clear" w:color="auto" w:fill="auto"/>
                  <w:vAlign w:val="center"/>
                </w:tcPr>
                <w:p>
                  <w:pPr>
                    <w:jc w:val="center"/>
                    <w:rPr>
                      <w:b/>
                      <w:szCs w:val="21"/>
                      <w:u w:val="single"/>
                    </w:rPr>
                  </w:pPr>
                  <w:r>
                    <w:rPr>
                      <w:b/>
                      <w:szCs w:val="21"/>
                      <w:u w:val="single"/>
                    </w:rPr>
                    <w:t>2.0mg/m</w:t>
                  </w:r>
                  <w:r>
                    <w:rPr>
                      <w:b/>
                      <w:szCs w:val="21"/>
                      <w:u w:val="single"/>
                      <w:vertAlign w:val="superscript"/>
                    </w:rPr>
                    <w:t>3</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28" w:type="dxa"/>
                  <w:vMerge w:val="continue"/>
                  <w:shd w:val="clear" w:color="auto" w:fill="auto"/>
                  <w:vAlign w:val="center"/>
                </w:tcPr>
                <w:p>
                  <w:pPr>
                    <w:jc w:val="center"/>
                    <w:rPr>
                      <w:b/>
                      <w:szCs w:val="21"/>
                      <w:u w:val="single"/>
                    </w:rPr>
                  </w:pPr>
                </w:p>
              </w:tc>
              <w:tc>
                <w:tcPr>
                  <w:tcW w:w="993" w:type="dxa"/>
                  <w:shd w:val="clear" w:color="auto" w:fill="auto"/>
                  <w:vAlign w:val="center"/>
                </w:tcPr>
                <w:p>
                  <w:pPr>
                    <w:jc w:val="center"/>
                    <w:rPr>
                      <w:b/>
                      <w:szCs w:val="21"/>
                      <w:u w:val="single"/>
                    </w:rPr>
                  </w:pPr>
                  <w:r>
                    <w:rPr>
                      <w:b/>
                      <w:szCs w:val="21"/>
                      <w:u w:val="single"/>
                    </w:rPr>
                    <w:t>北厂界</w:t>
                  </w:r>
                </w:p>
              </w:tc>
              <w:tc>
                <w:tcPr>
                  <w:tcW w:w="1134" w:type="dxa"/>
                  <w:shd w:val="clear" w:color="auto" w:fill="auto"/>
                  <w:vAlign w:val="center"/>
                </w:tcPr>
                <w:p>
                  <w:pPr>
                    <w:pStyle w:val="137"/>
                    <w:jc w:val="center"/>
                    <w:rPr>
                      <w:rFonts w:ascii="Times New Roman" w:hAnsi="Times New Roman" w:eastAsia="宋体"/>
                      <w:b/>
                      <w:kern w:val="2"/>
                      <w:sz w:val="21"/>
                      <w:szCs w:val="21"/>
                      <w:u w:val="single"/>
                    </w:rPr>
                  </w:pPr>
                  <w:r>
                    <w:rPr>
                      <w:rFonts w:hint="eastAsia" w:ascii="Times New Roman" w:hAnsi="Times New Roman" w:eastAsia="宋体"/>
                      <w:b/>
                      <w:kern w:val="2"/>
                      <w:sz w:val="21"/>
                      <w:szCs w:val="21"/>
                      <w:u w:val="single"/>
                    </w:rPr>
                    <w:t>5</w:t>
                  </w:r>
                </w:p>
              </w:tc>
              <w:tc>
                <w:tcPr>
                  <w:tcW w:w="1702" w:type="dxa"/>
                  <w:shd w:val="clear" w:color="auto" w:fill="auto"/>
                  <w:vAlign w:val="center"/>
                </w:tcPr>
                <w:p>
                  <w:pPr>
                    <w:jc w:val="center"/>
                    <w:rPr>
                      <w:b/>
                      <w:szCs w:val="21"/>
                      <w:u w:val="single"/>
                    </w:rPr>
                  </w:pPr>
                  <w:r>
                    <w:rPr>
                      <w:rFonts w:hint="eastAsia"/>
                      <w:b/>
                      <w:szCs w:val="21"/>
                      <w:u w:val="single"/>
                    </w:rPr>
                    <w:t>0</w:t>
                  </w:r>
                </w:p>
              </w:tc>
              <w:tc>
                <w:tcPr>
                  <w:tcW w:w="2268" w:type="dxa"/>
                  <w:vMerge w:val="continue"/>
                  <w:shd w:val="clear" w:color="auto" w:fill="auto"/>
                  <w:vAlign w:val="center"/>
                </w:tcPr>
                <w:p>
                  <w:pPr>
                    <w:widowControl/>
                    <w:jc w:val="center"/>
                    <w:rPr>
                      <w:b/>
                      <w:szCs w:val="21"/>
                      <w:u w:val="singl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28" w:type="dxa"/>
                  <w:vMerge w:val="continue"/>
                  <w:shd w:val="clear" w:color="auto" w:fill="auto"/>
                  <w:vAlign w:val="center"/>
                </w:tcPr>
                <w:p>
                  <w:pPr>
                    <w:jc w:val="center"/>
                    <w:rPr>
                      <w:b/>
                      <w:szCs w:val="21"/>
                      <w:u w:val="single"/>
                    </w:rPr>
                  </w:pPr>
                </w:p>
              </w:tc>
              <w:tc>
                <w:tcPr>
                  <w:tcW w:w="993" w:type="dxa"/>
                  <w:shd w:val="clear" w:color="auto" w:fill="auto"/>
                  <w:vAlign w:val="center"/>
                </w:tcPr>
                <w:p>
                  <w:pPr>
                    <w:jc w:val="center"/>
                    <w:rPr>
                      <w:b/>
                      <w:szCs w:val="21"/>
                      <w:u w:val="single"/>
                    </w:rPr>
                  </w:pPr>
                  <w:r>
                    <w:rPr>
                      <w:b/>
                      <w:szCs w:val="21"/>
                      <w:u w:val="single"/>
                    </w:rPr>
                    <w:t>东厂界</w:t>
                  </w:r>
                </w:p>
              </w:tc>
              <w:tc>
                <w:tcPr>
                  <w:tcW w:w="1134" w:type="dxa"/>
                  <w:shd w:val="clear" w:color="auto" w:fill="auto"/>
                  <w:vAlign w:val="center"/>
                </w:tcPr>
                <w:p>
                  <w:pPr>
                    <w:pStyle w:val="137"/>
                    <w:jc w:val="center"/>
                    <w:rPr>
                      <w:rFonts w:ascii="Times New Roman" w:hAnsi="Times New Roman" w:eastAsia="宋体"/>
                      <w:b/>
                      <w:kern w:val="2"/>
                      <w:sz w:val="21"/>
                      <w:szCs w:val="21"/>
                      <w:u w:val="single"/>
                    </w:rPr>
                  </w:pPr>
                  <w:r>
                    <w:rPr>
                      <w:rFonts w:hint="eastAsia" w:ascii="Times New Roman" w:hAnsi="Times New Roman" w:eastAsia="宋体"/>
                      <w:b/>
                      <w:kern w:val="2"/>
                      <w:sz w:val="21"/>
                      <w:szCs w:val="21"/>
                      <w:u w:val="single"/>
                    </w:rPr>
                    <w:t>20</w:t>
                  </w:r>
                </w:p>
              </w:tc>
              <w:tc>
                <w:tcPr>
                  <w:tcW w:w="1702" w:type="dxa"/>
                  <w:shd w:val="clear" w:color="auto" w:fill="auto"/>
                  <w:vAlign w:val="center"/>
                </w:tcPr>
                <w:p>
                  <w:pPr>
                    <w:jc w:val="center"/>
                    <w:rPr>
                      <w:b/>
                      <w:szCs w:val="21"/>
                      <w:u w:val="single"/>
                    </w:rPr>
                  </w:pPr>
                  <w:r>
                    <w:rPr>
                      <w:rFonts w:hint="eastAsia"/>
                      <w:b/>
                      <w:szCs w:val="21"/>
                      <w:u w:val="single"/>
                    </w:rPr>
                    <w:t>1.35</w:t>
                  </w:r>
                  <w:r>
                    <w:rPr>
                      <w:b/>
                      <w:szCs w:val="21"/>
                      <w:u w:val="single"/>
                    </w:rPr>
                    <w:t>×10</w:t>
                  </w:r>
                  <w:r>
                    <w:rPr>
                      <w:b/>
                      <w:szCs w:val="21"/>
                      <w:u w:val="single"/>
                      <w:vertAlign w:val="superscript"/>
                    </w:rPr>
                    <w:t>-</w:t>
                  </w:r>
                  <w:r>
                    <w:rPr>
                      <w:rFonts w:hint="eastAsia"/>
                      <w:b/>
                      <w:szCs w:val="21"/>
                      <w:u w:val="single"/>
                      <w:vertAlign w:val="superscript"/>
                    </w:rPr>
                    <w:t>10</w:t>
                  </w:r>
                </w:p>
              </w:tc>
              <w:tc>
                <w:tcPr>
                  <w:tcW w:w="2268" w:type="dxa"/>
                  <w:vMerge w:val="continue"/>
                  <w:shd w:val="clear" w:color="auto" w:fill="auto"/>
                  <w:vAlign w:val="center"/>
                </w:tcPr>
                <w:p>
                  <w:pPr>
                    <w:widowControl/>
                    <w:jc w:val="center"/>
                    <w:rPr>
                      <w:b/>
                      <w:szCs w:val="21"/>
                      <w:u w:val="singl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28" w:type="dxa"/>
                  <w:vMerge w:val="continue"/>
                  <w:shd w:val="clear" w:color="auto" w:fill="auto"/>
                  <w:vAlign w:val="center"/>
                </w:tcPr>
                <w:p>
                  <w:pPr>
                    <w:jc w:val="center"/>
                    <w:rPr>
                      <w:b/>
                      <w:szCs w:val="21"/>
                      <w:u w:val="single"/>
                    </w:rPr>
                  </w:pPr>
                </w:p>
              </w:tc>
              <w:tc>
                <w:tcPr>
                  <w:tcW w:w="993" w:type="dxa"/>
                  <w:shd w:val="clear" w:color="auto" w:fill="auto"/>
                  <w:vAlign w:val="center"/>
                </w:tcPr>
                <w:p>
                  <w:pPr>
                    <w:jc w:val="center"/>
                    <w:rPr>
                      <w:b/>
                      <w:szCs w:val="21"/>
                      <w:u w:val="single"/>
                    </w:rPr>
                  </w:pPr>
                  <w:r>
                    <w:rPr>
                      <w:b/>
                      <w:szCs w:val="21"/>
                      <w:u w:val="single"/>
                    </w:rPr>
                    <w:t>西厂界</w:t>
                  </w:r>
                </w:p>
              </w:tc>
              <w:tc>
                <w:tcPr>
                  <w:tcW w:w="1134" w:type="dxa"/>
                  <w:shd w:val="clear" w:color="auto" w:fill="auto"/>
                  <w:vAlign w:val="center"/>
                </w:tcPr>
                <w:p>
                  <w:pPr>
                    <w:pStyle w:val="137"/>
                    <w:jc w:val="center"/>
                    <w:rPr>
                      <w:rFonts w:ascii="Times New Roman" w:hAnsi="Times New Roman" w:eastAsia="宋体"/>
                      <w:b/>
                      <w:kern w:val="2"/>
                      <w:sz w:val="21"/>
                      <w:szCs w:val="21"/>
                      <w:u w:val="single"/>
                    </w:rPr>
                  </w:pPr>
                  <w:r>
                    <w:rPr>
                      <w:rFonts w:hint="eastAsia" w:ascii="Times New Roman" w:hAnsi="Times New Roman" w:eastAsia="宋体"/>
                      <w:b/>
                      <w:kern w:val="2"/>
                      <w:sz w:val="21"/>
                      <w:szCs w:val="21"/>
                      <w:u w:val="single"/>
                    </w:rPr>
                    <w:t>85</w:t>
                  </w:r>
                </w:p>
              </w:tc>
              <w:tc>
                <w:tcPr>
                  <w:tcW w:w="1702" w:type="dxa"/>
                  <w:shd w:val="clear" w:color="auto" w:fill="auto"/>
                  <w:vAlign w:val="center"/>
                </w:tcPr>
                <w:p>
                  <w:pPr>
                    <w:jc w:val="center"/>
                    <w:rPr>
                      <w:b/>
                      <w:szCs w:val="21"/>
                      <w:u w:val="single"/>
                    </w:rPr>
                  </w:pPr>
                  <w:r>
                    <w:rPr>
                      <w:b/>
                      <w:szCs w:val="21"/>
                      <w:u w:val="single"/>
                    </w:rPr>
                    <w:t>0.0002</w:t>
                  </w:r>
                  <w:r>
                    <w:rPr>
                      <w:rFonts w:hint="eastAsia"/>
                      <w:b/>
                      <w:szCs w:val="21"/>
                      <w:u w:val="single"/>
                    </w:rPr>
                    <w:t>406</w:t>
                  </w:r>
                </w:p>
              </w:tc>
              <w:tc>
                <w:tcPr>
                  <w:tcW w:w="2268" w:type="dxa"/>
                  <w:vMerge w:val="continue"/>
                  <w:shd w:val="clear" w:color="auto" w:fill="auto"/>
                  <w:vAlign w:val="center"/>
                </w:tcPr>
                <w:p>
                  <w:pPr>
                    <w:widowControl/>
                    <w:jc w:val="center"/>
                    <w:rPr>
                      <w:b/>
                      <w:szCs w:val="21"/>
                      <w:u w:val="single"/>
                    </w:rPr>
                  </w:pPr>
                </w:p>
              </w:tc>
            </w:tr>
          </w:tbl>
          <w:p>
            <w:pPr>
              <w:spacing w:line="480" w:lineRule="exact"/>
              <w:ind w:firstLine="480"/>
              <w:rPr>
                <w:sz w:val="24"/>
              </w:rPr>
            </w:pPr>
            <w:r>
              <w:rPr>
                <w:sz w:val="24"/>
              </w:rPr>
              <w:t>经计算，本项目非甲烷总烃排放在各个厂界的浓度</w:t>
            </w:r>
            <w:r>
              <w:rPr>
                <w:rFonts w:hint="eastAsia"/>
                <w:sz w:val="24"/>
              </w:rPr>
              <w:t>贡献值</w:t>
            </w:r>
            <w:r>
              <w:rPr>
                <w:sz w:val="24"/>
              </w:rPr>
              <w:t>均不超标</w:t>
            </w:r>
            <w:r>
              <w:rPr>
                <w:rFonts w:hint="eastAsia"/>
                <w:sz w:val="24"/>
              </w:rPr>
              <w:t>，非甲烷总烃</w:t>
            </w:r>
            <w:r>
              <w:rPr>
                <w:sz w:val="24"/>
              </w:rPr>
              <w:t>能够满足河南省环境污染防治攻坚战领导小组办公室文件（豫环攻坚办[2017]162号）《关于全省开展工业企业挥发性有机物专项治理工作中排放建议值的通知》附件2工业企业挥发性有机物边界排放浓度2.0mg/m</w:t>
            </w:r>
            <w:r>
              <w:rPr>
                <w:sz w:val="24"/>
                <w:vertAlign w:val="superscript"/>
              </w:rPr>
              <w:t>3</w:t>
            </w:r>
            <w:r>
              <w:rPr>
                <w:sz w:val="24"/>
              </w:rPr>
              <w:t>的排放限值要求</w:t>
            </w:r>
            <w:r>
              <w:rPr>
                <w:rFonts w:hint="eastAsia"/>
                <w:sz w:val="24"/>
              </w:rPr>
              <w:t>，</w:t>
            </w:r>
            <w:r>
              <w:rPr>
                <w:sz w:val="24"/>
              </w:rPr>
              <w:t>对周围环境影响不大。</w:t>
            </w:r>
          </w:p>
          <w:p>
            <w:pPr>
              <w:spacing w:line="480" w:lineRule="exact"/>
              <w:ind w:firstLine="480"/>
              <w:textAlignment w:val="baseline"/>
              <w:rPr>
                <w:sz w:val="24"/>
              </w:rPr>
            </w:pPr>
            <w:r>
              <w:rPr>
                <w:rFonts w:hint="eastAsia"/>
                <w:sz w:val="24"/>
              </w:rPr>
              <w:t>（6）</w:t>
            </w:r>
            <w:r>
              <w:rPr>
                <w:sz w:val="24"/>
              </w:rPr>
              <w:t>大气防护距离</w:t>
            </w:r>
            <w:r>
              <w:rPr>
                <w:rFonts w:hint="eastAsia"/>
                <w:sz w:val="24"/>
              </w:rPr>
              <w:t>：</w:t>
            </w:r>
          </w:p>
          <w:p>
            <w:pPr>
              <w:spacing w:line="480" w:lineRule="exact"/>
              <w:ind w:firstLine="480"/>
              <w:textAlignment w:val="baseline"/>
              <w:rPr>
                <w:sz w:val="24"/>
              </w:rPr>
            </w:pPr>
            <w:r>
              <w:rPr>
                <w:bCs/>
                <w:sz w:val="24"/>
              </w:rPr>
              <w:t>依据《环境影响评价技术导则-大气环境》（HJ2.2-2018）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本项目厂界浓度预测结果，最大落地浓度不超过环境质量浓度限值</w:t>
            </w:r>
            <w:r>
              <w:rPr>
                <w:sz w:val="24"/>
              </w:rPr>
              <w:t>2.0mg/m</w:t>
            </w:r>
            <w:r>
              <w:rPr>
                <w:sz w:val="24"/>
                <w:vertAlign w:val="superscript"/>
              </w:rPr>
              <w:t>3</w:t>
            </w:r>
            <w:r>
              <w:rPr>
                <w:sz w:val="24"/>
              </w:rPr>
              <w:t>的要求</w:t>
            </w:r>
            <w:r>
              <w:rPr>
                <w:bCs/>
                <w:sz w:val="24"/>
              </w:rPr>
              <w:t>，因此无需设置大气环境防护距离。</w:t>
            </w:r>
          </w:p>
          <w:p>
            <w:pPr>
              <w:snapToGrid w:val="0"/>
              <w:spacing w:line="480" w:lineRule="exact"/>
              <w:ind w:firstLine="482"/>
              <w:textAlignment w:val="baseline"/>
              <w:rPr>
                <w:b/>
                <w:sz w:val="24"/>
              </w:rPr>
            </w:pPr>
            <w:r>
              <w:rPr>
                <w:b/>
                <w:sz w:val="24"/>
              </w:rPr>
              <w:t>二、废水</w:t>
            </w:r>
          </w:p>
          <w:p>
            <w:pPr>
              <w:spacing w:line="480" w:lineRule="exact"/>
              <w:ind w:firstLine="600" w:firstLineChars="250"/>
              <w:rPr>
                <w:sz w:val="24"/>
              </w:rPr>
            </w:pPr>
            <w:r>
              <w:rPr>
                <w:rFonts w:hint="eastAsia"/>
                <w:bCs/>
                <w:sz w:val="24"/>
              </w:rPr>
              <w:t>注塑</w:t>
            </w:r>
            <w:r>
              <w:rPr>
                <w:bCs/>
                <w:sz w:val="24"/>
              </w:rPr>
              <w:t>工序需使用冷却水对模具和进料口进行冷却，冷却方式为间接冷却，</w:t>
            </w:r>
            <w:r>
              <w:rPr>
                <w:rFonts w:hint="eastAsia"/>
                <w:sz w:val="24"/>
                <w:szCs w:val="32"/>
              </w:rPr>
              <w:t>厂内已建有冷却水塔及循环水池，冷却水循环使用不外排，仅需要时添加新鲜用水，补充新鲜水量为0.4t/d（120t/a）。</w:t>
            </w:r>
          </w:p>
          <w:p>
            <w:pPr>
              <w:spacing w:line="480" w:lineRule="exact"/>
              <w:ind w:firstLine="600" w:firstLineChars="250"/>
              <w:rPr>
                <w:bCs/>
                <w:sz w:val="24"/>
              </w:rPr>
            </w:pPr>
            <w:r>
              <w:rPr>
                <w:bCs/>
                <w:sz w:val="24"/>
              </w:rPr>
              <w:t>本项目新增员工</w:t>
            </w:r>
            <w:r>
              <w:rPr>
                <w:rFonts w:hint="eastAsia"/>
                <w:bCs/>
                <w:sz w:val="24"/>
              </w:rPr>
              <w:t>10</w:t>
            </w:r>
            <w:r>
              <w:rPr>
                <w:bCs/>
                <w:sz w:val="24"/>
              </w:rPr>
              <w:t>名，年工作</w:t>
            </w:r>
            <w:r>
              <w:rPr>
                <w:rFonts w:hint="eastAsia"/>
                <w:bCs/>
                <w:sz w:val="24"/>
              </w:rPr>
              <w:t>30</w:t>
            </w:r>
            <w:r>
              <w:rPr>
                <w:bCs/>
                <w:sz w:val="24"/>
              </w:rPr>
              <w:t>0天，</w:t>
            </w:r>
            <w:r>
              <w:rPr>
                <w:rFonts w:hint="eastAsia"/>
                <w:bCs/>
                <w:sz w:val="24"/>
              </w:rPr>
              <w:t>单</w:t>
            </w:r>
            <w:r>
              <w:rPr>
                <w:bCs/>
                <w:sz w:val="24"/>
              </w:rPr>
              <w:t>班生产，员工均不在厂区内食宿。生活用水量按</w:t>
            </w:r>
            <w:r>
              <w:rPr>
                <w:rFonts w:hint="eastAsia"/>
                <w:bCs/>
                <w:sz w:val="24"/>
              </w:rPr>
              <w:t>3</w:t>
            </w:r>
            <w:r>
              <w:rPr>
                <w:bCs/>
                <w:sz w:val="24"/>
              </w:rPr>
              <w:t>0L/人·d计算，则用水量为</w:t>
            </w:r>
            <w:r>
              <w:rPr>
                <w:rFonts w:hint="eastAsia"/>
                <w:bCs/>
                <w:sz w:val="24"/>
              </w:rPr>
              <w:t>0.3</w:t>
            </w:r>
            <w:r>
              <w:rPr>
                <w:bCs/>
                <w:sz w:val="24"/>
              </w:rPr>
              <w:t>t/d</w:t>
            </w:r>
            <w:r>
              <w:rPr>
                <w:rFonts w:hint="eastAsia"/>
                <w:bCs/>
                <w:sz w:val="24"/>
              </w:rPr>
              <w:t>（90t/a）</w:t>
            </w:r>
            <w:r>
              <w:rPr>
                <w:bCs/>
                <w:sz w:val="24"/>
              </w:rPr>
              <w:t>，排放系数以0.8计，则排放量为</w:t>
            </w:r>
            <w:r>
              <w:rPr>
                <w:rFonts w:hint="eastAsia"/>
                <w:bCs/>
                <w:sz w:val="24"/>
              </w:rPr>
              <w:t>0.24</w:t>
            </w:r>
            <w:r>
              <w:rPr>
                <w:bCs/>
                <w:sz w:val="24"/>
              </w:rPr>
              <w:t>t/d</w:t>
            </w:r>
            <w:r>
              <w:rPr>
                <w:rFonts w:hint="eastAsia"/>
                <w:bCs/>
                <w:sz w:val="24"/>
              </w:rPr>
              <w:t>（72</w:t>
            </w:r>
            <w:r>
              <w:rPr>
                <w:bCs/>
                <w:sz w:val="24"/>
              </w:rPr>
              <w:t>t/a</w:t>
            </w:r>
            <w:r>
              <w:rPr>
                <w:rFonts w:hint="eastAsia"/>
                <w:bCs/>
                <w:sz w:val="24"/>
              </w:rPr>
              <w:t>）</w:t>
            </w:r>
            <w:r>
              <w:rPr>
                <w:bCs/>
                <w:sz w:val="24"/>
              </w:rPr>
              <w:t>。类比废水水质：COD350mg/L、SS300mg/L、NH</w:t>
            </w:r>
            <w:r>
              <w:rPr>
                <w:bCs/>
                <w:sz w:val="24"/>
                <w:vertAlign w:val="subscript"/>
              </w:rPr>
              <w:t>3</w:t>
            </w:r>
            <w:r>
              <w:rPr>
                <w:bCs/>
                <w:sz w:val="24"/>
              </w:rPr>
              <w:t>-N25mg/L、TP3mg/L、TN30mg/L，经化粪池处理后的水质为COD250mg/L、SS200mg/L、NH</w:t>
            </w:r>
            <w:r>
              <w:rPr>
                <w:bCs/>
                <w:sz w:val="24"/>
                <w:vertAlign w:val="subscript"/>
              </w:rPr>
              <w:t>3</w:t>
            </w:r>
            <w:r>
              <w:rPr>
                <w:bCs/>
                <w:sz w:val="24"/>
              </w:rPr>
              <w:t>-N25mg/L、TP3mg/L、TN30mg/L。废水经化粪池处理后定期清运，不外排。</w:t>
            </w:r>
          </w:p>
          <w:p>
            <w:pPr>
              <w:spacing w:line="460" w:lineRule="exact"/>
              <w:ind w:firstLine="482"/>
              <w:rPr>
                <w:b/>
                <w:sz w:val="24"/>
              </w:rPr>
            </w:pPr>
            <w:r>
              <w:rPr>
                <w:b/>
                <w:sz w:val="24"/>
              </w:rPr>
              <w:t>三、噪声</w:t>
            </w:r>
          </w:p>
          <w:p>
            <w:pPr>
              <w:spacing w:line="460" w:lineRule="exact"/>
              <w:ind w:firstLine="480"/>
              <w:rPr>
                <w:sz w:val="24"/>
              </w:rPr>
            </w:pPr>
            <w:r>
              <w:rPr>
                <w:bCs/>
                <w:kern w:val="0"/>
                <w:sz w:val="24"/>
              </w:rPr>
              <w:t>该项目营运期高噪声源主要为冲床</w:t>
            </w:r>
            <w:r>
              <w:rPr>
                <w:rFonts w:hint="eastAsia"/>
                <w:bCs/>
                <w:kern w:val="0"/>
                <w:sz w:val="24"/>
              </w:rPr>
              <w:t>、</w:t>
            </w:r>
            <w:r>
              <w:rPr>
                <w:rFonts w:hint="eastAsia"/>
                <w:sz w:val="24"/>
              </w:rPr>
              <w:t>空压机</w:t>
            </w:r>
            <w:r>
              <w:rPr>
                <w:bCs/>
                <w:kern w:val="0"/>
                <w:sz w:val="24"/>
              </w:rPr>
              <w:t>等生产设备，噪声源强在7</w:t>
            </w:r>
            <w:r>
              <w:rPr>
                <w:rFonts w:hint="eastAsia"/>
                <w:bCs/>
                <w:kern w:val="0"/>
                <w:sz w:val="24"/>
              </w:rPr>
              <w:t>5</w:t>
            </w:r>
            <w:r>
              <w:rPr>
                <w:bCs/>
                <w:kern w:val="0"/>
                <w:sz w:val="24"/>
              </w:rPr>
              <w:t>~8</w:t>
            </w:r>
            <w:r>
              <w:rPr>
                <w:rFonts w:hint="eastAsia"/>
                <w:bCs/>
                <w:kern w:val="0"/>
                <w:sz w:val="24"/>
              </w:rPr>
              <w:t>5</w:t>
            </w:r>
            <w:r>
              <w:rPr>
                <w:bCs/>
                <w:kern w:val="0"/>
                <w:sz w:val="24"/>
              </w:rPr>
              <w:t>dB(A)之间，声源强度及治理效果见</w:t>
            </w:r>
            <w:r>
              <w:rPr>
                <w:rFonts w:hint="eastAsia"/>
                <w:bCs/>
                <w:kern w:val="0"/>
                <w:sz w:val="24"/>
              </w:rPr>
              <w:t>下表</w:t>
            </w:r>
            <w:r>
              <w:rPr>
                <w:sz w:val="24"/>
              </w:rPr>
              <w:t>。</w:t>
            </w:r>
          </w:p>
          <w:p>
            <w:pPr>
              <w:tabs>
                <w:tab w:val="left" w:pos="8370"/>
                <w:tab w:val="left" w:pos="8600"/>
              </w:tabs>
              <w:spacing w:line="440" w:lineRule="exact"/>
              <w:ind w:firstLine="480"/>
              <w:rPr>
                <w:rFonts w:eastAsia="黑体"/>
                <w:sz w:val="24"/>
              </w:rPr>
            </w:pPr>
            <w:r>
              <w:rPr>
                <w:rFonts w:eastAsia="黑体"/>
                <w:sz w:val="24"/>
              </w:rPr>
              <w:t>表</w:t>
            </w:r>
            <w:r>
              <w:rPr>
                <w:rFonts w:hint="eastAsia" w:eastAsia="黑体"/>
                <w:sz w:val="24"/>
              </w:rPr>
              <w:t xml:space="preserve">38 </w:t>
            </w:r>
            <w:r>
              <w:rPr>
                <w:rFonts w:eastAsia="黑体"/>
                <w:sz w:val="24"/>
              </w:rPr>
              <w:t xml:space="preserve">    </w:t>
            </w:r>
            <w:r>
              <w:rPr>
                <w:rFonts w:hint="eastAsia" w:eastAsia="黑体"/>
                <w:sz w:val="24"/>
              </w:rPr>
              <w:t xml:space="preserve">                       </w:t>
            </w:r>
            <w:r>
              <w:rPr>
                <w:rFonts w:eastAsia="黑体"/>
                <w:sz w:val="24"/>
              </w:rPr>
              <w:t xml:space="preserve">项目主要噪声源强及治理效果一览表    </w:t>
            </w:r>
            <w:r>
              <w:rPr>
                <w:rFonts w:hint="eastAsia" w:eastAsia="黑体"/>
                <w:sz w:val="24"/>
              </w:rPr>
              <w:t xml:space="preserve">           </w:t>
            </w:r>
            <w:r>
              <w:rPr>
                <w:rFonts w:eastAsia="黑体"/>
                <w:sz w:val="24"/>
              </w:rPr>
              <w:t xml:space="preserve">   单位：dB（A）</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175"/>
              <w:gridCol w:w="1175"/>
              <w:gridCol w:w="1175"/>
              <w:gridCol w:w="1447"/>
              <w:gridCol w:w="1028"/>
              <w:gridCol w:w="1629"/>
              <w:gridCol w:w="10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pPr>
                    <w:jc w:val="center"/>
                    <w:rPr>
                      <w:b/>
                      <w:szCs w:val="21"/>
                    </w:rPr>
                  </w:pPr>
                  <w:r>
                    <w:rPr>
                      <w:rFonts w:hint="eastAsia"/>
                      <w:b/>
                      <w:szCs w:val="21"/>
                    </w:rPr>
                    <w:t>序号</w:t>
                  </w:r>
                </w:p>
              </w:tc>
              <w:tc>
                <w:tcPr>
                  <w:tcW w:w="1175" w:type="dxa"/>
                  <w:vAlign w:val="center"/>
                </w:tcPr>
                <w:p>
                  <w:pPr>
                    <w:jc w:val="center"/>
                    <w:rPr>
                      <w:b/>
                      <w:szCs w:val="21"/>
                    </w:rPr>
                  </w:pPr>
                  <w:r>
                    <w:rPr>
                      <w:rFonts w:hint="eastAsia"/>
                      <w:b/>
                      <w:szCs w:val="21"/>
                    </w:rPr>
                    <w:t>设备名称</w:t>
                  </w:r>
                </w:p>
              </w:tc>
              <w:tc>
                <w:tcPr>
                  <w:tcW w:w="1175" w:type="dxa"/>
                  <w:vAlign w:val="center"/>
                </w:tcPr>
                <w:p>
                  <w:pPr>
                    <w:jc w:val="center"/>
                    <w:rPr>
                      <w:b/>
                      <w:bCs/>
                      <w:szCs w:val="21"/>
                    </w:rPr>
                  </w:pPr>
                  <w:r>
                    <w:rPr>
                      <w:rFonts w:hint="eastAsia"/>
                      <w:b/>
                      <w:bCs/>
                      <w:szCs w:val="21"/>
                    </w:rPr>
                    <w:t>设备源强</w:t>
                  </w:r>
                  <w:r>
                    <w:rPr>
                      <w:b/>
                      <w:szCs w:val="21"/>
                    </w:rPr>
                    <w:t>dB(A)</w:t>
                  </w:r>
                </w:p>
              </w:tc>
              <w:tc>
                <w:tcPr>
                  <w:tcW w:w="1175" w:type="dxa"/>
                  <w:vAlign w:val="center"/>
                </w:tcPr>
                <w:p>
                  <w:pPr>
                    <w:jc w:val="center"/>
                    <w:rPr>
                      <w:b/>
                      <w:szCs w:val="21"/>
                    </w:rPr>
                  </w:pPr>
                  <w:r>
                    <w:rPr>
                      <w:rFonts w:hint="eastAsia"/>
                      <w:b/>
                      <w:szCs w:val="21"/>
                    </w:rPr>
                    <w:t>治理措施</w:t>
                  </w:r>
                </w:p>
              </w:tc>
              <w:tc>
                <w:tcPr>
                  <w:tcW w:w="1447" w:type="dxa"/>
                  <w:vAlign w:val="center"/>
                </w:tcPr>
                <w:p>
                  <w:pPr>
                    <w:jc w:val="center"/>
                    <w:rPr>
                      <w:b/>
                      <w:szCs w:val="21"/>
                    </w:rPr>
                  </w:pPr>
                  <w:r>
                    <w:rPr>
                      <w:rFonts w:hint="eastAsia"/>
                      <w:b/>
                      <w:szCs w:val="21"/>
                    </w:rPr>
                    <w:t>治理后源强</w:t>
                  </w:r>
                  <w:r>
                    <w:rPr>
                      <w:b/>
                      <w:szCs w:val="21"/>
                    </w:rPr>
                    <w:t>dB(A)</w:t>
                  </w:r>
                </w:p>
              </w:tc>
              <w:tc>
                <w:tcPr>
                  <w:tcW w:w="1028" w:type="dxa"/>
                  <w:vAlign w:val="center"/>
                </w:tcPr>
                <w:p>
                  <w:pPr>
                    <w:jc w:val="center"/>
                    <w:rPr>
                      <w:b/>
                      <w:szCs w:val="21"/>
                    </w:rPr>
                  </w:pPr>
                  <w:r>
                    <w:rPr>
                      <w:rFonts w:hint="eastAsia"/>
                      <w:b/>
                      <w:szCs w:val="21"/>
                    </w:rPr>
                    <w:t>数量（台）</w:t>
                  </w:r>
                </w:p>
              </w:tc>
              <w:tc>
                <w:tcPr>
                  <w:tcW w:w="1629" w:type="dxa"/>
                  <w:vAlign w:val="center"/>
                </w:tcPr>
                <w:p>
                  <w:pPr>
                    <w:jc w:val="center"/>
                    <w:rPr>
                      <w:b/>
                      <w:bCs/>
                      <w:szCs w:val="21"/>
                    </w:rPr>
                  </w:pPr>
                  <w:r>
                    <w:rPr>
                      <w:rFonts w:hint="eastAsia"/>
                      <w:b/>
                      <w:bCs/>
                      <w:szCs w:val="21"/>
                    </w:rPr>
                    <w:t>设备源强叠加值</w:t>
                  </w:r>
                  <w:r>
                    <w:rPr>
                      <w:b/>
                      <w:szCs w:val="21"/>
                    </w:rPr>
                    <w:t>dB(A)</w:t>
                  </w:r>
                </w:p>
              </w:tc>
              <w:tc>
                <w:tcPr>
                  <w:tcW w:w="1037" w:type="dxa"/>
                  <w:vAlign w:val="center"/>
                </w:tcPr>
                <w:p>
                  <w:pPr>
                    <w:jc w:val="center"/>
                    <w:rPr>
                      <w:b/>
                      <w:szCs w:val="21"/>
                    </w:rPr>
                  </w:pPr>
                  <w:r>
                    <w:rPr>
                      <w:rFonts w:hint="eastAsia"/>
                      <w:b/>
                      <w:szCs w:val="21"/>
                    </w:rPr>
                    <w:t>位置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pPr>
                    <w:jc w:val="center"/>
                    <w:rPr>
                      <w:szCs w:val="21"/>
                    </w:rPr>
                  </w:pPr>
                  <w:r>
                    <w:rPr>
                      <w:szCs w:val="21"/>
                    </w:rPr>
                    <w:t>1</w:t>
                  </w:r>
                </w:p>
              </w:tc>
              <w:tc>
                <w:tcPr>
                  <w:tcW w:w="1175" w:type="dxa"/>
                  <w:vAlign w:val="center"/>
                </w:tcPr>
                <w:p>
                  <w:pPr>
                    <w:jc w:val="center"/>
                    <w:rPr>
                      <w:szCs w:val="21"/>
                    </w:rPr>
                  </w:pPr>
                  <w:r>
                    <w:rPr>
                      <w:szCs w:val="21"/>
                    </w:rPr>
                    <w:t>破碎机</w:t>
                  </w:r>
                </w:p>
              </w:tc>
              <w:tc>
                <w:tcPr>
                  <w:tcW w:w="1175" w:type="dxa"/>
                  <w:vAlign w:val="center"/>
                </w:tcPr>
                <w:p>
                  <w:pPr>
                    <w:tabs>
                      <w:tab w:val="left" w:pos="8370"/>
                      <w:tab w:val="left" w:pos="8600"/>
                    </w:tabs>
                    <w:jc w:val="center"/>
                    <w:rPr>
                      <w:szCs w:val="21"/>
                    </w:rPr>
                  </w:pPr>
                  <w:r>
                    <w:rPr>
                      <w:szCs w:val="21"/>
                    </w:rPr>
                    <w:t>75</w:t>
                  </w:r>
                </w:p>
              </w:tc>
              <w:tc>
                <w:tcPr>
                  <w:tcW w:w="1175" w:type="dxa"/>
                  <w:vMerge w:val="restart"/>
                  <w:vAlign w:val="center"/>
                </w:tcPr>
                <w:p>
                  <w:pPr>
                    <w:jc w:val="center"/>
                    <w:rPr>
                      <w:szCs w:val="21"/>
                    </w:rPr>
                  </w:pPr>
                  <w:r>
                    <w:rPr>
                      <w:rFonts w:hint="eastAsia"/>
                      <w:szCs w:val="21"/>
                    </w:rPr>
                    <w:t>减振隔声</w:t>
                  </w:r>
                </w:p>
              </w:tc>
              <w:tc>
                <w:tcPr>
                  <w:tcW w:w="1447" w:type="dxa"/>
                  <w:vAlign w:val="center"/>
                </w:tcPr>
                <w:p>
                  <w:pPr>
                    <w:tabs>
                      <w:tab w:val="left" w:pos="8370"/>
                      <w:tab w:val="left" w:pos="8600"/>
                    </w:tabs>
                    <w:jc w:val="center"/>
                    <w:rPr>
                      <w:szCs w:val="21"/>
                    </w:rPr>
                  </w:pPr>
                  <w:r>
                    <w:rPr>
                      <w:rFonts w:hint="eastAsia"/>
                      <w:szCs w:val="21"/>
                    </w:rPr>
                    <w:t>50</w:t>
                  </w:r>
                </w:p>
              </w:tc>
              <w:tc>
                <w:tcPr>
                  <w:tcW w:w="1028" w:type="dxa"/>
                  <w:vAlign w:val="center"/>
                </w:tcPr>
                <w:p>
                  <w:pPr>
                    <w:jc w:val="center"/>
                    <w:rPr>
                      <w:szCs w:val="21"/>
                    </w:rPr>
                  </w:pPr>
                  <w:r>
                    <w:rPr>
                      <w:rFonts w:hint="eastAsia"/>
                      <w:szCs w:val="21"/>
                    </w:rPr>
                    <w:t>1</w:t>
                  </w:r>
                </w:p>
              </w:tc>
              <w:tc>
                <w:tcPr>
                  <w:tcW w:w="1629" w:type="dxa"/>
                  <w:vAlign w:val="center"/>
                </w:tcPr>
                <w:p>
                  <w:pPr>
                    <w:jc w:val="center"/>
                    <w:rPr>
                      <w:szCs w:val="21"/>
                    </w:rPr>
                  </w:pPr>
                  <w:r>
                    <w:rPr>
                      <w:rFonts w:hint="eastAsia"/>
                      <w:szCs w:val="21"/>
                    </w:rPr>
                    <w:t>50</w:t>
                  </w:r>
                </w:p>
              </w:tc>
              <w:tc>
                <w:tcPr>
                  <w:tcW w:w="1037" w:type="dxa"/>
                  <w:vMerge w:val="restart"/>
                  <w:vAlign w:val="center"/>
                </w:tcPr>
                <w:p>
                  <w:pPr>
                    <w:widowControl/>
                    <w:jc w:val="center"/>
                    <w:rPr>
                      <w:szCs w:val="21"/>
                    </w:rPr>
                  </w:pPr>
                  <w:r>
                    <w:rPr>
                      <w:rFonts w:hint="eastAsia"/>
                      <w:szCs w:val="21"/>
                    </w:rPr>
                    <w:t>生产</w:t>
                  </w:r>
                </w:p>
                <w:p>
                  <w:pPr>
                    <w:widowControl/>
                    <w:jc w:val="center"/>
                    <w:rPr>
                      <w:szCs w:val="21"/>
                    </w:rPr>
                  </w:pPr>
                  <w:r>
                    <w:rPr>
                      <w:rFonts w:hint="eastAsia"/>
                      <w:szCs w:val="21"/>
                    </w:rPr>
                    <w:t>车间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pPr>
                    <w:jc w:val="center"/>
                    <w:rPr>
                      <w:szCs w:val="21"/>
                    </w:rPr>
                  </w:pPr>
                  <w:r>
                    <w:rPr>
                      <w:szCs w:val="21"/>
                    </w:rPr>
                    <w:t>2</w:t>
                  </w:r>
                </w:p>
              </w:tc>
              <w:tc>
                <w:tcPr>
                  <w:tcW w:w="1175" w:type="dxa"/>
                  <w:vAlign w:val="center"/>
                </w:tcPr>
                <w:p>
                  <w:pPr>
                    <w:jc w:val="center"/>
                    <w:rPr>
                      <w:szCs w:val="21"/>
                    </w:rPr>
                  </w:pPr>
                  <w:r>
                    <w:rPr>
                      <w:szCs w:val="21"/>
                    </w:rPr>
                    <w:t>空压机</w:t>
                  </w:r>
                </w:p>
              </w:tc>
              <w:tc>
                <w:tcPr>
                  <w:tcW w:w="1175" w:type="dxa"/>
                  <w:vAlign w:val="center"/>
                </w:tcPr>
                <w:p>
                  <w:pPr>
                    <w:tabs>
                      <w:tab w:val="left" w:pos="8370"/>
                      <w:tab w:val="left" w:pos="8600"/>
                    </w:tabs>
                    <w:jc w:val="center"/>
                    <w:rPr>
                      <w:szCs w:val="21"/>
                    </w:rPr>
                  </w:pPr>
                  <w:r>
                    <w:rPr>
                      <w:rFonts w:hint="eastAsia"/>
                      <w:szCs w:val="21"/>
                    </w:rPr>
                    <w:t>80</w:t>
                  </w:r>
                </w:p>
              </w:tc>
              <w:tc>
                <w:tcPr>
                  <w:tcW w:w="1175" w:type="dxa"/>
                  <w:vMerge w:val="continue"/>
                  <w:vAlign w:val="center"/>
                </w:tcPr>
                <w:p>
                  <w:pPr>
                    <w:widowControl/>
                    <w:jc w:val="center"/>
                    <w:rPr>
                      <w:szCs w:val="21"/>
                    </w:rPr>
                  </w:pPr>
                </w:p>
              </w:tc>
              <w:tc>
                <w:tcPr>
                  <w:tcW w:w="1447" w:type="dxa"/>
                  <w:vAlign w:val="center"/>
                </w:tcPr>
                <w:p>
                  <w:pPr>
                    <w:tabs>
                      <w:tab w:val="left" w:pos="8370"/>
                      <w:tab w:val="left" w:pos="8600"/>
                    </w:tabs>
                    <w:jc w:val="center"/>
                    <w:rPr>
                      <w:szCs w:val="21"/>
                    </w:rPr>
                  </w:pPr>
                  <w:r>
                    <w:rPr>
                      <w:rFonts w:hint="eastAsia"/>
                      <w:szCs w:val="21"/>
                    </w:rPr>
                    <w:t>55</w:t>
                  </w:r>
                </w:p>
              </w:tc>
              <w:tc>
                <w:tcPr>
                  <w:tcW w:w="1028" w:type="dxa"/>
                  <w:vAlign w:val="center"/>
                </w:tcPr>
                <w:p>
                  <w:pPr>
                    <w:jc w:val="center"/>
                    <w:rPr>
                      <w:szCs w:val="21"/>
                    </w:rPr>
                  </w:pPr>
                  <w:r>
                    <w:rPr>
                      <w:rFonts w:hint="eastAsia"/>
                      <w:szCs w:val="21"/>
                    </w:rPr>
                    <w:t>1</w:t>
                  </w:r>
                </w:p>
              </w:tc>
              <w:tc>
                <w:tcPr>
                  <w:tcW w:w="1629" w:type="dxa"/>
                  <w:vAlign w:val="center"/>
                </w:tcPr>
                <w:p>
                  <w:pPr>
                    <w:jc w:val="center"/>
                    <w:rPr>
                      <w:szCs w:val="21"/>
                    </w:rPr>
                  </w:pPr>
                  <w:r>
                    <w:rPr>
                      <w:rFonts w:hint="eastAsia"/>
                      <w:szCs w:val="21"/>
                    </w:rPr>
                    <w:t>55</w:t>
                  </w:r>
                </w:p>
              </w:tc>
              <w:tc>
                <w:tcPr>
                  <w:tcW w:w="1037" w:type="dxa"/>
                  <w:vMerge w:val="continue"/>
                  <w:vAlign w:val="center"/>
                </w:tcPr>
                <w:p>
                  <w:pPr>
                    <w:widowControl/>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pPr>
                    <w:jc w:val="center"/>
                    <w:rPr>
                      <w:szCs w:val="21"/>
                    </w:rPr>
                  </w:pPr>
                  <w:r>
                    <w:rPr>
                      <w:szCs w:val="21"/>
                    </w:rPr>
                    <w:t>3</w:t>
                  </w:r>
                </w:p>
              </w:tc>
              <w:tc>
                <w:tcPr>
                  <w:tcW w:w="1175" w:type="dxa"/>
                  <w:vAlign w:val="center"/>
                </w:tcPr>
                <w:p>
                  <w:pPr>
                    <w:jc w:val="center"/>
                    <w:rPr>
                      <w:szCs w:val="21"/>
                    </w:rPr>
                  </w:pPr>
                  <w:r>
                    <w:rPr>
                      <w:szCs w:val="21"/>
                    </w:rPr>
                    <w:t>冲床</w:t>
                  </w:r>
                </w:p>
              </w:tc>
              <w:tc>
                <w:tcPr>
                  <w:tcW w:w="1175" w:type="dxa"/>
                  <w:vAlign w:val="center"/>
                </w:tcPr>
                <w:p>
                  <w:pPr>
                    <w:tabs>
                      <w:tab w:val="left" w:pos="8370"/>
                      <w:tab w:val="left" w:pos="8600"/>
                    </w:tabs>
                    <w:jc w:val="center"/>
                    <w:rPr>
                      <w:szCs w:val="21"/>
                    </w:rPr>
                  </w:pPr>
                  <w:r>
                    <w:rPr>
                      <w:rFonts w:hint="eastAsia"/>
                      <w:szCs w:val="21"/>
                    </w:rPr>
                    <w:t>85</w:t>
                  </w:r>
                </w:p>
              </w:tc>
              <w:tc>
                <w:tcPr>
                  <w:tcW w:w="1175" w:type="dxa"/>
                  <w:vMerge w:val="continue"/>
                  <w:vAlign w:val="center"/>
                </w:tcPr>
                <w:p>
                  <w:pPr>
                    <w:widowControl/>
                    <w:jc w:val="center"/>
                    <w:rPr>
                      <w:szCs w:val="21"/>
                    </w:rPr>
                  </w:pPr>
                </w:p>
              </w:tc>
              <w:tc>
                <w:tcPr>
                  <w:tcW w:w="1447" w:type="dxa"/>
                  <w:vAlign w:val="center"/>
                </w:tcPr>
                <w:p>
                  <w:pPr>
                    <w:tabs>
                      <w:tab w:val="left" w:pos="8370"/>
                      <w:tab w:val="left" w:pos="8600"/>
                    </w:tabs>
                    <w:jc w:val="center"/>
                    <w:rPr>
                      <w:szCs w:val="21"/>
                    </w:rPr>
                  </w:pPr>
                  <w:r>
                    <w:rPr>
                      <w:rFonts w:hint="eastAsia"/>
                      <w:szCs w:val="21"/>
                    </w:rPr>
                    <w:t>60</w:t>
                  </w:r>
                </w:p>
              </w:tc>
              <w:tc>
                <w:tcPr>
                  <w:tcW w:w="1028" w:type="dxa"/>
                  <w:vAlign w:val="center"/>
                </w:tcPr>
                <w:p>
                  <w:pPr>
                    <w:jc w:val="center"/>
                    <w:rPr>
                      <w:szCs w:val="21"/>
                    </w:rPr>
                  </w:pPr>
                  <w:r>
                    <w:rPr>
                      <w:rFonts w:hint="eastAsia"/>
                      <w:szCs w:val="21"/>
                    </w:rPr>
                    <w:t>5</w:t>
                  </w:r>
                </w:p>
              </w:tc>
              <w:tc>
                <w:tcPr>
                  <w:tcW w:w="1629" w:type="dxa"/>
                  <w:vAlign w:val="center"/>
                </w:tcPr>
                <w:p>
                  <w:pPr>
                    <w:jc w:val="center"/>
                    <w:rPr>
                      <w:szCs w:val="21"/>
                    </w:rPr>
                  </w:pPr>
                  <w:r>
                    <w:rPr>
                      <w:rFonts w:hint="eastAsia"/>
                      <w:szCs w:val="21"/>
                    </w:rPr>
                    <w:t>67</w:t>
                  </w:r>
                </w:p>
              </w:tc>
              <w:tc>
                <w:tcPr>
                  <w:tcW w:w="1037" w:type="dxa"/>
                  <w:vMerge w:val="continue"/>
                  <w:vAlign w:val="center"/>
                </w:tcPr>
                <w:p>
                  <w:pPr>
                    <w:widowControl/>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vAlign w:val="center"/>
                </w:tcPr>
                <w:p>
                  <w:pPr>
                    <w:jc w:val="center"/>
                    <w:rPr>
                      <w:szCs w:val="21"/>
                    </w:rPr>
                  </w:pPr>
                  <w:r>
                    <w:rPr>
                      <w:szCs w:val="21"/>
                    </w:rPr>
                    <w:t>4</w:t>
                  </w:r>
                </w:p>
              </w:tc>
              <w:tc>
                <w:tcPr>
                  <w:tcW w:w="1175" w:type="dxa"/>
                  <w:vAlign w:val="center"/>
                </w:tcPr>
                <w:p>
                  <w:pPr>
                    <w:jc w:val="center"/>
                    <w:rPr>
                      <w:szCs w:val="21"/>
                    </w:rPr>
                  </w:pPr>
                  <w:r>
                    <w:rPr>
                      <w:rFonts w:hint="eastAsia"/>
                      <w:szCs w:val="21"/>
                    </w:rPr>
                    <w:t>风机</w:t>
                  </w:r>
                </w:p>
              </w:tc>
              <w:tc>
                <w:tcPr>
                  <w:tcW w:w="1175" w:type="dxa"/>
                  <w:vAlign w:val="center"/>
                </w:tcPr>
                <w:p>
                  <w:pPr>
                    <w:tabs>
                      <w:tab w:val="left" w:pos="8370"/>
                      <w:tab w:val="left" w:pos="8600"/>
                    </w:tabs>
                    <w:jc w:val="center"/>
                    <w:rPr>
                      <w:szCs w:val="21"/>
                    </w:rPr>
                  </w:pPr>
                  <w:r>
                    <w:rPr>
                      <w:rFonts w:hint="eastAsia"/>
                      <w:szCs w:val="21"/>
                    </w:rPr>
                    <w:t>85</w:t>
                  </w:r>
                </w:p>
              </w:tc>
              <w:tc>
                <w:tcPr>
                  <w:tcW w:w="1175" w:type="dxa"/>
                  <w:vMerge w:val="continue"/>
                  <w:vAlign w:val="center"/>
                </w:tcPr>
                <w:p>
                  <w:pPr>
                    <w:widowControl/>
                    <w:jc w:val="center"/>
                    <w:rPr>
                      <w:szCs w:val="21"/>
                    </w:rPr>
                  </w:pPr>
                </w:p>
              </w:tc>
              <w:tc>
                <w:tcPr>
                  <w:tcW w:w="1447" w:type="dxa"/>
                  <w:vAlign w:val="center"/>
                </w:tcPr>
                <w:p>
                  <w:pPr>
                    <w:tabs>
                      <w:tab w:val="left" w:pos="8370"/>
                      <w:tab w:val="left" w:pos="8600"/>
                    </w:tabs>
                    <w:jc w:val="center"/>
                    <w:rPr>
                      <w:szCs w:val="21"/>
                    </w:rPr>
                  </w:pPr>
                  <w:r>
                    <w:rPr>
                      <w:rFonts w:hint="eastAsia"/>
                      <w:szCs w:val="21"/>
                    </w:rPr>
                    <w:t>60</w:t>
                  </w:r>
                </w:p>
              </w:tc>
              <w:tc>
                <w:tcPr>
                  <w:tcW w:w="1028" w:type="dxa"/>
                  <w:vAlign w:val="center"/>
                </w:tcPr>
                <w:p>
                  <w:pPr>
                    <w:jc w:val="center"/>
                    <w:rPr>
                      <w:szCs w:val="21"/>
                    </w:rPr>
                  </w:pPr>
                  <w:r>
                    <w:rPr>
                      <w:rFonts w:hint="eastAsia"/>
                      <w:szCs w:val="21"/>
                    </w:rPr>
                    <w:t>1</w:t>
                  </w:r>
                </w:p>
              </w:tc>
              <w:tc>
                <w:tcPr>
                  <w:tcW w:w="1629" w:type="dxa"/>
                  <w:vAlign w:val="center"/>
                </w:tcPr>
                <w:p>
                  <w:pPr>
                    <w:jc w:val="center"/>
                    <w:rPr>
                      <w:szCs w:val="21"/>
                    </w:rPr>
                  </w:pPr>
                  <w:r>
                    <w:rPr>
                      <w:rFonts w:hint="eastAsia"/>
                      <w:szCs w:val="21"/>
                    </w:rPr>
                    <w:t>60</w:t>
                  </w:r>
                </w:p>
              </w:tc>
              <w:tc>
                <w:tcPr>
                  <w:tcW w:w="1037" w:type="dxa"/>
                  <w:vMerge w:val="continue"/>
                  <w:vAlign w:val="center"/>
                </w:tcPr>
                <w:p>
                  <w:pPr>
                    <w:widowControl/>
                    <w:jc w:val="center"/>
                    <w:rPr>
                      <w:szCs w:val="21"/>
                    </w:rPr>
                  </w:pPr>
                </w:p>
              </w:tc>
            </w:tr>
          </w:tbl>
          <w:p>
            <w:pPr>
              <w:tabs>
                <w:tab w:val="left" w:pos="8370"/>
                <w:tab w:val="left" w:pos="8600"/>
              </w:tabs>
              <w:spacing w:line="480" w:lineRule="exact"/>
              <w:ind w:firstLine="480"/>
              <w:rPr>
                <w:sz w:val="24"/>
              </w:rPr>
            </w:pPr>
            <w:r>
              <w:rPr>
                <w:rFonts w:hint="eastAsia"/>
                <w:sz w:val="24"/>
              </w:rPr>
              <w:t>因本项目同类设备分布较为集中且尺寸相对设备距厂界距离较小，因此本次评价预测时将本项目同类设备近似作为一个点声源进行预测。</w:t>
            </w:r>
            <w:r>
              <w:rPr>
                <w:sz w:val="24"/>
              </w:rPr>
              <w:t>在声源传播过程中，噪声受到厂房的吸收和屏蔽，经过距离衰减和空气吸收后，到达受声点。其预测模式如下：</w:t>
            </w:r>
          </w:p>
          <w:p>
            <w:pPr>
              <w:tabs>
                <w:tab w:val="left" w:pos="8370"/>
                <w:tab w:val="left" w:pos="8600"/>
              </w:tabs>
              <w:spacing w:line="480" w:lineRule="exact"/>
              <w:jc w:val="center"/>
              <w:rPr>
                <w:sz w:val="24"/>
                <w:lang w:val="pt-BR"/>
              </w:rPr>
            </w:pPr>
            <w:r>
              <w:rPr>
                <w:sz w:val="24"/>
                <w:lang w:val="pt-BR"/>
              </w:rPr>
              <w:t>L</w:t>
            </w:r>
            <w:r>
              <w:rPr>
                <w:sz w:val="24"/>
                <w:vertAlign w:val="subscript"/>
                <w:lang w:val="pt-BR"/>
              </w:rPr>
              <w:t>A</w:t>
            </w:r>
            <w:r>
              <w:rPr>
                <w:sz w:val="24"/>
                <w:lang w:val="pt-BR"/>
              </w:rPr>
              <w:t>(r)= L</w:t>
            </w:r>
            <w:r>
              <w:rPr>
                <w:sz w:val="24"/>
                <w:vertAlign w:val="subscript"/>
                <w:lang w:val="pt-BR"/>
              </w:rPr>
              <w:t>A</w:t>
            </w:r>
            <w:r>
              <w:rPr>
                <w:sz w:val="24"/>
                <w:lang w:val="pt-BR"/>
              </w:rPr>
              <w:t>(r</w:t>
            </w:r>
            <w:r>
              <w:rPr>
                <w:sz w:val="24"/>
                <w:vertAlign w:val="subscript"/>
                <w:lang w:val="pt-BR"/>
              </w:rPr>
              <w:t>0</w:t>
            </w:r>
            <w:r>
              <w:rPr>
                <w:sz w:val="24"/>
                <w:lang w:val="pt-BR"/>
              </w:rPr>
              <w:t>) -20×Lg(r/r</w:t>
            </w:r>
            <w:r>
              <w:rPr>
                <w:sz w:val="24"/>
                <w:vertAlign w:val="subscript"/>
                <w:lang w:val="pt-BR"/>
              </w:rPr>
              <w:t>0</w:t>
            </w:r>
            <w:r>
              <w:rPr>
                <w:sz w:val="24"/>
                <w:lang w:val="pt-BR"/>
              </w:rPr>
              <w:t>)</w:t>
            </w:r>
          </w:p>
          <w:p>
            <w:pPr>
              <w:tabs>
                <w:tab w:val="left" w:pos="8370"/>
                <w:tab w:val="left" w:pos="8600"/>
              </w:tabs>
              <w:spacing w:line="480" w:lineRule="exact"/>
              <w:ind w:firstLine="480"/>
              <w:rPr>
                <w:sz w:val="24"/>
              </w:rPr>
            </w:pPr>
            <w:r>
              <w:rPr>
                <w:sz w:val="24"/>
              </w:rPr>
              <w:t>式中：L</w:t>
            </w:r>
            <w:r>
              <w:rPr>
                <w:sz w:val="24"/>
                <w:vertAlign w:val="subscript"/>
              </w:rPr>
              <w:t>A</w:t>
            </w:r>
            <w:r>
              <w:rPr>
                <w:sz w:val="24"/>
              </w:rPr>
              <w:t>(r)—预测点声压级，dB(A)；</w:t>
            </w:r>
          </w:p>
          <w:p>
            <w:pPr>
              <w:tabs>
                <w:tab w:val="left" w:pos="8370"/>
                <w:tab w:val="left" w:pos="8600"/>
              </w:tabs>
              <w:spacing w:line="480" w:lineRule="exact"/>
              <w:ind w:firstLine="1200"/>
              <w:rPr>
                <w:sz w:val="24"/>
              </w:rPr>
            </w:pPr>
            <w:r>
              <w:rPr>
                <w:sz w:val="24"/>
              </w:rPr>
              <w:t>L</w:t>
            </w:r>
            <w:r>
              <w:rPr>
                <w:sz w:val="24"/>
                <w:vertAlign w:val="subscript"/>
              </w:rPr>
              <w:t>A</w:t>
            </w:r>
            <w:r>
              <w:rPr>
                <w:sz w:val="24"/>
              </w:rPr>
              <w:t>(r</w:t>
            </w:r>
            <w:r>
              <w:rPr>
                <w:sz w:val="24"/>
                <w:vertAlign w:val="subscript"/>
              </w:rPr>
              <w:t>0</w:t>
            </w:r>
            <w:r>
              <w:rPr>
                <w:sz w:val="24"/>
              </w:rPr>
              <w:t>)—噪声源声压级，dB(A)</w:t>
            </w:r>
          </w:p>
          <w:p>
            <w:pPr>
              <w:tabs>
                <w:tab w:val="left" w:pos="8370"/>
                <w:tab w:val="left" w:pos="8600"/>
              </w:tabs>
              <w:spacing w:line="480" w:lineRule="exact"/>
              <w:ind w:firstLine="1200"/>
              <w:rPr>
                <w:sz w:val="24"/>
              </w:rPr>
            </w:pPr>
            <w:r>
              <w:rPr>
                <w:sz w:val="24"/>
              </w:rPr>
              <w:t>r—预测点离噪声源的距离，m；</w:t>
            </w:r>
          </w:p>
          <w:p>
            <w:pPr>
              <w:tabs>
                <w:tab w:val="left" w:pos="8370"/>
                <w:tab w:val="left" w:pos="8600"/>
              </w:tabs>
              <w:spacing w:line="480" w:lineRule="exact"/>
              <w:ind w:firstLine="480"/>
              <w:rPr>
                <w:sz w:val="24"/>
              </w:rPr>
            </w:pPr>
            <w:r>
              <w:rPr>
                <w:sz w:val="24"/>
              </w:rPr>
              <w:t>在同一受声点接受来自多个点声源的声能，可通过叠加得出该受声点的声压级。噪声叠加公式如下：</w:t>
            </w:r>
          </w:p>
          <w:p>
            <w:pPr>
              <w:tabs>
                <w:tab w:val="left" w:pos="8370"/>
                <w:tab w:val="left" w:pos="8600"/>
              </w:tabs>
              <w:spacing w:line="480" w:lineRule="exact"/>
              <w:ind w:firstLine="480"/>
              <w:rPr>
                <w:sz w:val="24"/>
              </w:rPr>
            </w:pPr>
          </w:p>
          <w:p>
            <w:pPr>
              <w:tabs>
                <w:tab w:val="left" w:pos="8370"/>
                <w:tab w:val="left" w:pos="8600"/>
              </w:tabs>
              <w:spacing w:line="480" w:lineRule="exact"/>
              <w:rPr>
                <w:sz w:val="24"/>
              </w:rPr>
            </w:pPr>
            <w:r>
              <w:rPr>
                <w:sz w:val="24"/>
              </w:rPr>
              <w:drawing>
                <wp:anchor distT="0" distB="0" distL="0" distR="0" simplePos="0" relativeHeight="251629568" behindDoc="0" locked="0" layoutInCell="1" allowOverlap="1">
                  <wp:simplePos x="0" y="0"/>
                  <wp:positionH relativeFrom="column">
                    <wp:posOffset>2033270</wp:posOffset>
                  </wp:positionH>
                  <wp:positionV relativeFrom="paragraph">
                    <wp:posOffset>8255</wp:posOffset>
                  </wp:positionV>
                  <wp:extent cx="1209675" cy="590550"/>
                  <wp:effectExtent l="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noChangeArrowheads="1"/>
                          </pic:cNvPicPr>
                        </pic:nvPicPr>
                        <pic:blipFill>
                          <a:blip r:embed="rId22" cstate="print"/>
                          <a:stretch>
                            <a:fillRect/>
                          </a:stretch>
                        </pic:blipFill>
                        <pic:spPr>
                          <a:xfrm>
                            <a:off x="0" y="0"/>
                            <a:ext cx="1209675" cy="590550"/>
                          </a:xfrm>
                          <a:prstGeom prst="rect">
                            <a:avLst/>
                          </a:prstGeom>
                        </pic:spPr>
                      </pic:pic>
                    </a:graphicData>
                  </a:graphic>
                </wp:anchor>
              </w:drawing>
            </w:r>
          </w:p>
          <w:p>
            <w:pPr>
              <w:tabs>
                <w:tab w:val="left" w:pos="8370"/>
                <w:tab w:val="left" w:pos="8600"/>
              </w:tabs>
              <w:spacing w:line="480" w:lineRule="exact"/>
              <w:jc w:val="center"/>
              <w:rPr>
                <w:sz w:val="24"/>
              </w:rPr>
            </w:pPr>
          </w:p>
          <w:p>
            <w:pPr>
              <w:tabs>
                <w:tab w:val="left" w:pos="8370"/>
                <w:tab w:val="left" w:pos="8600"/>
              </w:tabs>
              <w:spacing w:line="480" w:lineRule="exact"/>
              <w:ind w:left="1199" w:hanging="720"/>
              <w:rPr>
                <w:sz w:val="24"/>
              </w:rPr>
            </w:pPr>
            <w:r>
              <w:rPr>
                <w:sz w:val="24"/>
              </w:rPr>
              <w:t xml:space="preserve">式中：L—总声压级，dB(A)； </w:t>
            </w:r>
            <w:r>
              <w:rPr>
                <w:sz w:val="24"/>
              </w:rPr>
              <w:br w:type="textWrapping"/>
            </w:r>
            <w:r>
              <w:rPr>
                <w:sz w:val="24"/>
              </w:rPr>
              <w:t>n—噪声源数。</w:t>
            </w:r>
          </w:p>
          <w:p>
            <w:pPr>
              <w:spacing w:line="480" w:lineRule="exact"/>
              <w:ind w:firstLine="480"/>
              <w:rPr>
                <w:sz w:val="24"/>
              </w:rPr>
            </w:pPr>
            <w:r>
              <w:rPr>
                <w:sz w:val="24"/>
              </w:rPr>
              <w:t>根据本工程噪声源的分布，对项目四周厂界噪声排放量进行预测计算，厂界噪声的预测结果见</w:t>
            </w:r>
            <w:r>
              <w:rPr>
                <w:rFonts w:hint="eastAsia"/>
                <w:sz w:val="24"/>
              </w:rPr>
              <w:t>下表</w:t>
            </w:r>
            <w:r>
              <w:rPr>
                <w:sz w:val="24"/>
              </w:rPr>
              <w:t>。</w:t>
            </w:r>
          </w:p>
          <w:p>
            <w:pPr>
              <w:spacing w:line="500" w:lineRule="exact"/>
              <w:ind w:firstLine="628" w:firstLineChars="262"/>
              <w:rPr>
                <w:rFonts w:eastAsia="黑体"/>
                <w:sz w:val="24"/>
              </w:rPr>
            </w:pPr>
            <w:r>
              <w:rPr>
                <w:rFonts w:eastAsia="黑体"/>
                <w:sz w:val="24"/>
              </w:rPr>
              <w:t>表</w:t>
            </w:r>
            <w:r>
              <w:rPr>
                <w:rFonts w:hint="eastAsia" w:eastAsia="黑体"/>
                <w:sz w:val="24"/>
              </w:rPr>
              <w:t>39</w:t>
            </w:r>
            <w:r>
              <w:rPr>
                <w:rFonts w:eastAsia="黑体"/>
                <w:sz w:val="24"/>
              </w:rPr>
              <w:t xml:space="preserve">        </w:t>
            </w:r>
            <w:r>
              <w:rPr>
                <w:rFonts w:hint="eastAsia" w:eastAsia="黑体"/>
                <w:sz w:val="24"/>
              </w:rPr>
              <w:t xml:space="preserve">                             </w:t>
            </w:r>
            <w:r>
              <w:rPr>
                <w:rFonts w:eastAsia="黑体"/>
                <w:sz w:val="24"/>
              </w:rPr>
              <w:t>声环境预测结果统计及分析</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262"/>
              <w:gridCol w:w="1072"/>
              <w:gridCol w:w="813"/>
              <w:gridCol w:w="849"/>
              <w:gridCol w:w="1063"/>
              <w:gridCol w:w="914"/>
              <w:gridCol w:w="969"/>
              <w:gridCol w:w="13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Align w:val="center"/>
                </w:tcPr>
                <w:p>
                  <w:pPr>
                    <w:jc w:val="center"/>
                    <w:rPr>
                      <w:b/>
                      <w:szCs w:val="21"/>
                    </w:rPr>
                  </w:pPr>
                  <w:r>
                    <w:rPr>
                      <w:rFonts w:hint="eastAsia"/>
                      <w:b/>
                      <w:szCs w:val="21"/>
                    </w:rPr>
                    <w:t>预测点</w:t>
                  </w:r>
                </w:p>
              </w:tc>
              <w:tc>
                <w:tcPr>
                  <w:tcW w:w="1276" w:type="dxa"/>
                  <w:vAlign w:val="center"/>
                </w:tcPr>
                <w:p>
                  <w:pPr>
                    <w:jc w:val="center"/>
                    <w:rPr>
                      <w:b/>
                      <w:szCs w:val="21"/>
                    </w:rPr>
                  </w:pPr>
                  <w:r>
                    <w:rPr>
                      <w:rFonts w:hint="eastAsia"/>
                      <w:b/>
                      <w:szCs w:val="21"/>
                    </w:rPr>
                    <w:t>设备名称</w:t>
                  </w:r>
                </w:p>
              </w:tc>
              <w:tc>
                <w:tcPr>
                  <w:tcW w:w="1077" w:type="dxa"/>
                  <w:vAlign w:val="center"/>
                </w:tcPr>
                <w:p>
                  <w:pPr>
                    <w:jc w:val="center"/>
                    <w:rPr>
                      <w:b/>
                      <w:szCs w:val="21"/>
                    </w:rPr>
                  </w:pPr>
                  <w:r>
                    <w:rPr>
                      <w:rFonts w:hint="eastAsia"/>
                      <w:b/>
                      <w:szCs w:val="21"/>
                    </w:rPr>
                    <w:t>治理后源强</w:t>
                  </w:r>
                  <w:r>
                    <w:rPr>
                      <w:b/>
                      <w:szCs w:val="21"/>
                    </w:rPr>
                    <w:t>dB(A)</w:t>
                  </w:r>
                </w:p>
              </w:tc>
              <w:tc>
                <w:tcPr>
                  <w:tcW w:w="766" w:type="dxa"/>
                  <w:vAlign w:val="center"/>
                </w:tcPr>
                <w:p>
                  <w:pPr>
                    <w:jc w:val="center"/>
                    <w:rPr>
                      <w:b/>
                      <w:szCs w:val="21"/>
                    </w:rPr>
                  </w:pPr>
                  <w:r>
                    <w:rPr>
                      <w:rFonts w:hint="eastAsia"/>
                      <w:b/>
                      <w:szCs w:val="21"/>
                    </w:rPr>
                    <w:t>距离（m）</w:t>
                  </w:r>
                </w:p>
              </w:tc>
              <w:tc>
                <w:tcPr>
                  <w:tcW w:w="850" w:type="dxa"/>
                  <w:vAlign w:val="center"/>
                </w:tcPr>
                <w:p>
                  <w:pPr>
                    <w:jc w:val="center"/>
                    <w:rPr>
                      <w:b/>
                      <w:szCs w:val="21"/>
                    </w:rPr>
                  </w:pPr>
                  <w:r>
                    <w:rPr>
                      <w:rFonts w:hint="eastAsia"/>
                      <w:b/>
                      <w:szCs w:val="21"/>
                    </w:rPr>
                    <w:t>贡献值</w:t>
                  </w:r>
                  <w:r>
                    <w:rPr>
                      <w:b/>
                      <w:szCs w:val="21"/>
                    </w:rPr>
                    <w:t>dB(A)</w:t>
                  </w:r>
                </w:p>
              </w:tc>
              <w:tc>
                <w:tcPr>
                  <w:tcW w:w="1068" w:type="dxa"/>
                  <w:vAlign w:val="center"/>
                </w:tcPr>
                <w:p>
                  <w:pPr>
                    <w:jc w:val="center"/>
                    <w:rPr>
                      <w:b/>
                      <w:szCs w:val="21"/>
                    </w:rPr>
                  </w:pPr>
                  <w:r>
                    <w:rPr>
                      <w:rFonts w:hint="eastAsia"/>
                      <w:b/>
                      <w:szCs w:val="21"/>
                    </w:rPr>
                    <w:t>贡献叠加值</w:t>
                  </w:r>
                  <w:r>
                    <w:rPr>
                      <w:b/>
                      <w:szCs w:val="21"/>
                    </w:rPr>
                    <w:t>dB(A)</w:t>
                  </w:r>
                </w:p>
              </w:tc>
              <w:tc>
                <w:tcPr>
                  <w:tcW w:w="917" w:type="dxa"/>
                  <w:vAlign w:val="center"/>
                </w:tcPr>
                <w:p>
                  <w:pPr>
                    <w:jc w:val="center"/>
                    <w:rPr>
                      <w:b/>
                      <w:szCs w:val="21"/>
                    </w:rPr>
                  </w:pPr>
                  <w:r>
                    <w:rPr>
                      <w:b/>
                      <w:szCs w:val="21"/>
                    </w:rPr>
                    <w:t>现状值dB(A)</w:t>
                  </w:r>
                </w:p>
              </w:tc>
              <w:tc>
                <w:tcPr>
                  <w:tcW w:w="972" w:type="dxa"/>
                  <w:vAlign w:val="center"/>
                </w:tcPr>
                <w:p>
                  <w:pPr>
                    <w:jc w:val="center"/>
                    <w:rPr>
                      <w:b/>
                      <w:szCs w:val="21"/>
                    </w:rPr>
                  </w:pPr>
                  <w:r>
                    <w:rPr>
                      <w:b/>
                      <w:szCs w:val="21"/>
                    </w:rPr>
                    <w:t>预测值dB(A)</w:t>
                  </w:r>
                </w:p>
              </w:tc>
              <w:tc>
                <w:tcPr>
                  <w:tcW w:w="1328" w:type="dxa"/>
                  <w:vAlign w:val="center"/>
                </w:tcPr>
                <w:p>
                  <w:pPr>
                    <w:jc w:val="center"/>
                    <w:rPr>
                      <w:b/>
                      <w:szCs w:val="21"/>
                    </w:rPr>
                  </w:pPr>
                  <w:r>
                    <w:rPr>
                      <w:rFonts w:hint="eastAsia"/>
                      <w:b/>
                      <w:szCs w:val="21"/>
                    </w:rPr>
                    <w:t>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restart"/>
                  <w:vAlign w:val="center"/>
                </w:tcPr>
                <w:p>
                  <w:pPr>
                    <w:jc w:val="center"/>
                    <w:rPr>
                      <w:szCs w:val="21"/>
                    </w:rPr>
                  </w:pPr>
                  <w:r>
                    <w:rPr>
                      <w:rFonts w:hint="eastAsia"/>
                      <w:szCs w:val="21"/>
                    </w:rPr>
                    <w:t>北厂界</w:t>
                  </w:r>
                </w:p>
              </w:tc>
              <w:tc>
                <w:tcPr>
                  <w:tcW w:w="1276" w:type="dxa"/>
                  <w:vAlign w:val="center"/>
                </w:tcPr>
                <w:p>
                  <w:pPr>
                    <w:jc w:val="center"/>
                    <w:rPr>
                      <w:szCs w:val="21"/>
                    </w:rPr>
                  </w:pPr>
                  <w:r>
                    <w:rPr>
                      <w:szCs w:val="21"/>
                    </w:rPr>
                    <w:t>破碎机</w:t>
                  </w:r>
                </w:p>
              </w:tc>
              <w:tc>
                <w:tcPr>
                  <w:tcW w:w="1077" w:type="dxa"/>
                  <w:vAlign w:val="center"/>
                </w:tcPr>
                <w:p>
                  <w:pPr>
                    <w:jc w:val="center"/>
                    <w:rPr>
                      <w:szCs w:val="21"/>
                    </w:rPr>
                  </w:pPr>
                  <w:r>
                    <w:rPr>
                      <w:rFonts w:hint="eastAsia"/>
                      <w:szCs w:val="21"/>
                    </w:rPr>
                    <w:t>50</w:t>
                  </w:r>
                </w:p>
              </w:tc>
              <w:tc>
                <w:tcPr>
                  <w:tcW w:w="766" w:type="dxa"/>
                  <w:vAlign w:val="center"/>
                </w:tcPr>
                <w:p>
                  <w:pPr>
                    <w:jc w:val="center"/>
                    <w:rPr>
                      <w:szCs w:val="21"/>
                    </w:rPr>
                  </w:pPr>
                  <w:r>
                    <w:rPr>
                      <w:rFonts w:hint="eastAsia"/>
                      <w:szCs w:val="21"/>
                    </w:rPr>
                    <w:t>5</w:t>
                  </w:r>
                </w:p>
              </w:tc>
              <w:tc>
                <w:tcPr>
                  <w:tcW w:w="850" w:type="dxa"/>
                  <w:vAlign w:val="center"/>
                </w:tcPr>
                <w:p>
                  <w:pPr>
                    <w:jc w:val="center"/>
                    <w:rPr>
                      <w:szCs w:val="21"/>
                    </w:rPr>
                  </w:pPr>
                  <w:r>
                    <w:rPr>
                      <w:rFonts w:hint="eastAsia"/>
                      <w:szCs w:val="21"/>
                    </w:rPr>
                    <w:t>36</w:t>
                  </w:r>
                </w:p>
              </w:tc>
              <w:tc>
                <w:tcPr>
                  <w:tcW w:w="1068" w:type="dxa"/>
                  <w:vMerge w:val="restart"/>
                  <w:vAlign w:val="center"/>
                </w:tcPr>
                <w:p>
                  <w:pPr>
                    <w:jc w:val="center"/>
                    <w:rPr>
                      <w:szCs w:val="21"/>
                    </w:rPr>
                  </w:pPr>
                  <w:r>
                    <w:rPr>
                      <w:rFonts w:hint="eastAsia"/>
                      <w:szCs w:val="21"/>
                    </w:rPr>
                    <w:t>48.5</w:t>
                  </w:r>
                </w:p>
              </w:tc>
              <w:tc>
                <w:tcPr>
                  <w:tcW w:w="917" w:type="dxa"/>
                  <w:vMerge w:val="restart"/>
                  <w:vAlign w:val="center"/>
                </w:tcPr>
                <w:p>
                  <w:pPr>
                    <w:jc w:val="center"/>
                    <w:rPr>
                      <w:szCs w:val="21"/>
                    </w:rPr>
                  </w:pPr>
                  <w:r>
                    <w:rPr>
                      <w:rFonts w:hint="eastAsia"/>
                      <w:szCs w:val="21"/>
                    </w:rPr>
                    <w:t>44</w:t>
                  </w:r>
                </w:p>
              </w:tc>
              <w:tc>
                <w:tcPr>
                  <w:tcW w:w="972" w:type="dxa"/>
                  <w:vMerge w:val="restart"/>
                  <w:vAlign w:val="center"/>
                </w:tcPr>
                <w:p>
                  <w:pPr>
                    <w:jc w:val="center"/>
                    <w:rPr>
                      <w:szCs w:val="21"/>
                    </w:rPr>
                  </w:pPr>
                  <w:r>
                    <w:rPr>
                      <w:rFonts w:hint="eastAsia"/>
                      <w:szCs w:val="21"/>
                    </w:rPr>
                    <w:t>49.8</w:t>
                  </w:r>
                </w:p>
              </w:tc>
              <w:tc>
                <w:tcPr>
                  <w:tcW w:w="1328" w:type="dxa"/>
                  <w:vMerge w:val="restart"/>
                  <w:vAlign w:val="center"/>
                </w:tcPr>
                <w:p>
                  <w:pPr>
                    <w:jc w:val="center"/>
                    <w:rPr>
                      <w:szCs w:val="21"/>
                    </w:rPr>
                  </w:pPr>
                  <w:r>
                    <w:rPr>
                      <w:rFonts w:hint="eastAsia"/>
                      <w:szCs w:val="21"/>
                    </w:rPr>
                    <w:t>昼间</w:t>
                  </w:r>
                </w:p>
                <w:p>
                  <w:pPr>
                    <w:jc w:val="center"/>
                    <w:rPr>
                      <w:szCs w:val="21"/>
                    </w:rPr>
                  </w:pPr>
                  <w:r>
                    <w:rPr>
                      <w:rFonts w:hint="eastAsia"/>
                      <w:szCs w:val="21"/>
                    </w:rPr>
                    <w:t>60</w:t>
                  </w:r>
                  <w:r>
                    <w:rPr>
                      <w:szCs w:val="21"/>
                    </w:rPr>
                    <w:t>dB(A)</w:t>
                  </w:r>
                  <w:r>
                    <w:rPr>
                      <w:rFonts w:hint="eastAsia"/>
                      <w:szCs w:val="21"/>
                    </w:rPr>
                    <w:t>、</w:t>
                  </w:r>
                  <w:r>
                    <w:rPr>
                      <w:szCs w:val="21"/>
                    </w:rPr>
                    <w:t>夜间</w:t>
                  </w:r>
                </w:p>
                <w:p>
                  <w:pPr>
                    <w:jc w:val="center"/>
                    <w:rPr>
                      <w:szCs w:val="21"/>
                    </w:rPr>
                  </w:pPr>
                  <w:r>
                    <w:rPr>
                      <w:szCs w:val="21"/>
                    </w:rPr>
                    <w:t>5</w:t>
                  </w:r>
                  <w:r>
                    <w:rPr>
                      <w:rFonts w:hint="eastAsia"/>
                      <w:szCs w:val="21"/>
                    </w:rPr>
                    <w:t>0</w:t>
                  </w:r>
                  <w:r>
                    <w:rPr>
                      <w:szCs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空压机</w:t>
                  </w:r>
                </w:p>
              </w:tc>
              <w:tc>
                <w:tcPr>
                  <w:tcW w:w="1077" w:type="dxa"/>
                  <w:vAlign w:val="center"/>
                </w:tcPr>
                <w:p>
                  <w:pPr>
                    <w:jc w:val="center"/>
                    <w:rPr>
                      <w:szCs w:val="21"/>
                    </w:rPr>
                  </w:pPr>
                  <w:r>
                    <w:rPr>
                      <w:rFonts w:hint="eastAsia"/>
                      <w:szCs w:val="21"/>
                    </w:rPr>
                    <w:t>55</w:t>
                  </w:r>
                </w:p>
              </w:tc>
              <w:tc>
                <w:tcPr>
                  <w:tcW w:w="766" w:type="dxa"/>
                  <w:vAlign w:val="center"/>
                </w:tcPr>
                <w:p>
                  <w:pPr>
                    <w:jc w:val="center"/>
                    <w:rPr>
                      <w:szCs w:val="21"/>
                    </w:rPr>
                  </w:pPr>
                  <w:r>
                    <w:rPr>
                      <w:rFonts w:hint="eastAsia"/>
                      <w:szCs w:val="21"/>
                    </w:rPr>
                    <w:t>20</w:t>
                  </w:r>
                </w:p>
              </w:tc>
              <w:tc>
                <w:tcPr>
                  <w:tcW w:w="850" w:type="dxa"/>
                  <w:vAlign w:val="center"/>
                </w:tcPr>
                <w:p>
                  <w:pPr>
                    <w:jc w:val="center"/>
                    <w:rPr>
                      <w:szCs w:val="21"/>
                    </w:rPr>
                  </w:pPr>
                  <w:r>
                    <w:rPr>
                      <w:rFonts w:hint="eastAsia"/>
                      <w:szCs w:val="21"/>
                    </w:rPr>
                    <w:t>29</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冲床</w:t>
                  </w:r>
                </w:p>
              </w:tc>
              <w:tc>
                <w:tcPr>
                  <w:tcW w:w="1077" w:type="dxa"/>
                  <w:vAlign w:val="center"/>
                </w:tcPr>
                <w:p>
                  <w:pPr>
                    <w:jc w:val="center"/>
                    <w:rPr>
                      <w:szCs w:val="21"/>
                    </w:rPr>
                  </w:pPr>
                  <w:r>
                    <w:rPr>
                      <w:rFonts w:hint="eastAsia"/>
                      <w:szCs w:val="21"/>
                    </w:rPr>
                    <w:t>67</w:t>
                  </w:r>
                </w:p>
              </w:tc>
              <w:tc>
                <w:tcPr>
                  <w:tcW w:w="766" w:type="dxa"/>
                  <w:vAlign w:val="center"/>
                </w:tcPr>
                <w:p>
                  <w:pPr>
                    <w:jc w:val="center"/>
                    <w:rPr>
                      <w:szCs w:val="21"/>
                    </w:rPr>
                  </w:pPr>
                  <w:r>
                    <w:rPr>
                      <w:rFonts w:hint="eastAsia"/>
                      <w:szCs w:val="21"/>
                    </w:rPr>
                    <w:t>10</w:t>
                  </w:r>
                </w:p>
              </w:tc>
              <w:tc>
                <w:tcPr>
                  <w:tcW w:w="850" w:type="dxa"/>
                  <w:vAlign w:val="center"/>
                </w:tcPr>
                <w:p>
                  <w:pPr>
                    <w:jc w:val="center"/>
                    <w:rPr>
                      <w:szCs w:val="21"/>
                    </w:rPr>
                  </w:pPr>
                  <w:r>
                    <w:rPr>
                      <w:rFonts w:hint="eastAsia"/>
                      <w:szCs w:val="21"/>
                    </w:rPr>
                    <w:t>47</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rFonts w:hint="eastAsia"/>
                      <w:szCs w:val="21"/>
                    </w:rPr>
                    <w:t>风机</w:t>
                  </w:r>
                </w:p>
              </w:tc>
              <w:tc>
                <w:tcPr>
                  <w:tcW w:w="1077" w:type="dxa"/>
                  <w:vAlign w:val="center"/>
                </w:tcPr>
                <w:p>
                  <w:pPr>
                    <w:jc w:val="center"/>
                    <w:rPr>
                      <w:szCs w:val="21"/>
                    </w:rPr>
                  </w:pPr>
                  <w:r>
                    <w:rPr>
                      <w:rFonts w:hint="eastAsia"/>
                      <w:szCs w:val="21"/>
                    </w:rPr>
                    <w:t>60</w:t>
                  </w:r>
                </w:p>
              </w:tc>
              <w:tc>
                <w:tcPr>
                  <w:tcW w:w="766" w:type="dxa"/>
                  <w:vAlign w:val="center"/>
                </w:tcPr>
                <w:p>
                  <w:pPr>
                    <w:jc w:val="center"/>
                    <w:rPr>
                      <w:szCs w:val="21"/>
                    </w:rPr>
                  </w:pPr>
                  <w:r>
                    <w:rPr>
                      <w:rFonts w:hint="eastAsia"/>
                      <w:szCs w:val="21"/>
                    </w:rPr>
                    <w:t>8</w:t>
                  </w:r>
                </w:p>
              </w:tc>
              <w:tc>
                <w:tcPr>
                  <w:tcW w:w="850" w:type="dxa"/>
                  <w:vAlign w:val="center"/>
                </w:tcPr>
                <w:p>
                  <w:pPr>
                    <w:jc w:val="center"/>
                    <w:rPr>
                      <w:szCs w:val="21"/>
                    </w:rPr>
                  </w:pPr>
                  <w:r>
                    <w:rPr>
                      <w:rFonts w:hint="eastAsia"/>
                      <w:szCs w:val="21"/>
                    </w:rPr>
                    <w:t>42</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restart"/>
                  <w:vAlign w:val="center"/>
                </w:tcPr>
                <w:p>
                  <w:pPr>
                    <w:jc w:val="center"/>
                    <w:rPr>
                      <w:szCs w:val="21"/>
                    </w:rPr>
                  </w:pPr>
                  <w:r>
                    <w:rPr>
                      <w:rFonts w:hint="eastAsia"/>
                      <w:szCs w:val="21"/>
                    </w:rPr>
                    <w:t>南厂界</w:t>
                  </w:r>
                </w:p>
              </w:tc>
              <w:tc>
                <w:tcPr>
                  <w:tcW w:w="1276" w:type="dxa"/>
                  <w:vAlign w:val="center"/>
                </w:tcPr>
                <w:p>
                  <w:pPr>
                    <w:jc w:val="center"/>
                    <w:rPr>
                      <w:szCs w:val="21"/>
                    </w:rPr>
                  </w:pPr>
                  <w:r>
                    <w:rPr>
                      <w:szCs w:val="21"/>
                    </w:rPr>
                    <w:t>破碎机</w:t>
                  </w:r>
                </w:p>
              </w:tc>
              <w:tc>
                <w:tcPr>
                  <w:tcW w:w="1077" w:type="dxa"/>
                  <w:vAlign w:val="center"/>
                </w:tcPr>
                <w:p>
                  <w:pPr>
                    <w:jc w:val="center"/>
                    <w:rPr>
                      <w:szCs w:val="21"/>
                    </w:rPr>
                  </w:pPr>
                  <w:r>
                    <w:rPr>
                      <w:rFonts w:hint="eastAsia"/>
                      <w:szCs w:val="21"/>
                    </w:rPr>
                    <w:t>50</w:t>
                  </w:r>
                </w:p>
              </w:tc>
              <w:tc>
                <w:tcPr>
                  <w:tcW w:w="766" w:type="dxa"/>
                  <w:vAlign w:val="center"/>
                </w:tcPr>
                <w:p>
                  <w:pPr>
                    <w:jc w:val="center"/>
                    <w:rPr>
                      <w:szCs w:val="21"/>
                    </w:rPr>
                  </w:pPr>
                  <w:r>
                    <w:rPr>
                      <w:rFonts w:hint="eastAsia"/>
                      <w:szCs w:val="21"/>
                    </w:rPr>
                    <w:t>90</w:t>
                  </w:r>
                </w:p>
              </w:tc>
              <w:tc>
                <w:tcPr>
                  <w:tcW w:w="850" w:type="dxa"/>
                  <w:vAlign w:val="center"/>
                </w:tcPr>
                <w:p>
                  <w:pPr>
                    <w:jc w:val="center"/>
                    <w:rPr>
                      <w:szCs w:val="21"/>
                    </w:rPr>
                  </w:pPr>
                  <w:r>
                    <w:rPr>
                      <w:rFonts w:hint="eastAsia"/>
                      <w:szCs w:val="21"/>
                    </w:rPr>
                    <w:t>11</w:t>
                  </w:r>
                </w:p>
              </w:tc>
              <w:tc>
                <w:tcPr>
                  <w:tcW w:w="1068" w:type="dxa"/>
                  <w:vMerge w:val="restart"/>
                  <w:vAlign w:val="center"/>
                </w:tcPr>
                <w:p>
                  <w:pPr>
                    <w:jc w:val="center"/>
                    <w:rPr>
                      <w:szCs w:val="21"/>
                    </w:rPr>
                  </w:pPr>
                  <w:r>
                    <w:rPr>
                      <w:rFonts w:hint="eastAsia"/>
                      <w:szCs w:val="21"/>
                    </w:rPr>
                    <w:t>33.4</w:t>
                  </w:r>
                </w:p>
              </w:tc>
              <w:tc>
                <w:tcPr>
                  <w:tcW w:w="917" w:type="dxa"/>
                  <w:vMerge w:val="restart"/>
                  <w:vAlign w:val="center"/>
                </w:tcPr>
                <w:p>
                  <w:pPr>
                    <w:jc w:val="center"/>
                    <w:rPr>
                      <w:szCs w:val="21"/>
                    </w:rPr>
                  </w:pPr>
                  <w:r>
                    <w:rPr>
                      <w:rFonts w:hint="eastAsia"/>
                      <w:szCs w:val="21"/>
                    </w:rPr>
                    <w:t>48</w:t>
                  </w:r>
                </w:p>
              </w:tc>
              <w:tc>
                <w:tcPr>
                  <w:tcW w:w="972" w:type="dxa"/>
                  <w:vMerge w:val="restart"/>
                  <w:vAlign w:val="center"/>
                </w:tcPr>
                <w:p>
                  <w:pPr>
                    <w:jc w:val="center"/>
                    <w:rPr>
                      <w:szCs w:val="21"/>
                    </w:rPr>
                  </w:pPr>
                  <w:r>
                    <w:rPr>
                      <w:rFonts w:hint="eastAsia"/>
                      <w:szCs w:val="21"/>
                    </w:rPr>
                    <w:t>48.2</w:t>
                  </w: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空压机</w:t>
                  </w:r>
                </w:p>
              </w:tc>
              <w:tc>
                <w:tcPr>
                  <w:tcW w:w="1077" w:type="dxa"/>
                  <w:vAlign w:val="center"/>
                </w:tcPr>
                <w:p>
                  <w:pPr>
                    <w:jc w:val="center"/>
                    <w:rPr>
                      <w:szCs w:val="21"/>
                    </w:rPr>
                  </w:pPr>
                  <w:r>
                    <w:rPr>
                      <w:rFonts w:hint="eastAsia"/>
                      <w:szCs w:val="21"/>
                    </w:rPr>
                    <w:t>55</w:t>
                  </w:r>
                </w:p>
              </w:tc>
              <w:tc>
                <w:tcPr>
                  <w:tcW w:w="766" w:type="dxa"/>
                  <w:vAlign w:val="center"/>
                </w:tcPr>
                <w:p>
                  <w:pPr>
                    <w:jc w:val="center"/>
                    <w:rPr>
                      <w:szCs w:val="21"/>
                    </w:rPr>
                  </w:pPr>
                  <w:r>
                    <w:rPr>
                      <w:rFonts w:hint="eastAsia"/>
                      <w:szCs w:val="21"/>
                    </w:rPr>
                    <w:t>75</w:t>
                  </w:r>
                </w:p>
              </w:tc>
              <w:tc>
                <w:tcPr>
                  <w:tcW w:w="850" w:type="dxa"/>
                  <w:vAlign w:val="center"/>
                </w:tcPr>
                <w:p>
                  <w:pPr>
                    <w:jc w:val="center"/>
                    <w:rPr>
                      <w:szCs w:val="21"/>
                    </w:rPr>
                  </w:pPr>
                  <w:r>
                    <w:rPr>
                      <w:rFonts w:hint="eastAsia"/>
                      <w:szCs w:val="21"/>
                    </w:rPr>
                    <w:t>17</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冲床</w:t>
                  </w:r>
                </w:p>
              </w:tc>
              <w:tc>
                <w:tcPr>
                  <w:tcW w:w="1077" w:type="dxa"/>
                  <w:vAlign w:val="center"/>
                </w:tcPr>
                <w:p>
                  <w:pPr>
                    <w:jc w:val="center"/>
                    <w:rPr>
                      <w:szCs w:val="21"/>
                    </w:rPr>
                  </w:pPr>
                  <w:r>
                    <w:rPr>
                      <w:rFonts w:hint="eastAsia"/>
                      <w:szCs w:val="21"/>
                    </w:rPr>
                    <w:t>67</w:t>
                  </w:r>
                </w:p>
              </w:tc>
              <w:tc>
                <w:tcPr>
                  <w:tcW w:w="766" w:type="dxa"/>
                  <w:vAlign w:val="center"/>
                </w:tcPr>
                <w:p>
                  <w:pPr>
                    <w:jc w:val="center"/>
                    <w:rPr>
                      <w:szCs w:val="21"/>
                    </w:rPr>
                  </w:pPr>
                  <w:r>
                    <w:rPr>
                      <w:rFonts w:hint="eastAsia"/>
                      <w:szCs w:val="21"/>
                    </w:rPr>
                    <w:t>50</w:t>
                  </w:r>
                </w:p>
              </w:tc>
              <w:tc>
                <w:tcPr>
                  <w:tcW w:w="850" w:type="dxa"/>
                  <w:vAlign w:val="center"/>
                </w:tcPr>
                <w:p>
                  <w:pPr>
                    <w:jc w:val="center"/>
                    <w:rPr>
                      <w:szCs w:val="21"/>
                    </w:rPr>
                  </w:pPr>
                  <w:r>
                    <w:rPr>
                      <w:rFonts w:hint="eastAsia"/>
                      <w:szCs w:val="21"/>
                    </w:rPr>
                    <w:t>33</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rFonts w:hint="eastAsia"/>
                      <w:szCs w:val="21"/>
                    </w:rPr>
                    <w:t>风机</w:t>
                  </w:r>
                </w:p>
              </w:tc>
              <w:tc>
                <w:tcPr>
                  <w:tcW w:w="1077" w:type="dxa"/>
                  <w:vAlign w:val="center"/>
                </w:tcPr>
                <w:p>
                  <w:pPr>
                    <w:jc w:val="center"/>
                    <w:rPr>
                      <w:szCs w:val="21"/>
                    </w:rPr>
                  </w:pPr>
                  <w:r>
                    <w:rPr>
                      <w:rFonts w:hint="eastAsia"/>
                      <w:szCs w:val="21"/>
                    </w:rPr>
                    <w:t>60</w:t>
                  </w:r>
                </w:p>
              </w:tc>
              <w:tc>
                <w:tcPr>
                  <w:tcW w:w="766" w:type="dxa"/>
                  <w:vAlign w:val="center"/>
                </w:tcPr>
                <w:p>
                  <w:pPr>
                    <w:jc w:val="center"/>
                    <w:rPr>
                      <w:szCs w:val="21"/>
                    </w:rPr>
                  </w:pPr>
                  <w:r>
                    <w:rPr>
                      <w:rFonts w:hint="eastAsia"/>
                      <w:szCs w:val="21"/>
                    </w:rPr>
                    <w:t>87</w:t>
                  </w:r>
                </w:p>
              </w:tc>
              <w:tc>
                <w:tcPr>
                  <w:tcW w:w="850" w:type="dxa"/>
                  <w:vAlign w:val="center"/>
                </w:tcPr>
                <w:p>
                  <w:pPr>
                    <w:jc w:val="center"/>
                    <w:rPr>
                      <w:szCs w:val="21"/>
                    </w:rPr>
                  </w:pPr>
                  <w:r>
                    <w:rPr>
                      <w:rFonts w:hint="eastAsia"/>
                      <w:szCs w:val="21"/>
                    </w:rPr>
                    <w:t>21</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restart"/>
                  <w:vAlign w:val="center"/>
                </w:tcPr>
                <w:p>
                  <w:pPr>
                    <w:jc w:val="center"/>
                    <w:rPr>
                      <w:szCs w:val="21"/>
                    </w:rPr>
                  </w:pPr>
                  <w:r>
                    <w:rPr>
                      <w:rFonts w:hint="eastAsia"/>
                      <w:szCs w:val="21"/>
                    </w:rPr>
                    <w:t>西厂界</w:t>
                  </w:r>
                </w:p>
              </w:tc>
              <w:tc>
                <w:tcPr>
                  <w:tcW w:w="1276" w:type="dxa"/>
                  <w:vAlign w:val="center"/>
                </w:tcPr>
                <w:p>
                  <w:pPr>
                    <w:jc w:val="center"/>
                    <w:rPr>
                      <w:szCs w:val="21"/>
                    </w:rPr>
                  </w:pPr>
                  <w:r>
                    <w:rPr>
                      <w:szCs w:val="21"/>
                    </w:rPr>
                    <w:t>破碎机</w:t>
                  </w:r>
                </w:p>
              </w:tc>
              <w:tc>
                <w:tcPr>
                  <w:tcW w:w="1077" w:type="dxa"/>
                  <w:vAlign w:val="center"/>
                </w:tcPr>
                <w:p>
                  <w:pPr>
                    <w:jc w:val="center"/>
                    <w:rPr>
                      <w:szCs w:val="21"/>
                    </w:rPr>
                  </w:pPr>
                  <w:r>
                    <w:rPr>
                      <w:rFonts w:hint="eastAsia"/>
                      <w:szCs w:val="21"/>
                    </w:rPr>
                    <w:t>50</w:t>
                  </w:r>
                </w:p>
              </w:tc>
              <w:tc>
                <w:tcPr>
                  <w:tcW w:w="766" w:type="dxa"/>
                  <w:vAlign w:val="center"/>
                </w:tcPr>
                <w:p>
                  <w:pPr>
                    <w:jc w:val="center"/>
                    <w:rPr>
                      <w:szCs w:val="21"/>
                    </w:rPr>
                  </w:pPr>
                  <w:r>
                    <w:rPr>
                      <w:rFonts w:hint="eastAsia"/>
                      <w:szCs w:val="21"/>
                    </w:rPr>
                    <w:t>55</w:t>
                  </w:r>
                </w:p>
              </w:tc>
              <w:tc>
                <w:tcPr>
                  <w:tcW w:w="850" w:type="dxa"/>
                  <w:vAlign w:val="center"/>
                </w:tcPr>
                <w:p>
                  <w:pPr>
                    <w:jc w:val="center"/>
                    <w:rPr>
                      <w:szCs w:val="21"/>
                    </w:rPr>
                  </w:pPr>
                  <w:r>
                    <w:rPr>
                      <w:rFonts w:hint="eastAsia"/>
                      <w:szCs w:val="21"/>
                    </w:rPr>
                    <w:t>15</w:t>
                  </w:r>
                </w:p>
              </w:tc>
              <w:tc>
                <w:tcPr>
                  <w:tcW w:w="1068" w:type="dxa"/>
                  <w:vMerge w:val="restart"/>
                  <w:vAlign w:val="center"/>
                </w:tcPr>
                <w:p>
                  <w:pPr>
                    <w:jc w:val="center"/>
                    <w:rPr>
                      <w:szCs w:val="21"/>
                    </w:rPr>
                  </w:pPr>
                  <w:r>
                    <w:rPr>
                      <w:rFonts w:hint="eastAsia"/>
                      <w:szCs w:val="21"/>
                    </w:rPr>
                    <w:t>39.4</w:t>
                  </w:r>
                </w:p>
              </w:tc>
              <w:tc>
                <w:tcPr>
                  <w:tcW w:w="917" w:type="dxa"/>
                  <w:vMerge w:val="restart"/>
                  <w:vAlign w:val="center"/>
                </w:tcPr>
                <w:p>
                  <w:pPr>
                    <w:jc w:val="center"/>
                    <w:rPr>
                      <w:szCs w:val="21"/>
                    </w:rPr>
                  </w:pPr>
                  <w:r>
                    <w:rPr>
                      <w:rFonts w:hint="eastAsia"/>
                      <w:szCs w:val="21"/>
                    </w:rPr>
                    <w:t>46</w:t>
                  </w:r>
                </w:p>
              </w:tc>
              <w:tc>
                <w:tcPr>
                  <w:tcW w:w="972" w:type="dxa"/>
                  <w:vMerge w:val="restart"/>
                  <w:vAlign w:val="center"/>
                </w:tcPr>
                <w:p>
                  <w:pPr>
                    <w:jc w:val="center"/>
                    <w:rPr>
                      <w:szCs w:val="21"/>
                    </w:rPr>
                  </w:pPr>
                  <w:r>
                    <w:rPr>
                      <w:rFonts w:hint="eastAsia"/>
                      <w:szCs w:val="21"/>
                    </w:rPr>
                    <w:t>46.9</w:t>
                  </w: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空压机</w:t>
                  </w:r>
                </w:p>
              </w:tc>
              <w:tc>
                <w:tcPr>
                  <w:tcW w:w="1077" w:type="dxa"/>
                  <w:vAlign w:val="center"/>
                </w:tcPr>
                <w:p>
                  <w:pPr>
                    <w:jc w:val="center"/>
                    <w:rPr>
                      <w:szCs w:val="21"/>
                    </w:rPr>
                  </w:pPr>
                  <w:r>
                    <w:rPr>
                      <w:rFonts w:hint="eastAsia"/>
                      <w:szCs w:val="21"/>
                    </w:rPr>
                    <w:t>55</w:t>
                  </w:r>
                </w:p>
              </w:tc>
              <w:tc>
                <w:tcPr>
                  <w:tcW w:w="766" w:type="dxa"/>
                  <w:vAlign w:val="center"/>
                </w:tcPr>
                <w:p>
                  <w:pPr>
                    <w:jc w:val="center"/>
                    <w:rPr>
                      <w:szCs w:val="21"/>
                    </w:rPr>
                  </w:pPr>
                  <w:r>
                    <w:rPr>
                      <w:rFonts w:hint="eastAsia"/>
                      <w:szCs w:val="21"/>
                    </w:rPr>
                    <w:t>10</w:t>
                  </w:r>
                </w:p>
              </w:tc>
              <w:tc>
                <w:tcPr>
                  <w:tcW w:w="850" w:type="dxa"/>
                  <w:vAlign w:val="center"/>
                </w:tcPr>
                <w:p>
                  <w:pPr>
                    <w:jc w:val="center"/>
                    <w:rPr>
                      <w:szCs w:val="21"/>
                    </w:rPr>
                  </w:pPr>
                  <w:r>
                    <w:rPr>
                      <w:rFonts w:hint="eastAsia"/>
                      <w:szCs w:val="21"/>
                    </w:rPr>
                    <w:t>35</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冲床</w:t>
                  </w:r>
                </w:p>
              </w:tc>
              <w:tc>
                <w:tcPr>
                  <w:tcW w:w="1077" w:type="dxa"/>
                  <w:vAlign w:val="center"/>
                </w:tcPr>
                <w:p>
                  <w:pPr>
                    <w:jc w:val="center"/>
                    <w:rPr>
                      <w:szCs w:val="21"/>
                    </w:rPr>
                  </w:pPr>
                  <w:r>
                    <w:rPr>
                      <w:rFonts w:hint="eastAsia"/>
                      <w:szCs w:val="21"/>
                    </w:rPr>
                    <w:t>67</w:t>
                  </w:r>
                </w:p>
              </w:tc>
              <w:tc>
                <w:tcPr>
                  <w:tcW w:w="766" w:type="dxa"/>
                  <w:vAlign w:val="center"/>
                </w:tcPr>
                <w:p>
                  <w:pPr>
                    <w:jc w:val="center"/>
                    <w:rPr>
                      <w:szCs w:val="21"/>
                    </w:rPr>
                  </w:pPr>
                  <w:r>
                    <w:rPr>
                      <w:rFonts w:hint="eastAsia"/>
                      <w:szCs w:val="21"/>
                    </w:rPr>
                    <w:t>30</w:t>
                  </w:r>
                </w:p>
              </w:tc>
              <w:tc>
                <w:tcPr>
                  <w:tcW w:w="850" w:type="dxa"/>
                  <w:vAlign w:val="center"/>
                </w:tcPr>
                <w:p>
                  <w:pPr>
                    <w:jc w:val="center"/>
                    <w:rPr>
                      <w:szCs w:val="21"/>
                    </w:rPr>
                  </w:pPr>
                  <w:r>
                    <w:rPr>
                      <w:rFonts w:hint="eastAsia"/>
                      <w:szCs w:val="21"/>
                    </w:rPr>
                    <w:t>37</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rFonts w:hint="eastAsia"/>
                      <w:szCs w:val="21"/>
                    </w:rPr>
                    <w:t>风机</w:t>
                  </w:r>
                </w:p>
              </w:tc>
              <w:tc>
                <w:tcPr>
                  <w:tcW w:w="1077" w:type="dxa"/>
                  <w:vAlign w:val="center"/>
                </w:tcPr>
                <w:p>
                  <w:pPr>
                    <w:jc w:val="center"/>
                    <w:rPr>
                      <w:szCs w:val="21"/>
                    </w:rPr>
                  </w:pPr>
                  <w:r>
                    <w:rPr>
                      <w:rFonts w:hint="eastAsia"/>
                      <w:szCs w:val="21"/>
                    </w:rPr>
                    <w:t>60</w:t>
                  </w:r>
                </w:p>
              </w:tc>
              <w:tc>
                <w:tcPr>
                  <w:tcW w:w="766" w:type="dxa"/>
                  <w:vAlign w:val="center"/>
                </w:tcPr>
                <w:p>
                  <w:pPr>
                    <w:jc w:val="center"/>
                    <w:rPr>
                      <w:szCs w:val="21"/>
                    </w:rPr>
                  </w:pPr>
                  <w:r>
                    <w:rPr>
                      <w:rFonts w:hint="eastAsia"/>
                      <w:szCs w:val="21"/>
                    </w:rPr>
                    <w:t>45</w:t>
                  </w:r>
                </w:p>
              </w:tc>
              <w:tc>
                <w:tcPr>
                  <w:tcW w:w="850" w:type="dxa"/>
                  <w:vAlign w:val="center"/>
                </w:tcPr>
                <w:p>
                  <w:pPr>
                    <w:jc w:val="center"/>
                    <w:rPr>
                      <w:szCs w:val="21"/>
                    </w:rPr>
                  </w:pPr>
                  <w:r>
                    <w:rPr>
                      <w:rFonts w:hint="eastAsia"/>
                      <w:szCs w:val="21"/>
                    </w:rPr>
                    <w:t>27</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restart"/>
                  <w:vAlign w:val="center"/>
                </w:tcPr>
                <w:p>
                  <w:pPr>
                    <w:jc w:val="center"/>
                    <w:rPr>
                      <w:szCs w:val="21"/>
                    </w:rPr>
                  </w:pPr>
                  <w:r>
                    <w:rPr>
                      <w:rFonts w:hint="eastAsia"/>
                      <w:szCs w:val="21"/>
                    </w:rPr>
                    <w:t>东厂界</w:t>
                  </w:r>
                </w:p>
              </w:tc>
              <w:tc>
                <w:tcPr>
                  <w:tcW w:w="1276" w:type="dxa"/>
                  <w:vAlign w:val="center"/>
                </w:tcPr>
                <w:p>
                  <w:pPr>
                    <w:jc w:val="center"/>
                    <w:rPr>
                      <w:szCs w:val="21"/>
                    </w:rPr>
                  </w:pPr>
                  <w:r>
                    <w:rPr>
                      <w:szCs w:val="21"/>
                    </w:rPr>
                    <w:t>破碎机</w:t>
                  </w:r>
                </w:p>
              </w:tc>
              <w:tc>
                <w:tcPr>
                  <w:tcW w:w="1077" w:type="dxa"/>
                  <w:vAlign w:val="center"/>
                </w:tcPr>
                <w:p>
                  <w:pPr>
                    <w:jc w:val="center"/>
                    <w:rPr>
                      <w:szCs w:val="21"/>
                    </w:rPr>
                  </w:pPr>
                  <w:r>
                    <w:rPr>
                      <w:rFonts w:hint="eastAsia"/>
                      <w:szCs w:val="21"/>
                    </w:rPr>
                    <w:t>50</w:t>
                  </w:r>
                </w:p>
              </w:tc>
              <w:tc>
                <w:tcPr>
                  <w:tcW w:w="766" w:type="dxa"/>
                  <w:vAlign w:val="center"/>
                </w:tcPr>
                <w:p>
                  <w:pPr>
                    <w:jc w:val="center"/>
                    <w:rPr>
                      <w:szCs w:val="21"/>
                    </w:rPr>
                  </w:pPr>
                  <w:r>
                    <w:rPr>
                      <w:rFonts w:hint="eastAsia"/>
                      <w:szCs w:val="21"/>
                    </w:rPr>
                    <w:t>5</w:t>
                  </w:r>
                </w:p>
              </w:tc>
              <w:tc>
                <w:tcPr>
                  <w:tcW w:w="850" w:type="dxa"/>
                  <w:vAlign w:val="center"/>
                </w:tcPr>
                <w:p>
                  <w:pPr>
                    <w:jc w:val="center"/>
                    <w:rPr>
                      <w:szCs w:val="21"/>
                    </w:rPr>
                  </w:pPr>
                  <w:r>
                    <w:rPr>
                      <w:rFonts w:hint="eastAsia"/>
                      <w:szCs w:val="21"/>
                    </w:rPr>
                    <w:t>36</w:t>
                  </w:r>
                </w:p>
              </w:tc>
              <w:tc>
                <w:tcPr>
                  <w:tcW w:w="1068" w:type="dxa"/>
                  <w:vMerge w:val="restart"/>
                  <w:vAlign w:val="center"/>
                </w:tcPr>
                <w:p>
                  <w:pPr>
                    <w:jc w:val="center"/>
                    <w:rPr>
                      <w:szCs w:val="21"/>
                    </w:rPr>
                  </w:pPr>
                  <w:r>
                    <w:rPr>
                      <w:rFonts w:hint="eastAsia"/>
                      <w:szCs w:val="21"/>
                    </w:rPr>
                    <w:t>43.2</w:t>
                  </w:r>
                </w:p>
              </w:tc>
              <w:tc>
                <w:tcPr>
                  <w:tcW w:w="917" w:type="dxa"/>
                  <w:vMerge w:val="restart"/>
                  <w:vAlign w:val="center"/>
                </w:tcPr>
                <w:p>
                  <w:pPr>
                    <w:jc w:val="center"/>
                    <w:rPr>
                      <w:szCs w:val="21"/>
                    </w:rPr>
                  </w:pPr>
                  <w:r>
                    <w:rPr>
                      <w:rFonts w:hint="eastAsia"/>
                      <w:szCs w:val="21"/>
                    </w:rPr>
                    <w:t>47</w:t>
                  </w:r>
                </w:p>
              </w:tc>
              <w:tc>
                <w:tcPr>
                  <w:tcW w:w="972" w:type="dxa"/>
                  <w:vMerge w:val="restart"/>
                  <w:vAlign w:val="center"/>
                </w:tcPr>
                <w:p>
                  <w:pPr>
                    <w:jc w:val="center"/>
                    <w:rPr>
                      <w:szCs w:val="21"/>
                    </w:rPr>
                  </w:pPr>
                  <w:r>
                    <w:rPr>
                      <w:rFonts w:hint="eastAsia"/>
                      <w:szCs w:val="21"/>
                    </w:rPr>
                    <w:t>48.5</w:t>
                  </w: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空压机</w:t>
                  </w:r>
                </w:p>
              </w:tc>
              <w:tc>
                <w:tcPr>
                  <w:tcW w:w="1077" w:type="dxa"/>
                  <w:vAlign w:val="center"/>
                </w:tcPr>
                <w:p>
                  <w:pPr>
                    <w:jc w:val="center"/>
                    <w:rPr>
                      <w:szCs w:val="21"/>
                    </w:rPr>
                  </w:pPr>
                  <w:r>
                    <w:rPr>
                      <w:rFonts w:hint="eastAsia"/>
                      <w:szCs w:val="21"/>
                    </w:rPr>
                    <w:t>55</w:t>
                  </w:r>
                </w:p>
              </w:tc>
              <w:tc>
                <w:tcPr>
                  <w:tcW w:w="766" w:type="dxa"/>
                  <w:vAlign w:val="center"/>
                </w:tcPr>
                <w:p>
                  <w:pPr>
                    <w:jc w:val="center"/>
                    <w:rPr>
                      <w:szCs w:val="21"/>
                    </w:rPr>
                  </w:pPr>
                  <w:r>
                    <w:rPr>
                      <w:rFonts w:hint="eastAsia"/>
                      <w:szCs w:val="21"/>
                    </w:rPr>
                    <w:t>50</w:t>
                  </w:r>
                </w:p>
              </w:tc>
              <w:tc>
                <w:tcPr>
                  <w:tcW w:w="850" w:type="dxa"/>
                  <w:vAlign w:val="center"/>
                </w:tcPr>
                <w:p>
                  <w:pPr>
                    <w:jc w:val="center"/>
                    <w:rPr>
                      <w:szCs w:val="21"/>
                    </w:rPr>
                  </w:pPr>
                  <w:r>
                    <w:rPr>
                      <w:rFonts w:hint="eastAsia"/>
                      <w:szCs w:val="21"/>
                    </w:rPr>
                    <w:t>21</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szCs w:val="21"/>
                    </w:rPr>
                    <w:t>冲床</w:t>
                  </w:r>
                </w:p>
              </w:tc>
              <w:tc>
                <w:tcPr>
                  <w:tcW w:w="1077" w:type="dxa"/>
                  <w:vAlign w:val="center"/>
                </w:tcPr>
                <w:p>
                  <w:pPr>
                    <w:jc w:val="center"/>
                    <w:rPr>
                      <w:szCs w:val="21"/>
                    </w:rPr>
                  </w:pPr>
                  <w:r>
                    <w:rPr>
                      <w:rFonts w:hint="eastAsia"/>
                      <w:szCs w:val="21"/>
                    </w:rPr>
                    <w:t>67</w:t>
                  </w:r>
                </w:p>
              </w:tc>
              <w:tc>
                <w:tcPr>
                  <w:tcW w:w="766" w:type="dxa"/>
                  <w:vAlign w:val="center"/>
                </w:tcPr>
                <w:p>
                  <w:pPr>
                    <w:jc w:val="center"/>
                    <w:rPr>
                      <w:szCs w:val="21"/>
                    </w:rPr>
                  </w:pPr>
                  <w:r>
                    <w:rPr>
                      <w:rFonts w:hint="eastAsia"/>
                      <w:szCs w:val="21"/>
                    </w:rPr>
                    <w:t>20</w:t>
                  </w:r>
                </w:p>
              </w:tc>
              <w:tc>
                <w:tcPr>
                  <w:tcW w:w="850" w:type="dxa"/>
                  <w:vAlign w:val="center"/>
                </w:tcPr>
                <w:p>
                  <w:pPr>
                    <w:jc w:val="center"/>
                    <w:rPr>
                      <w:szCs w:val="21"/>
                    </w:rPr>
                  </w:pPr>
                  <w:r>
                    <w:rPr>
                      <w:rFonts w:hint="eastAsia"/>
                      <w:szCs w:val="21"/>
                    </w:rPr>
                    <w:t>41</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8" w:type="dxa"/>
                  <w:vMerge w:val="continue"/>
                  <w:vAlign w:val="center"/>
                </w:tcPr>
                <w:p>
                  <w:pPr>
                    <w:jc w:val="center"/>
                    <w:rPr>
                      <w:szCs w:val="21"/>
                    </w:rPr>
                  </w:pPr>
                </w:p>
              </w:tc>
              <w:tc>
                <w:tcPr>
                  <w:tcW w:w="1276" w:type="dxa"/>
                  <w:vAlign w:val="center"/>
                </w:tcPr>
                <w:p>
                  <w:pPr>
                    <w:jc w:val="center"/>
                    <w:rPr>
                      <w:szCs w:val="21"/>
                    </w:rPr>
                  </w:pPr>
                  <w:r>
                    <w:rPr>
                      <w:rFonts w:hint="eastAsia"/>
                      <w:szCs w:val="21"/>
                    </w:rPr>
                    <w:t>风机</w:t>
                  </w:r>
                </w:p>
              </w:tc>
              <w:tc>
                <w:tcPr>
                  <w:tcW w:w="1077" w:type="dxa"/>
                  <w:vAlign w:val="center"/>
                </w:tcPr>
                <w:p>
                  <w:pPr>
                    <w:jc w:val="center"/>
                    <w:rPr>
                      <w:szCs w:val="21"/>
                    </w:rPr>
                  </w:pPr>
                  <w:r>
                    <w:rPr>
                      <w:rFonts w:hint="eastAsia"/>
                      <w:szCs w:val="21"/>
                    </w:rPr>
                    <w:t>60</w:t>
                  </w:r>
                </w:p>
              </w:tc>
              <w:tc>
                <w:tcPr>
                  <w:tcW w:w="766" w:type="dxa"/>
                  <w:vAlign w:val="center"/>
                </w:tcPr>
                <w:p>
                  <w:pPr>
                    <w:jc w:val="center"/>
                    <w:rPr>
                      <w:szCs w:val="21"/>
                    </w:rPr>
                  </w:pPr>
                  <w:r>
                    <w:rPr>
                      <w:rFonts w:hint="eastAsia"/>
                      <w:szCs w:val="21"/>
                    </w:rPr>
                    <w:t>15</w:t>
                  </w:r>
                </w:p>
              </w:tc>
              <w:tc>
                <w:tcPr>
                  <w:tcW w:w="850" w:type="dxa"/>
                  <w:vAlign w:val="center"/>
                </w:tcPr>
                <w:p>
                  <w:pPr>
                    <w:jc w:val="center"/>
                    <w:rPr>
                      <w:szCs w:val="21"/>
                    </w:rPr>
                  </w:pPr>
                  <w:r>
                    <w:rPr>
                      <w:rFonts w:hint="eastAsia"/>
                      <w:szCs w:val="21"/>
                    </w:rPr>
                    <w:t>36</w:t>
                  </w:r>
                </w:p>
              </w:tc>
              <w:tc>
                <w:tcPr>
                  <w:tcW w:w="1068" w:type="dxa"/>
                  <w:vMerge w:val="continue"/>
                  <w:vAlign w:val="center"/>
                </w:tcPr>
                <w:p>
                  <w:pPr>
                    <w:jc w:val="center"/>
                    <w:rPr>
                      <w:szCs w:val="21"/>
                    </w:rPr>
                  </w:pPr>
                </w:p>
              </w:tc>
              <w:tc>
                <w:tcPr>
                  <w:tcW w:w="917" w:type="dxa"/>
                  <w:vMerge w:val="continue"/>
                  <w:vAlign w:val="center"/>
                </w:tcPr>
                <w:p>
                  <w:pPr>
                    <w:jc w:val="center"/>
                    <w:rPr>
                      <w:szCs w:val="21"/>
                    </w:rPr>
                  </w:pPr>
                </w:p>
              </w:tc>
              <w:tc>
                <w:tcPr>
                  <w:tcW w:w="972" w:type="dxa"/>
                  <w:vMerge w:val="continue"/>
                  <w:vAlign w:val="center"/>
                </w:tcPr>
                <w:p>
                  <w:pPr>
                    <w:jc w:val="center"/>
                    <w:rPr>
                      <w:szCs w:val="21"/>
                    </w:rPr>
                  </w:pPr>
                </w:p>
              </w:tc>
              <w:tc>
                <w:tcPr>
                  <w:tcW w:w="1328" w:type="dxa"/>
                  <w:vMerge w:val="continue"/>
                  <w:vAlign w:val="center"/>
                </w:tcPr>
                <w:p>
                  <w:pPr>
                    <w:jc w:val="center"/>
                    <w:rPr>
                      <w:szCs w:val="21"/>
                    </w:rPr>
                  </w:pPr>
                </w:p>
              </w:tc>
            </w:tr>
          </w:tbl>
          <w:p>
            <w:pPr>
              <w:spacing w:line="480" w:lineRule="exact"/>
              <w:ind w:firstLine="480"/>
              <w:rPr>
                <w:sz w:val="24"/>
              </w:rPr>
            </w:pPr>
            <w:r>
              <w:rPr>
                <w:sz w:val="24"/>
              </w:rPr>
              <w:t>项目生产期间高噪声设备经减振、隔音和距离衰减后，各厂界噪声值能够满足《工业企业厂界环境噪声排放标准》（GB12348-2008）</w:t>
            </w:r>
            <w:r>
              <w:rPr>
                <w:rFonts w:hint="eastAsia"/>
                <w:sz w:val="24"/>
              </w:rPr>
              <w:t>2</w:t>
            </w:r>
            <w:r>
              <w:rPr>
                <w:sz w:val="24"/>
              </w:rPr>
              <w:t>类昼间6</w:t>
            </w:r>
            <w:r>
              <w:rPr>
                <w:rFonts w:hint="eastAsia"/>
                <w:sz w:val="24"/>
              </w:rPr>
              <w:t>0</w:t>
            </w:r>
            <w:r>
              <w:rPr>
                <w:sz w:val="24"/>
              </w:rPr>
              <w:t>dB（A）、夜间5</w:t>
            </w:r>
            <w:r>
              <w:rPr>
                <w:rFonts w:hint="eastAsia"/>
                <w:sz w:val="24"/>
              </w:rPr>
              <w:t>0</w:t>
            </w:r>
            <w:r>
              <w:rPr>
                <w:sz w:val="24"/>
              </w:rPr>
              <w:t>dB(A)的标准要求，对四周环境影响较小。</w:t>
            </w:r>
          </w:p>
          <w:p>
            <w:pPr>
              <w:spacing w:line="480" w:lineRule="exact"/>
              <w:ind w:firstLine="482"/>
              <w:textAlignment w:val="baseline"/>
              <w:rPr>
                <w:b/>
                <w:sz w:val="24"/>
              </w:rPr>
            </w:pPr>
            <w:r>
              <w:rPr>
                <w:b/>
                <w:sz w:val="24"/>
              </w:rPr>
              <w:t>四、固废</w:t>
            </w:r>
          </w:p>
          <w:p>
            <w:pPr>
              <w:spacing w:line="520" w:lineRule="exact"/>
              <w:ind w:firstLine="480"/>
              <w:rPr>
                <w:sz w:val="24"/>
              </w:rPr>
            </w:pPr>
            <w:r>
              <w:rPr>
                <w:sz w:val="24"/>
              </w:rPr>
              <w:t>本项目营运期固废包括一般固废和危险废物。其中一般固废主要为废包装材料</w:t>
            </w:r>
            <w:r>
              <w:rPr>
                <w:bCs/>
                <w:sz w:val="24"/>
              </w:rPr>
              <w:t>和</w:t>
            </w:r>
            <w:r>
              <w:rPr>
                <w:rFonts w:hint="eastAsia"/>
                <w:bCs/>
                <w:sz w:val="24"/>
              </w:rPr>
              <w:t>废边角料</w:t>
            </w:r>
            <w:r>
              <w:rPr>
                <w:sz w:val="24"/>
              </w:rPr>
              <w:t>；危险固废为废液压油及废气处理过程产生的废紫外灯管、废活性炭</w:t>
            </w:r>
            <w:r>
              <w:rPr>
                <w:rFonts w:hint="eastAsia"/>
                <w:sz w:val="24"/>
              </w:rPr>
              <w:t>和</w:t>
            </w:r>
            <w:r>
              <w:rPr>
                <w:sz w:val="24"/>
              </w:rPr>
              <w:t>废催化板。</w:t>
            </w:r>
          </w:p>
          <w:p>
            <w:pPr>
              <w:spacing w:line="420" w:lineRule="exact"/>
              <w:ind w:left="420" w:firstLine="120"/>
              <w:rPr>
                <w:sz w:val="24"/>
              </w:rPr>
            </w:pPr>
            <w:r>
              <w:rPr>
                <w:sz w:val="24"/>
              </w:rPr>
              <w:t>1、一般固废</w:t>
            </w:r>
          </w:p>
          <w:p>
            <w:pPr>
              <w:spacing w:line="420" w:lineRule="exact"/>
              <w:ind w:left="420"/>
              <w:rPr>
                <w:sz w:val="24"/>
              </w:rPr>
            </w:pPr>
            <w:r>
              <w:rPr>
                <w:sz w:val="24"/>
              </w:rPr>
              <w:t>（1）废包装材料</w:t>
            </w:r>
          </w:p>
          <w:p>
            <w:pPr>
              <w:spacing w:line="420" w:lineRule="exact"/>
              <w:ind w:firstLine="480"/>
              <w:rPr>
                <w:sz w:val="24"/>
              </w:rPr>
            </w:pPr>
            <w:r>
              <w:rPr>
                <w:sz w:val="24"/>
              </w:rPr>
              <w:t>生产过程中会产生废包装材料，根据现有工程数据及企业</w:t>
            </w:r>
            <w:r>
              <w:rPr>
                <w:rFonts w:hint="eastAsia"/>
                <w:sz w:val="24"/>
              </w:rPr>
              <w:t>设计</w:t>
            </w:r>
            <w:r>
              <w:rPr>
                <w:sz w:val="24"/>
              </w:rPr>
              <w:t>资料</w:t>
            </w:r>
            <w:r>
              <w:rPr>
                <w:rFonts w:hint="eastAsia"/>
                <w:sz w:val="24"/>
              </w:rPr>
              <w:t>，</w:t>
            </w:r>
            <w:r>
              <w:rPr>
                <w:bCs/>
                <w:sz w:val="24"/>
              </w:rPr>
              <w:t>本</w:t>
            </w:r>
            <w:r>
              <w:rPr>
                <w:sz w:val="24"/>
              </w:rPr>
              <w:t>工程产生量为</w:t>
            </w:r>
            <w:r>
              <w:rPr>
                <w:rFonts w:hint="eastAsia"/>
                <w:sz w:val="24"/>
              </w:rPr>
              <w:t>0.2</w:t>
            </w:r>
            <w:r>
              <w:rPr>
                <w:sz w:val="24"/>
              </w:rPr>
              <w:t>t/a</w:t>
            </w:r>
            <w:r>
              <w:rPr>
                <w:rFonts w:hint="eastAsia"/>
                <w:bCs/>
                <w:sz w:val="24"/>
              </w:rPr>
              <w:t>。企业</w:t>
            </w:r>
            <w:r>
              <w:rPr>
                <w:bCs/>
                <w:sz w:val="24"/>
              </w:rPr>
              <w:t>拟将其集中收集后外售</w:t>
            </w:r>
            <w:r>
              <w:rPr>
                <w:sz w:val="24"/>
              </w:rPr>
              <w:t>。</w:t>
            </w:r>
          </w:p>
          <w:p>
            <w:pPr>
              <w:spacing w:line="480" w:lineRule="exact"/>
              <w:ind w:firstLine="480"/>
              <w:rPr>
                <w:sz w:val="24"/>
              </w:rPr>
            </w:pPr>
            <w:r>
              <w:rPr>
                <w:sz w:val="24"/>
              </w:rPr>
              <w:t>（</w:t>
            </w:r>
            <w:r>
              <w:rPr>
                <w:rFonts w:hint="eastAsia"/>
                <w:sz w:val="24"/>
              </w:rPr>
              <w:t>2</w:t>
            </w:r>
            <w:r>
              <w:rPr>
                <w:sz w:val="24"/>
              </w:rPr>
              <w:t>）</w:t>
            </w:r>
            <w:r>
              <w:rPr>
                <w:rFonts w:hint="eastAsia"/>
                <w:sz w:val="24"/>
              </w:rPr>
              <w:t>废边角料</w:t>
            </w:r>
          </w:p>
          <w:p>
            <w:pPr>
              <w:spacing w:line="480" w:lineRule="exact"/>
              <w:ind w:firstLine="480"/>
              <w:rPr>
                <w:sz w:val="24"/>
              </w:rPr>
            </w:pPr>
            <w:r>
              <w:rPr>
                <w:sz w:val="24"/>
              </w:rPr>
              <w:t>本项目冲压打孔的过程中会产生废边角料</w:t>
            </w:r>
            <w:r>
              <w:rPr>
                <w:rFonts w:hint="eastAsia"/>
                <w:sz w:val="24"/>
              </w:rPr>
              <w:t>，</w:t>
            </w:r>
            <w:r>
              <w:rPr>
                <w:sz w:val="24"/>
              </w:rPr>
              <w:t>根据现有工程数据及企业设计资料</w:t>
            </w:r>
            <w:r>
              <w:rPr>
                <w:rFonts w:hint="eastAsia"/>
                <w:sz w:val="24"/>
              </w:rPr>
              <w:t>，</w:t>
            </w:r>
            <w:r>
              <w:rPr>
                <w:sz w:val="24"/>
              </w:rPr>
              <w:t>该部分产生量为钢带用量的</w:t>
            </w:r>
            <w:r>
              <w:rPr>
                <w:rFonts w:hint="eastAsia"/>
                <w:sz w:val="24"/>
              </w:rPr>
              <w:t>1%，钢带用量为150t/a，故废边角料产生量为1.5t/a，</w:t>
            </w:r>
            <w:r>
              <w:rPr>
                <w:rFonts w:hint="eastAsia"/>
                <w:bCs/>
                <w:sz w:val="24"/>
              </w:rPr>
              <w:t>企业</w:t>
            </w:r>
            <w:r>
              <w:rPr>
                <w:bCs/>
                <w:sz w:val="24"/>
              </w:rPr>
              <w:t>拟将其集中收集后外售</w:t>
            </w:r>
            <w:r>
              <w:rPr>
                <w:sz w:val="24"/>
              </w:rPr>
              <w:t>。</w:t>
            </w:r>
          </w:p>
          <w:p>
            <w:pPr>
              <w:spacing w:line="480" w:lineRule="exact"/>
              <w:ind w:firstLine="480"/>
              <w:rPr>
                <w:sz w:val="24"/>
              </w:rPr>
            </w:pPr>
            <w:r>
              <w:rPr>
                <w:sz w:val="24"/>
              </w:rPr>
              <w:t>为了避免工程固废在厂区贮存过程中对环境的影响，</w:t>
            </w:r>
            <w:r>
              <w:rPr>
                <w:rFonts w:hint="eastAsia"/>
                <w:sz w:val="24"/>
              </w:rPr>
              <w:t>厂区内已</w:t>
            </w:r>
            <w:r>
              <w:rPr>
                <w:sz w:val="24"/>
              </w:rPr>
              <w:t>设置有一座一般固废暂存区（</w:t>
            </w:r>
            <w:r>
              <w:rPr>
                <w:rFonts w:hint="eastAsia"/>
                <w:sz w:val="24"/>
              </w:rPr>
              <w:t>塑料</w:t>
            </w:r>
            <w:r>
              <w:rPr>
                <w:sz w:val="24"/>
              </w:rPr>
              <w:t>生产车间</w:t>
            </w:r>
            <w:r>
              <w:rPr>
                <w:rFonts w:hint="eastAsia"/>
                <w:sz w:val="24"/>
              </w:rPr>
              <w:t>3F，</w:t>
            </w:r>
            <w:r>
              <w:rPr>
                <w:sz w:val="24"/>
              </w:rPr>
              <w:t>5m</w:t>
            </w:r>
            <w:r>
              <w:rPr>
                <w:sz w:val="24"/>
                <w:vertAlign w:val="superscript"/>
              </w:rPr>
              <w:t>2</w:t>
            </w:r>
            <w:r>
              <w:rPr>
                <w:sz w:val="24"/>
              </w:rPr>
              <w:t>），</w:t>
            </w:r>
            <w:r>
              <w:rPr>
                <w:rFonts w:hint="eastAsia"/>
                <w:sz w:val="24"/>
              </w:rPr>
              <w:t>为</w:t>
            </w:r>
            <w:r>
              <w:rPr>
                <w:sz w:val="24"/>
              </w:rPr>
              <w:t>方便本项目一般固体废物的收集</w:t>
            </w:r>
            <w:r>
              <w:rPr>
                <w:rFonts w:hint="eastAsia"/>
                <w:sz w:val="24"/>
              </w:rPr>
              <w:t>，</w:t>
            </w:r>
            <w:r>
              <w:rPr>
                <w:sz w:val="24"/>
              </w:rPr>
              <w:t>拟另建一座一般固废暂存区</w:t>
            </w:r>
            <w:r>
              <w:rPr>
                <w:rFonts w:hint="eastAsia"/>
                <w:sz w:val="24"/>
              </w:rPr>
              <w:t>（厂区东侧，5m</w:t>
            </w:r>
            <w:r>
              <w:rPr>
                <w:rFonts w:hint="eastAsia"/>
                <w:sz w:val="24"/>
                <w:vertAlign w:val="superscript"/>
              </w:rPr>
              <w:t>2</w:t>
            </w:r>
            <w:r>
              <w:rPr>
                <w:rFonts w:hint="eastAsia"/>
                <w:sz w:val="24"/>
              </w:rPr>
              <w:t>），能够满足本项目使用需要。本次拟建的固废暂存区应</w:t>
            </w:r>
            <w:r>
              <w:rPr>
                <w:sz w:val="24"/>
              </w:rPr>
              <w:t>严格按照《一般工业固体废物贮存、处置场污染控制标准》（GB18599-2001）（2013年修订）达到“防风、防雨、防渗”的要求。</w:t>
            </w:r>
          </w:p>
          <w:p>
            <w:pPr>
              <w:spacing w:line="480" w:lineRule="exact"/>
              <w:ind w:firstLine="480"/>
              <w:rPr>
                <w:sz w:val="24"/>
              </w:rPr>
            </w:pPr>
            <w:r>
              <w:rPr>
                <w:sz w:val="24"/>
              </w:rPr>
              <w:t>2、危险固废</w:t>
            </w:r>
          </w:p>
          <w:p>
            <w:pPr>
              <w:spacing w:line="480" w:lineRule="exact"/>
              <w:ind w:firstLine="480"/>
              <w:rPr>
                <w:sz w:val="24"/>
              </w:rPr>
            </w:pPr>
            <w:r>
              <w:rPr>
                <w:sz w:val="24"/>
              </w:rPr>
              <w:t>（1）废液压油</w:t>
            </w:r>
          </w:p>
          <w:p>
            <w:pPr>
              <w:spacing w:line="460" w:lineRule="exact"/>
              <w:ind w:firstLine="480"/>
              <w:rPr>
                <w:color w:val="000000"/>
                <w:sz w:val="24"/>
              </w:rPr>
            </w:pPr>
            <w:r>
              <w:rPr>
                <w:rFonts w:hint="eastAsia" w:ascii="宋体" w:hAnsi="宋体" w:cs="宋体"/>
                <w:color w:val="000000"/>
                <w:sz w:val="24"/>
              </w:rPr>
              <w:t>本项目所用</w:t>
            </w:r>
            <w:r>
              <w:rPr>
                <w:rFonts w:hint="eastAsia"/>
                <w:color w:val="000000"/>
                <w:sz w:val="24"/>
              </w:rPr>
              <w:t>的冲床</w:t>
            </w:r>
            <w:r>
              <w:rPr>
                <w:color w:val="000000"/>
                <w:sz w:val="24"/>
              </w:rPr>
              <w:t>需定期更换液压油</w:t>
            </w:r>
            <w:r>
              <w:rPr>
                <w:rFonts w:hint="eastAsia"/>
                <w:color w:val="000000"/>
                <w:sz w:val="24"/>
              </w:rPr>
              <w:t>，设备维护时更换下来的废液压油为危险废物（</w:t>
            </w:r>
            <w:r>
              <w:rPr>
                <w:color w:val="000000"/>
                <w:sz w:val="24"/>
              </w:rPr>
              <w:t>HW0</w:t>
            </w:r>
            <w:r>
              <w:rPr>
                <w:rFonts w:hint="eastAsia"/>
                <w:color w:val="000000"/>
                <w:sz w:val="24"/>
              </w:rPr>
              <w:t>8废矿物油与含矿物油废物），</w:t>
            </w:r>
            <w:r>
              <w:rPr>
                <w:color w:val="000000"/>
                <w:sz w:val="24"/>
              </w:rPr>
              <w:t>企业对该设备一年更换一次液压油</w:t>
            </w:r>
            <w:r>
              <w:rPr>
                <w:rFonts w:hint="eastAsia"/>
                <w:color w:val="000000"/>
                <w:sz w:val="24"/>
              </w:rPr>
              <w:t>，</w:t>
            </w:r>
            <w:r>
              <w:rPr>
                <w:color w:val="000000"/>
                <w:sz w:val="24"/>
              </w:rPr>
              <w:t>每次所需液压油</w:t>
            </w:r>
            <w:r>
              <w:rPr>
                <w:rFonts w:hint="eastAsia"/>
                <w:color w:val="000000"/>
                <w:sz w:val="24"/>
              </w:rPr>
              <w:t>0.015t，考虑液压油年自然损耗量为0.005t，则废液压油产生量0.01t/a。</w:t>
            </w:r>
          </w:p>
          <w:p>
            <w:pPr>
              <w:spacing w:line="480" w:lineRule="exact"/>
              <w:ind w:firstLine="480"/>
              <w:rPr>
                <w:sz w:val="24"/>
              </w:rPr>
            </w:pPr>
            <w:r>
              <w:rPr>
                <w:sz w:val="24"/>
              </w:rPr>
              <w:t>评价要求集中收集、危废暂存间暂存后，定期委托有相应资质的危废处理单位进行安全处置。</w:t>
            </w:r>
          </w:p>
          <w:p>
            <w:pPr>
              <w:spacing w:line="480" w:lineRule="exact"/>
              <w:ind w:firstLine="480"/>
              <w:rPr>
                <w:sz w:val="24"/>
              </w:rPr>
            </w:pPr>
            <w:r>
              <w:rPr>
                <w:sz w:val="24"/>
              </w:rPr>
              <w:t>（</w:t>
            </w:r>
            <w:r>
              <w:rPr>
                <w:rFonts w:hint="eastAsia"/>
                <w:sz w:val="24"/>
              </w:rPr>
              <w:t>2</w:t>
            </w:r>
            <w:r>
              <w:rPr>
                <w:sz w:val="24"/>
              </w:rPr>
              <w:t>）废紫外灯管</w:t>
            </w:r>
          </w:p>
          <w:p>
            <w:pPr>
              <w:spacing w:line="480" w:lineRule="exact"/>
              <w:ind w:firstLine="480"/>
              <w:rPr>
                <w:sz w:val="24"/>
              </w:rPr>
            </w:pPr>
            <w:r>
              <w:rPr>
                <w:sz w:val="24"/>
              </w:rPr>
              <w:t>UV光催化氧化装置在运行使用过程中，需要每年更换一次紫外灯管，废紫外灯管每年约产生0.0</w:t>
            </w:r>
            <w:r>
              <w:rPr>
                <w:rFonts w:hint="eastAsia"/>
                <w:sz w:val="24"/>
              </w:rPr>
              <w:t>0</w:t>
            </w:r>
            <w:r>
              <w:rPr>
                <w:sz w:val="24"/>
              </w:rPr>
              <w:t>3t，根据《国家危险废物名录》（2016.8.1），废紫外灯管属于HW29含汞废物中的900-023-29（生产、销售及使用过程中产生的废含汞荧光灯管及其他废含汞电光源）。评价要求集中收集、危废暂存间暂存后，定期委托有相应资质的危废处理单位进行安全处置。</w:t>
            </w:r>
          </w:p>
          <w:p>
            <w:pPr>
              <w:spacing w:line="480" w:lineRule="exact"/>
              <w:ind w:firstLine="480"/>
              <w:rPr>
                <w:sz w:val="24"/>
              </w:rPr>
            </w:pPr>
            <w:r>
              <w:rPr>
                <w:sz w:val="24"/>
              </w:rPr>
              <w:t>（</w:t>
            </w:r>
            <w:r>
              <w:rPr>
                <w:rFonts w:hint="eastAsia"/>
                <w:sz w:val="24"/>
              </w:rPr>
              <w:t>3</w:t>
            </w:r>
            <w:r>
              <w:rPr>
                <w:sz w:val="24"/>
              </w:rPr>
              <w:t>）废活性炭</w:t>
            </w:r>
          </w:p>
          <w:p>
            <w:pPr>
              <w:spacing w:line="480" w:lineRule="exact"/>
              <w:ind w:firstLine="480"/>
              <w:rPr>
                <w:sz w:val="24"/>
              </w:rPr>
            </w:pPr>
            <w:r>
              <w:rPr>
                <w:sz w:val="24"/>
              </w:rPr>
              <w:t>经查阅相关资料，1g活性炭吸收0.3g有机废气，本项目需经活性炭吸附装置处理的有机废气量约为</w:t>
            </w:r>
            <w:r>
              <w:rPr>
                <w:rFonts w:hint="eastAsia"/>
                <w:sz w:val="24"/>
              </w:rPr>
              <w:t xml:space="preserve">0.1894 </w:t>
            </w:r>
            <w:r>
              <w:rPr>
                <w:sz w:val="24"/>
              </w:rPr>
              <w:t>t/a，则本项目需要活性炭的量约为</w:t>
            </w:r>
            <w:r>
              <w:rPr>
                <w:rFonts w:hint="eastAsia"/>
                <w:sz w:val="24"/>
              </w:rPr>
              <w:t>0.63</w:t>
            </w:r>
            <w:r>
              <w:rPr>
                <w:sz w:val="24"/>
              </w:rPr>
              <w:t>t/a。项目活性炭根据压力表显示的数据进行更换，</w:t>
            </w:r>
            <w:r>
              <w:rPr>
                <w:rFonts w:hint="eastAsia"/>
                <w:sz w:val="24"/>
              </w:rPr>
              <w:t>本</w:t>
            </w:r>
            <w:r>
              <w:rPr>
                <w:sz w:val="24"/>
              </w:rPr>
              <w:t>项目需要配置</w:t>
            </w:r>
            <w:r>
              <w:rPr>
                <w:rFonts w:hint="eastAsia"/>
                <w:sz w:val="24"/>
              </w:rPr>
              <w:t>1个</w:t>
            </w:r>
            <w:r>
              <w:rPr>
                <w:sz w:val="24"/>
              </w:rPr>
              <w:t>活性炭</w:t>
            </w:r>
            <w:r>
              <w:rPr>
                <w:rFonts w:hint="eastAsia"/>
                <w:sz w:val="24"/>
              </w:rPr>
              <w:t>吸附装置</w:t>
            </w:r>
            <w:r>
              <w:rPr>
                <w:sz w:val="24"/>
              </w:rPr>
              <w:t>，</w:t>
            </w:r>
            <w:r>
              <w:rPr>
                <w:rFonts w:hint="eastAsia"/>
                <w:sz w:val="24"/>
              </w:rPr>
              <w:t>装置内的</w:t>
            </w:r>
            <w:r>
              <w:rPr>
                <w:sz w:val="24"/>
              </w:rPr>
              <w:t>活性炭量为</w:t>
            </w:r>
            <w:r>
              <w:rPr>
                <w:rFonts w:hint="eastAsia"/>
                <w:sz w:val="24"/>
              </w:rPr>
              <w:t>0.63</w:t>
            </w:r>
            <w:r>
              <w:rPr>
                <w:sz w:val="24"/>
              </w:rPr>
              <w:t>t，每年需更换活性炭</w:t>
            </w:r>
            <w:r>
              <w:rPr>
                <w:rFonts w:hint="eastAsia"/>
                <w:sz w:val="24"/>
              </w:rPr>
              <w:t>2</w:t>
            </w:r>
            <w:r>
              <w:rPr>
                <w:sz w:val="24"/>
              </w:rPr>
              <w:t>次</w:t>
            </w:r>
            <w:r>
              <w:rPr>
                <w:rFonts w:hint="eastAsia"/>
                <w:sz w:val="24"/>
              </w:rPr>
              <w:t>，</w:t>
            </w:r>
            <w:r>
              <w:rPr>
                <w:sz w:val="24"/>
              </w:rPr>
              <w:t>平均每</w:t>
            </w:r>
            <w:r>
              <w:rPr>
                <w:rFonts w:hint="eastAsia"/>
                <w:sz w:val="24"/>
              </w:rPr>
              <w:t>6个月更换一次活性炭，以保证活性炭吸附装置正常运行</w:t>
            </w:r>
            <w:r>
              <w:rPr>
                <w:sz w:val="24"/>
              </w:rPr>
              <w:t>。故本项目废活性炭产生量为</w:t>
            </w:r>
            <w:r>
              <w:rPr>
                <w:rFonts w:hint="eastAsia"/>
                <w:sz w:val="24"/>
              </w:rPr>
              <w:t>0.63t/a。</w:t>
            </w:r>
            <w:r>
              <w:rPr>
                <w:sz w:val="24"/>
              </w:rPr>
              <w:t>厂区配备备用的活性炭抽屉</w:t>
            </w:r>
            <w:r>
              <w:rPr>
                <w:rFonts w:hint="eastAsia"/>
                <w:sz w:val="24"/>
              </w:rPr>
              <w:t>，</w:t>
            </w:r>
            <w:r>
              <w:rPr>
                <w:sz w:val="24"/>
              </w:rPr>
              <w:t>活性炭需要更换时</w:t>
            </w:r>
            <w:r>
              <w:rPr>
                <w:rFonts w:hint="eastAsia"/>
                <w:sz w:val="24"/>
              </w:rPr>
              <w:t>，趁</w:t>
            </w:r>
            <w:r>
              <w:rPr>
                <w:sz w:val="24"/>
              </w:rPr>
              <w:t>停机检修时打开活性炭吸附装置直接更换活性炭抽屉即可</w:t>
            </w:r>
            <w:r>
              <w:rPr>
                <w:rFonts w:hint="eastAsia"/>
                <w:sz w:val="24"/>
              </w:rPr>
              <w:t>。</w:t>
            </w:r>
            <w:r>
              <w:rPr>
                <w:sz w:val="24"/>
              </w:rPr>
              <w:t>一般活性炭密度为0.55g/cm</w:t>
            </w:r>
            <w:r>
              <w:rPr>
                <w:sz w:val="24"/>
                <w:vertAlign w:val="superscript"/>
              </w:rPr>
              <w:t>3</w:t>
            </w:r>
            <w:r>
              <w:rPr>
                <w:sz w:val="24"/>
              </w:rPr>
              <w:t>左右，则活性炭</w:t>
            </w:r>
            <w:r>
              <w:rPr>
                <w:rFonts w:hint="eastAsia"/>
                <w:sz w:val="24"/>
              </w:rPr>
              <w:t>吸附装置</w:t>
            </w:r>
            <w:r>
              <w:rPr>
                <w:sz w:val="24"/>
              </w:rPr>
              <w:t>的有效容积</w:t>
            </w:r>
            <w:r>
              <w:rPr>
                <w:rFonts w:hint="eastAsia"/>
                <w:sz w:val="24"/>
              </w:rPr>
              <w:t>为0.6</w:t>
            </w:r>
            <w:r>
              <w:rPr>
                <w:sz w:val="24"/>
              </w:rPr>
              <w:t>m</w:t>
            </w:r>
            <w:r>
              <w:rPr>
                <w:sz w:val="24"/>
                <w:vertAlign w:val="superscript"/>
              </w:rPr>
              <w:t>3</w:t>
            </w:r>
            <w:r>
              <w:rPr>
                <w:sz w:val="24"/>
              </w:rPr>
              <w:t>。根据《国家危险废物名录》（2016.8.1），废活性炭沾染有机废气，属于其他废物（HW49）。评价要求密闭容器收集、危废暂存间暂存，定期委托有相应资质的危废处理单位进行安全处置。</w:t>
            </w:r>
          </w:p>
          <w:p>
            <w:pPr>
              <w:spacing w:line="480" w:lineRule="exact"/>
              <w:ind w:firstLine="480"/>
              <w:rPr>
                <w:sz w:val="24"/>
              </w:rPr>
            </w:pPr>
            <w:r>
              <w:rPr>
                <w:sz w:val="24"/>
              </w:rPr>
              <w:t>（</w:t>
            </w:r>
            <w:r>
              <w:rPr>
                <w:rFonts w:hint="eastAsia"/>
                <w:sz w:val="24"/>
              </w:rPr>
              <w:t>4</w:t>
            </w:r>
            <w:r>
              <w:rPr>
                <w:sz w:val="24"/>
              </w:rPr>
              <w:t>）废催化板</w:t>
            </w:r>
          </w:p>
          <w:p>
            <w:pPr>
              <w:spacing w:line="480" w:lineRule="exact"/>
              <w:ind w:firstLine="480"/>
              <w:rPr>
                <w:sz w:val="24"/>
              </w:rPr>
            </w:pPr>
            <w:r>
              <w:rPr>
                <w:sz w:val="24"/>
              </w:rPr>
              <w:t>UV光催化氧化装置在运行使用过程中，需要更换催化板</w:t>
            </w:r>
            <w:r>
              <w:rPr>
                <w:rFonts w:hint="eastAsia"/>
                <w:sz w:val="24"/>
              </w:rPr>
              <w:t>，</w:t>
            </w:r>
            <w:r>
              <w:rPr>
                <w:sz w:val="24"/>
              </w:rPr>
              <w:t>每年更换</w:t>
            </w:r>
            <w:r>
              <w:rPr>
                <w:rFonts w:hint="eastAsia"/>
                <w:sz w:val="24"/>
              </w:rPr>
              <w:t>一</w:t>
            </w:r>
            <w:r>
              <w:rPr>
                <w:sz w:val="24"/>
              </w:rPr>
              <w:t>次，废催化板每年约产生0.</w:t>
            </w:r>
            <w:r>
              <w:rPr>
                <w:rFonts w:hint="eastAsia"/>
                <w:sz w:val="24"/>
              </w:rPr>
              <w:t>0</w:t>
            </w:r>
            <w:r>
              <w:rPr>
                <w:sz w:val="24"/>
              </w:rPr>
              <w:t>1t，根据《国家危险废物名录》（2016.8.1），废催化板参照HW</w:t>
            </w:r>
            <w:r>
              <w:rPr>
                <w:rFonts w:hint="eastAsia"/>
                <w:sz w:val="24"/>
              </w:rPr>
              <w:t>50废催化剂</w:t>
            </w:r>
            <w:r>
              <w:rPr>
                <w:sz w:val="24"/>
              </w:rPr>
              <w:t>中的</w:t>
            </w:r>
            <w:r>
              <w:rPr>
                <w:rFonts w:hint="eastAsia"/>
                <w:sz w:val="24"/>
              </w:rPr>
              <w:t>772-007-50</w:t>
            </w:r>
            <w:r>
              <w:rPr>
                <w:sz w:val="24"/>
              </w:rPr>
              <w:t>（</w:t>
            </w:r>
            <w:r>
              <w:rPr>
                <w:rFonts w:hint="eastAsia"/>
                <w:sz w:val="24"/>
              </w:rPr>
              <w:t>烟气脱硝过程中</w:t>
            </w:r>
            <w:r>
              <w:rPr>
                <w:sz w:val="24"/>
              </w:rPr>
              <w:t>的废钒钛系催化剂）执行。评价要求密闭容器收集、危废暂存间暂存，定期委托有相应资质的危废处理单位进行安全处置。</w:t>
            </w:r>
          </w:p>
          <w:p>
            <w:pPr>
              <w:spacing w:line="480" w:lineRule="exact"/>
              <w:ind w:firstLine="480"/>
              <w:rPr>
                <w:sz w:val="24"/>
              </w:rPr>
            </w:pPr>
            <w:r>
              <w:rPr>
                <w:sz w:val="24"/>
              </w:rPr>
              <w:t>为了避免危险废物在厂区贮存过程中对环境的影响，评价要求工程应将其全部装入密闭容器中后临时存放于危废储存间内（约5m</w:t>
            </w:r>
            <w:r>
              <w:rPr>
                <w:sz w:val="24"/>
                <w:vertAlign w:val="superscript"/>
              </w:rPr>
              <w:t>2</w:t>
            </w:r>
            <w:r>
              <w:rPr>
                <w:sz w:val="24"/>
              </w:rPr>
              <w:t>），定期送至有相应资质的危废处理单位安全处置，危废储存间地面应进行硬化防渗处理，做好防风、防雨及防渗的“三防”措施。危险废物的贮存应严格按照《危险废物贮存污染控制标准》（GB18597-2001）（2013年修订）中相关规定进行；在危废的转移处置过程中，应严格按照《中华人民共和国固体废物污染环境防治法》和《危险废物转移联单管理办法》有关规定执行。</w:t>
            </w:r>
          </w:p>
          <w:p>
            <w:pPr>
              <w:snapToGrid w:val="0"/>
              <w:spacing w:line="520" w:lineRule="exact"/>
              <w:ind w:firstLine="570"/>
              <w:textAlignment w:val="baseline"/>
              <w:rPr>
                <w:rFonts w:eastAsia="黑体"/>
                <w:bCs/>
                <w:kern w:val="0"/>
                <w:sz w:val="24"/>
              </w:rPr>
            </w:pPr>
            <w:r>
              <w:rPr>
                <w:rFonts w:eastAsia="黑体"/>
                <w:bCs/>
                <w:kern w:val="0"/>
                <w:sz w:val="24"/>
              </w:rPr>
              <w:t>表</w:t>
            </w:r>
            <w:r>
              <w:rPr>
                <w:rFonts w:hint="eastAsia" w:eastAsia="黑体"/>
                <w:bCs/>
                <w:kern w:val="0"/>
                <w:sz w:val="24"/>
              </w:rPr>
              <w:t>40</w:t>
            </w:r>
            <w:r>
              <w:rPr>
                <w:rFonts w:eastAsia="黑体"/>
                <w:bCs/>
                <w:kern w:val="0"/>
                <w:sz w:val="24"/>
              </w:rPr>
              <w:t xml:space="preserve">   </w:t>
            </w:r>
            <w:r>
              <w:rPr>
                <w:rFonts w:hint="eastAsia" w:eastAsia="黑体"/>
                <w:bCs/>
                <w:kern w:val="0"/>
                <w:sz w:val="24"/>
              </w:rPr>
              <w:t xml:space="preserve">                                    </w:t>
            </w:r>
            <w:r>
              <w:rPr>
                <w:rFonts w:eastAsia="黑体"/>
                <w:bCs/>
                <w:kern w:val="0"/>
                <w:sz w:val="24"/>
              </w:rPr>
              <w:t xml:space="preserve">本工程固废产生及处置情况表         </w:t>
            </w:r>
            <w:r>
              <w:rPr>
                <w:rFonts w:hint="eastAsia" w:eastAsia="黑体"/>
                <w:bCs/>
                <w:kern w:val="0"/>
                <w:sz w:val="24"/>
              </w:rPr>
              <w:t xml:space="preserve">               </w:t>
            </w:r>
            <w:r>
              <w:rPr>
                <w:rFonts w:eastAsia="黑体"/>
                <w:bCs/>
                <w:kern w:val="0"/>
                <w:sz w:val="24"/>
              </w:rPr>
              <w:t xml:space="preserve">  单位：t/a</w:t>
            </w:r>
          </w:p>
          <w:tbl>
            <w:tblPr>
              <w:tblStyle w:val="19"/>
              <w:tblW w:w="5000" w:type="pct"/>
              <w:jc w:val="center"/>
              <w:tblLayout w:type="autofit"/>
              <w:tblCellMar>
                <w:top w:w="0" w:type="dxa"/>
                <w:left w:w="108" w:type="dxa"/>
                <w:bottom w:w="0" w:type="dxa"/>
                <w:right w:w="108" w:type="dxa"/>
              </w:tblCellMar>
            </w:tblPr>
            <w:tblGrid>
              <w:gridCol w:w="1113"/>
              <w:gridCol w:w="2181"/>
              <w:gridCol w:w="1843"/>
              <w:gridCol w:w="3180"/>
              <w:gridCol w:w="1105"/>
            </w:tblGrid>
            <w:tr>
              <w:tblPrEx>
                <w:tblCellMar>
                  <w:top w:w="0" w:type="dxa"/>
                  <w:left w:w="108" w:type="dxa"/>
                  <w:bottom w:w="0" w:type="dxa"/>
                  <w:right w:w="108" w:type="dxa"/>
                </w:tblCellMar>
              </w:tblPrEx>
              <w:trPr>
                <w:trHeight w:val="397" w:hRule="atLeast"/>
                <w:jc w:val="center"/>
              </w:trPr>
              <w:tc>
                <w:tcPr>
                  <w:tcW w:w="1113" w:type="dxa"/>
                  <w:tcBorders>
                    <w:top w:val="single" w:color="000000" w:sz="8"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b/>
                      <w:bCs/>
                      <w:kern w:val="0"/>
                      <w:szCs w:val="21"/>
                    </w:rPr>
                  </w:pPr>
                  <w:r>
                    <w:rPr>
                      <w:b/>
                      <w:bCs/>
                      <w:kern w:val="0"/>
                      <w:szCs w:val="21"/>
                    </w:rPr>
                    <w:t>固废属性</w:t>
                  </w:r>
                </w:p>
              </w:tc>
              <w:tc>
                <w:tcPr>
                  <w:tcW w:w="2181"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b/>
                      <w:bCs/>
                      <w:kern w:val="0"/>
                      <w:szCs w:val="21"/>
                    </w:rPr>
                  </w:pPr>
                  <w:r>
                    <w:rPr>
                      <w:b/>
                      <w:bCs/>
                      <w:kern w:val="0"/>
                      <w:szCs w:val="21"/>
                    </w:rPr>
                    <w:t>固废名称</w:t>
                  </w:r>
                </w:p>
              </w:tc>
              <w:tc>
                <w:tcPr>
                  <w:tcW w:w="1843"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b/>
                      <w:bCs/>
                      <w:kern w:val="0"/>
                      <w:szCs w:val="21"/>
                    </w:rPr>
                  </w:pPr>
                  <w:r>
                    <w:rPr>
                      <w:b/>
                      <w:bCs/>
                      <w:kern w:val="0"/>
                      <w:szCs w:val="21"/>
                    </w:rPr>
                    <w:t>产生量（t/a）</w:t>
                  </w:r>
                </w:p>
              </w:tc>
              <w:tc>
                <w:tcPr>
                  <w:tcW w:w="3180"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b/>
                      <w:bCs/>
                      <w:kern w:val="0"/>
                      <w:szCs w:val="21"/>
                    </w:rPr>
                  </w:pPr>
                  <w:r>
                    <w:rPr>
                      <w:b/>
                      <w:bCs/>
                      <w:kern w:val="0"/>
                      <w:szCs w:val="21"/>
                    </w:rPr>
                    <w:t>处置措施</w:t>
                  </w:r>
                </w:p>
              </w:tc>
              <w:tc>
                <w:tcPr>
                  <w:tcW w:w="1105" w:type="dxa"/>
                  <w:tcBorders>
                    <w:top w:val="single" w:color="000000" w:sz="8"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b/>
                      <w:bCs/>
                      <w:kern w:val="0"/>
                      <w:szCs w:val="21"/>
                    </w:rPr>
                  </w:pPr>
                  <w:r>
                    <w:rPr>
                      <w:b/>
                      <w:bCs/>
                      <w:kern w:val="0"/>
                      <w:szCs w:val="21"/>
                    </w:rPr>
                    <w:t>排放量</w:t>
                  </w:r>
                </w:p>
              </w:tc>
            </w:tr>
            <w:tr>
              <w:tblPrEx>
                <w:tblCellMar>
                  <w:top w:w="0" w:type="dxa"/>
                  <w:left w:w="108" w:type="dxa"/>
                  <w:bottom w:w="0" w:type="dxa"/>
                  <w:right w:w="108" w:type="dxa"/>
                </w:tblCellMar>
              </w:tblPrEx>
              <w:trPr>
                <w:trHeight w:val="397" w:hRule="atLeast"/>
                <w:jc w:val="center"/>
              </w:trPr>
              <w:tc>
                <w:tcPr>
                  <w:tcW w:w="1113" w:type="dxa"/>
                  <w:vMerge w:val="restart"/>
                  <w:tcBorders>
                    <w:top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一般工业固废</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废包装材料</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0.2</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收集后外售</w:t>
                  </w:r>
                </w:p>
              </w:tc>
              <w:tc>
                <w:tcPr>
                  <w:tcW w:w="1105" w:type="dxa"/>
                  <w:tcBorders>
                    <w:top w:val="single" w:color="000000" w:sz="4"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0</w:t>
                  </w:r>
                </w:p>
              </w:tc>
            </w:tr>
            <w:tr>
              <w:tblPrEx>
                <w:tblCellMar>
                  <w:top w:w="0" w:type="dxa"/>
                  <w:left w:w="108" w:type="dxa"/>
                  <w:bottom w:w="0" w:type="dxa"/>
                  <w:right w:w="108" w:type="dxa"/>
                </w:tblCellMar>
              </w:tblPrEx>
              <w:trPr>
                <w:trHeight w:val="397" w:hRule="atLeast"/>
                <w:jc w:val="center"/>
              </w:trPr>
              <w:tc>
                <w:tcPr>
                  <w:tcW w:w="1113" w:type="dxa"/>
                  <w:vMerge w:val="continue"/>
                  <w:tcBorders>
                    <w:top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废边角料</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1.5</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收集后外售</w:t>
                  </w:r>
                </w:p>
              </w:tc>
              <w:tc>
                <w:tcPr>
                  <w:tcW w:w="1105" w:type="dxa"/>
                  <w:tcBorders>
                    <w:top w:val="single" w:color="000000" w:sz="4"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0</w:t>
                  </w:r>
                </w:p>
              </w:tc>
            </w:tr>
            <w:tr>
              <w:tblPrEx>
                <w:tblCellMar>
                  <w:top w:w="0" w:type="dxa"/>
                  <w:left w:w="108" w:type="dxa"/>
                  <w:bottom w:w="0" w:type="dxa"/>
                  <w:right w:w="108" w:type="dxa"/>
                </w:tblCellMar>
              </w:tblPrEx>
              <w:trPr>
                <w:trHeight w:val="397" w:hRule="atLeast"/>
                <w:jc w:val="center"/>
              </w:trPr>
              <w:tc>
                <w:tcPr>
                  <w:tcW w:w="1113" w:type="dxa"/>
                  <w:vMerge w:val="restart"/>
                  <w:tcBorders>
                    <w:top w:val="single" w:color="000000" w:sz="4" w:space="0"/>
                    <w:bottom w:val="single" w:color="000000" w:sz="4" w:space="0"/>
                    <w:right w:val="single" w:color="000000" w:sz="4" w:space="0"/>
                  </w:tcBorders>
                  <w:shd w:val="clear" w:color="auto" w:fill="auto"/>
                  <w:vAlign w:val="center"/>
                </w:tcPr>
                <w:p>
                  <w:pPr>
                    <w:widowControl/>
                    <w:snapToGrid w:val="0"/>
                    <w:spacing w:line="276" w:lineRule="auto"/>
                    <w:jc w:val="center"/>
                    <w:textAlignment w:val="baseline"/>
                    <w:rPr>
                      <w:kern w:val="0"/>
                      <w:szCs w:val="21"/>
                    </w:rPr>
                  </w:pPr>
                  <w:r>
                    <w:rPr>
                      <w:kern w:val="0"/>
                      <w:szCs w:val="21"/>
                    </w:rPr>
                    <w:t>危险废物</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废液压油</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0.01</w:t>
                  </w:r>
                </w:p>
              </w:tc>
              <w:tc>
                <w:tcPr>
                  <w:tcW w:w="3180" w:type="dxa"/>
                  <w:vMerge w:val="restart"/>
                  <w:tcBorders>
                    <w:top w:val="single" w:color="000000" w:sz="4" w:space="0"/>
                    <w:left w:val="single" w:color="000000" w:sz="4" w:space="0"/>
                    <w:right w:val="single" w:color="000000" w:sz="4" w:space="0"/>
                  </w:tcBorders>
                  <w:shd w:val="clear" w:color="auto" w:fill="auto"/>
                  <w:vAlign w:val="center"/>
                </w:tcPr>
                <w:p>
                  <w:pPr>
                    <w:snapToGrid w:val="0"/>
                    <w:spacing w:line="276" w:lineRule="auto"/>
                    <w:jc w:val="center"/>
                    <w:textAlignment w:val="baseline"/>
                    <w:rPr>
                      <w:kern w:val="0"/>
                      <w:szCs w:val="21"/>
                    </w:rPr>
                  </w:pPr>
                  <w:r>
                    <w:rPr>
                      <w:kern w:val="0"/>
                      <w:szCs w:val="21"/>
                    </w:rPr>
                    <w:t>暂存于危废暂存间、定期委托有相应资质的回收单位安全处置</w:t>
                  </w:r>
                </w:p>
              </w:tc>
              <w:tc>
                <w:tcPr>
                  <w:tcW w:w="1105" w:type="dxa"/>
                  <w:tcBorders>
                    <w:top w:val="single" w:color="000000" w:sz="4"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0</w:t>
                  </w:r>
                </w:p>
              </w:tc>
            </w:tr>
            <w:tr>
              <w:tblPrEx>
                <w:tblCellMar>
                  <w:top w:w="0" w:type="dxa"/>
                  <w:left w:w="108" w:type="dxa"/>
                  <w:bottom w:w="0" w:type="dxa"/>
                  <w:right w:w="108" w:type="dxa"/>
                </w:tblCellMar>
              </w:tblPrEx>
              <w:trPr>
                <w:trHeight w:val="397" w:hRule="atLeast"/>
                <w:jc w:val="center"/>
              </w:trPr>
              <w:tc>
                <w:tcPr>
                  <w:tcW w:w="1113" w:type="dxa"/>
                  <w:vMerge w:val="continue"/>
                  <w:tcBorders>
                    <w:top w:val="single" w:color="000000" w:sz="4" w:space="0"/>
                    <w:bottom w:val="single" w:color="000000" w:sz="4" w:space="0"/>
                    <w:right w:val="single" w:color="000000" w:sz="4" w:space="0"/>
                  </w:tcBorders>
                  <w:shd w:val="clear" w:color="auto" w:fill="auto"/>
                  <w:vAlign w:val="center"/>
                </w:tcPr>
                <w:p>
                  <w:pPr>
                    <w:widowControl/>
                    <w:snapToGrid w:val="0"/>
                    <w:spacing w:line="276" w:lineRule="auto"/>
                    <w:jc w:val="center"/>
                    <w:textAlignment w:val="baseline"/>
                    <w:rPr>
                      <w:kern w:val="0"/>
                      <w:szCs w:val="21"/>
                    </w:rPr>
                  </w:pP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废紫外灯管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0.003</w:t>
                  </w:r>
                </w:p>
              </w:tc>
              <w:tc>
                <w:tcPr>
                  <w:tcW w:w="3180" w:type="dxa"/>
                  <w:vMerge w:val="continue"/>
                  <w:tcBorders>
                    <w:top w:val="single" w:color="000000" w:sz="4" w:space="0"/>
                    <w:left w:val="single" w:color="000000" w:sz="4" w:space="0"/>
                    <w:right w:val="single" w:color="000000" w:sz="4" w:space="0"/>
                  </w:tcBorders>
                  <w:shd w:val="clear" w:color="auto" w:fill="auto"/>
                  <w:vAlign w:val="center"/>
                </w:tcPr>
                <w:p>
                  <w:pPr>
                    <w:snapToGrid w:val="0"/>
                    <w:spacing w:line="276" w:lineRule="auto"/>
                    <w:jc w:val="center"/>
                    <w:textAlignment w:val="baseline"/>
                    <w:rPr>
                      <w:kern w:val="0"/>
                      <w:szCs w:val="21"/>
                    </w:rPr>
                  </w:pPr>
                </w:p>
              </w:tc>
              <w:tc>
                <w:tcPr>
                  <w:tcW w:w="1105" w:type="dxa"/>
                  <w:tcBorders>
                    <w:top w:val="single" w:color="000000" w:sz="4"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0</w:t>
                  </w:r>
                </w:p>
              </w:tc>
            </w:tr>
            <w:tr>
              <w:tblPrEx>
                <w:tblCellMar>
                  <w:top w:w="0" w:type="dxa"/>
                  <w:left w:w="108" w:type="dxa"/>
                  <w:bottom w:w="0" w:type="dxa"/>
                  <w:right w:w="108" w:type="dxa"/>
                </w:tblCellMar>
              </w:tblPrEx>
              <w:trPr>
                <w:trHeight w:val="397" w:hRule="atLeast"/>
                <w:jc w:val="center"/>
              </w:trPr>
              <w:tc>
                <w:tcPr>
                  <w:tcW w:w="1113" w:type="dxa"/>
                  <w:vMerge w:val="continue"/>
                  <w:tcBorders>
                    <w:top w:val="single" w:color="000000" w:sz="4" w:space="0"/>
                    <w:bottom w:val="single" w:color="000000" w:sz="4" w:space="0"/>
                    <w:right w:val="single" w:color="000000" w:sz="4" w:space="0"/>
                  </w:tcBorders>
                  <w:shd w:val="clear" w:color="auto" w:fill="auto"/>
                  <w:vAlign w:val="center"/>
                </w:tcPr>
                <w:p>
                  <w:pPr>
                    <w:widowControl/>
                    <w:snapToGrid w:val="0"/>
                    <w:spacing w:line="276" w:lineRule="auto"/>
                    <w:jc w:val="center"/>
                    <w:textAlignment w:val="baseline"/>
                    <w:rPr>
                      <w:kern w:val="0"/>
                      <w:szCs w:val="21"/>
                    </w:rPr>
                  </w:pP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szCs w:val="21"/>
                    </w:rPr>
                    <w:t>废活性炭</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0.63</w:t>
                  </w:r>
                </w:p>
              </w:tc>
              <w:tc>
                <w:tcPr>
                  <w:tcW w:w="3180" w:type="dxa"/>
                  <w:vMerge w:val="continue"/>
                  <w:tcBorders>
                    <w:left w:val="single" w:color="000000" w:sz="4" w:space="0"/>
                    <w:right w:val="single" w:color="000000" w:sz="4" w:space="0"/>
                  </w:tcBorders>
                  <w:shd w:val="clear" w:color="auto" w:fill="auto"/>
                  <w:vAlign w:val="center"/>
                </w:tcPr>
                <w:p>
                  <w:pPr>
                    <w:snapToGrid w:val="0"/>
                    <w:spacing w:line="276" w:lineRule="auto"/>
                    <w:jc w:val="center"/>
                    <w:textAlignment w:val="baseline"/>
                    <w:rPr>
                      <w:kern w:val="0"/>
                      <w:szCs w:val="21"/>
                    </w:rPr>
                  </w:pPr>
                </w:p>
              </w:tc>
              <w:tc>
                <w:tcPr>
                  <w:tcW w:w="1105" w:type="dxa"/>
                  <w:tcBorders>
                    <w:top w:val="single" w:color="000000" w:sz="4" w:space="0"/>
                    <w:left w:val="single" w:color="000000" w:sz="4" w:space="0"/>
                    <w:bottom w:val="single" w:color="000000" w:sz="4" w:space="0"/>
                  </w:tcBorders>
                  <w:shd w:val="clear" w:color="auto" w:fill="auto"/>
                  <w:vAlign w:val="center"/>
                </w:tcPr>
                <w:p>
                  <w:pPr>
                    <w:snapToGrid w:val="0"/>
                    <w:spacing w:before="60" w:line="276" w:lineRule="auto"/>
                    <w:jc w:val="center"/>
                    <w:textAlignment w:val="baseline"/>
                    <w:rPr>
                      <w:kern w:val="0"/>
                      <w:szCs w:val="21"/>
                    </w:rPr>
                  </w:pPr>
                  <w:r>
                    <w:rPr>
                      <w:rFonts w:hint="eastAsia"/>
                      <w:kern w:val="0"/>
                      <w:szCs w:val="21"/>
                    </w:rPr>
                    <w:t>0</w:t>
                  </w:r>
                </w:p>
              </w:tc>
            </w:tr>
            <w:tr>
              <w:tblPrEx>
                <w:tblCellMar>
                  <w:top w:w="0" w:type="dxa"/>
                  <w:left w:w="108" w:type="dxa"/>
                  <w:bottom w:w="0" w:type="dxa"/>
                  <w:right w:w="108" w:type="dxa"/>
                </w:tblCellMar>
              </w:tblPrEx>
              <w:trPr>
                <w:trHeight w:val="397" w:hRule="atLeast"/>
                <w:jc w:val="center"/>
              </w:trPr>
              <w:tc>
                <w:tcPr>
                  <w:tcW w:w="1113" w:type="dxa"/>
                  <w:vMerge w:val="continue"/>
                  <w:tcBorders>
                    <w:top w:val="single" w:color="000000" w:sz="4" w:space="0"/>
                    <w:bottom w:val="single" w:color="000000" w:sz="8" w:space="0"/>
                    <w:right w:val="single" w:color="000000" w:sz="4" w:space="0"/>
                  </w:tcBorders>
                  <w:shd w:val="clear" w:color="auto" w:fill="auto"/>
                  <w:vAlign w:val="center"/>
                </w:tcPr>
                <w:p>
                  <w:pPr>
                    <w:widowControl/>
                    <w:snapToGrid w:val="0"/>
                    <w:spacing w:line="276" w:lineRule="auto"/>
                    <w:jc w:val="center"/>
                    <w:textAlignment w:val="baseline"/>
                    <w:rPr>
                      <w:kern w:val="0"/>
                      <w:szCs w:val="21"/>
                    </w:rPr>
                  </w:pPr>
                </w:p>
              </w:tc>
              <w:tc>
                <w:tcPr>
                  <w:tcW w:w="2181"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spacing w:before="60" w:line="276" w:lineRule="auto"/>
                    <w:jc w:val="center"/>
                    <w:textAlignment w:val="baseline"/>
                    <w:rPr>
                      <w:szCs w:val="21"/>
                    </w:rPr>
                  </w:pPr>
                  <w:r>
                    <w:rPr>
                      <w:szCs w:val="21"/>
                    </w:rPr>
                    <w:t>废催化板</w:t>
                  </w:r>
                </w:p>
              </w:tc>
              <w:tc>
                <w:tcPr>
                  <w:tcW w:w="1843"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spacing w:before="60" w:line="276" w:lineRule="auto"/>
                    <w:jc w:val="center"/>
                    <w:textAlignment w:val="baseline"/>
                    <w:rPr>
                      <w:kern w:val="0"/>
                      <w:szCs w:val="21"/>
                    </w:rPr>
                  </w:pPr>
                  <w:r>
                    <w:rPr>
                      <w:kern w:val="0"/>
                      <w:szCs w:val="21"/>
                    </w:rPr>
                    <w:t>0.</w:t>
                  </w:r>
                  <w:r>
                    <w:rPr>
                      <w:rFonts w:hint="eastAsia"/>
                      <w:kern w:val="0"/>
                      <w:szCs w:val="21"/>
                    </w:rPr>
                    <w:t>0</w:t>
                  </w:r>
                  <w:r>
                    <w:rPr>
                      <w:kern w:val="0"/>
                      <w:szCs w:val="21"/>
                    </w:rPr>
                    <w:t>1</w:t>
                  </w:r>
                </w:p>
              </w:tc>
              <w:tc>
                <w:tcPr>
                  <w:tcW w:w="3180" w:type="dxa"/>
                  <w:vMerge w:val="continue"/>
                  <w:tcBorders>
                    <w:left w:val="single" w:color="000000" w:sz="4" w:space="0"/>
                    <w:bottom w:val="single" w:color="000000" w:sz="8" w:space="0"/>
                    <w:right w:val="single" w:color="000000" w:sz="4" w:space="0"/>
                  </w:tcBorders>
                  <w:shd w:val="clear" w:color="auto" w:fill="auto"/>
                  <w:vAlign w:val="center"/>
                </w:tcPr>
                <w:p>
                  <w:pPr>
                    <w:snapToGrid w:val="0"/>
                    <w:spacing w:line="276" w:lineRule="auto"/>
                    <w:jc w:val="center"/>
                    <w:textAlignment w:val="baseline"/>
                    <w:rPr>
                      <w:kern w:val="0"/>
                      <w:szCs w:val="21"/>
                    </w:rPr>
                  </w:pPr>
                </w:p>
              </w:tc>
              <w:tc>
                <w:tcPr>
                  <w:tcW w:w="1105" w:type="dxa"/>
                  <w:tcBorders>
                    <w:top w:val="single" w:color="000000" w:sz="4" w:space="0"/>
                    <w:left w:val="single" w:color="000000" w:sz="4" w:space="0"/>
                    <w:bottom w:val="single" w:color="000000" w:sz="8" w:space="0"/>
                  </w:tcBorders>
                  <w:shd w:val="clear" w:color="auto" w:fill="auto"/>
                  <w:vAlign w:val="center"/>
                </w:tcPr>
                <w:p>
                  <w:pPr>
                    <w:snapToGrid w:val="0"/>
                    <w:spacing w:before="60" w:line="276" w:lineRule="auto"/>
                    <w:jc w:val="center"/>
                    <w:textAlignment w:val="baseline"/>
                    <w:rPr>
                      <w:kern w:val="0"/>
                      <w:szCs w:val="21"/>
                    </w:rPr>
                  </w:pPr>
                  <w:r>
                    <w:rPr>
                      <w:kern w:val="0"/>
                      <w:szCs w:val="21"/>
                    </w:rPr>
                    <w:t>0</w:t>
                  </w:r>
                </w:p>
              </w:tc>
            </w:tr>
          </w:tbl>
          <w:p>
            <w:pPr>
              <w:snapToGrid w:val="0"/>
              <w:spacing w:beforeLines="50" w:line="440" w:lineRule="exact"/>
              <w:ind w:firstLine="601"/>
              <w:textAlignment w:val="baseline"/>
              <w:rPr>
                <w:rFonts w:eastAsia="黑体"/>
                <w:kern w:val="0"/>
                <w:sz w:val="24"/>
              </w:rPr>
            </w:pPr>
            <w:r>
              <w:rPr>
                <w:rFonts w:eastAsia="黑体"/>
                <w:kern w:val="0"/>
                <w:sz w:val="24"/>
              </w:rPr>
              <w:t>表</w:t>
            </w:r>
            <w:r>
              <w:rPr>
                <w:rFonts w:hint="eastAsia" w:eastAsia="黑体"/>
                <w:kern w:val="0"/>
                <w:sz w:val="24"/>
              </w:rPr>
              <w:t>41</w:t>
            </w:r>
            <w:r>
              <w:rPr>
                <w:rFonts w:eastAsia="黑体"/>
                <w:kern w:val="0"/>
                <w:sz w:val="24"/>
              </w:rPr>
              <w:t xml:space="preserve">   </w:t>
            </w:r>
            <w:r>
              <w:rPr>
                <w:rFonts w:hint="eastAsia" w:eastAsia="黑体"/>
                <w:kern w:val="0"/>
                <w:sz w:val="24"/>
              </w:rPr>
              <w:t xml:space="preserve">                                       </w:t>
            </w:r>
            <w:r>
              <w:rPr>
                <w:rFonts w:eastAsia="黑体"/>
                <w:kern w:val="0"/>
                <w:sz w:val="24"/>
              </w:rPr>
              <w:t>危险废物汇总表</w:t>
            </w:r>
          </w:p>
          <w:tbl>
            <w:tblPr>
              <w:tblStyle w:val="19"/>
              <w:tblW w:w="5000" w:type="pct"/>
              <w:jc w:val="center"/>
              <w:tblLayout w:type="autofit"/>
              <w:tblCellMar>
                <w:top w:w="0" w:type="dxa"/>
                <w:left w:w="108" w:type="dxa"/>
                <w:bottom w:w="0" w:type="dxa"/>
                <w:right w:w="108" w:type="dxa"/>
              </w:tblCellMar>
            </w:tblPr>
            <w:tblGrid>
              <w:gridCol w:w="427"/>
              <w:gridCol w:w="826"/>
              <w:gridCol w:w="848"/>
              <w:gridCol w:w="1196"/>
              <w:gridCol w:w="816"/>
              <w:gridCol w:w="927"/>
              <w:gridCol w:w="430"/>
              <w:gridCol w:w="706"/>
              <w:gridCol w:w="705"/>
              <w:gridCol w:w="672"/>
              <w:gridCol w:w="704"/>
              <w:gridCol w:w="1165"/>
            </w:tblGrid>
            <w:tr>
              <w:tblPrEx>
                <w:tblCellMar>
                  <w:top w:w="0" w:type="dxa"/>
                  <w:left w:w="108" w:type="dxa"/>
                  <w:bottom w:w="0" w:type="dxa"/>
                  <w:right w:w="108" w:type="dxa"/>
                </w:tblCellMar>
              </w:tblPrEx>
              <w:trPr>
                <w:trHeight w:val="397" w:hRule="atLeast"/>
                <w:jc w:val="center"/>
              </w:trPr>
              <w:tc>
                <w:tcPr>
                  <w:tcW w:w="427" w:type="dxa"/>
                  <w:tcBorders>
                    <w:top w:val="single" w:color="000000" w:sz="8"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序号</w:t>
                  </w:r>
                </w:p>
              </w:tc>
              <w:tc>
                <w:tcPr>
                  <w:tcW w:w="826"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危险废物名称</w:t>
                  </w:r>
                </w:p>
              </w:tc>
              <w:tc>
                <w:tcPr>
                  <w:tcW w:w="848"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危险废物类别</w:t>
                  </w:r>
                </w:p>
              </w:tc>
              <w:tc>
                <w:tcPr>
                  <w:tcW w:w="1196"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危险废物代码</w:t>
                  </w:r>
                </w:p>
              </w:tc>
              <w:tc>
                <w:tcPr>
                  <w:tcW w:w="816"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产生量（吨/年）</w:t>
                  </w:r>
                </w:p>
              </w:tc>
              <w:tc>
                <w:tcPr>
                  <w:tcW w:w="927"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产生工序及装置</w:t>
                  </w:r>
                </w:p>
              </w:tc>
              <w:tc>
                <w:tcPr>
                  <w:tcW w:w="430"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形态</w:t>
                  </w:r>
                </w:p>
              </w:tc>
              <w:tc>
                <w:tcPr>
                  <w:tcW w:w="706"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主要成分</w:t>
                  </w:r>
                </w:p>
              </w:tc>
              <w:tc>
                <w:tcPr>
                  <w:tcW w:w="705"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有害成分</w:t>
                  </w:r>
                </w:p>
              </w:tc>
              <w:tc>
                <w:tcPr>
                  <w:tcW w:w="672"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产废周期</w:t>
                  </w:r>
                </w:p>
              </w:tc>
              <w:tc>
                <w:tcPr>
                  <w:tcW w:w="704" w:type="dxa"/>
                  <w:tcBorders>
                    <w:top w:val="single" w:color="000000" w:sz="8"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危险</w:t>
                  </w:r>
                </w:p>
                <w:p>
                  <w:pPr>
                    <w:snapToGrid w:val="0"/>
                    <w:spacing w:before="60"/>
                    <w:jc w:val="center"/>
                    <w:textAlignment w:val="baseline"/>
                    <w:rPr>
                      <w:b/>
                      <w:bCs/>
                      <w:kern w:val="0"/>
                      <w:szCs w:val="21"/>
                    </w:rPr>
                  </w:pPr>
                  <w:r>
                    <w:rPr>
                      <w:b/>
                      <w:bCs/>
                      <w:kern w:val="0"/>
                      <w:szCs w:val="21"/>
                    </w:rPr>
                    <w:t>特性</w:t>
                  </w:r>
                </w:p>
              </w:tc>
              <w:tc>
                <w:tcPr>
                  <w:tcW w:w="1165" w:type="dxa"/>
                  <w:tcBorders>
                    <w:top w:val="single" w:color="000000" w:sz="8" w:space="0"/>
                    <w:left w:val="single" w:color="000000" w:sz="4" w:space="0"/>
                    <w:bottom w:val="single" w:color="000000" w:sz="4" w:space="0"/>
                  </w:tcBorders>
                  <w:shd w:val="clear" w:color="auto" w:fill="auto"/>
                  <w:vAlign w:val="center"/>
                </w:tcPr>
                <w:p>
                  <w:pPr>
                    <w:snapToGrid w:val="0"/>
                    <w:spacing w:before="60"/>
                    <w:jc w:val="center"/>
                    <w:textAlignment w:val="baseline"/>
                    <w:rPr>
                      <w:b/>
                      <w:bCs/>
                      <w:kern w:val="0"/>
                      <w:szCs w:val="21"/>
                    </w:rPr>
                  </w:pPr>
                  <w:r>
                    <w:rPr>
                      <w:b/>
                      <w:bCs/>
                      <w:kern w:val="0"/>
                      <w:szCs w:val="21"/>
                    </w:rPr>
                    <w:t>污染防治措施</w:t>
                  </w:r>
                </w:p>
              </w:tc>
            </w:tr>
            <w:tr>
              <w:tblPrEx>
                <w:tblCellMar>
                  <w:top w:w="0" w:type="dxa"/>
                  <w:left w:w="108" w:type="dxa"/>
                  <w:bottom w:w="0" w:type="dxa"/>
                  <w:right w:w="108" w:type="dxa"/>
                </w:tblCellMar>
              </w:tblPrEx>
              <w:trPr>
                <w:trHeight w:val="397" w:hRule="atLeast"/>
                <w:jc w:val="center"/>
              </w:trPr>
              <w:tc>
                <w:tcPr>
                  <w:tcW w:w="427" w:type="dxa"/>
                  <w:tcBorders>
                    <w:top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1</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废液压油</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废矿物油与含矿物油废物</w:t>
                  </w:r>
                  <w:r>
                    <w:rPr>
                      <w:color w:val="000000"/>
                      <w:szCs w:val="21"/>
                    </w:rPr>
                    <w:t>HW0</w:t>
                  </w:r>
                  <w:r>
                    <w:rPr>
                      <w:rFonts w:hint="eastAsia"/>
                      <w:color w:val="000000"/>
                      <w:szCs w:val="21"/>
                    </w:rPr>
                    <w:t>8</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color w:val="000000"/>
                      <w:szCs w:val="21"/>
                    </w:rPr>
                    <w:t>900-218-08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kern w:val="0"/>
                      <w:szCs w:val="21"/>
                    </w:rPr>
                  </w:pPr>
                  <w:r>
                    <w:rPr>
                      <w:rFonts w:hint="eastAsia"/>
                      <w:kern w:val="0"/>
                      <w:szCs w:val="21"/>
                    </w:rPr>
                    <w:t>0.01</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设备维护</w:t>
                  </w:r>
                </w:p>
              </w:tc>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color w:val="000000"/>
                      <w:szCs w:val="21"/>
                    </w:rPr>
                    <w:t>液态</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color w:val="000000"/>
                      <w:szCs w:val="21"/>
                    </w:rPr>
                    <w:t>有机物</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color w:val="000000"/>
                      <w:szCs w:val="21"/>
                    </w:rPr>
                    <w:t>有机物</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1年</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毒性、感染性</w:t>
                  </w:r>
                </w:p>
              </w:tc>
              <w:tc>
                <w:tcPr>
                  <w:tcW w:w="1165" w:type="dxa"/>
                  <w:vMerge w:val="restart"/>
                  <w:tcBorders>
                    <w:top w:val="single" w:color="000000" w:sz="4" w:space="0"/>
                    <w:left w:val="single" w:color="000000" w:sz="4" w:space="0"/>
                  </w:tcBorders>
                  <w:shd w:val="clear" w:color="auto" w:fill="auto"/>
                  <w:vAlign w:val="center"/>
                </w:tcPr>
                <w:p>
                  <w:pPr>
                    <w:snapToGrid w:val="0"/>
                    <w:jc w:val="center"/>
                    <w:textAlignment w:val="baseline"/>
                    <w:rPr>
                      <w:szCs w:val="21"/>
                    </w:rPr>
                  </w:pPr>
                  <w:r>
                    <w:rPr>
                      <w:szCs w:val="21"/>
                    </w:rPr>
                    <w:t>危废暂存间贮存，定期送由有相应危废处理资质单位回收处理</w:t>
                  </w:r>
                </w:p>
              </w:tc>
            </w:tr>
            <w:tr>
              <w:tblPrEx>
                <w:tblCellMar>
                  <w:top w:w="0" w:type="dxa"/>
                  <w:left w:w="108" w:type="dxa"/>
                  <w:bottom w:w="0" w:type="dxa"/>
                  <w:right w:w="108" w:type="dxa"/>
                </w:tblCellMar>
              </w:tblPrEx>
              <w:trPr>
                <w:trHeight w:val="397" w:hRule="atLeast"/>
                <w:jc w:val="center"/>
              </w:trPr>
              <w:tc>
                <w:tcPr>
                  <w:tcW w:w="427" w:type="dxa"/>
                  <w:tcBorders>
                    <w:top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废紫外灯管</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含汞废物HW29</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900-023-29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jc w:val="center"/>
                    <w:textAlignment w:val="baseline"/>
                    <w:rPr>
                      <w:kern w:val="0"/>
                      <w:szCs w:val="21"/>
                    </w:rPr>
                  </w:pPr>
                  <w:r>
                    <w:rPr>
                      <w:kern w:val="0"/>
                      <w:szCs w:val="21"/>
                    </w:rPr>
                    <w:t>0.003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UV光催化氧化装置</w:t>
                  </w:r>
                </w:p>
              </w:tc>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highlight w:val="yellow"/>
                    </w:rPr>
                  </w:pPr>
                  <w:r>
                    <w:rPr>
                      <w:kern w:val="0"/>
                      <w:szCs w:val="21"/>
                    </w:rPr>
                    <w:t>固体</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汞、玻璃</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汞</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1年</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毒性</w:t>
                  </w:r>
                </w:p>
              </w:tc>
              <w:tc>
                <w:tcPr>
                  <w:tcW w:w="1165" w:type="dxa"/>
                  <w:vMerge w:val="continue"/>
                  <w:tcBorders>
                    <w:top w:val="single" w:color="000000" w:sz="4" w:space="0"/>
                    <w:left w:val="single" w:color="000000" w:sz="4" w:space="0"/>
                  </w:tcBorders>
                  <w:shd w:val="clear" w:color="auto" w:fill="auto"/>
                  <w:vAlign w:val="center"/>
                </w:tcPr>
                <w:p>
                  <w:pPr>
                    <w:snapToGrid w:val="0"/>
                    <w:jc w:val="center"/>
                    <w:textAlignment w:val="baseline"/>
                    <w:rPr>
                      <w:szCs w:val="21"/>
                    </w:rPr>
                  </w:pPr>
                </w:p>
              </w:tc>
            </w:tr>
            <w:tr>
              <w:trPr>
                <w:trHeight w:val="397" w:hRule="atLeast"/>
                <w:jc w:val="center"/>
              </w:trPr>
              <w:tc>
                <w:tcPr>
                  <w:tcW w:w="427" w:type="dxa"/>
                  <w:tcBorders>
                    <w:top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rFonts w:hint="eastAsia"/>
                      <w:szCs w:val="21"/>
                    </w:rPr>
                    <w:t>3</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废活性炭</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其他废物HW49</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900-041-49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0.63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活性炭吸附装置</w:t>
                  </w:r>
                </w:p>
              </w:tc>
              <w:tc>
                <w:tcPr>
                  <w:tcW w:w="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kern w:val="0"/>
                      <w:szCs w:val="21"/>
                    </w:rPr>
                  </w:pPr>
                  <w:r>
                    <w:rPr>
                      <w:kern w:val="0"/>
                      <w:szCs w:val="21"/>
                    </w:rPr>
                    <w:t>固体</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szCs w:val="21"/>
                    </w:rPr>
                    <w:t>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有害物质</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Cs w:val="21"/>
                    </w:rPr>
                  </w:pPr>
                  <w:r>
                    <w:rPr>
                      <w:rFonts w:hint="eastAsia"/>
                      <w:szCs w:val="21"/>
                    </w:rPr>
                    <w:t>180</w:t>
                  </w:r>
                  <w:r>
                    <w:rPr>
                      <w:szCs w:val="21"/>
                    </w:rPr>
                    <w:t>天</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textAlignment w:val="baseline"/>
                    <w:rPr>
                      <w:szCs w:val="21"/>
                    </w:rPr>
                  </w:pPr>
                  <w:r>
                    <w:rPr>
                      <w:szCs w:val="21"/>
                    </w:rPr>
                    <w:t>毒性、感染性</w:t>
                  </w:r>
                </w:p>
              </w:tc>
              <w:tc>
                <w:tcPr>
                  <w:tcW w:w="1165" w:type="dxa"/>
                  <w:vMerge w:val="continue"/>
                  <w:tcBorders>
                    <w:left w:val="single" w:color="000000" w:sz="4" w:space="0"/>
                  </w:tcBorders>
                  <w:shd w:val="clear" w:color="auto" w:fill="auto"/>
                  <w:vAlign w:val="center"/>
                </w:tcPr>
                <w:p>
                  <w:pPr>
                    <w:snapToGrid w:val="0"/>
                    <w:jc w:val="center"/>
                    <w:textAlignment w:val="baseline"/>
                    <w:rPr>
                      <w:szCs w:val="21"/>
                    </w:rPr>
                  </w:pPr>
                </w:p>
              </w:tc>
            </w:tr>
            <w:tr>
              <w:tblPrEx>
                <w:tblCellMar>
                  <w:top w:w="0" w:type="dxa"/>
                  <w:left w:w="108" w:type="dxa"/>
                  <w:bottom w:w="0" w:type="dxa"/>
                  <w:right w:w="108" w:type="dxa"/>
                </w:tblCellMar>
              </w:tblPrEx>
              <w:trPr>
                <w:trHeight w:val="397" w:hRule="atLeast"/>
                <w:jc w:val="center"/>
              </w:trPr>
              <w:tc>
                <w:tcPr>
                  <w:tcW w:w="427" w:type="dxa"/>
                  <w:tcBorders>
                    <w:top w:val="single" w:color="000000" w:sz="4" w:space="0"/>
                    <w:bottom w:val="single" w:color="000000" w:sz="8" w:space="0"/>
                    <w:right w:val="single" w:color="000000" w:sz="4" w:space="0"/>
                  </w:tcBorders>
                  <w:shd w:val="clear" w:color="auto" w:fill="auto"/>
                  <w:vAlign w:val="center"/>
                </w:tcPr>
                <w:p>
                  <w:pPr>
                    <w:snapToGrid w:val="0"/>
                    <w:jc w:val="center"/>
                    <w:textAlignment w:val="baseline"/>
                    <w:rPr>
                      <w:szCs w:val="21"/>
                    </w:rPr>
                  </w:pPr>
                  <w:r>
                    <w:rPr>
                      <w:rFonts w:hint="eastAsia"/>
                      <w:szCs w:val="21"/>
                    </w:rPr>
                    <w:t>4</w:t>
                  </w:r>
                </w:p>
              </w:tc>
              <w:tc>
                <w:tcPr>
                  <w:tcW w:w="826"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center"/>
                    <w:textAlignment w:val="baseline"/>
                    <w:rPr>
                      <w:szCs w:val="21"/>
                    </w:rPr>
                  </w:pPr>
                  <w:r>
                    <w:rPr>
                      <w:szCs w:val="21"/>
                    </w:rPr>
                    <w:t>废催化板</w:t>
                  </w:r>
                </w:p>
              </w:tc>
              <w:tc>
                <w:tcPr>
                  <w:tcW w:w="84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废催化剂HW</w:t>
                  </w:r>
                  <w:r>
                    <w:rPr>
                      <w:rFonts w:hint="eastAsia"/>
                      <w:szCs w:val="21"/>
                    </w:rPr>
                    <w:t>50</w:t>
                  </w:r>
                </w:p>
              </w:tc>
              <w:tc>
                <w:tcPr>
                  <w:tcW w:w="119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rFonts w:hint="eastAsia"/>
                      <w:szCs w:val="21"/>
                    </w:rPr>
                    <w:t>772-007-50</w:t>
                  </w:r>
                </w:p>
              </w:tc>
              <w:tc>
                <w:tcPr>
                  <w:tcW w:w="81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rFonts w:hint="eastAsia"/>
                      <w:szCs w:val="21"/>
                    </w:rPr>
                    <w:t>0.01</w:t>
                  </w:r>
                </w:p>
              </w:tc>
              <w:tc>
                <w:tcPr>
                  <w:tcW w:w="927"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center"/>
                    <w:textAlignment w:val="baseline"/>
                    <w:rPr>
                      <w:szCs w:val="21"/>
                    </w:rPr>
                  </w:pPr>
                  <w:r>
                    <w:rPr>
                      <w:szCs w:val="21"/>
                    </w:rPr>
                    <w:t>UV光催化氧化装置</w:t>
                  </w:r>
                </w:p>
              </w:tc>
              <w:tc>
                <w:tcPr>
                  <w:tcW w:w="430"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center"/>
                    <w:textAlignment w:val="baseline"/>
                    <w:rPr>
                      <w:kern w:val="0"/>
                      <w:szCs w:val="21"/>
                    </w:rPr>
                  </w:pPr>
                  <w:r>
                    <w:rPr>
                      <w:kern w:val="0"/>
                      <w:szCs w:val="21"/>
                    </w:rPr>
                    <w:t>固体</w:t>
                  </w:r>
                </w:p>
              </w:tc>
              <w:tc>
                <w:tcPr>
                  <w:tcW w:w="70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szCs w:val="21"/>
                    </w:rPr>
                    <w:t>钒钛</w:t>
                  </w:r>
                </w:p>
              </w:tc>
              <w:tc>
                <w:tcPr>
                  <w:tcW w:w="70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szCs w:val="21"/>
                    </w:rPr>
                  </w:pPr>
                  <w:r>
                    <w:rPr>
                      <w:rFonts w:hint="eastAsia"/>
                      <w:szCs w:val="21"/>
                    </w:rPr>
                    <w:t>有害物质</w:t>
                  </w:r>
                </w:p>
              </w:tc>
              <w:tc>
                <w:tcPr>
                  <w:tcW w:w="672"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center"/>
                    <w:textAlignment w:val="baseline"/>
                    <w:rPr>
                      <w:szCs w:val="21"/>
                    </w:rPr>
                  </w:pPr>
                  <w:r>
                    <w:rPr>
                      <w:szCs w:val="21"/>
                    </w:rPr>
                    <w:t>1年</w:t>
                  </w:r>
                </w:p>
              </w:tc>
              <w:tc>
                <w:tcPr>
                  <w:tcW w:w="704" w:type="dxa"/>
                  <w:tcBorders>
                    <w:top w:val="single" w:color="000000" w:sz="4" w:space="0"/>
                    <w:left w:val="single" w:color="000000" w:sz="4" w:space="0"/>
                    <w:bottom w:val="single" w:color="000000" w:sz="8" w:space="0"/>
                    <w:right w:val="single" w:color="000000" w:sz="4" w:space="0"/>
                  </w:tcBorders>
                  <w:shd w:val="clear" w:color="auto" w:fill="auto"/>
                  <w:vAlign w:val="center"/>
                </w:tcPr>
                <w:p>
                  <w:pPr>
                    <w:snapToGrid w:val="0"/>
                    <w:jc w:val="center"/>
                    <w:textAlignment w:val="baseline"/>
                    <w:rPr>
                      <w:szCs w:val="21"/>
                    </w:rPr>
                  </w:pPr>
                  <w:r>
                    <w:rPr>
                      <w:szCs w:val="21"/>
                    </w:rPr>
                    <w:t>毒性</w:t>
                  </w:r>
                </w:p>
              </w:tc>
              <w:tc>
                <w:tcPr>
                  <w:tcW w:w="1165" w:type="dxa"/>
                  <w:vMerge w:val="continue"/>
                  <w:tcBorders>
                    <w:left w:val="single" w:color="000000" w:sz="4" w:space="0"/>
                    <w:bottom w:val="single" w:color="000000" w:sz="8" w:space="0"/>
                  </w:tcBorders>
                  <w:shd w:val="clear" w:color="auto" w:fill="auto"/>
                  <w:vAlign w:val="center"/>
                </w:tcPr>
                <w:p>
                  <w:pPr>
                    <w:snapToGrid w:val="0"/>
                    <w:jc w:val="center"/>
                    <w:textAlignment w:val="baseline"/>
                    <w:rPr>
                      <w:szCs w:val="21"/>
                    </w:rPr>
                  </w:pPr>
                </w:p>
              </w:tc>
            </w:tr>
          </w:tbl>
          <w:p>
            <w:pPr>
              <w:pStyle w:val="145"/>
              <w:spacing w:beforeLines="50" w:afterLines="0" w:line="440" w:lineRule="exact"/>
              <w:ind w:firstLine="600" w:firstLineChars="250"/>
              <w:rPr>
                <w:rFonts w:hAnsi="黑体" w:eastAsia="黑体"/>
                <w:b w:val="0"/>
              </w:rPr>
            </w:pPr>
          </w:p>
          <w:p>
            <w:pPr>
              <w:pStyle w:val="145"/>
              <w:spacing w:beforeLines="50" w:afterLines="0" w:line="440" w:lineRule="exact"/>
              <w:ind w:firstLine="600" w:firstLineChars="250"/>
              <w:rPr>
                <w:rFonts w:hAnsi="黑体" w:eastAsia="黑体"/>
                <w:b w:val="0"/>
              </w:rPr>
            </w:pPr>
          </w:p>
          <w:p>
            <w:pPr>
              <w:pStyle w:val="145"/>
              <w:spacing w:beforeLines="50" w:afterLines="0" w:line="440" w:lineRule="exact"/>
              <w:ind w:firstLine="600" w:firstLineChars="250"/>
              <w:rPr>
                <w:rFonts w:eastAsia="黑体"/>
                <w:b w:val="0"/>
              </w:rPr>
            </w:pPr>
            <w:r>
              <w:rPr>
                <w:rFonts w:hAnsi="黑体" w:eastAsia="黑体"/>
                <w:b w:val="0"/>
              </w:rPr>
              <w:t>表</w:t>
            </w:r>
            <w:r>
              <w:rPr>
                <w:rFonts w:hint="eastAsia" w:eastAsia="黑体"/>
                <w:b w:val="0"/>
              </w:rPr>
              <w:t xml:space="preserve">42                      </w:t>
            </w:r>
            <w:r>
              <w:rPr>
                <w:rFonts w:hAnsi="黑体" w:eastAsia="黑体"/>
                <w:b w:val="0"/>
              </w:rPr>
              <w:t>危险废物贮存场所（设施）基本情况表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014"/>
              <w:gridCol w:w="1693"/>
              <w:gridCol w:w="924"/>
              <w:gridCol w:w="1386"/>
              <w:gridCol w:w="616"/>
              <w:gridCol w:w="769"/>
              <w:gridCol w:w="924"/>
              <w:gridCol w:w="770"/>
              <w:gridCol w:w="75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dxa"/>
                  <w:vAlign w:val="center"/>
                </w:tcPr>
                <w:p>
                  <w:pPr>
                    <w:pStyle w:val="147"/>
                    <w:rPr>
                      <w:color w:val="auto"/>
                    </w:rPr>
                  </w:pPr>
                  <w:r>
                    <w:rPr>
                      <w:rFonts w:hint="eastAsia"/>
                      <w:color w:val="auto"/>
                    </w:rPr>
                    <w:t>序号</w:t>
                  </w:r>
                </w:p>
              </w:tc>
              <w:tc>
                <w:tcPr>
                  <w:tcW w:w="1014" w:type="dxa"/>
                  <w:vAlign w:val="center"/>
                </w:tcPr>
                <w:p>
                  <w:pPr>
                    <w:pStyle w:val="147"/>
                    <w:rPr>
                      <w:color w:val="auto"/>
                    </w:rPr>
                  </w:pPr>
                  <w:r>
                    <w:rPr>
                      <w:rFonts w:hint="eastAsia"/>
                      <w:color w:val="auto"/>
                    </w:rPr>
                    <w:t>贮存场所(设施)名称</w:t>
                  </w:r>
                </w:p>
              </w:tc>
              <w:tc>
                <w:tcPr>
                  <w:tcW w:w="1693" w:type="dxa"/>
                  <w:vAlign w:val="center"/>
                </w:tcPr>
                <w:p>
                  <w:pPr>
                    <w:pStyle w:val="147"/>
                    <w:rPr>
                      <w:color w:val="auto"/>
                    </w:rPr>
                  </w:pPr>
                  <w:r>
                    <w:rPr>
                      <w:rFonts w:hint="eastAsia"/>
                      <w:color w:val="auto"/>
                    </w:rPr>
                    <w:t>危险废物名称</w:t>
                  </w:r>
                </w:p>
              </w:tc>
              <w:tc>
                <w:tcPr>
                  <w:tcW w:w="924" w:type="dxa"/>
                  <w:vAlign w:val="center"/>
                </w:tcPr>
                <w:p>
                  <w:pPr>
                    <w:pStyle w:val="147"/>
                    <w:rPr>
                      <w:color w:val="auto"/>
                    </w:rPr>
                  </w:pPr>
                  <w:r>
                    <w:rPr>
                      <w:rFonts w:hint="eastAsia"/>
                      <w:color w:val="auto"/>
                    </w:rPr>
                    <w:t>危险废物类别</w:t>
                  </w:r>
                </w:p>
              </w:tc>
              <w:tc>
                <w:tcPr>
                  <w:tcW w:w="1386" w:type="dxa"/>
                  <w:vAlign w:val="center"/>
                </w:tcPr>
                <w:p>
                  <w:pPr>
                    <w:pStyle w:val="147"/>
                    <w:rPr>
                      <w:color w:val="auto"/>
                    </w:rPr>
                  </w:pPr>
                  <w:r>
                    <w:rPr>
                      <w:rFonts w:hint="eastAsia"/>
                      <w:color w:val="auto"/>
                    </w:rPr>
                    <w:t>危险废物代码</w:t>
                  </w:r>
                </w:p>
              </w:tc>
              <w:tc>
                <w:tcPr>
                  <w:tcW w:w="616" w:type="dxa"/>
                  <w:vAlign w:val="center"/>
                </w:tcPr>
                <w:p>
                  <w:pPr>
                    <w:pStyle w:val="147"/>
                    <w:rPr>
                      <w:color w:val="auto"/>
                    </w:rPr>
                  </w:pPr>
                  <w:r>
                    <w:rPr>
                      <w:rFonts w:hint="eastAsia"/>
                      <w:color w:val="auto"/>
                    </w:rPr>
                    <w:t>位置</w:t>
                  </w:r>
                </w:p>
              </w:tc>
              <w:tc>
                <w:tcPr>
                  <w:tcW w:w="769" w:type="dxa"/>
                  <w:vAlign w:val="center"/>
                </w:tcPr>
                <w:p>
                  <w:pPr>
                    <w:pStyle w:val="147"/>
                    <w:rPr>
                      <w:color w:val="auto"/>
                    </w:rPr>
                  </w:pPr>
                  <w:r>
                    <w:rPr>
                      <w:rFonts w:hint="eastAsia"/>
                      <w:color w:val="auto"/>
                    </w:rPr>
                    <w:t>占地</w:t>
                  </w:r>
                </w:p>
                <w:p>
                  <w:pPr>
                    <w:pStyle w:val="147"/>
                    <w:rPr>
                      <w:color w:val="auto"/>
                    </w:rPr>
                  </w:pPr>
                  <w:r>
                    <w:rPr>
                      <w:rFonts w:hint="eastAsia"/>
                      <w:color w:val="auto"/>
                    </w:rPr>
                    <w:t>面积</w:t>
                  </w:r>
                </w:p>
              </w:tc>
              <w:tc>
                <w:tcPr>
                  <w:tcW w:w="924" w:type="dxa"/>
                  <w:vAlign w:val="center"/>
                </w:tcPr>
                <w:p>
                  <w:pPr>
                    <w:pStyle w:val="147"/>
                    <w:rPr>
                      <w:color w:val="auto"/>
                    </w:rPr>
                  </w:pPr>
                  <w:r>
                    <w:rPr>
                      <w:rFonts w:hint="eastAsia"/>
                      <w:color w:val="auto"/>
                    </w:rPr>
                    <w:t>贮存方式</w:t>
                  </w:r>
                </w:p>
              </w:tc>
              <w:tc>
                <w:tcPr>
                  <w:tcW w:w="770" w:type="dxa"/>
                  <w:vAlign w:val="center"/>
                </w:tcPr>
                <w:p>
                  <w:pPr>
                    <w:pStyle w:val="147"/>
                    <w:rPr>
                      <w:color w:val="auto"/>
                    </w:rPr>
                  </w:pPr>
                  <w:r>
                    <w:rPr>
                      <w:rFonts w:hint="eastAsia"/>
                      <w:color w:val="auto"/>
                    </w:rPr>
                    <w:t>贮存能力</w:t>
                  </w:r>
                </w:p>
              </w:tc>
              <w:tc>
                <w:tcPr>
                  <w:tcW w:w="756" w:type="dxa"/>
                  <w:vAlign w:val="center"/>
                </w:tcPr>
                <w:p>
                  <w:pPr>
                    <w:pStyle w:val="147"/>
                    <w:rPr>
                      <w:color w:val="auto"/>
                    </w:rPr>
                  </w:pPr>
                  <w:r>
                    <w:rPr>
                      <w:rFonts w:hint="eastAsia"/>
                      <w:color w:val="auto"/>
                    </w:rPr>
                    <w:t>贮存</w:t>
                  </w:r>
                </w:p>
                <w:p>
                  <w:pPr>
                    <w:pStyle w:val="147"/>
                    <w:rPr>
                      <w:color w:val="auto"/>
                    </w:rPr>
                  </w:pPr>
                  <w:r>
                    <w:rPr>
                      <w:rFonts w:hint="eastAsia"/>
                      <w:color w:val="auto"/>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dxa"/>
                  <w:vAlign w:val="center"/>
                </w:tcPr>
                <w:p>
                  <w:pPr>
                    <w:pStyle w:val="144"/>
                    <w:rPr>
                      <w:kern w:val="2"/>
                    </w:rPr>
                  </w:pPr>
                  <w:r>
                    <w:rPr>
                      <w:kern w:val="2"/>
                    </w:rPr>
                    <w:t>1</w:t>
                  </w:r>
                </w:p>
              </w:tc>
              <w:tc>
                <w:tcPr>
                  <w:tcW w:w="1014" w:type="dxa"/>
                  <w:vMerge w:val="restart"/>
                  <w:vAlign w:val="center"/>
                </w:tcPr>
                <w:p>
                  <w:pPr>
                    <w:pStyle w:val="144"/>
                    <w:rPr>
                      <w:kern w:val="2"/>
                    </w:rPr>
                  </w:pPr>
                  <w:r>
                    <w:rPr>
                      <w:rFonts w:hint="eastAsia"/>
                      <w:kern w:val="2"/>
                    </w:rPr>
                    <w:t>危废</w:t>
                  </w:r>
                </w:p>
                <w:p>
                  <w:pPr>
                    <w:pStyle w:val="144"/>
                    <w:rPr>
                      <w:kern w:val="2"/>
                    </w:rPr>
                  </w:pPr>
                  <w:r>
                    <w:rPr>
                      <w:rFonts w:hint="eastAsia"/>
                      <w:kern w:val="2"/>
                    </w:rPr>
                    <w:t>暂存间</w:t>
                  </w:r>
                </w:p>
              </w:tc>
              <w:tc>
                <w:tcPr>
                  <w:tcW w:w="1693" w:type="dxa"/>
                  <w:vAlign w:val="center"/>
                </w:tcPr>
                <w:p>
                  <w:pPr>
                    <w:snapToGrid w:val="0"/>
                    <w:jc w:val="center"/>
                    <w:textAlignment w:val="baseline"/>
                    <w:rPr>
                      <w:szCs w:val="21"/>
                    </w:rPr>
                  </w:pPr>
                  <w:r>
                    <w:rPr>
                      <w:bCs/>
                      <w:szCs w:val="21"/>
                    </w:rPr>
                    <w:t>废液压油</w:t>
                  </w:r>
                </w:p>
              </w:tc>
              <w:tc>
                <w:tcPr>
                  <w:tcW w:w="924" w:type="dxa"/>
                  <w:vAlign w:val="center"/>
                </w:tcPr>
                <w:p>
                  <w:pPr>
                    <w:pStyle w:val="144"/>
                    <w:rPr>
                      <w:spacing w:val="-6"/>
                      <w:kern w:val="2"/>
                    </w:rPr>
                  </w:pPr>
                  <w:r>
                    <w:rPr>
                      <w:color w:val="000000"/>
                    </w:rPr>
                    <w:t>HW0</w:t>
                  </w:r>
                  <w:r>
                    <w:rPr>
                      <w:rFonts w:hint="eastAsia"/>
                      <w:color w:val="000000"/>
                    </w:rPr>
                    <w:t>8</w:t>
                  </w:r>
                </w:p>
              </w:tc>
              <w:tc>
                <w:tcPr>
                  <w:tcW w:w="1386" w:type="dxa"/>
                  <w:vAlign w:val="center"/>
                </w:tcPr>
                <w:p>
                  <w:pPr>
                    <w:snapToGrid w:val="0"/>
                    <w:jc w:val="center"/>
                    <w:textAlignment w:val="baseline"/>
                    <w:rPr>
                      <w:szCs w:val="21"/>
                    </w:rPr>
                  </w:pPr>
                  <w:r>
                    <w:rPr>
                      <w:color w:val="000000"/>
                      <w:szCs w:val="21"/>
                    </w:rPr>
                    <w:t>900-218-08</w:t>
                  </w:r>
                </w:p>
              </w:tc>
              <w:tc>
                <w:tcPr>
                  <w:tcW w:w="616" w:type="dxa"/>
                  <w:vMerge w:val="restart"/>
                  <w:vAlign w:val="center"/>
                </w:tcPr>
                <w:p>
                  <w:pPr>
                    <w:pStyle w:val="144"/>
                    <w:rPr>
                      <w:kern w:val="2"/>
                    </w:rPr>
                  </w:pPr>
                  <w:r>
                    <w:rPr>
                      <w:rFonts w:hint="eastAsia"/>
                      <w:kern w:val="2"/>
                    </w:rPr>
                    <w:t>车</w:t>
                  </w:r>
                </w:p>
                <w:p>
                  <w:pPr>
                    <w:pStyle w:val="144"/>
                    <w:rPr>
                      <w:kern w:val="2"/>
                    </w:rPr>
                  </w:pPr>
                  <w:r>
                    <w:rPr>
                      <w:rFonts w:hint="eastAsia"/>
                      <w:kern w:val="2"/>
                    </w:rPr>
                    <w:t>间</w:t>
                  </w:r>
                </w:p>
                <w:p>
                  <w:pPr>
                    <w:pStyle w:val="144"/>
                    <w:rPr>
                      <w:kern w:val="2"/>
                    </w:rPr>
                  </w:pPr>
                  <w:r>
                    <w:rPr>
                      <w:rFonts w:hint="eastAsia"/>
                      <w:kern w:val="2"/>
                    </w:rPr>
                    <w:t>内</w:t>
                  </w:r>
                </w:p>
              </w:tc>
              <w:tc>
                <w:tcPr>
                  <w:tcW w:w="769" w:type="dxa"/>
                  <w:vMerge w:val="restart"/>
                  <w:vAlign w:val="center"/>
                </w:tcPr>
                <w:p>
                  <w:pPr>
                    <w:pStyle w:val="144"/>
                    <w:rPr>
                      <w:kern w:val="2"/>
                    </w:rPr>
                  </w:pPr>
                  <w:r>
                    <w:rPr>
                      <w:rFonts w:hint="eastAsia"/>
                      <w:bCs/>
                      <w:kern w:val="2"/>
                    </w:rPr>
                    <w:t>5</w:t>
                  </w:r>
                  <w:r>
                    <w:rPr>
                      <w:bCs/>
                      <w:kern w:val="2"/>
                    </w:rPr>
                    <w:t>m</w:t>
                  </w:r>
                  <w:r>
                    <w:rPr>
                      <w:bCs/>
                      <w:kern w:val="2"/>
                      <w:vertAlign w:val="superscript"/>
                    </w:rPr>
                    <w:t>2</w:t>
                  </w:r>
                </w:p>
              </w:tc>
              <w:tc>
                <w:tcPr>
                  <w:tcW w:w="924" w:type="dxa"/>
                  <w:vAlign w:val="center"/>
                </w:tcPr>
                <w:p>
                  <w:pPr>
                    <w:pStyle w:val="144"/>
                    <w:rPr>
                      <w:kern w:val="2"/>
                    </w:rPr>
                  </w:pPr>
                  <w:r>
                    <w:rPr>
                      <w:rFonts w:hint="eastAsia"/>
                      <w:kern w:val="2"/>
                    </w:rPr>
                    <w:t>桶装</w:t>
                  </w:r>
                </w:p>
              </w:tc>
              <w:tc>
                <w:tcPr>
                  <w:tcW w:w="770" w:type="dxa"/>
                  <w:vAlign w:val="center"/>
                </w:tcPr>
                <w:p>
                  <w:pPr>
                    <w:snapToGrid w:val="0"/>
                    <w:spacing w:before="60"/>
                    <w:jc w:val="center"/>
                    <w:textAlignment w:val="baseline"/>
                    <w:rPr>
                      <w:kern w:val="0"/>
                      <w:szCs w:val="21"/>
                    </w:rPr>
                  </w:pPr>
                  <w:r>
                    <w:rPr>
                      <w:rFonts w:hint="eastAsia"/>
                      <w:kern w:val="0"/>
                      <w:szCs w:val="21"/>
                    </w:rPr>
                    <w:t>1t</w:t>
                  </w:r>
                </w:p>
              </w:tc>
              <w:tc>
                <w:tcPr>
                  <w:tcW w:w="756" w:type="dxa"/>
                  <w:vAlign w:val="center"/>
                </w:tcPr>
                <w:p>
                  <w:pPr>
                    <w:pStyle w:val="144"/>
                    <w:rPr>
                      <w:kern w:val="2"/>
                    </w:rPr>
                  </w:pPr>
                  <w:r>
                    <w:rPr>
                      <w:rFonts w:hint="eastAsia"/>
                      <w:kern w:val="2"/>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dxa"/>
                  <w:vAlign w:val="center"/>
                </w:tcPr>
                <w:p>
                  <w:pPr>
                    <w:pStyle w:val="144"/>
                    <w:rPr>
                      <w:kern w:val="2"/>
                    </w:rPr>
                  </w:pPr>
                  <w:r>
                    <w:rPr>
                      <w:kern w:val="2"/>
                    </w:rPr>
                    <w:t>2</w:t>
                  </w:r>
                </w:p>
              </w:tc>
              <w:tc>
                <w:tcPr>
                  <w:tcW w:w="1014" w:type="dxa"/>
                  <w:vMerge w:val="continue"/>
                  <w:vAlign w:val="center"/>
                </w:tcPr>
                <w:p>
                  <w:pPr>
                    <w:pStyle w:val="144"/>
                    <w:rPr>
                      <w:kern w:val="2"/>
                    </w:rPr>
                  </w:pPr>
                </w:p>
              </w:tc>
              <w:tc>
                <w:tcPr>
                  <w:tcW w:w="1693" w:type="dxa"/>
                  <w:vAlign w:val="center"/>
                </w:tcPr>
                <w:p>
                  <w:pPr>
                    <w:snapToGrid w:val="0"/>
                    <w:jc w:val="center"/>
                    <w:textAlignment w:val="baseline"/>
                    <w:rPr>
                      <w:szCs w:val="21"/>
                    </w:rPr>
                  </w:pPr>
                  <w:r>
                    <w:rPr>
                      <w:szCs w:val="21"/>
                    </w:rPr>
                    <w:t>废紫外灯管</w:t>
                  </w:r>
                </w:p>
              </w:tc>
              <w:tc>
                <w:tcPr>
                  <w:tcW w:w="924" w:type="dxa"/>
                  <w:vAlign w:val="center"/>
                </w:tcPr>
                <w:p>
                  <w:pPr>
                    <w:pStyle w:val="144"/>
                    <w:rPr>
                      <w:spacing w:val="-6"/>
                      <w:kern w:val="2"/>
                    </w:rPr>
                  </w:pPr>
                  <w:r>
                    <w:rPr>
                      <w:rFonts w:hint="eastAsia"/>
                      <w:spacing w:val="-6"/>
                      <w:kern w:val="2"/>
                    </w:rPr>
                    <w:t>HW29</w:t>
                  </w:r>
                </w:p>
              </w:tc>
              <w:tc>
                <w:tcPr>
                  <w:tcW w:w="1386" w:type="dxa"/>
                  <w:vAlign w:val="center"/>
                </w:tcPr>
                <w:p>
                  <w:pPr>
                    <w:snapToGrid w:val="0"/>
                    <w:jc w:val="center"/>
                    <w:textAlignment w:val="baseline"/>
                    <w:rPr>
                      <w:szCs w:val="21"/>
                    </w:rPr>
                  </w:pPr>
                  <w:r>
                    <w:rPr>
                      <w:szCs w:val="21"/>
                    </w:rPr>
                    <w:t>900-023-29</w:t>
                  </w:r>
                </w:p>
              </w:tc>
              <w:tc>
                <w:tcPr>
                  <w:tcW w:w="616" w:type="dxa"/>
                  <w:vMerge w:val="continue"/>
                  <w:vAlign w:val="center"/>
                </w:tcPr>
                <w:p>
                  <w:pPr>
                    <w:pStyle w:val="144"/>
                    <w:rPr>
                      <w:kern w:val="2"/>
                    </w:rPr>
                  </w:pPr>
                </w:p>
              </w:tc>
              <w:tc>
                <w:tcPr>
                  <w:tcW w:w="769" w:type="dxa"/>
                  <w:vMerge w:val="continue"/>
                  <w:vAlign w:val="center"/>
                </w:tcPr>
                <w:p>
                  <w:pPr>
                    <w:pStyle w:val="144"/>
                    <w:rPr>
                      <w:bCs/>
                      <w:kern w:val="2"/>
                    </w:rPr>
                  </w:pPr>
                </w:p>
              </w:tc>
              <w:tc>
                <w:tcPr>
                  <w:tcW w:w="924" w:type="dxa"/>
                  <w:vAlign w:val="center"/>
                </w:tcPr>
                <w:p>
                  <w:pPr>
                    <w:pStyle w:val="144"/>
                    <w:rPr>
                      <w:kern w:val="2"/>
                    </w:rPr>
                  </w:pPr>
                  <w:r>
                    <w:rPr>
                      <w:rFonts w:hint="eastAsia"/>
                      <w:kern w:val="2"/>
                    </w:rPr>
                    <w:t>桶装</w:t>
                  </w:r>
                </w:p>
              </w:tc>
              <w:tc>
                <w:tcPr>
                  <w:tcW w:w="770" w:type="dxa"/>
                  <w:vAlign w:val="center"/>
                </w:tcPr>
                <w:p>
                  <w:pPr>
                    <w:snapToGrid w:val="0"/>
                    <w:spacing w:before="60"/>
                    <w:jc w:val="center"/>
                    <w:textAlignment w:val="baseline"/>
                    <w:rPr>
                      <w:kern w:val="0"/>
                      <w:szCs w:val="21"/>
                    </w:rPr>
                  </w:pPr>
                  <w:r>
                    <w:rPr>
                      <w:rFonts w:hint="eastAsia"/>
                      <w:kern w:val="0"/>
                      <w:szCs w:val="21"/>
                    </w:rPr>
                    <w:t>1t</w:t>
                  </w:r>
                </w:p>
              </w:tc>
              <w:tc>
                <w:tcPr>
                  <w:tcW w:w="756" w:type="dxa"/>
                  <w:vAlign w:val="center"/>
                </w:tcPr>
                <w:p>
                  <w:pPr>
                    <w:pStyle w:val="144"/>
                    <w:rPr>
                      <w:kern w:val="2"/>
                    </w:rPr>
                  </w:pPr>
                  <w:r>
                    <w:rPr>
                      <w:rFonts w:hint="eastAsia"/>
                      <w:kern w:val="2"/>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dxa"/>
                  <w:vAlign w:val="center"/>
                </w:tcPr>
                <w:p>
                  <w:pPr>
                    <w:pStyle w:val="144"/>
                    <w:rPr>
                      <w:kern w:val="2"/>
                    </w:rPr>
                  </w:pPr>
                  <w:r>
                    <w:rPr>
                      <w:rFonts w:hint="eastAsia"/>
                      <w:kern w:val="2"/>
                    </w:rPr>
                    <w:t>3</w:t>
                  </w:r>
                </w:p>
              </w:tc>
              <w:tc>
                <w:tcPr>
                  <w:tcW w:w="1014" w:type="dxa"/>
                  <w:vMerge w:val="continue"/>
                  <w:vAlign w:val="center"/>
                </w:tcPr>
                <w:p>
                  <w:pPr>
                    <w:pStyle w:val="144"/>
                    <w:rPr>
                      <w:kern w:val="2"/>
                    </w:rPr>
                  </w:pPr>
                </w:p>
              </w:tc>
              <w:tc>
                <w:tcPr>
                  <w:tcW w:w="1693" w:type="dxa"/>
                  <w:vAlign w:val="center"/>
                </w:tcPr>
                <w:p>
                  <w:pPr>
                    <w:snapToGrid w:val="0"/>
                    <w:jc w:val="center"/>
                    <w:textAlignment w:val="baseline"/>
                    <w:rPr>
                      <w:szCs w:val="21"/>
                    </w:rPr>
                  </w:pPr>
                  <w:r>
                    <w:rPr>
                      <w:szCs w:val="21"/>
                    </w:rPr>
                    <w:t>废活性炭</w:t>
                  </w:r>
                </w:p>
              </w:tc>
              <w:tc>
                <w:tcPr>
                  <w:tcW w:w="924" w:type="dxa"/>
                  <w:vAlign w:val="center"/>
                </w:tcPr>
                <w:p>
                  <w:pPr>
                    <w:pStyle w:val="144"/>
                    <w:rPr>
                      <w:spacing w:val="-6"/>
                      <w:kern w:val="2"/>
                    </w:rPr>
                  </w:pPr>
                  <w:r>
                    <w:rPr>
                      <w:rFonts w:hint="eastAsia"/>
                      <w:spacing w:val="-6"/>
                      <w:kern w:val="2"/>
                    </w:rPr>
                    <w:t>HW49</w:t>
                  </w:r>
                </w:p>
              </w:tc>
              <w:tc>
                <w:tcPr>
                  <w:tcW w:w="1386" w:type="dxa"/>
                  <w:vAlign w:val="center"/>
                </w:tcPr>
                <w:p>
                  <w:pPr>
                    <w:jc w:val="center"/>
                    <w:rPr>
                      <w:szCs w:val="21"/>
                    </w:rPr>
                  </w:pPr>
                  <w:r>
                    <w:rPr>
                      <w:szCs w:val="21"/>
                    </w:rPr>
                    <w:t>900-041-49</w:t>
                  </w:r>
                </w:p>
              </w:tc>
              <w:tc>
                <w:tcPr>
                  <w:tcW w:w="616" w:type="dxa"/>
                  <w:vMerge w:val="continue"/>
                  <w:vAlign w:val="center"/>
                </w:tcPr>
                <w:p>
                  <w:pPr>
                    <w:pStyle w:val="144"/>
                    <w:rPr>
                      <w:kern w:val="2"/>
                    </w:rPr>
                  </w:pPr>
                </w:p>
              </w:tc>
              <w:tc>
                <w:tcPr>
                  <w:tcW w:w="769" w:type="dxa"/>
                  <w:vMerge w:val="continue"/>
                  <w:vAlign w:val="center"/>
                </w:tcPr>
                <w:p>
                  <w:pPr>
                    <w:pStyle w:val="144"/>
                    <w:rPr>
                      <w:kern w:val="2"/>
                    </w:rPr>
                  </w:pPr>
                </w:p>
              </w:tc>
              <w:tc>
                <w:tcPr>
                  <w:tcW w:w="924" w:type="dxa"/>
                  <w:vAlign w:val="center"/>
                </w:tcPr>
                <w:p>
                  <w:pPr>
                    <w:pStyle w:val="144"/>
                    <w:rPr>
                      <w:kern w:val="2"/>
                    </w:rPr>
                  </w:pPr>
                  <w:r>
                    <w:rPr>
                      <w:rFonts w:hint="eastAsia" w:hAnsi="宋体"/>
                      <w:kern w:val="2"/>
                    </w:rPr>
                    <w:t>桶装</w:t>
                  </w:r>
                </w:p>
              </w:tc>
              <w:tc>
                <w:tcPr>
                  <w:tcW w:w="770" w:type="dxa"/>
                  <w:vAlign w:val="center"/>
                </w:tcPr>
                <w:p>
                  <w:pPr>
                    <w:jc w:val="center"/>
                    <w:rPr>
                      <w:szCs w:val="21"/>
                    </w:rPr>
                  </w:pPr>
                  <w:r>
                    <w:rPr>
                      <w:rFonts w:hint="eastAsia"/>
                      <w:szCs w:val="21"/>
                    </w:rPr>
                    <w:t>1t</w:t>
                  </w:r>
                </w:p>
              </w:tc>
              <w:tc>
                <w:tcPr>
                  <w:tcW w:w="756" w:type="dxa"/>
                  <w:vAlign w:val="center"/>
                </w:tcPr>
                <w:p>
                  <w:pPr>
                    <w:pStyle w:val="144"/>
                  </w:pPr>
                  <w:r>
                    <w:rPr>
                      <w:rFonts w:hint="eastAsia"/>
                      <w:kern w:val="2"/>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dxa"/>
                  <w:vAlign w:val="center"/>
                </w:tcPr>
                <w:p>
                  <w:pPr>
                    <w:pStyle w:val="144"/>
                    <w:rPr>
                      <w:kern w:val="2"/>
                    </w:rPr>
                  </w:pPr>
                  <w:r>
                    <w:rPr>
                      <w:rFonts w:hint="eastAsia"/>
                      <w:kern w:val="2"/>
                    </w:rPr>
                    <w:t>4</w:t>
                  </w:r>
                </w:p>
              </w:tc>
              <w:tc>
                <w:tcPr>
                  <w:tcW w:w="1014" w:type="dxa"/>
                  <w:vMerge w:val="continue"/>
                  <w:vAlign w:val="center"/>
                </w:tcPr>
                <w:p>
                  <w:pPr>
                    <w:pStyle w:val="144"/>
                    <w:rPr>
                      <w:kern w:val="2"/>
                    </w:rPr>
                  </w:pPr>
                </w:p>
              </w:tc>
              <w:tc>
                <w:tcPr>
                  <w:tcW w:w="1693" w:type="dxa"/>
                  <w:vAlign w:val="center"/>
                </w:tcPr>
                <w:p>
                  <w:pPr>
                    <w:snapToGrid w:val="0"/>
                    <w:jc w:val="center"/>
                    <w:textAlignment w:val="baseline"/>
                    <w:rPr>
                      <w:szCs w:val="21"/>
                    </w:rPr>
                  </w:pPr>
                  <w:r>
                    <w:rPr>
                      <w:szCs w:val="21"/>
                    </w:rPr>
                    <w:t>废催化板</w:t>
                  </w:r>
                </w:p>
              </w:tc>
              <w:tc>
                <w:tcPr>
                  <w:tcW w:w="924" w:type="dxa"/>
                  <w:vAlign w:val="center"/>
                </w:tcPr>
                <w:p>
                  <w:pPr>
                    <w:pStyle w:val="144"/>
                    <w:rPr>
                      <w:spacing w:val="-6"/>
                      <w:kern w:val="2"/>
                    </w:rPr>
                  </w:pPr>
                  <w:r>
                    <w:rPr>
                      <w:rFonts w:hint="eastAsia"/>
                      <w:spacing w:val="-6"/>
                      <w:kern w:val="2"/>
                    </w:rPr>
                    <w:t>HW50</w:t>
                  </w:r>
                </w:p>
              </w:tc>
              <w:tc>
                <w:tcPr>
                  <w:tcW w:w="1386" w:type="dxa"/>
                  <w:vAlign w:val="center"/>
                </w:tcPr>
                <w:p>
                  <w:pPr>
                    <w:jc w:val="center"/>
                    <w:rPr>
                      <w:szCs w:val="21"/>
                    </w:rPr>
                  </w:pPr>
                  <w:r>
                    <w:rPr>
                      <w:rFonts w:hint="eastAsia"/>
                      <w:szCs w:val="21"/>
                    </w:rPr>
                    <w:t>772-007-50</w:t>
                  </w:r>
                </w:p>
              </w:tc>
              <w:tc>
                <w:tcPr>
                  <w:tcW w:w="616" w:type="dxa"/>
                  <w:vMerge w:val="continue"/>
                  <w:vAlign w:val="center"/>
                </w:tcPr>
                <w:p>
                  <w:pPr>
                    <w:pStyle w:val="144"/>
                    <w:rPr>
                      <w:kern w:val="2"/>
                    </w:rPr>
                  </w:pPr>
                </w:p>
              </w:tc>
              <w:tc>
                <w:tcPr>
                  <w:tcW w:w="769" w:type="dxa"/>
                  <w:vMerge w:val="continue"/>
                  <w:vAlign w:val="center"/>
                </w:tcPr>
                <w:p>
                  <w:pPr>
                    <w:pStyle w:val="144"/>
                    <w:rPr>
                      <w:kern w:val="2"/>
                    </w:rPr>
                  </w:pPr>
                </w:p>
              </w:tc>
              <w:tc>
                <w:tcPr>
                  <w:tcW w:w="924" w:type="dxa"/>
                  <w:vAlign w:val="center"/>
                </w:tcPr>
                <w:p>
                  <w:pPr>
                    <w:pStyle w:val="144"/>
                    <w:rPr>
                      <w:kern w:val="2"/>
                    </w:rPr>
                  </w:pPr>
                  <w:r>
                    <w:rPr>
                      <w:rFonts w:hint="eastAsia"/>
                      <w:kern w:val="2"/>
                    </w:rPr>
                    <w:t>桶装</w:t>
                  </w:r>
                </w:p>
              </w:tc>
              <w:tc>
                <w:tcPr>
                  <w:tcW w:w="770" w:type="dxa"/>
                  <w:vAlign w:val="center"/>
                </w:tcPr>
                <w:p>
                  <w:pPr>
                    <w:snapToGrid w:val="0"/>
                    <w:spacing w:before="60"/>
                    <w:jc w:val="center"/>
                    <w:textAlignment w:val="baseline"/>
                    <w:rPr>
                      <w:kern w:val="0"/>
                      <w:szCs w:val="21"/>
                    </w:rPr>
                  </w:pPr>
                  <w:r>
                    <w:rPr>
                      <w:rFonts w:hint="eastAsia"/>
                      <w:kern w:val="0"/>
                      <w:szCs w:val="21"/>
                    </w:rPr>
                    <w:t>1t</w:t>
                  </w:r>
                </w:p>
              </w:tc>
              <w:tc>
                <w:tcPr>
                  <w:tcW w:w="756" w:type="dxa"/>
                  <w:vAlign w:val="center"/>
                </w:tcPr>
                <w:p>
                  <w:pPr>
                    <w:pStyle w:val="144"/>
                    <w:rPr>
                      <w:kern w:val="2"/>
                    </w:rPr>
                  </w:pPr>
                  <w:r>
                    <w:rPr>
                      <w:rFonts w:hint="eastAsia"/>
                      <w:kern w:val="2"/>
                    </w:rPr>
                    <w:t>1年</w:t>
                  </w:r>
                </w:p>
              </w:tc>
            </w:tr>
          </w:tbl>
          <w:p>
            <w:pPr>
              <w:adjustRightInd w:val="0"/>
              <w:snapToGrid w:val="0"/>
              <w:spacing w:line="520" w:lineRule="exact"/>
              <w:ind w:firstLine="480" w:firstLineChars="200"/>
              <w:textAlignment w:val="baseline"/>
              <w:rPr>
                <w:kern w:val="0"/>
                <w:sz w:val="24"/>
                <w:szCs w:val="20"/>
              </w:rPr>
            </w:pPr>
            <w:r>
              <w:rPr>
                <w:kern w:val="0"/>
                <w:sz w:val="24"/>
                <w:szCs w:val="20"/>
              </w:rPr>
              <w:t>评价</w:t>
            </w:r>
            <w:r>
              <w:rPr>
                <w:rFonts w:hint="eastAsia"/>
                <w:kern w:val="0"/>
                <w:sz w:val="24"/>
                <w:szCs w:val="20"/>
              </w:rPr>
              <w:t>对危险废物暂存间</w:t>
            </w:r>
            <w:r>
              <w:rPr>
                <w:kern w:val="0"/>
                <w:sz w:val="24"/>
                <w:szCs w:val="20"/>
              </w:rPr>
              <w:t>提出以下措施：</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①危险废物的临时堆场应</w:t>
            </w:r>
            <w:r>
              <w:rPr>
                <w:kern w:val="0"/>
                <w:sz w:val="24"/>
                <w:szCs w:val="20"/>
              </w:rPr>
              <w:t>按照《危险废物贮存污染控制标准》</w:t>
            </w:r>
            <w:r>
              <w:rPr>
                <w:rFonts w:hint="eastAsia"/>
                <w:kern w:val="0"/>
                <w:sz w:val="24"/>
                <w:szCs w:val="20"/>
              </w:rPr>
              <w:t>（</w:t>
            </w:r>
            <w:r>
              <w:rPr>
                <w:kern w:val="0"/>
                <w:sz w:val="24"/>
                <w:szCs w:val="20"/>
              </w:rPr>
              <w:t>GB18597-2001</w:t>
            </w:r>
            <w:r>
              <w:rPr>
                <w:rFonts w:hint="eastAsia"/>
                <w:kern w:val="0"/>
                <w:sz w:val="24"/>
                <w:szCs w:val="20"/>
              </w:rPr>
              <w:t>）（</w:t>
            </w:r>
            <w:r>
              <w:rPr>
                <w:sz w:val="24"/>
              </w:rPr>
              <w:t>2013年修订）</w:t>
            </w:r>
            <w:r>
              <w:rPr>
                <w:kern w:val="0"/>
                <w:sz w:val="24"/>
                <w:szCs w:val="20"/>
              </w:rPr>
              <w:t>的要求</w:t>
            </w:r>
            <w:r>
              <w:rPr>
                <w:rFonts w:hint="eastAsia"/>
                <w:kern w:val="0"/>
                <w:sz w:val="24"/>
                <w:szCs w:val="20"/>
              </w:rPr>
              <w:t>，地面应进行硬化，应有防渗漏、防风、防晒、防雨淋设施。危险废物在危废暂存间采用专用密闭容器储存，危废暂存间采取防渗和泄漏收集措施，贮存过程中一般情况下不会发生泄漏和渗漏。本项目固态危废桶装后在危废暂存间暂存，贮存过程中不存在污染物泄漏问题。</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②危险废物容器内应留一定空间。</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③各种盛装废物的容器必须完好无损，各个危险废物容器外侧须标明危险废物的名称，存入时间、重量、成分、特性以及发生泄漏、扩散污染事故时的应急措施和补救方法。</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④危险废物暂存间应设立危险废物标志。形状：等边三角形，边长40cm；颜色：背景为黄色，图形为黑色；警告标志外檐2.5cm，材料应坚固、耐用、抗风化、抗淋蚀，如出现掉色、破损等情况应及时更换。</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 xml:space="preserve">⑤各危险废物在厂区内临时堆存时间不得超过一年，定期送至有相应资质的危废处理单位安全处置；在危废的转移处置过程中，应严格按照《中华人民共和国固体废物污染环境防治法》和《危险废物转移联单管理办法》有关规定执行。 </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⑥本项目危险废物产生与贮存均在厂区内，且生产区和危废暂存间紧临，运输距离短，运输路线避开了办公区和生活区，生产车间地面、运输线路和危废暂存间均采取硬化和防腐防渗措施，因此危险废物从产生工艺环节运输到贮存场所的过程中一旦产生散落、泄漏，固体泄漏物用铜铲铲起，倒入专用桶内，存于危废暂存间，可以将影响控制在厂区内，不会对周围环境产生不利影响。</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按照评价指南和《危险废物收集 贮存 运输技术规范》（HJ2025）要求，分析危险废物内部转运应采取的措施：</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 xml:space="preserve">①危险废物从厂区内产生工艺环节运输到危废暂存间，应有专人负责，专用桶收集、转运，避免可能引起的散落。 </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②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pPr>
              <w:adjustRightInd w:val="0"/>
              <w:snapToGrid w:val="0"/>
              <w:spacing w:line="520" w:lineRule="exact"/>
              <w:ind w:firstLine="480" w:firstLineChars="200"/>
              <w:textAlignment w:val="baseline"/>
              <w:rPr>
                <w:kern w:val="0"/>
                <w:sz w:val="24"/>
                <w:szCs w:val="20"/>
              </w:rPr>
            </w:pPr>
            <w:r>
              <w:rPr>
                <w:kern w:val="0"/>
                <w:sz w:val="24"/>
                <w:szCs w:val="20"/>
              </w:rPr>
              <w:t>综上所述，项目固废均能实现综合利用和安全处置。</w:t>
            </w:r>
          </w:p>
          <w:p>
            <w:pPr>
              <w:spacing w:line="460" w:lineRule="exact"/>
              <w:ind w:firstLine="482" w:firstLineChars="200"/>
              <w:rPr>
                <w:rFonts w:cs="Calibri"/>
                <w:b/>
                <w:sz w:val="24"/>
              </w:rPr>
            </w:pPr>
            <w:r>
              <w:rPr>
                <w:rFonts w:hint="eastAsia" w:cs="Calibri"/>
                <w:b/>
                <w:sz w:val="24"/>
              </w:rPr>
              <w:t>五、环境风险分析</w:t>
            </w:r>
          </w:p>
          <w:p>
            <w:pPr>
              <w:widowControl/>
              <w:spacing w:line="480" w:lineRule="exact"/>
              <w:ind w:firstLine="480" w:firstLineChars="200"/>
              <w:jc w:val="left"/>
              <w:rPr>
                <w:kern w:val="0"/>
                <w:sz w:val="24"/>
              </w:rPr>
            </w:pPr>
            <w:r>
              <w:rPr>
                <w:rFonts w:hint="eastAsia"/>
                <w:bCs/>
                <w:kern w:val="0"/>
                <w:sz w:val="24"/>
              </w:rPr>
              <w:t>根据《建设项目环境风险评价技术导则》（</w:t>
            </w:r>
            <w:r>
              <w:rPr>
                <w:bCs/>
                <w:kern w:val="0"/>
                <w:sz w:val="24"/>
              </w:rPr>
              <w:t>HJ169-2018</w:t>
            </w:r>
            <w:r>
              <w:rPr>
                <w:rFonts w:hint="eastAsia"/>
                <w:bCs/>
                <w:kern w:val="0"/>
                <w:sz w:val="24"/>
              </w:rPr>
              <w:t>），本项目不涉及风险物质，</w:t>
            </w:r>
            <w:r>
              <w:rPr>
                <w:rFonts w:hint="eastAsia"/>
                <w:sz w:val="24"/>
              </w:rPr>
              <w:t>因此不需要开展环境风险分析。</w:t>
            </w:r>
          </w:p>
          <w:p>
            <w:pPr>
              <w:spacing w:line="460" w:lineRule="exact"/>
              <w:ind w:firstLine="482" w:firstLineChars="200"/>
              <w:rPr>
                <w:rFonts w:cs="Calibri"/>
                <w:b/>
                <w:sz w:val="24"/>
              </w:rPr>
            </w:pPr>
            <w:r>
              <w:rPr>
                <w:rFonts w:hint="eastAsia" w:cs="Calibri"/>
                <w:b/>
                <w:sz w:val="24"/>
              </w:rPr>
              <w:t>六、土壤</w:t>
            </w:r>
          </w:p>
          <w:p>
            <w:pPr>
              <w:spacing w:line="460" w:lineRule="exact"/>
              <w:ind w:firstLine="480" w:firstLineChars="200"/>
              <w:rPr>
                <w:rFonts w:cs="Calibri"/>
                <w:sz w:val="24"/>
              </w:rPr>
            </w:pPr>
            <w:r>
              <w:rPr>
                <w:rFonts w:hint="eastAsia" w:cs="Calibri"/>
                <w:sz w:val="24"/>
              </w:rPr>
              <w:t>本项目电池密封圈产品属于</w:t>
            </w:r>
            <w:r>
              <w:rPr>
                <w:sz w:val="24"/>
              </w:rPr>
              <w:t>C2928 塑料零件制造</w:t>
            </w:r>
            <w:r>
              <w:rPr>
                <w:rFonts w:hint="eastAsia" w:cs="Calibri"/>
                <w:sz w:val="24"/>
              </w:rPr>
              <w:t>，电池负极底产品属于</w:t>
            </w:r>
            <w:r>
              <w:rPr>
                <w:rFonts w:hint="eastAsia"/>
                <w:sz w:val="24"/>
              </w:rPr>
              <w:t>C3399 其他未列明金属制品制造。</w:t>
            </w:r>
            <w:r>
              <w:rPr>
                <w:rFonts w:hint="eastAsia" w:cs="Calibri"/>
                <w:sz w:val="24"/>
              </w:rPr>
              <w:t>根据《环境影响评价技术导则-土壤环境（试行）（HJ 964-2018）》附录A，本项目土壤环境影响评价项目类别均为</w:t>
            </w:r>
            <w:r>
              <w:rPr>
                <w:sz w:val="24"/>
              </w:rPr>
              <w:t>Ⅲ</w:t>
            </w:r>
            <w:r>
              <w:rPr>
                <w:rFonts w:hint="eastAsia" w:cs="Calibri"/>
                <w:sz w:val="24"/>
              </w:rPr>
              <w:t>类；本项目占地面积共1024平方米，即0.1 hm</w:t>
            </w:r>
            <w:r>
              <w:rPr>
                <w:rFonts w:hint="eastAsia" w:cs="Calibri"/>
                <w:sz w:val="24"/>
                <w:vertAlign w:val="superscript"/>
              </w:rPr>
              <w:t>2</w:t>
            </w:r>
            <w:r>
              <w:rPr>
                <w:rFonts w:hint="eastAsia" w:cs="Calibri"/>
                <w:sz w:val="24"/>
              </w:rPr>
              <w:t>＜5 hm</w:t>
            </w:r>
            <w:r>
              <w:rPr>
                <w:rFonts w:hint="eastAsia" w:cs="Calibri"/>
                <w:sz w:val="24"/>
                <w:vertAlign w:val="superscript"/>
              </w:rPr>
              <w:t>2</w:t>
            </w:r>
            <w:r>
              <w:rPr>
                <w:rFonts w:hint="eastAsia" w:cs="Calibri"/>
                <w:sz w:val="24"/>
              </w:rPr>
              <w:t>，根据《环境影响评价技术导则-土壤环境（试行）（HJ 964-2018）》6.2.2.1，本项目建设项目占地规模为小型。</w:t>
            </w:r>
            <w:r>
              <w:rPr>
                <w:rFonts w:hint="eastAsia"/>
                <w:sz w:val="24"/>
              </w:rPr>
              <w:t>由于小块村周围禁止种植农作物，目前项目厂区西侧及东侧均种植有树林</w:t>
            </w:r>
            <w:r>
              <w:rPr>
                <w:rFonts w:hint="eastAsia" w:cs="Calibri"/>
                <w:sz w:val="24"/>
              </w:rPr>
              <w:t>，敏感程度分级为较敏感。</w:t>
            </w:r>
          </w:p>
          <w:p>
            <w:pPr>
              <w:pStyle w:val="65"/>
              <w:spacing w:line="460" w:lineRule="exact"/>
              <w:ind w:firstLine="479"/>
              <w:rPr>
                <w:rFonts w:ascii="Times New Roman" w:hAnsi="Times New Roman" w:cs="Calibri"/>
                <w:sz w:val="24"/>
                <w:szCs w:val="24"/>
              </w:rPr>
            </w:pPr>
            <w:r>
              <w:rPr>
                <w:rFonts w:hint="eastAsia" w:ascii="Times New Roman" w:hAnsi="Times New Roman" w:cs="Calibri"/>
                <w:sz w:val="24"/>
                <w:szCs w:val="24"/>
              </w:rPr>
              <w:t>根据《环境影响评价技术导则-土壤环境（试行）（HJ 964-2018）》6.2.2.3，见下表。</w:t>
            </w:r>
          </w:p>
          <w:p>
            <w:pPr>
              <w:spacing w:line="460" w:lineRule="exact"/>
              <w:ind w:firstLine="420" w:firstLineChars="200"/>
              <w:rPr>
                <w:sz w:val="32"/>
              </w:rPr>
            </w:pPr>
            <w:r>
              <w:rPr>
                <w:szCs w:val="21"/>
              </w:rPr>
              <w:pict>
                <v:shape id="直接箭头连接符 2" o:spid="_x0000_s1374" o:spt="32" type="#_x0000_t32" style="position:absolute;left:0pt;margin-left:33.5pt;margin-top:22.25pt;height:56pt;width:57.45pt;z-index:2516787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">
                  <v:path arrowok="t"/>
                  <v:fill on="f" focussize="0,0"/>
                  <v:stroke weight="0.5pt"/>
                  <v:imagedata o:title=""/>
                  <o:lock v:ext="edit"/>
                </v:shape>
              </w:pict>
            </w:r>
            <w:r>
              <w:rPr>
                <w:rFonts w:eastAsia="黑体"/>
                <w:kern w:val="0"/>
                <w:sz w:val="24"/>
                <w:szCs w:val="21"/>
              </w:rPr>
              <w:t>表</w:t>
            </w:r>
            <w:r>
              <w:rPr>
                <w:rFonts w:hint="eastAsia" w:eastAsia="黑体"/>
                <w:kern w:val="0"/>
                <w:sz w:val="24"/>
                <w:szCs w:val="21"/>
              </w:rPr>
              <w:t>43</w:t>
            </w:r>
            <w:r>
              <w:rPr>
                <w:rFonts w:eastAsia="黑体"/>
                <w:kern w:val="0"/>
                <w:sz w:val="24"/>
                <w:szCs w:val="21"/>
              </w:rPr>
              <w:t xml:space="preserve">      </w:t>
            </w:r>
            <w:r>
              <w:rPr>
                <w:rFonts w:hint="eastAsia" w:eastAsia="黑体"/>
                <w:kern w:val="0"/>
                <w:sz w:val="24"/>
                <w:szCs w:val="21"/>
              </w:rPr>
              <w:t xml:space="preserve">                             </w:t>
            </w:r>
            <w:r>
              <w:rPr>
                <w:rFonts w:eastAsia="黑体"/>
                <w:kern w:val="0"/>
                <w:sz w:val="24"/>
                <w:szCs w:val="21"/>
              </w:rPr>
              <w:t xml:space="preserve"> 污染影响型评价工作等级划分表</w:t>
            </w:r>
          </w:p>
          <w:tbl>
            <w:tblPr>
              <w:tblStyle w:val="19"/>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887"/>
              <w:gridCol w:w="741"/>
              <w:gridCol w:w="741"/>
              <w:gridCol w:w="873"/>
              <w:gridCol w:w="856"/>
              <w:gridCol w:w="856"/>
              <w:gridCol w:w="857"/>
              <w:gridCol w:w="857"/>
              <w:gridCol w:w="85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6" w:type="dxa"/>
                  <w:vMerge w:val="restart"/>
                  <w:shd w:val="clear" w:color="auto" w:fill="auto"/>
                  <w:vAlign w:val="center"/>
                </w:tcPr>
                <w:p>
                  <w:pPr>
                    <w:jc w:val="right"/>
                    <w:rPr>
                      <w:b/>
                      <w:szCs w:val="21"/>
                    </w:rPr>
                  </w:pPr>
                  <w:r>
                    <w:rPr>
                      <w:b/>
                      <w:szCs w:val="21"/>
                    </w:rPr>
                    <w:t>占地规模</w:t>
                  </w:r>
                </w:p>
                <w:p>
                  <w:pPr>
                    <w:jc w:val="left"/>
                    <w:rPr>
                      <w:b/>
                      <w:szCs w:val="21"/>
                    </w:rPr>
                  </w:pPr>
                  <w:r>
                    <w:rPr>
                      <w:b/>
                      <w:szCs w:val="21"/>
                    </w:rPr>
                    <w:pict>
                      <v:shape id="直接箭头连接符 1" o:spid="_x0000_s1375" o:spt="32" type="#_x0000_t32" style="position:absolute;left:0pt;flip:x y;margin-left:-3.4pt;margin-top:10.55pt;height:30.1pt;width:88.95pt;z-index:2516797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">
                        <v:path arrowok="t"/>
                        <v:fill on="f" focussize="0,0"/>
                        <v:stroke weight="0.5pt"/>
                        <v:imagedata o:title=""/>
                        <o:lock v:ext="edit"/>
                      </v:shape>
                    </w:pict>
                  </w:r>
                  <w:r>
                    <w:rPr>
                      <w:b/>
                      <w:szCs w:val="21"/>
                    </w:rPr>
                    <w:t>评价工作</w:t>
                  </w:r>
                </w:p>
                <w:p>
                  <w:pPr>
                    <w:jc w:val="center"/>
                    <w:rPr>
                      <w:b/>
                      <w:szCs w:val="21"/>
                    </w:rPr>
                  </w:pPr>
                  <w:r>
                    <w:rPr>
                      <w:b/>
                      <w:szCs w:val="21"/>
                    </w:rPr>
                    <w:t>等级</w:t>
                  </w:r>
                </w:p>
                <w:p>
                  <w:pPr>
                    <w:jc w:val="left"/>
                    <w:rPr>
                      <w:b/>
                      <w:szCs w:val="21"/>
                    </w:rPr>
                  </w:pPr>
                  <w:r>
                    <w:rPr>
                      <w:b/>
                      <w:szCs w:val="21"/>
                    </w:rPr>
                    <w:t>敏感程度</w:t>
                  </w:r>
                </w:p>
              </w:tc>
              <w:tc>
                <w:tcPr>
                  <w:tcW w:w="2268" w:type="dxa"/>
                  <w:gridSpan w:val="3"/>
                  <w:shd w:val="clear" w:color="auto" w:fill="auto"/>
                  <w:vAlign w:val="center"/>
                </w:tcPr>
                <w:p>
                  <w:pPr>
                    <w:jc w:val="center"/>
                    <w:rPr>
                      <w:b/>
                      <w:szCs w:val="21"/>
                    </w:rPr>
                  </w:pPr>
                  <w:r>
                    <w:rPr>
                      <w:b/>
                      <w:szCs w:val="21"/>
                    </w:rPr>
                    <w:t>Ⅰ类</w:t>
                  </w:r>
                </w:p>
              </w:tc>
              <w:tc>
                <w:tcPr>
                  <w:tcW w:w="2473" w:type="dxa"/>
                  <w:gridSpan w:val="3"/>
                  <w:shd w:val="clear" w:color="auto" w:fill="auto"/>
                  <w:vAlign w:val="center"/>
                </w:tcPr>
                <w:p>
                  <w:pPr>
                    <w:jc w:val="center"/>
                    <w:rPr>
                      <w:b/>
                      <w:szCs w:val="21"/>
                    </w:rPr>
                  </w:pPr>
                  <w:r>
                    <w:rPr>
                      <w:b/>
                      <w:szCs w:val="21"/>
                    </w:rPr>
                    <w:t>Ⅱ类</w:t>
                  </w:r>
                </w:p>
              </w:tc>
              <w:tc>
                <w:tcPr>
                  <w:tcW w:w="2460" w:type="dxa"/>
                  <w:gridSpan w:val="3"/>
                  <w:shd w:val="clear" w:color="auto" w:fill="auto"/>
                  <w:vAlign w:val="center"/>
                </w:tcPr>
                <w:p>
                  <w:pPr>
                    <w:jc w:val="center"/>
                    <w:rPr>
                      <w:b/>
                      <w:szCs w:val="21"/>
                    </w:rPr>
                  </w:pPr>
                  <w:r>
                    <w:rPr>
                      <w:b/>
                      <w:szCs w:val="21"/>
                    </w:rPr>
                    <w:t>Ⅲ类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6" w:type="dxa"/>
                  <w:vMerge w:val="continue"/>
                  <w:shd w:val="clear" w:color="auto" w:fill="auto"/>
                  <w:vAlign w:val="center"/>
                </w:tcPr>
                <w:p>
                  <w:pPr>
                    <w:jc w:val="center"/>
                    <w:rPr>
                      <w:b/>
                      <w:szCs w:val="21"/>
                    </w:rPr>
                  </w:pPr>
                </w:p>
              </w:tc>
              <w:tc>
                <w:tcPr>
                  <w:tcW w:w="850" w:type="dxa"/>
                  <w:shd w:val="clear" w:color="auto" w:fill="auto"/>
                  <w:vAlign w:val="center"/>
                </w:tcPr>
                <w:p>
                  <w:pPr>
                    <w:jc w:val="center"/>
                    <w:rPr>
                      <w:b/>
                      <w:szCs w:val="21"/>
                    </w:rPr>
                  </w:pPr>
                  <w:r>
                    <w:rPr>
                      <w:b/>
                      <w:szCs w:val="21"/>
                    </w:rPr>
                    <w:t>大</w:t>
                  </w:r>
                </w:p>
              </w:tc>
              <w:tc>
                <w:tcPr>
                  <w:tcW w:w="709" w:type="dxa"/>
                  <w:shd w:val="clear" w:color="auto" w:fill="auto"/>
                  <w:vAlign w:val="center"/>
                </w:tcPr>
                <w:p>
                  <w:pPr>
                    <w:jc w:val="center"/>
                    <w:rPr>
                      <w:b/>
                      <w:szCs w:val="21"/>
                    </w:rPr>
                  </w:pPr>
                  <w:r>
                    <w:rPr>
                      <w:b/>
                      <w:szCs w:val="21"/>
                    </w:rPr>
                    <w:t>中</w:t>
                  </w:r>
                </w:p>
              </w:tc>
              <w:tc>
                <w:tcPr>
                  <w:tcW w:w="709" w:type="dxa"/>
                  <w:shd w:val="clear" w:color="auto" w:fill="auto"/>
                  <w:vAlign w:val="center"/>
                </w:tcPr>
                <w:p>
                  <w:pPr>
                    <w:jc w:val="center"/>
                    <w:rPr>
                      <w:b/>
                      <w:szCs w:val="21"/>
                    </w:rPr>
                  </w:pPr>
                  <w:r>
                    <w:rPr>
                      <w:b/>
                      <w:szCs w:val="21"/>
                    </w:rPr>
                    <w:t>小</w:t>
                  </w:r>
                </w:p>
              </w:tc>
              <w:tc>
                <w:tcPr>
                  <w:tcW w:w="835" w:type="dxa"/>
                  <w:shd w:val="clear" w:color="auto" w:fill="auto"/>
                  <w:vAlign w:val="center"/>
                </w:tcPr>
                <w:p>
                  <w:pPr>
                    <w:jc w:val="center"/>
                    <w:rPr>
                      <w:b/>
                      <w:szCs w:val="21"/>
                    </w:rPr>
                  </w:pPr>
                  <w:r>
                    <w:rPr>
                      <w:b/>
                      <w:szCs w:val="21"/>
                    </w:rPr>
                    <w:t>大</w:t>
                  </w:r>
                </w:p>
              </w:tc>
              <w:tc>
                <w:tcPr>
                  <w:tcW w:w="819" w:type="dxa"/>
                  <w:shd w:val="clear" w:color="auto" w:fill="auto"/>
                  <w:vAlign w:val="center"/>
                </w:tcPr>
                <w:p>
                  <w:pPr>
                    <w:jc w:val="center"/>
                    <w:rPr>
                      <w:b/>
                      <w:szCs w:val="21"/>
                    </w:rPr>
                  </w:pPr>
                  <w:r>
                    <w:rPr>
                      <w:b/>
                      <w:szCs w:val="21"/>
                    </w:rPr>
                    <w:t>中</w:t>
                  </w:r>
                </w:p>
              </w:tc>
              <w:tc>
                <w:tcPr>
                  <w:tcW w:w="819" w:type="dxa"/>
                  <w:shd w:val="clear" w:color="auto" w:fill="auto"/>
                  <w:vAlign w:val="center"/>
                </w:tcPr>
                <w:p>
                  <w:pPr>
                    <w:jc w:val="center"/>
                    <w:rPr>
                      <w:b/>
                      <w:szCs w:val="21"/>
                    </w:rPr>
                  </w:pPr>
                  <w:r>
                    <w:rPr>
                      <w:b/>
                      <w:szCs w:val="21"/>
                    </w:rPr>
                    <w:t>小</w:t>
                  </w:r>
                </w:p>
              </w:tc>
              <w:tc>
                <w:tcPr>
                  <w:tcW w:w="820" w:type="dxa"/>
                  <w:shd w:val="clear" w:color="auto" w:fill="auto"/>
                  <w:vAlign w:val="center"/>
                </w:tcPr>
                <w:p>
                  <w:pPr>
                    <w:jc w:val="center"/>
                    <w:rPr>
                      <w:b/>
                      <w:szCs w:val="21"/>
                    </w:rPr>
                  </w:pPr>
                  <w:r>
                    <w:rPr>
                      <w:b/>
                      <w:szCs w:val="21"/>
                    </w:rPr>
                    <w:t>大</w:t>
                  </w:r>
                </w:p>
              </w:tc>
              <w:tc>
                <w:tcPr>
                  <w:tcW w:w="820" w:type="dxa"/>
                  <w:shd w:val="clear" w:color="auto" w:fill="auto"/>
                  <w:vAlign w:val="center"/>
                </w:tcPr>
                <w:p>
                  <w:pPr>
                    <w:jc w:val="center"/>
                    <w:rPr>
                      <w:b/>
                      <w:szCs w:val="21"/>
                    </w:rPr>
                  </w:pPr>
                  <w:r>
                    <w:rPr>
                      <w:b/>
                      <w:szCs w:val="21"/>
                    </w:rPr>
                    <w:t>中</w:t>
                  </w:r>
                </w:p>
              </w:tc>
              <w:tc>
                <w:tcPr>
                  <w:tcW w:w="820" w:type="dxa"/>
                  <w:shd w:val="clear" w:color="auto" w:fill="auto"/>
                  <w:vAlign w:val="center"/>
                </w:tcPr>
                <w:p>
                  <w:pPr>
                    <w:jc w:val="center"/>
                    <w:rPr>
                      <w:b/>
                      <w:szCs w:val="21"/>
                    </w:rPr>
                  </w:pPr>
                  <w:r>
                    <w:rPr>
                      <w:b/>
                      <w:szCs w:val="21"/>
                    </w:rPr>
                    <w:t>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6" w:type="dxa"/>
                  <w:shd w:val="clear" w:color="auto" w:fill="auto"/>
                  <w:vAlign w:val="center"/>
                </w:tcPr>
                <w:p>
                  <w:pPr>
                    <w:jc w:val="center"/>
                    <w:rPr>
                      <w:szCs w:val="21"/>
                    </w:rPr>
                  </w:pPr>
                  <w:r>
                    <w:rPr>
                      <w:szCs w:val="21"/>
                    </w:rPr>
                    <w:t>敏感</w:t>
                  </w:r>
                </w:p>
              </w:tc>
              <w:tc>
                <w:tcPr>
                  <w:tcW w:w="850" w:type="dxa"/>
                  <w:shd w:val="clear" w:color="auto" w:fill="auto"/>
                  <w:vAlign w:val="center"/>
                </w:tcPr>
                <w:p>
                  <w:pPr>
                    <w:jc w:val="center"/>
                    <w:rPr>
                      <w:szCs w:val="21"/>
                    </w:rPr>
                  </w:pPr>
                  <w:r>
                    <w:rPr>
                      <w:szCs w:val="21"/>
                    </w:rPr>
                    <w:t>一级</w:t>
                  </w:r>
                </w:p>
              </w:tc>
              <w:tc>
                <w:tcPr>
                  <w:tcW w:w="709" w:type="dxa"/>
                  <w:shd w:val="clear" w:color="auto" w:fill="auto"/>
                  <w:vAlign w:val="center"/>
                </w:tcPr>
                <w:p>
                  <w:pPr>
                    <w:jc w:val="center"/>
                    <w:rPr>
                      <w:szCs w:val="21"/>
                    </w:rPr>
                  </w:pPr>
                  <w:r>
                    <w:rPr>
                      <w:szCs w:val="21"/>
                    </w:rPr>
                    <w:t>一级</w:t>
                  </w:r>
                </w:p>
              </w:tc>
              <w:tc>
                <w:tcPr>
                  <w:tcW w:w="709" w:type="dxa"/>
                  <w:shd w:val="clear" w:color="auto" w:fill="auto"/>
                  <w:vAlign w:val="center"/>
                </w:tcPr>
                <w:p>
                  <w:pPr>
                    <w:jc w:val="center"/>
                    <w:rPr>
                      <w:szCs w:val="21"/>
                    </w:rPr>
                  </w:pPr>
                  <w:r>
                    <w:rPr>
                      <w:szCs w:val="21"/>
                    </w:rPr>
                    <w:t>一级</w:t>
                  </w:r>
                </w:p>
              </w:tc>
              <w:tc>
                <w:tcPr>
                  <w:tcW w:w="835" w:type="dxa"/>
                  <w:shd w:val="clear" w:color="auto" w:fill="auto"/>
                  <w:vAlign w:val="center"/>
                </w:tcPr>
                <w:p>
                  <w:pPr>
                    <w:jc w:val="center"/>
                    <w:rPr>
                      <w:szCs w:val="21"/>
                    </w:rPr>
                  </w:pPr>
                  <w:r>
                    <w:rPr>
                      <w:szCs w:val="21"/>
                    </w:rPr>
                    <w:t>二级</w:t>
                  </w:r>
                </w:p>
              </w:tc>
              <w:tc>
                <w:tcPr>
                  <w:tcW w:w="819" w:type="dxa"/>
                  <w:shd w:val="clear" w:color="auto" w:fill="auto"/>
                  <w:vAlign w:val="center"/>
                </w:tcPr>
                <w:p>
                  <w:pPr>
                    <w:jc w:val="center"/>
                    <w:rPr>
                      <w:szCs w:val="21"/>
                    </w:rPr>
                  </w:pPr>
                  <w:r>
                    <w:rPr>
                      <w:szCs w:val="21"/>
                    </w:rPr>
                    <w:t>二级</w:t>
                  </w:r>
                </w:p>
              </w:tc>
              <w:tc>
                <w:tcPr>
                  <w:tcW w:w="819" w:type="dxa"/>
                  <w:shd w:val="clear" w:color="auto" w:fill="auto"/>
                  <w:vAlign w:val="center"/>
                </w:tcPr>
                <w:p>
                  <w:pPr>
                    <w:jc w:val="center"/>
                    <w:rPr>
                      <w:szCs w:val="21"/>
                    </w:rPr>
                  </w:pPr>
                  <w:r>
                    <w:rPr>
                      <w:szCs w:val="21"/>
                    </w:rPr>
                    <w:t>二级</w:t>
                  </w:r>
                </w:p>
              </w:tc>
              <w:tc>
                <w:tcPr>
                  <w:tcW w:w="820"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6" w:type="dxa"/>
                  <w:shd w:val="clear" w:color="auto" w:fill="auto"/>
                  <w:vAlign w:val="center"/>
                </w:tcPr>
                <w:p>
                  <w:pPr>
                    <w:jc w:val="center"/>
                    <w:rPr>
                      <w:szCs w:val="21"/>
                    </w:rPr>
                  </w:pPr>
                  <w:r>
                    <w:rPr>
                      <w:szCs w:val="21"/>
                    </w:rPr>
                    <w:t>较敏感</w:t>
                  </w:r>
                </w:p>
              </w:tc>
              <w:tc>
                <w:tcPr>
                  <w:tcW w:w="850" w:type="dxa"/>
                  <w:shd w:val="clear" w:color="auto" w:fill="auto"/>
                  <w:vAlign w:val="center"/>
                </w:tcPr>
                <w:p>
                  <w:pPr>
                    <w:jc w:val="center"/>
                    <w:rPr>
                      <w:szCs w:val="21"/>
                    </w:rPr>
                  </w:pPr>
                  <w:r>
                    <w:rPr>
                      <w:szCs w:val="21"/>
                    </w:rPr>
                    <w:t>一级</w:t>
                  </w:r>
                </w:p>
              </w:tc>
              <w:tc>
                <w:tcPr>
                  <w:tcW w:w="709" w:type="dxa"/>
                  <w:shd w:val="clear" w:color="auto" w:fill="auto"/>
                  <w:vAlign w:val="center"/>
                </w:tcPr>
                <w:p>
                  <w:pPr>
                    <w:jc w:val="center"/>
                    <w:rPr>
                      <w:szCs w:val="21"/>
                    </w:rPr>
                  </w:pPr>
                  <w:r>
                    <w:rPr>
                      <w:szCs w:val="21"/>
                    </w:rPr>
                    <w:t>一级</w:t>
                  </w:r>
                </w:p>
              </w:tc>
              <w:tc>
                <w:tcPr>
                  <w:tcW w:w="709" w:type="dxa"/>
                  <w:shd w:val="clear" w:color="auto" w:fill="auto"/>
                  <w:vAlign w:val="center"/>
                </w:tcPr>
                <w:p>
                  <w:pPr>
                    <w:jc w:val="center"/>
                    <w:rPr>
                      <w:szCs w:val="21"/>
                    </w:rPr>
                  </w:pPr>
                  <w:r>
                    <w:rPr>
                      <w:szCs w:val="21"/>
                    </w:rPr>
                    <w:t>二级</w:t>
                  </w:r>
                </w:p>
              </w:tc>
              <w:tc>
                <w:tcPr>
                  <w:tcW w:w="835" w:type="dxa"/>
                  <w:shd w:val="clear" w:color="auto" w:fill="auto"/>
                  <w:vAlign w:val="center"/>
                </w:tcPr>
                <w:p>
                  <w:pPr>
                    <w:jc w:val="center"/>
                    <w:rPr>
                      <w:szCs w:val="21"/>
                    </w:rPr>
                  </w:pPr>
                  <w:r>
                    <w:rPr>
                      <w:szCs w:val="21"/>
                    </w:rPr>
                    <w:t>二级</w:t>
                  </w:r>
                </w:p>
              </w:tc>
              <w:tc>
                <w:tcPr>
                  <w:tcW w:w="819" w:type="dxa"/>
                  <w:shd w:val="clear" w:color="auto" w:fill="auto"/>
                  <w:vAlign w:val="center"/>
                </w:tcPr>
                <w:p>
                  <w:pPr>
                    <w:jc w:val="center"/>
                    <w:rPr>
                      <w:szCs w:val="21"/>
                    </w:rPr>
                  </w:pPr>
                  <w:r>
                    <w:rPr>
                      <w:szCs w:val="21"/>
                    </w:rPr>
                    <w:t>二级</w:t>
                  </w:r>
                </w:p>
              </w:tc>
              <w:tc>
                <w:tcPr>
                  <w:tcW w:w="819"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6" w:type="dxa"/>
                  <w:shd w:val="clear" w:color="auto" w:fill="auto"/>
                  <w:vAlign w:val="center"/>
                </w:tcPr>
                <w:p>
                  <w:pPr>
                    <w:jc w:val="center"/>
                    <w:rPr>
                      <w:szCs w:val="21"/>
                    </w:rPr>
                  </w:pPr>
                  <w:r>
                    <w:rPr>
                      <w:szCs w:val="21"/>
                    </w:rPr>
                    <w:t>不敏感</w:t>
                  </w:r>
                </w:p>
              </w:tc>
              <w:tc>
                <w:tcPr>
                  <w:tcW w:w="850" w:type="dxa"/>
                  <w:shd w:val="clear" w:color="auto" w:fill="auto"/>
                  <w:vAlign w:val="center"/>
                </w:tcPr>
                <w:p>
                  <w:pPr>
                    <w:jc w:val="center"/>
                    <w:rPr>
                      <w:szCs w:val="21"/>
                    </w:rPr>
                  </w:pPr>
                  <w:r>
                    <w:rPr>
                      <w:szCs w:val="21"/>
                    </w:rPr>
                    <w:t>一级</w:t>
                  </w:r>
                </w:p>
              </w:tc>
              <w:tc>
                <w:tcPr>
                  <w:tcW w:w="709" w:type="dxa"/>
                  <w:shd w:val="clear" w:color="auto" w:fill="auto"/>
                  <w:vAlign w:val="center"/>
                </w:tcPr>
                <w:p>
                  <w:pPr>
                    <w:jc w:val="center"/>
                    <w:rPr>
                      <w:szCs w:val="21"/>
                    </w:rPr>
                  </w:pPr>
                  <w:r>
                    <w:rPr>
                      <w:szCs w:val="21"/>
                    </w:rPr>
                    <w:t>二级</w:t>
                  </w:r>
                </w:p>
              </w:tc>
              <w:tc>
                <w:tcPr>
                  <w:tcW w:w="709" w:type="dxa"/>
                  <w:shd w:val="clear" w:color="auto" w:fill="auto"/>
                  <w:vAlign w:val="center"/>
                </w:tcPr>
                <w:p>
                  <w:pPr>
                    <w:jc w:val="center"/>
                    <w:rPr>
                      <w:szCs w:val="21"/>
                    </w:rPr>
                  </w:pPr>
                  <w:r>
                    <w:rPr>
                      <w:rFonts w:hint="eastAsia"/>
                      <w:szCs w:val="21"/>
                    </w:rPr>
                    <w:t>二</w:t>
                  </w:r>
                  <w:r>
                    <w:rPr>
                      <w:szCs w:val="21"/>
                    </w:rPr>
                    <w:t>级</w:t>
                  </w:r>
                </w:p>
              </w:tc>
              <w:tc>
                <w:tcPr>
                  <w:tcW w:w="835" w:type="dxa"/>
                  <w:shd w:val="clear" w:color="auto" w:fill="auto"/>
                  <w:vAlign w:val="center"/>
                </w:tcPr>
                <w:p>
                  <w:pPr>
                    <w:jc w:val="center"/>
                    <w:rPr>
                      <w:szCs w:val="21"/>
                    </w:rPr>
                  </w:pPr>
                  <w:r>
                    <w:rPr>
                      <w:szCs w:val="21"/>
                    </w:rPr>
                    <w:t>二级</w:t>
                  </w:r>
                </w:p>
              </w:tc>
              <w:tc>
                <w:tcPr>
                  <w:tcW w:w="819" w:type="dxa"/>
                  <w:shd w:val="clear" w:color="auto" w:fill="auto"/>
                  <w:vAlign w:val="center"/>
                </w:tcPr>
                <w:p>
                  <w:pPr>
                    <w:jc w:val="center"/>
                    <w:rPr>
                      <w:szCs w:val="21"/>
                    </w:rPr>
                  </w:pPr>
                  <w:r>
                    <w:rPr>
                      <w:szCs w:val="21"/>
                    </w:rPr>
                    <w:t>三级</w:t>
                  </w:r>
                </w:p>
              </w:tc>
              <w:tc>
                <w:tcPr>
                  <w:tcW w:w="819"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三级</w:t>
                  </w:r>
                </w:p>
              </w:tc>
              <w:tc>
                <w:tcPr>
                  <w:tcW w:w="820" w:type="dxa"/>
                  <w:shd w:val="clear" w:color="auto" w:fill="auto"/>
                  <w:vAlign w:val="center"/>
                </w:tcPr>
                <w:p>
                  <w:pPr>
                    <w:jc w:val="center"/>
                    <w:rPr>
                      <w:szCs w:val="21"/>
                    </w:rPr>
                  </w:pPr>
                  <w:r>
                    <w:rPr>
                      <w:szCs w:val="21"/>
                    </w:rPr>
                    <w:t>-</w:t>
                  </w:r>
                </w:p>
              </w:tc>
              <w:tc>
                <w:tcPr>
                  <w:tcW w:w="820" w:type="dxa"/>
                  <w:shd w:val="clear" w:color="auto" w:fill="auto"/>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17" w:type="dxa"/>
                  <w:gridSpan w:val="10"/>
                  <w:shd w:val="clear" w:color="auto" w:fill="auto"/>
                  <w:vAlign w:val="center"/>
                </w:tcPr>
                <w:p>
                  <w:pPr>
                    <w:jc w:val="center"/>
                    <w:rPr>
                      <w:szCs w:val="21"/>
                    </w:rPr>
                  </w:pPr>
                  <w:r>
                    <w:rPr>
                      <w:szCs w:val="21"/>
                    </w:rPr>
                    <w:t>注：“-”表示可不开展土壤环境影响评价工作。</w:t>
                  </w:r>
                </w:p>
              </w:tc>
            </w:tr>
          </w:tbl>
          <w:p>
            <w:pPr>
              <w:pStyle w:val="65"/>
              <w:spacing w:line="460" w:lineRule="exact"/>
              <w:ind w:firstLine="480" w:firstLineChars="200"/>
              <w:rPr>
                <w:rFonts w:ascii="Times New Roman" w:hAnsi="Times New Roman"/>
                <w:sz w:val="24"/>
                <w:szCs w:val="24"/>
              </w:rPr>
            </w:pPr>
            <w:r>
              <w:rPr>
                <w:rFonts w:hint="eastAsia" w:ascii="Times New Roman" w:hAnsi="Times New Roman"/>
                <w:sz w:val="24"/>
                <w:szCs w:val="24"/>
              </w:rPr>
              <w:t>综上，本项目类别为</w:t>
            </w:r>
            <w:r>
              <w:rPr>
                <w:rFonts w:ascii="Times New Roman" w:hAnsi="Times New Roman" w:cs="Times New Roman"/>
                <w:sz w:val="24"/>
                <w:szCs w:val="24"/>
              </w:rPr>
              <w:t>Ⅲ</w:t>
            </w:r>
            <w:r>
              <w:rPr>
                <w:rFonts w:hint="eastAsia" w:ascii="Times New Roman" w:hAnsi="Times New Roman"/>
                <w:sz w:val="24"/>
                <w:szCs w:val="24"/>
              </w:rPr>
              <w:t>类，占地规模为小型，属于较敏感区，因此不需要开展土壤环境影响评价。</w:t>
            </w:r>
          </w:p>
          <w:p>
            <w:pPr>
              <w:spacing w:line="440" w:lineRule="exact"/>
              <w:ind w:firstLine="482" w:firstLineChars="200"/>
              <w:rPr>
                <w:b/>
                <w:sz w:val="24"/>
              </w:rPr>
            </w:pPr>
            <w:r>
              <w:rPr>
                <w:rFonts w:hint="eastAsia"/>
                <w:b/>
                <w:sz w:val="24"/>
              </w:rPr>
              <w:t>七、地下水</w:t>
            </w:r>
          </w:p>
          <w:p>
            <w:pPr>
              <w:spacing w:line="440" w:lineRule="exact"/>
              <w:ind w:firstLine="480" w:firstLineChars="200"/>
              <w:rPr>
                <w:sz w:val="24"/>
              </w:rPr>
            </w:pPr>
            <w:r>
              <w:rPr>
                <w:rFonts w:hint="eastAsia"/>
                <w:sz w:val="24"/>
              </w:rPr>
              <w:t>本项目</w:t>
            </w:r>
            <w:r>
              <w:rPr>
                <w:rFonts w:hint="eastAsia" w:cs="Calibri"/>
                <w:sz w:val="24"/>
              </w:rPr>
              <w:t>电池密封圈产品属于</w:t>
            </w:r>
            <w:r>
              <w:rPr>
                <w:sz w:val="24"/>
              </w:rPr>
              <w:t>C2928 塑料零件制造</w:t>
            </w:r>
            <w:r>
              <w:rPr>
                <w:rFonts w:hint="eastAsia" w:cs="Calibri"/>
                <w:sz w:val="24"/>
              </w:rPr>
              <w:t>，电池负极底产品属于</w:t>
            </w:r>
            <w:r>
              <w:rPr>
                <w:rFonts w:hint="eastAsia"/>
                <w:sz w:val="24"/>
              </w:rPr>
              <w:t>C3399 其他未列明金属制品制造，根据《环境影响评价技术导则-地下水环境（HJ 610-2016）》附录A，本项目属于N轻工-第116项塑料制品制造、I金属制品-第53条金属制品加工制造，均属于IV类项目，根据《环境影响评价技术导则-地下水环境（HJ 610-2016）》4.1 IV类建设项目不开展地下水环境影响评价。</w:t>
            </w:r>
          </w:p>
          <w:p>
            <w:pPr>
              <w:spacing w:line="440" w:lineRule="exact"/>
              <w:ind w:firstLine="482" w:firstLineChars="200"/>
              <w:rPr>
                <w:b/>
                <w:sz w:val="24"/>
              </w:rPr>
            </w:pPr>
            <w:r>
              <w:rPr>
                <w:rFonts w:hint="eastAsia"/>
                <w:b/>
                <w:sz w:val="24"/>
              </w:rPr>
              <w:t>八、环境管理及监测计划</w:t>
            </w:r>
          </w:p>
          <w:p>
            <w:pPr>
              <w:pStyle w:val="151"/>
              <w:spacing w:line="440" w:lineRule="exact"/>
              <w:ind w:firstLine="48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）环境管理</w:t>
            </w:r>
          </w:p>
          <w:p>
            <w:pPr>
              <w:pStyle w:val="151"/>
              <w:spacing w:line="440" w:lineRule="exact"/>
              <w:ind w:firstLine="480"/>
              <w:rPr>
                <w:rFonts w:ascii="Times New Roman" w:hAnsi="Times New Roman" w:cs="Times New Roman"/>
              </w:rPr>
            </w:pPr>
            <w:r>
              <w:rPr>
                <w:rFonts w:hint="eastAsia" w:ascii="Times New Roman" w:hAnsi="Times New Roman" w:cs="Times New Roman"/>
              </w:rPr>
              <w:t>为做好环境管理工作，公司应建立环境管理体系，将环境管理工作自上而下的贯穿到公司的生产管理中，现就建立环境管理体系提出如下建议：</w:t>
            </w:r>
          </w:p>
          <w:p>
            <w:pPr>
              <w:pStyle w:val="151"/>
              <w:spacing w:line="440" w:lineRule="exact"/>
              <w:ind w:firstLine="48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、公司的环境管理工作实行公司主要负责人负责制，以便在制定环保方针、制度、规划，协调人力、物力和财力等方面，将环境管理和生产管理结合起来。</w:t>
            </w:r>
          </w:p>
          <w:p>
            <w:pPr>
              <w:pStyle w:val="151"/>
              <w:spacing w:line="440" w:lineRule="exact"/>
              <w:ind w:firstLine="48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、建立环境管理机构，配备环保管理人员</w:t>
            </w:r>
            <w:r>
              <w:rPr>
                <w:rFonts w:ascii="Times New Roman" w:hAnsi="Times New Roman" w:cs="Times New Roman"/>
              </w:rPr>
              <w:t>1</w:t>
            </w:r>
            <w:r>
              <w:rPr>
                <w:rFonts w:hint="eastAsia" w:ascii="Times New Roman" w:hAnsi="Times New Roman" w:cs="Times New Roman"/>
              </w:rPr>
              <w:t>名，具体制定环境管理方案并实施运行；负责与政府环保主管部门的联系与协调工作。</w:t>
            </w:r>
          </w:p>
          <w:p>
            <w:pPr>
              <w:pStyle w:val="151"/>
              <w:spacing w:line="440" w:lineRule="exact"/>
              <w:ind w:firstLine="48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、建立环保档案，有利于上级环保部门及公司管理层了解公司环保情况，给出相应建议。</w:t>
            </w:r>
          </w:p>
          <w:p>
            <w:pPr>
              <w:pStyle w:val="151"/>
              <w:spacing w:line="440" w:lineRule="exact"/>
              <w:ind w:firstLine="48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、建立危废转移联单制度和环境信息公开制度。</w:t>
            </w:r>
          </w:p>
          <w:p>
            <w:pPr>
              <w:pStyle w:val="151"/>
              <w:spacing w:line="440" w:lineRule="exact"/>
              <w:ind w:firstLine="48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）环境管理工作计划</w:t>
            </w:r>
          </w:p>
          <w:p>
            <w:pPr>
              <w:pStyle w:val="151"/>
              <w:spacing w:line="440" w:lineRule="exact"/>
              <w:ind w:firstLine="48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、严格执行各项生产及环境管理制度，保证生产的正常进行；</w:t>
            </w:r>
            <w:r>
              <w:rPr>
                <w:rFonts w:ascii="Times New Roman" w:hAnsi="Times New Roman" w:cs="Times New Roman"/>
              </w:rPr>
              <w:br w:type="textWrapping"/>
            </w:r>
            <w:r>
              <w:rPr>
                <w:rFonts w:ascii="Times New Roman" w:hAnsi="Times New Roman" w:cs="Times New Roman"/>
              </w:rPr>
              <w:t xml:space="preserve">   b</w:t>
            </w:r>
            <w:r>
              <w:rPr>
                <w:rFonts w:hint="eastAsia" w:ascii="Times New Roman" w:hAnsi="Times New Roman" w:cs="Times New Roman"/>
              </w:rPr>
              <w:t>、设立环保设施运行卡，对环保设施定期进行检查、维护，做到勤查、勤记、勤养护；</w:t>
            </w:r>
          </w:p>
          <w:p>
            <w:pPr>
              <w:pStyle w:val="151"/>
              <w:spacing w:line="440" w:lineRule="exact"/>
              <w:ind w:firstLine="480"/>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、按照监测计划定期委托第三方机构对污染源进行监测，对不达标环保设施立即进行寻找原因及时处理；</w:t>
            </w:r>
          </w:p>
          <w:p>
            <w:pPr>
              <w:pStyle w:val="151"/>
              <w:spacing w:line="440" w:lineRule="exact"/>
              <w:ind w:firstLine="480"/>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、不断加强技术培训，组织企业内部之间技术交流，提高业务水平，保持企业内部职工素质稳定；</w:t>
            </w:r>
          </w:p>
          <w:p>
            <w:pPr>
              <w:pStyle w:val="151"/>
              <w:spacing w:line="440" w:lineRule="exact"/>
              <w:ind w:firstLine="480"/>
              <w:rPr>
                <w:rFonts w:ascii="Times New Roman" w:hAnsi="Times New Roman" w:cs="Times New Roman"/>
              </w:rPr>
            </w:pPr>
            <w:r>
              <w:rPr>
                <w:rFonts w:ascii="Times New Roman" w:hAnsi="Times New Roman" w:cs="Times New Roman"/>
              </w:rPr>
              <w:t>e</w:t>
            </w:r>
            <w:r>
              <w:rPr>
                <w:rFonts w:hint="eastAsia" w:ascii="Times New Roman" w:hAnsi="Times New Roman" w:cs="Times New Roman"/>
              </w:rPr>
              <w:t>、重视群众监督作用，提高企业职工环境意识，鼓励职工及外部人员对生产状况提出意见，并通过积极吸收宝贵意见，提高企业环境管理水平；</w:t>
            </w:r>
          </w:p>
          <w:p>
            <w:pPr>
              <w:pStyle w:val="151"/>
              <w:spacing w:line="440" w:lineRule="exact"/>
              <w:ind w:firstLine="480"/>
              <w:rPr>
                <w:rFonts w:ascii="Times New Roman" w:hAnsi="Times New Roman" w:cs="Times New Roman"/>
              </w:rPr>
            </w:pPr>
            <w:r>
              <w:rPr>
                <w:rFonts w:ascii="Times New Roman" w:hAnsi="Times New Roman" w:cs="Times New Roman"/>
              </w:rPr>
              <w:t>f</w:t>
            </w:r>
            <w:r>
              <w:rPr>
                <w:rFonts w:hint="eastAsia" w:ascii="Times New Roman" w:hAnsi="Times New Roman" w:cs="Times New Roman"/>
              </w:rPr>
              <w:t>、积极配合环保部门的检查。</w:t>
            </w:r>
          </w:p>
          <w:p>
            <w:pPr>
              <w:spacing w:line="460" w:lineRule="exact"/>
              <w:ind w:firstLine="480" w:firstLineChars="200"/>
              <w:rPr>
                <w:sz w:val="24"/>
              </w:rPr>
            </w:pPr>
            <w:r>
              <w:rPr>
                <w:rFonts w:hint="eastAsia"/>
                <w:sz w:val="24"/>
              </w:rPr>
              <w:t>（3）自行监测计划</w:t>
            </w:r>
          </w:p>
          <w:p>
            <w:pPr>
              <w:spacing w:line="460" w:lineRule="exact"/>
              <w:ind w:firstLine="480" w:firstLineChars="200"/>
              <w:rPr>
                <w:sz w:val="24"/>
              </w:rPr>
            </w:pPr>
            <w:r>
              <w:rPr>
                <w:sz w:val="24"/>
              </w:rPr>
              <w:t>a</w:t>
            </w:r>
            <w:r>
              <w:rPr>
                <w:rFonts w:hint="eastAsia"/>
                <w:sz w:val="24"/>
              </w:rPr>
              <w:t>、废气</w:t>
            </w:r>
          </w:p>
          <w:p>
            <w:pPr>
              <w:spacing w:line="460" w:lineRule="exact"/>
              <w:ind w:firstLine="480" w:firstLineChars="200"/>
              <w:rPr>
                <w:sz w:val="24"/>
              </w:rPr>
            </w:pPr>
            <w:r>
              <w:rPr>
                <w:rFonts w:hint="eastAsia"/>
                <w:sz w:val="24"/>
              </w:rPr>
              <w:t>《根据环境影响评价技术导则大气环境》</w:t>
            </w:r>
            <w:r>
              <w:rPr>
                <w:sz w:val="24"/>
              </w:rPr>
              <w:t>(HJ2.2-2018)9.1.3</w:t>
            </w:r>
            <w:r>
              <w:rPr>
                <w:rFonts w:hint="eastAsia"/>
                <w:sz w:val="24"/>
              </w:rPr>
              <w:t>的规定，三级评价提出项目在生产运行阶段的污染源监测计划，具体监测计划见下表。</w:t>
            </w:r>
          </w:p>
          <w:p>
            <w:pPr>
              <w:adjustRightInd w:val="0"/>
              <w:snapToGrid w:val="0"/>
              <w:spacing w:line="460" w:lineRule="exact"/>
              <w:ind w:firstLine="480" w:firstLineChars="200"/>
              <w:rPr>
                <w:rFonts w:eastAsia="黑体"/>
                <w:sz w:val="24"/>
                <w:szCs w:val="22"/>
              </w:rPr>
            </w:pPr>
            <w:r>
              <w:rPr>
                <w:rFonts w:hint="eastAsia" w:eastAsia="黑体"/>
                <w:sz w:val="24"/>
                <w:szCs w:val="22"/>
              </w:rPr>
              <w:t>表44                                          废气监测方案</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077"/>
              <w:gridCol w:w="1424"/>
              <w:gridCol w:w="485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069" w:type="dxa"/>
                  <w:tcMar>
                    <w:top w:w="0" w:type="dxa"/>
                    <w:left w:w="28" w:type="dxa"/>
                    <w:bottom w:w="0" w:type="dxa"/>
                    <w:right w:w="28" w:type="dxa"/>
                  </w:tcMar>
                  <w:vAlign w:val="center"/>
                </w:tcPr>
                <w:p>
                  <w:pPr>
                    <w:autoSpaceDE w:val="0"/>
                    <w:autoSpaceDN w:val="0"/>
                    <w:adjustRightInd w:val="0"/>
                    <w:snapToGrid w:val="0"/>
                    <w:jc w:val="center"/>
                    <w:rPr>
                      <w:b/>
                      <w:bCs/>
                      <w:szCs w:val="21"/>
                    </w:rPr>
                  </w:pPr>
                  <w:r>
                    <w:rPr>
                      <w:rFonts w:hint="eastAsia"/>
                      <w:b/>
                      <w:bCs/>
                      <w:szCs w:val="21"/>
                    </w:rPr>
                    <w:t>监测点位</w:t>
                  </w:r>
                </w:p>
              </w:tc>
              <w:tc>
                <w:tcPr>
                  <w:tcW w:w="2077" w:type="dxa"/>
                  <w:tcMar>
                    <w:top w:w="0" w:type="dxa"/>
                    <w:left w:w="28" w:type="dxa"/>
                    <w:bottom w:w="0" w:type="dxa"/>
                    <w:right w:w="28" w:type="dxa"/>
                  </w:tcMar>
                  <w:vAlign w:val="center"/>
                </w:tcPr>
                <w:p>
                  <w:pPr>
                    <w:autoSpaceDE w:val="0"/>
                    <w:autoSpaceDN w:val="0"/>
                    <w:adjustRightInd w:val="0"/>
                    <w:snapToGrid w:val="0"/>
                    <w:jc w:val="center"/>
                    <w:rPr>
                      <w:b/>
                      <w:bCs/>
                      <w:szCs w:val="21"/>
                    </w:rPr>
                  </w:pPr>
                  <w:r>
                    <w:rPr>
                      <w:rFonts w:hint="eastAsia"/>
                      <w:b/>
                      <w:bCs/>
                      <w:szCs w:val="21"/>
                    </w:rPr>
                    <w:t>监测指标</w:t>
                  </w:r>
                </w:p>
              </w:tc>
              <w:tc>
                <w:tcPr>
                  <w:tcW w:w="1424" w:type="dxa"/>
                  <w:tcMar>
                    <w:top w:w="0" w:type="dxa"/>
                    <w:left w:w="28" w:type="dxa"/>
                    <w:bottom w:w="0" w:type="dxa"/>
                    <w:right w:w="28" w:type="dxa"/>
                  </w:tcMar>
                  <w:vAlign w:val="center"/>
                </w:tcPr>
                <w:p>
                  <w:pPr>
                    <w:autoSpaceDE w:val="0"/>
                    <w:autoSpaceDN w:val="0"/>
                    <w:adjustRightInd w:val="0"/>
                    <w:snapToGrid w:val="0"/>
                    <w:jc w:val="center"/>
                    <w:rPr>
                      <w:b/>
                      <w:bCs/>
                      <w:szCs w:val="21"/>
                    </w:rPr>
                  </w:pPr>
                  <w:r>
                    <w:rPr>
                      <w:rFonts w:hint="eastAsia"/>
                      <w:b/>
                      <w:bCs/>
                      <w:szCs w:val="21"/>
                    </w:rPr>
                    <w:t>监测频次</w:t>
                  </w:r>
                </w:p>
              </w:tc>
              <w:tc>
                <w:tcPr>
                  <w:tcW w:w="4852" w:type="dxa"/>
                  <w:tcMar>
                    <w:top w:w="0" w:type="dxa"/>
                    <w:left w:w="28" w:type="dxa"/>
                    <w:bottom w:w="0" w:type="dxa"/>
                    <w:right w:w="28" w:type="dxa"/>
                  </w:tcMar>
                  <w:vAlign w:val="center"/>
                </w:tcPr>
                <w:p>
                  <w:pPr>
                    <w:autoSpaceDE w:val="0"/>
                    <w:autoSpaceDN w:val="0"/>
                    <w:adjustRightInd w:val="0"/>
                    <w:snapToGrid w:val="0"/>
                    <w:jc w:val="center"/>
                    <w:rPr>
                      <w:b/>
                      <w:bCs/>
                      <w:szCs w:val="21"/>
                    </w:rPr>
                  </w:pPr>
                  <w:r>
                    <w:rPr>
                      <w:rFonts w:hint="eastAsia"/>
                      <w:b/>
                      <w:bCs/>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2" w:type="dxa"/>
                  <w:gridSpan w:val="4"/>
                  <w:tcMar>
                    <w:top w:w="0" w:type="dxa"/>
                    <w:left w:w="28" w:type="dxa"/>
                    <w:bottom w:w="0" w:type="dxa"/>
                    <w:right w:w="28" w:type="dxa"/>
                  </w:tcMar>
                  <w:vAlign w:val="center"/>
                </w:tcPr>
                <w:p>
                  <w:pPr>
                    <w:autoSpaceDE w:val="0"/>
                    <w:autoSpaceDN w:val="0"/>
                    <w:adjustRightInd w:val="0"/>
                    <w:snapToGrid w:val="0"/>
                    <w:jc w:val="center"/>
                    <w:rPr>
                      <w:b/>
                      <w:bCs/>
                      <w:szCs w:val="21"/>
                    </w:rPr>
                  </w:pPr>
                  <w:r>
                    <w:rPr>
                      <w:rFonts w:hint="eastAsia"/>
                      <w:b/>
                      <w:bCs/>
                      <w:szCs w:val="21"/>
                    </w:rPr>
                    <w:t>有组织废气监测方案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9" w:type="dxa"/>
                  <w:tcMar>
                    <w:top w:w="0" w:type="dxa"/>
                    <w:left w:w="28" w:type="dxa"/>
                    <w:bottom w:w="0" w:type="dxa"/>
                    <w:right w:w="28" w:type="dxa"/>
                  </w:tcMar>
                  <w:vAlign w:val="center"/>
                </w:tcPr>
                <w:p>
                  <w:pPr>
                    <w:autoSpaceDE w:val="0"/>
                    <w:autoSpaceDN w:val="0"/>
                    <w:adjustRightInd w:val="0"/>
                    <w:snapToGrid w:val="0"/>
                    <w:jc w:val="center"/>
                    <w:rPr>
                      <w:szCs w:val="21"/>
                    </w:rPr>
                  </w:pPr>
                  <w:r>
                    <w:rPr>
                      <w:rFonts w:hint="eastAsia"/>
                      <w:szCs w:val="21"/>
                    </w:rPr>
                    <w:t>排气筒P</w:t>
                  </w:r>
                </w:p>
              </w:tc>
              <w:tc>
                <w:tcPr>
                  <w:tcW w:w="2077" w:type="dxa"/>
                  <w:tcMar>
                    <w:top w:w="0" w:type="dxa"/>
                    <w:left w:w="28" w:type="dxa"/>
                    <w:bottom w:w="0" w:type="dxa"/>
                    <w:right w:w="28" w:type="dxa"/>
                  </w:tcMar>
                  <w:vAlign w:val="center"/>
                </w:tcPr>
                <w:p>
                  <w:pPr>
                    <w:autoSpaceDE w:val="0"/>
                    <w:autoSpaceDN w:val="0"/>
                    <w:adjustRightInd w:val="0"/>
                    <w:snapToGrid w:val="0"/>
                    <w:jc w:val="center"/>
                    <w:rPr>
                      <w:szCs w:val="21"/>
                    </w:rPr>
                  </w:pPr>
                  <w:r>
                    <w:rPr>
                      <w:rFonts w:hint="eastAsia"/>
                      <w:szCs w:val="21"/>
                    </w:rPr>
                    <w:t>非甲烷总烃排放浓度、排放速率、废气量</w:t>
                  </w:r>
                </w:p>
              </w:tc>
              <w:tc>
                <w:tcPr>
                  <w:tcW w:w="1424"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w:t>
                  </w:r>
                  <w:r>
                    <w:rPr>
                      <w:rFonts w:hint="eastAsia"/>
                      <w:szCs w:val="21"/>
                    </w:rPr>
                    <w:t>次</w:t>
                  </w:r>
                  <w:r>
                    <w:rPr>
                      <w:szCs w:val="21"/>
                    </w:rPr>
                    <w:t>/</w:t>
                  </w:r>
                  <w:r>
                    <w:rPr>
                      <w:rFonts w:hint="eastAsia"/>
                      <w:szCs w:val="21"/>
                    </w:rPr>
                    <w:t>半年</w:t>
                  </w:r>
                </w:p>
                <w:p>
                  <w:pPr>
                    <w:autoSpaceDE w:val="0"/>
                    <w:autoSpaceDN w:val="0"/>
                    <w:adjustRightInd w:val="0"/>
                    <w:snapToGrid w:val="0"/>
                    <w:jc w:val="center"/>
                    <w:rPr>
                      <w:szCs w:val="21"/>
                    </w:rPr>
                  </w:pPr>
                  <w:r>
                    <w:rPr>
                      <w:rFonts w:hint="eastAsia"/>
                      <w:szCs w:val="21"/>
                    </w:rPr>
                    <w:t>每次两天</w:t>
                  </w:r>
                </w:p>
              </w:tc>
              <w:tc>
                <w:tcPr>
                  <w:tcW w:w="4852" w:type="dxa"/>
                  <w:vAlign w:val="center"/>
                </w:tcPr>
                <w:p>
                  <w:pPr>
                    <w:autoSpaceDE w:val="0"/>
                    <w:autoSpaceDN w:val="0"/>
                    <w:adjustRightInd w:val="0"/>
                    <w:snapToGrid w:val="0"/>
                    <w:rPr>
                      <w:szCs w:val="21"/>
                    </w:rPr>
                  </w:pPr>
                  <w:r>
                    <w:rPr>
                      <w:rFonts w:hint="eastAsia"/>
                      <w:szCs w:val="21"/>
                    </w:rPr>
                    <w:t>河南省环境污染防治攻坚战领导小组办公室文件（豫环攻坚办</w:t>
                  </w:r>
                  <w:r>
                    <w:rPr>
                      <w:szCs w:val="21"/>
                    </w:rPr>
                    <w:t>[2017]162</w:t>
                  </w:r>
                  <w:r>
                    <w:rPr>
                      <w:rFonts w:hint="eastAsia"/>
                      <w:szCs w:val="21"/>
                    </w:rPr>
                    <w:t>号）《关于全省开展工业企业挥发性有机物专项治理工作中排放建议值的通知》附件</w:t>
                  </w:r>
                  <w:r>
                    <w:rPr>
                      <w:szCs w:val="21"/>
                    </w:rPr>
                    <w:t>1</w:t>
                  </w:r>
                </w:p>
                <w:p>
                  <w:pPr>
                    <w:autoSpaceDE w:val="0"/>
                    <w:autoSpaceDN w:val="0"/>
                    <w:adjustRightInd w:val="0"/>
                    <w:snapToGrid w:val="0"/>
                    <w:rPr>
                      <w:szCs w:val="21"/>
                    </w:rPr>
                  </w:pPr>
                  <w:r>
                    <w:rPr>
                      <w:rFonts w:hint="eastAsia"/>
                      <w:szCs w:val="21"/>
                    </w:rPr>
                    <w:t>《合成树脂工业污染物排放标准》（GB31572-2015）表5</w:t>
                  </w:r>
                </w:p>
              </w:tc>
            </w:tr>
          </w:tbl>
          <w:p>
            <w:pPr>
              <w:spacing w:line="460" w:lineRule="exact"/>
              <w:ind w:firstLine="480" w:firstLineChars="200"/>
              <w:rPr>
                <w:sz w:val="24"/>
              </w:rPr>
            </w:pPr>
            <w:r>
              <w:rPr>
                <w:rFonts w:hint="eastAsia"/>
                <w:sz w:val="24"/>
              </w:rPr>
              <w:t>b、监测点位管理</w:t>
            </w:r>
          </w:p>
          <w:p>
            <w:pPr>
              <w:widowControl/>
              <w:spacing w:line="460" w:lineRule="exact"/>
              <w:ind w:firstLine="480" w:firstLineChars="200"/>
              <w:jc w:val="left"/>
              <w:rPr>
                <w:sz w:val="24"/>
              </w:rPr>
            </w:pPr>
            <w:r>
              <w:rPr>
                <w:rFonts w:hint="eastAsia"/>
                <w:sz w:val="24"/>
              </w:rPr>
              <w:t>①排污单位应建立监测点位档案，包括监测点位的管理记录，包括对标志牌的标志是否清晰完成，监测平台，监测孔等是否正常使用，排气筒有无漏风、破损现象等方面的检查记录。</w:t>
            </w:r>
          </w:p>
          <w:p>
            <w:pPr>
              <w:widowControl/>
              <w:spacing w:line="460" w:lineRule="exact"/>
              <w:ind w:firstLine="480" w:firstLineChars="200"/>
              <w:jc w:val="left"/>
              <w:rPr>
                <w:sz w:val="24"/>
              </w:rPr>
            </w:pPr>
            <w:r>
              <w:rPr>
                <w:rFonts w:hint="eastAsia"/>
                <w:sz w:val="24"/>
              </w:rPr>
              <w:t>②监测点位的有关建筑物及相关设施属环境保护设施的组成部分，排污单位应制定相应的管理办法和规章制度，选派人员对监测点位进行管理，并保存相关管理记录，配合监测人员开展监测工作。</w:t>
            </w:r>
          </w:p>
          <w:p>
            <w:pPr>
              <w:widowControl/>
              <w:spacing w:line="460" w:lineRule="exact"/>
              <w:ind w:firstLine="480" w:firstLineChars="200"/>
              <w:jc w:val="left"/>
              <w:rPr>
                <w:sz w:val="24"/>
              </w:rPr>
            </w:pPr>
            <w:r>
              <w:rPr>
                <w:rFonts w:hint="eastAsia"/>
                <w:sz w:val="24"/>
              </w:rPr>
              <w:t>③监测点位信息变化时，排污单位应及时更换标志牌相应内容。</w:t>
            </w:r>
          </w:p>
          <w:p>
            <w:pPr>
              <w:pStyle w:val="151"/>
              <w:spacing w:line="440" w:lineRule="exact"/>
              <w:ind w:firstLine="48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4</w:t>
            </w:r>
            <w:r>
              <w:rPr>
                <w:rFonts w:hint="eastAsia" w:ascii="Times New Roman" w:hAnsi="Times New Roman" w:cs="Times New Roman"/>
              </w:rPr>
              <w:t>）排污口规范化设置</w:t>
            </w:r>
          </w:p>
          <w:p>
            <w:pPr>
              <w:pStyle w:val="151"/>
              <w:spacing w:line="440" w:lineRule="exact"/>
              <w:ind w:firstLine="480"/>
              <w:rPr>
                <w:rFonts w:ascii="Times New Roman" w:hAnsi="Times New Roman" w:cs="Times New Roman"/>
              </w:rPr>
            </w:pPr>
            <w:r>
              <w:rPr>
                <w:rFonts w:hint="eastAsia" w:ascii="Times New Roman" w:hAnsi="Times New Roman" w:cs="Times New Roman"/>
              </w:rPr>
              <w:t>各污染源排放口设置专项图标，执行《环境图形标准排污口（源）》（</w:t>
            </w:r>
            <w:r>
              <w:rPr>
                <w:rFonts w:ascii="Times New Roman" w:hAnsi="Times New Roman" w:cs="Times New Roman"/>
              </w:rPr>
              <w:t>GB15563.1-1995</w:t>
            </w:r>
            <w:r>
              <w:rPr>
                <w:rFonts w:hint="eastAsia" w:ascii="Times New Roman" w:hAnsi="Times New Roman" w:cs="Times New Roman"/>
              </w:rPr>
              <w:t>）、《环境保护图形标志—固体废物贮存（处置）场》（</w:t>
            </w:r>
            <w:r>
              <w:rPr>
                <w:rFonts w:ascii="Times New Roman" w:hAnsi="Times New Roman" w:cs="Times New Roman"/>
              </w:rPr>
              <w:t>GB15562.2-1995</w:t>
            </w:r>
            <w:r>
              <w:rPr>
                <w:rFonts w:hint="eastAsia" w:ascii="Times New Roman" w:hAnsi="Times New Roman" w:cs="Times New Roman"/>
              </w:rPr>
              <w:t>）的相关要求。根据规定要求各排污口（源）提示标志形状采用正方形边框，背景颜色采用绿色，图形颜色采用白色。标志牌应设在与之功能相应的醒目处，并保持清晰、完整。具体标志牌示意详见下图。</w:t>
            </w:r>
          </w:p>
          <w:p>
            <w:pPr>
              <w:pStyle w:val="151"/>
              <w:spacing w:line="440" w:lineRule="exact"/>
              <w:ind w:firstLine="480"/>
              <w:rPr>
                <w:rFonts w:ascii="Times New Roman" w:hAnsi="Times New Roman" w:cs="Times New Roman"/>
              </w:rPr>
            </w:pPr>
          </w:p>
          <w:p>
            <w:pPr>
              <w:pStyle w:val="151"/>
              <w:spacing w:line="440" w:lineRule="exact"/>
              <w:ind w:firstLine="480"/>
              <w:rPr>
                <w:rFonts w:ascii="Times New Roman" w:hAnsi="Times New Roman" w:cs="Times New Roman"/>
              </w:rPr>
            </w:pPr>
          </w:p>
          <w:p>
            <w:pPr>
              <w:pStyle w:val="151"/>
              <w:spacing w:line="440" w:lineRule="exact"/>
              <w:ind w:firstLine="480"/>
              <w:rPr>
                <w:rFonts w:ascii="Times New Roman" w:hAnsi="Times New Roman" w:cs="Times New Roman"/>
              </w:rPr>
            </w:pPr>
          </w:p>
          <w:p>
            <w:pPr>
              <w:pStyle w:val="151"/>
              <w:spacing w:line="440" w:lineRule="exact"/>
              <w:ind w:firstLine="480"/>
              <w:rPr>
                <w:rFonts w:ascii="Times New Roman" w:hAnsi="Times New Roman" w:cs="Times New Roman"/>
              </w:rPr>
            </w:pPr>
          </w:p>
          <w:p>
            <w:pPr>
              <w:pStyle w:val="151"/>
              <w:spacing w:line="440" w:lineRule="exact"/>
              <w:ind w:firstLine="480"/>
              <w:rPr>
                <w:rFonts w:ascii="Times New Roman" w:hAnsi="Times New Roman" w:cs="Times New Roman"/>
              </w:rPr>
            </w:pPr>
          </w:p>
          <w:p>
            <w:pPr>
              <w:pStyle w:val="151"/>
              <w:spacing w:line="440" w:lineRule="exact"/>
              <w:ind w:firstLine="480"/>
              <w:rPr>
                <w:rFonts w:ascii="Times New Roman" w:hAnsi="Times New Roman" w:cs="Times New Roman"/>
              </w:rPr>
            </w:pPr>
          </w:p>
          <w:p>
            <w:pPr>
              <w:pStyle w:val="151"/>
              <w:tabs>
                <w:tab w:val="center" w:pos="4650"/>
                <w:tab w:val="right" w:pos="9180"/>
              </w:tabs>
              <w:spacing w:line="360" w:lineRule="auto"/>
              <w:ind w:firstLine="0" w:firstLineChars="0"/>
              <w:jc w:val="left"/>
            </w:pPr>
            <w:r>
              <w:rPr>
                <w:rFonts w:hint="eastAsia"/>
              </w:rPr>
              <w:tab/>
            </w:r>
            <w:r>
              <w:drawing>
                <wp:inline distT="0" distB="0" distL="0" distR="0">
                  <wp:extent cx="5057140" cy="2282190"/>
                  <wp:effectExtent l="19050" t="19050" r="10160" b="228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3" cstate="print"/>
                          <a:srcRect/>
                          <a:stretch>
                            <a:fillRect/>
                          </a:stretch>
                        </pic:blipFill>
                        <pic:spPr>
                          <a:xfrm>
                            <a:off x="0" y="0"/>
                            <a:ext cx="5057140" cy="2282190"/>
                          </a:xfrm>
                          <a:prstGeom prst="rect">
                            <a:avLst/>
                          </a:prstGeom>
                          <a:noFill/>
                          <a:ln w="6350" cmpd="sng">
                            <a:solidFill>
                              <a:srgbClr val="000000"/>
                            </a:solidFill>
                            <a:miter lim="800000"/>
                            <a:headEnd/>
                            <a:tailEnd/>
                          </a:ln>
                          <a:effectLst/>
                        </pic:spPr>
                      </pic:pic>
                    </a:graphicData>
                  </a:graphic>
                </wp:inline>
              </w:drawing>
            </w:r>
            <w:r>
              <w:rPr>
                <w:rFonts w:hint="eastAsia"/>
              </w:rPr>
              <w:tab/>
            </w:r>
          </w:p>
          <w:p>
            <w:pPr>
              <w:pStyle w:val="151"/>
              <w:tabs>
                <w:tab w:val="center" w:pos="4650"/>
                <w:tab w:val="right" w:pos="9180"/>
              </w:tabs>
              <w:spacing w:line="360" w:lineRule="auto"/>
              <w:ind w:firstLine="0" w:firstLineChars="0"/>
              <w:jc w:val="center"/>
              <w:rPr>
                <w:rFonts w:ascii="Times New Roman" w:hAnsi="Times New Roman" w:eastAsia="黑体" w:cs="Times New Roman"/>
                <w:kern w:val="0"/>
                <w:szCs w:val="24"/>
              </w:rPr>
            </w:pPr>
            <w:r>
              <w:rPr>
                <w:rFonts w:ascii="Times New Roman" w:eastAsia="黑体" w:cs="Times New Roman"/>
                <w:kern w:val="0"/>
                <w:szCs w:val="24"/>
              </w:rPr>
              <w:t>图</w:t>
            </w:r>
            <w:r>
              <w:rPr>
                <w:rFonts w:ascii="Times New Roman" w:hAnsi="Times New Roman" w:eastAsia="黑体" w:cs="Times New Roman"/>
                <w:kern w:val="0"/>
                <w:szCs w:val="24"/>
              </w:rPr>
              <w:t xml:space="preserve">6   </w:t>
            </w:r>
            <w:r>
              <w:rPr>
                <w:rFonts w:ascii="Times New Roman" w:eastAsia="黑体" w:cs="Times New Roman"/>
                <w:kern w:val="0"/>
                <w:szCs w:val="24"/>
              </w:rPr>
              <w:t>环境保护图形</w:t>
            </w:r>
          </w:p>
          <w:p>
            <w:pPr>
              <w:pStyle w:val="65"/>
              <w:spacing w:line="480" w:lineRule="exact"/>
              <w:ind w:firstLine="479"/>
              <w:rPr>
                <w:rFonts w:ascii="Times New Roman" w:hAnsi="Times New Roman" w:cs="Times New Roman"/>
                <w:b/>
                <w:sz w:val="24"/>
                <w:szCs w:val="24"/>
              </w:rPr>
            </w:pPr>
            <w:r>
              <w:rPr>
                <w:rFonts w:hint="eastAsia" w:ascii="Times New Roman" w:hAnsi="Times New Roman" w:cs="Times New Roman"/>
                <w:b/>
                <w:sz w:val="24"/>
                <w:szCs w:val="24"/>
              </w:rPr>
              <w:t>九</w:t>
            </w:r>
            <w:r>
              <w:rPr>
                <w:rFonts w:ascii="Times New Roman" w:hAnsi="Times New Roman" w:cs="Times New Roman"/>
                <w:b/>
                <w:sz w:val="24"/>
                <w:szCs w:val="24"/>
              </w:rPr>
              <w:t>、</w:t>
            </w:r>
            <w:r>
              <w:rPr>
                <w:rFonts w:hint="eastAsia" w:ascii="Times New Roman" w:hAnsi="Times New Roman" w:cs="Times New Roman"/>
                <w:b/>
                <w:sz w:val="24"/>
                <w:szCs w:val="24"/>
              </w:rPr>
              <w:t>在线监测与视频监控要求</w:t>
            </w:r>
          </w:p>
          <w:p>
            <w:pPr>
              <w:pStyle w:val="65"/>
              <w:spacing w:line="480" w:lineRule="exact"/>
              <w:ind w:firstLine="479"/>
              <w:rPr>
                <w:rFonts w:ascii="Times New Roman" w:hAnsi="Times New Roman" w:cs="Times New Roman"/>
                <w:sz w:val="24"/>
                <w:szCs w:val="24"/>
              </w:rPr>
            </w:pPr>
            <w:r>
              <w:rPr>
                <w:rFonts w:hint="eastAsia" w:ascii="Times New Roman" w:hAnsi="Times New Roman" w:cs="Times New Roman"/>
                <w:sz w:val="24"/>
                <w:szCs w:val="24"/>
              </w:rPr>
              <w:t>根据《新乡市2019年大气污染防治攻坚战实施方案》（新环攻坚〔2019〕74号）的要求，将包装印刷、工业涂装、化工等VOCs排放重点企业纳入重点排污单位名录，12月底前，安装VOCs排放自动监控设备并与环保部门联网。本次扩建项目完成后厂区内包含非甲烷总烃废气有组织排放，评价提出企业按照要求在非甲烷总烃排气筒安装在线监控，并与环保部门联网。</w:t>
            </w:r>
          </w:p>
          <w:p>
            <w:pPr>
              <w:pStyle w:val="65"/>
              <w:spacing w:line="480" w:lineRule="exact"/>
              <w:ind w:firstLine="479"/>
              <w:rPr>
                <w:rFonts w:ascii="Times New Roman" w:hAnsi="Times New Roman" w:cs="Times New Roman"/>
                <w:sz w:val="24"/>
                <w:szCs w:val="24"/>
              </w:rPr>
            </w:pPr>
            <w:r>
              <w:rPr>
                <w:rFonts w:hint="eastAsia" w:ascii="Times New Roman" w:hAnsi="Times New Roman" w:cs="Times New Roman"/>
                <w:sz w:val="24"/>
                <w:szCs w:val="24"/>
              </w:rPr>
              <w:t>根据《京津冀及周边地区2019-2020年秋冬季大气污染综合治理攻坚行动方案》的通知（环大气〔2019〕88号），鼓励各地对颗粒物、VOCs无组织排放突出的企业，要求在主要排放工序安装视频监控设施，评价提出在厂区内的污染防治措施处、生产区及厂区大门口处安装视频监控。</w:t>
            </w:r>
          </w:p>
          <w:p>
            <w:pPr>
              <w:pStyle w:val="65"/>
              <w:spacing w:line="480" w:lineRule="exact"/>
              <w:ind w:firstLine="479"/>
              <w:rPr>
                <w:rFonts w:ascii="Times New Roman" w:hAnsi="Times New Roman" w:cs="Times New Roman"/>
                <w:sz w:val="24"/>
                <w:szCs w:val="24"/>
              </w:rPr>
            </w:pPr>
            <w:r>
              <w:rPr>
                <w:rFonts w:hint="eastAsia" w:ascii="Times New Roman" w:hAnsi="Times New Roman" w:cs="Times New Roman"/>
                <w:sz w:val="24"/>
                <w:szCs w:val="24"/>
              </w:rPr>
              <w:t>根据《新乡市生态环境局关于部署安装工业企业用电量监控系统的通知》（新环[2019]154号）要求，在总用电控制位置、主要生产设施和污染治理设施必须安装用电量监控系统终端，因此评价提出厂区内总用电处、生产设施和废气处理设施处安装用电监控设施，并与环保部门联网。</w:t>
            </w:r>
          </w:p>
          <w:p>
            <w:pPr>
              <w:pStyle w:val="65"/>
              <w:spacing w:line="480" w:lineRule="exact"/>
              <w:ind w:firstLine="479"/>
              <w:rPr>
                <w:rFonts w:ascii="Times New Roman" w:hAnsi="Times New Roman" w:cs="Times New Roman"/>
                <w:b/>
                <w:sz w:val="24"/>
                <w:szCs w:val="24"/>
              </w:rPr>
            </w:pPr>
            <w:r>
              <w:rPr>
                <w:rFonts w:hint="eastAsia"/>
                <w:b/>
                <w:sz w:val="24"/>
              </w:rPr>
              <w:t>十</w:t>
            </w:r>
            <w:r>
              <w:rPr>
                <w:b/>
                <w:sz w:val="24"/>
              </w:rPr>
              <w:t>、</w:t>
            </w:r>
            <w:r>
              <w:rPr>
                <w:rFonts w:ascii="Times New Roman" w:hAnsi="Times New Roman" w:cs="Times New Roman"/>
                <w:b/>
                <w:sz w:val="24"/>
                <w:szCs w:val="24"/>
              </w:rPr>
              <w:t>厂址合理性分析</w:t>
            </w:r>
          </w:p>
          <w:p>
            <w:pPr>
              <w:spacing w:line="460" w:lineRule="exact"/>
              <w:ind w:firstLine="480"/>
              <w:jc w:val="left"/>
              <w:rPr>
                <w:b/>
                <w:sz w:val="24"/>
                <w:u w:val="single"/>
              </w:rPr>
            </w:pPr>
            <w:r>
              <w:rPr>
                <w:b/>
                <w:bCs/>
                <w:sz w:val="24"/>
                <w:u w:val="single"/>
              </w:rPr>
              <w:t>1、</w:t>
            </w:r>
            <w:r>
              <w:rPr>
                <w:b/>
                <w:sz w:val="24"/>
                <w:u w:val="single"/>
              </w:rPr>
              <w:t>本项目位于</w:t>
            </w:r>
            <w:r>
              <w:rPr>
                <w:b/>
                <w:bCs/>
                <w:sz w:val="24"/>
                <w:u w:val="single"/>
              </w:rPr>
              <w:t>新乡市凤泉区大块镇小块村西1658号</w:t>
            </w:r>
            <w:r>
              <w:rPr>
                <w:b/>
                <w:sz w:val="24"/>
                <w:u w:val="single"/>
              </w:rPr>
              <w:t>，根据</w:t>
            </w:r>
            <w:r>
              <w:rPr>
                <w:rFonts w:hint="eastAsia"/>
                <w:b/>
                <w:sz w:val="24"/>
                <w:u w:val="single"/>
              </w:rPr>
              <w:t>大块镇</w:t>
            </w:r>
            <w:r>
              <w:rPr>
                <w:b/>
                <w:sz w:val="24"/>
                <w:u w:val="single"/>
              </w:rPr>
              <w:t>土地利用总体规划图（2010-2020）（见附图），该项目用地属于允许建设区</w:t>
            </w:r>
            <w:r>
              <w:rPr>
                <w:rFonts w:hint="eastAsia"/>
                <w:b/>
                <w:sz w:val="24"/>
                <w:u w:val="single"/>
              </w:rPr>
              <w:t>。</w:t>
            </w:r>
          </w:p>
          <w:p>
            <w:pPr>
              <w:spacing w:line="480" w:lineRule="exact"/>
              <w:ind w:firstLine="482"/>
              <w:jc w:val="left"/>
              <w:textAlignment w:val="baseline"/>
              <w:rPr>
                <w:sz w:val="24"/>
              </w:rPr>
            </w:pPr>
            <w:r>
              <w:rPr>
                <w:sz w:val="24"/>
              </w:rPr>
              <w:t>2、项目选址距离</w:t>
            </w:r>
            <w:r>
              <w:rPr>
                <w:rFonts w:hint="eastAsia"/>
                <w:sz w:val="24"/>
              </w:rPr>
              <w:t>孟庄镇孟庄村地下水井群</w:t>
            </w:r>
            <w:r>
              <w:rPr>
                <w:sz w:val="24"/>
              </w:rPr>
              <w:t>保护区一级保护区边界</w:t>
            </w:r>
            <w:r>
              <w:rPr>
                <w:rFonts w:hint="eastAsia"/>
                <w:sz w:val="24"/>
              </w:rPr>
              <w:t>5.8</w:t>
            </w:r>
            <w:r>
              <w:rPr>
                <w:sz w:val="24"/>
              </w:rPr>
              <w:t>km</w:t>
            </w:r>
            <w:r>
              <w:rPr>
                <w:rFonts w:hint="eastAsia"/>
                <w:bCs/>
                <w:sz w:val="24"/>
              </w:rPr>
              <w:t>，</w:t>
            </w:r>
            <w:r>
              <w:rPr>
                <w:sz w:val="24"/>
              </w:rPr>
              <w:t>不在其保护区范围内，不会对其造成影响。</w:t>
            </w:r>
          </w:p>
          <w:p>
            <w:pPr>
              <w:spacing w:line="480" w:lineRule="exact"/>
              <w:ind w:firstLine="482"/>
              <w:jc w:val="left"/>
              <w:textAlignment w:val="baseline"/>
              <w:rPr>
                <w:spacing w:val="-4"/>
                <w:sz w:val="24"/>
              </w:rPr>
            </w:pPr>
            <w:r>
              <w:rPr>
                <w:sz w:val="24"/>
              </w:rPr>
              <w:t>3、</w:t>
            </w:r>
            <w:r>
              <w:rPr>
                <w:spacing w:val="-4"/>
                <w:sz w:val="24"/>
              </w:rPr>
              <w:t>项目废气、废水和噪声等污染物在采取评价要求和建议的防治措施后，各污染物均能实现达标排放，固废处置措施合理，对区域环境影响可以接受。</w:t>
            </w:r>
          </w:p>
          <w:p>
            <w:pPr>
              <w:spacing w:line="480" w:lineRule="exact"/>
              <w:ind w:firstLine="482"/>
              <w:jc w:val="left"/>
              <w:textAlignment w:val="baseline"/>
              <w:rPr>
                <w:sz w:val="24"/>
              </w:rPr>
            </w:pPr>
            <w:r>
              <w:rPr>
                <w:sz w:val="24"/>
              </w:rPr>
              <w:t>综上所述，从环保角度而言，项目选址可行。</w:t>
            </w:r>
          </w:p>
          <w:p>
            <w:pPr>
              <w:spacing w:line="520" w:lineRule="exact"/>
              <w:ind w:firstLine="557"/>
              <w:jc w:val="left"/>
              <w:textAlignment w:val="baseline"/>
              <w:rPr>
                <w:b/>
                <w:sz w:val="24"/>
              </w:rPr>
            </w:pPr>
            <w:r>
              <w:rPr>
                <w:rFonts w:hint="eastAsia"/>
                <w:b/>
                <w:sz w:val="24"/>
              </w:rPr>
              <w:t>十一</w:t>
            </w:r>
            <w:r>
              <w:rPr>
                <w:b/>
                <w:sz w:val="24"/>
              </w:rPr>
              <w:t>、以新带老措施</w:t>
            </w:r>
          </w:p>
          <w:p>
            <w:pPr>
              <w:spacing w:line="520" w:lineRule="exact"/>
              <w:ind w:firstLine="557"/>
              <w:jc w:val="left"/>
              <w:textAlignment w:val="baseline"/>
              <w:rPr>
                <w:b/>
                <w:sz w:val="24"/>
                <w:u w:val="single"/>
              </w:rPr>
            </w:pPr>
            <w:r>
              <w:rPr>
                <w:rFonts w:hint="eastAsia"/>
                <w:b/>
                <w:sz w:val="24"/>
                <w:u w:val="single"/>
              </w:rPr>
              <w:t>企业现有工程废气治理措施为UV光催化氧化装置+15m排气筒，</w:t>
            </w:r>
            <w:r>
              <w:rPr>
                <w:b/>
                <w:sz w:val="24"/>
                <w:u w:val="single"/>
              </w:rPr>
              <w:t>本次</w:t>
            </w:r>
            <w:r>
              <w:rPr>
                <w:rFonts w:hint="eastAsia"/>
                <w:b/>
                <w:sz w:val="24"/>
                <w:u w:val="single"/>
              </w:rPr>
              <w:t>评价</w:t>
            </w:r>
            <w:r>
              <w:rPr>
                <w:b/>
                <w:sz w:val="24"/>
                <w:u w:val="single"/>
              </w:rPr>
              <w:t>提出的以新带老措施为</w:t>
            </w:r>
            <w:r>
              <w:rPr>
                <w:rFonts w:hint="eastAsia"/>
                <w:b/>
                <w:sz w:val="24"/>
                <w:u w:val="single"/>
              </w:rPr>
              <w:t>：</w:t>
            </w:r>
            <w:r>
              <w:rPr>
                <w:b/>
                <w:sz w:val="24"/>
                <w:u w:val="single"/>
              </w:rPr>
              <w:t>在</w:t>
            </w:r>
            <w:r>
              <w:rPr>
                <w:rFonts w:hint="eastAsia"/>
                <w:b/>
                <w:sz w:val="24"/>
                <w:u w:val="single"/>
              </w:rPr>
              <w:t>UV光催化氧化装置后增加活性炭吸附装置，进一步减少非甲烷总烃的排放。以新带老措施实施后，现有工程的废气治理效率由71%增加至90%，现有工程原实际排放量为0.2136t/a，以新带老措施可削减掉0.1373t/a，现有工程排放量变为0.0763t/a。</w:t>
            </w:r>
          </w:p>
          <w:p>
            <w:pPr>
              <w:spacing w:line="520" w:lineRule="exact"/>
              <w:ind w:firstLine="557"/>
              <w:jc w:val="left"/>
              <w:textAlignment w:val="baseline"/>
              <w:rPr>
                <w:b/>
                <w:sz w:val="24"/>
              </w:rPr>
            </w:pPr>
            <w:r>
              <w:rPr>
                <w:rFonts w:hint="eastAsia"/>
                <w:b/>
                <w:sz w:val="24"/>
              </w:rPr>
              <w:t>十二、</w:t>
            </w:r>
            <w:r>
              <w:rPr>
                <w:b/>
                <w:sz w:val="24"/>
              </w:rPr>
              <w:t>总量控制分析</w:t>
            </w:r>
          </w:p>
          <w:p>
            <w:pPr>
              <w:spacing w:line="420" w:lineRule="exact"/>
              <w:ind w:firstLine="480" w:firstLineChars="200"/>
              <w:rPr>
                <w:sz w:val="24"/>
              </w:rPr>
            </w:pPr>
            <w:r>
              <w:rPr>
                <w:rFonts w:hint="eastAsia"/>
                <w:sz w:val="24"/>
              </w:rPr>
              <w:t>本项目</w:t>
            </w:r>
            <w:r>
              <w:rPr>
                <w:sz w:val="24"/>
              </w:rPr>
              <w:t>建成运行后全厂污染物</w:t>
            </w:r>
            <w:r>
              <w:rPr>
                <w:rFonts w:hint="eastAsia"/>
                <w:sz w:val="24"/>
              </w:rPr>
              <w:t>排放情况</w:t>
            </w:r>
            <w:r>
              <w:rPr>
                <w:sz w:val="24"/>
              </w:rPr>
              <w:t>见下表</w:t>
            </w:r>
            <w:r>
              <w:rPr>
                <w:rFonts w:hint="eastAsia"/>
                <w:sz w:val="24"/>
              </w:rPr>
              <w:t>：</w:t>
            </w:r>
          </w:p>
          <w:p>
            <w:pPr>
              <w:spacing w:line="420" w:lineRule="exact"/>
              <w:ind w:firstLine="480" w:firstLineChars="200"/>
              <w:rPr>
                <w:rFonts w:eastAsia="黑体"/>
                <w:sz w:val="24"/>
              </w:rPr>
            </w:pPr>
            <w:r>
              <w:rPr>
                <w:rFonts w:hAnsi="黑体" w:eastAsia="黑体"/>
                <w:sz w:val="24"/>
              </w:rPr>
              <w:t>表</w:t>
            </w:r>
            <w:r>
              <w:rPr>
                <w:rFonts w:hint="eastAsia" w:eastAsia="黑体"/>
                <w:sz w:val="24"/>
              </w:rPr>
              <w:t xml:space="preserve">45                                  </w:t>
            </w:r>
            <w:r>
              <w:rPr>
                <w:rFonts w:hAnsi="黑体" w:eastAsia="黑体"/>
                <w:sz w:val="24"/>
              </w:rPr>
              <w:t>全厂工程污染物排放情况一览表</w:t>
            </w:r>
            <w:r>
              <w:rPr>
                <w:rFonts w:hint="eastAsia" w:hAnsi="黑体" w:eastAsia="黑体"/>
                <w:sz w:val="24"/>
              </w:rPr>
              <w:t xml:space="preserve">                               </w:t>
            </w:r>
            <w:r>
              <w:rPr>
                <w:rFonts w:hAnsi="黑体" w:eastAsia="黑体"/>
                <w:sz w:val="24"/>
              </w:rPr>
              <w:t>单位：</w:t>
            </w:r>
            <w:r>
              <w:rPr>
                <w:rFonts w:eastAsia="黑体"/>
                <w:sz w:val="24"/>
              </w:rPr>
              <w:t>t/a</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004"/>
              <w:gridCol w:w="1339"/>
              <w:gridCol w:w="1140"/>
              <w:gridCol w:w="1286"/>
              <w:gridCol w:w="1330"/>
              <w:gridCol w:w="1224"/>
              <w:gridCol w:w="12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2" w:type="dxa"/>
                  <w:gridSpan w:val="2"/>
                  <w:vAlign w:val="center"/>
                </w:tcPr>
                <w:p>
                  <w:pPr>
                    <w:jc w:val="center"/>
                    <w:rPr>
                      <w:rFonts w:eastAsiaTheme="minorEastAsia"/>
                      <w:b/>
                      <w:szCs w:val="21"/>
                    </w:rPr>
                  </w:pPr>
                  <w:r>
                    <w:rPr>
                      <w:rFonts w:eastAsiaTheme="minorEastAsia"/>
                      <w:b/>
                      <w:szCs w:val="21"/>
                    </w:rPr>
                    <w:t>污染物</w:t>
                  </w:r>
                </w:p>
              </w:tc>
              <w:tc>
                <w:tcPr>
                  <w:tcW w:w="1339" w:type="dxa"/>
                  <w:vAlign w:val="center"/>
                </w:tcPr>
                <w:p>
                  <w:pPr>
                    <w:jc w:val="center"/>
                    <w:rPr>
                      <w:rFonts w:eastAsiaTheme="minorEastAsia"/>
                      <w:b/>
                      <w:szCs w:val="21"/>
                    </w:rPr>
                  </w:pPr>
                  <w:r>
                    <w:rPr>
                      <w:rFonts w:eastAsiaTheme="minorEastAsia"/>
                      <w:b/>
                      <w:szCs w:val="21"/>
                    </w:rPr>
                    <w:t>现有工程实际排放量</w:t>
                  </w:r>
                </w:p>
              </w:tc>
              <w:tc>
                <w:tcPr>
                  <w:tcW w:w="1140" w:type="dxa"/>
                  <w:vAlign w:val="center"/>
                </w:tcPr>
                <w:p>
                  <w:pPr>
                    <w:jc w:val="center"/>
                    <w:rPr>
                      <w:rFonts w:eastAsiaTheme="minorEastAsia"/>
                      <w:b/>
                      <w:szCs w:val="21"/>
                    </w:rPr>
                  </w:pPr>
                  <w:r>
                    <w:rPr>
                      <w:rFonts w:eastAsiaTheme="minorEastAsia"/>
                      <w:b/>
                      <w:szCs w:val="21"/>
                    </w:rPr>
                    <w:t>现有工程许可排放量</w:t>
                  </w:r>
                </w:p>
              </w:tc>
              <w:tc>
                <w:tcPr>
                  <w:tcW w:w="1286" w:type="dxa"/>
                  <w:vAlign w:val="center"/>
                </w:tcPr>
                <w:p>
                  <w:pPr>
                    <w:jc w:val="center"/>
                    <w:rPr>
                      <w:rFonts w:eastAsiaTheme="minorEastAsia"/>
                      <w:b/>
                      <w:szCs w:val="21"/>
                    </w:rPr>
                  </w:pPr>
                  <w:r>
                    <w:rPr>
                      <w:rFonts w:eastAsiaTheme="minorEastAsia"/>
                      <w:b/>
                      <w:szCs w:val="21"/>
                    </w:rPr>
                    <w:t>本工程排放量</w:t>
                  </w:r>
                </w:p>
              </w:tc>
              <w:tc>
                <w:tcPr>
                  <w:tcW w:w="1330" w:type="dxa"/>
                  <w:vAlign w:val="center"/>
                </w:tcPr>
                <w:p>
                  <w:pPr>
                    <w:jc w:val="center"/>
                    <w:rPr>
                      <w:rFonts w:eastAsiaTheme="minorEastAsia"/>
                      <w:b/>
                      <w:szCs w:val="21"/>
                    </w:rPr>
                  </w:pPr>
                  <w:r>
                    <w:rPr>
                      <w:rFonts w:eastAsiaTheme="minorEastAsia"/>
                      <w:b/>
                      <w:szCs w:val="21"/>
                    </w:rPr>
                    <w:t>以新带老削减量</w:t>
                  </w:r>
                </w:p>
              </w:tc>
              <w:tc>
                <w:tcPr>
                  <w:tcW w:w="1224" w:type="dxa"/>
                  <w:vAlign w:val="center"/>
                </w:tcPr>
                <w:p>
                  <w:pPr>
                    <w:jc w:val="center"/>
                    <w:rPr>
                      <w:rFonts w:eastAsiaTheme="minorEastAsia"/>
                      <w:b/>
                      <w:szCs w:val="21"/>
                    </w:rPr>
                  </w:pPr>
                  <w:r>
                    <w:rPr>
                      <w:rFonts w:eastAsiaTheme="minorEastAsia"/>
                      <w:b/>
                      <w:szCs w:val="21"/>
                    </w:rPr>
                    <w:t>全厂排放量</w:t>
                  </w:r>
                </w:p>
              </w:tc>
              <w:tc>
                <w:tcPr>
                  <w:tcW w:w="1221" w:type="dxa"/>
                  <w:vAlign w:val="center"/>
                </w:tcPr>
                <w:p>
                  <w:pPr>
                    <w:jc w:val="center"/>
                    <w:rPr>
                      <w:rFonts w:eastAsiaTheme="minorEastAsia"/>
                      <w:b/>
                      <w:szCs w:val="21"/>
                    </w:rPr>
                  </w:pPr>
                  <w:r>
                    <w:rPr>
                      <w:rFonts w:eastAsiaTheme="minorEastAsia"/>
                      <w:b/>
                      <w:szCs w:val="21"/>
                    </w:rPr>
                    <w:t>全厂排放增减量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restart"/>
                  <w:vAlign w:val="center"/>
                </w:tcPr>
                <w:p>
                  <w:pPr>
                    <w:jc w:val="center"/>
                    <w:rPr>
                      <w:rFonts w:eastAsiaTheme="minorEastAsia"/>
                      <w:szCs w:val="21"/>
                    </w:rPr>
                  </w:pPr>
                  <w:r>
                    <w:rPr>
                      <w:rFonts w:eastAsiaTheme="minorEastAsia"/>
                      <w:szCs w:val="21"/>
                    </w:rPr>
                    <w:t>废水</w:t>
                  </w:r>
                </w:p>
              </w:tc>
              <w:tc>
                <w:tcPr>
                  <w:tcW w:w="1004" w:type="dxa"/>
                  <w:vAlign w:val="center"/>
                </w:tcPr>
                <w:p>
                  <w:pPr>
                    <w:jc w:val="center"/>
                    <w:rPr>
                      <w:rFonts w:eastAsiaTheme="minorEastAsia"/>
                      <w:szCs w:val="21"/>
                    </w:rPr>
                  </w:pPr>
                  <w:r>
                    <w:rPr>
                      <w:rFonts w:hint="eastAsia" w:eastAsiaTheme="minorEastAsia"/>
                      <w:szCs w:val="21"/>
                    </w:rPr>
                    <w:t>COD</w:t>
                  </w:r>
                </w:p>
              </w:tc>
              <w:tc>
                <w:tcPr>
                  <w:tcW w:w="1339" w:type="dxa"/>
                  <w:vAlign w:val="center"/>
                </w:tcPr>
                <w:p>
                  <w:pPr>
                    <w:jc w:val="center"/>
                    <w:rPr>
                      <w:rFonts w:eastAsiaTheme="minorEastAsia"/>
                      <w:szCs w:val="21"/>
                    </w:rPr>
                  </w:pPr>
                  <w:r>
                    <w:rPr>
                      <w:rFonts w:hint="eastAsia" w:eastAsiaTheme="minorEastAsia"/>
                      <w:szCs w:val="21"/>
                    </w:rPr>
                    <w:t>0</w:t>
                  </w:r>
                </w:p>
              </w:tc>
              <w:tc>
                <w:tcPr>
                  <w:tcW w:w="1140" w:type="dxa"/>
                  <w:vAlign w:val="center"/>
                </w:tcPr>
                <w:p>
                  <w:pPr>
                    <w:jc w:val="center"/>
                    <w:rPr>
                      <w:rFonts w:eastAsiaTheme="minorEastAsia"/>
                      <w:szCs w:val="21"/>
                    </w:rPr>
                  </w:pPr>
                  <w:r>
                    <w:rPr>
                      <w:rFonts w:hint="eastAsia" w:eastAsiaTheme="minorEastAsia"/>
                      <w:szCs w:val="21"/>
                    </w:rPr>
                    <w:t>0</w:t>
                  </w:r>
                </w:p>
              </w:tc>
              <w:tc>
                <w:tcPr>
                  <w:tcW w:w="1286" w:type="dxa"/>
                  <w:vAlign w:val="center"/>
                </w:tcPr>
                <w:p>
                  <w:pPr>
                    <w:jc w:val="center"/>
                    <w:rPr>
                      <w:rFonts w:eastAsiaTheme="minorEastAsia"/>
                      <w:szCs w:val="21"/>
                    </w:rPr>
                  </w:pPr>
                  <w:r>
                    <w:rPr>
                      <w:rFonts w:hint="eastAsia" w:eastAsiaTheme="minorEastAsia"/>
                      <w:szCs w:val="21"/>
                    </w:rPr>
                    <w:t>0</w:t>
                  </w:r>
                </w:p>
              </w:tc>
              <w:tc>
                <w:tcPr>
                  <w:tcW w:w="1330" w:type="dxa"/>
                  <w:vAlign w:val="center"/>
                </w:tcPr>
                <w:p>
                  <w:pPr>
                    <w:jc w:val="center"/>
                    <w:rPr>
                      <w:rFonts w:eastAsiaTheme="minorEastAsia"/>
                      <w:szCs w:val="21"/>
                    </w:rPr>
                  </w:pPr>
                  <w:r>
                    <w:rPr>
                      <w:rFonts w:hint="eastAsia" w:eastAsiaTheme="minorEastAsia"/>
                      <w:szCs w:val="21"/>
                    </w:rPr>
                    <w:t>0</w:t>
                  </w:r>
                </w:p>
              </w:tc>
              <w:tc>
                <w:tcPr>
                  <w:tcW w:w="1224" w:type="dxa"/>
                  <w:vAlign w:val="center"/>
                </w:tcPr>
                <w:p>
                  <w:pPr>
                    <w:jc w:val="center"/>
                    <w:rPr>
                      <w:rFonts w:eastAsiaTheme="minorEastAsia"/>
                      <w:szCs w:val="21"/>
                    </w:rPr>
                  </w:pPr>
                  <w:r>
                    <w:rPr>
                      <w:rFonts w:hint="eastAsia" w:eastAsiaTheme="minorEastAsia"/>
                      <w:szCs w:val="21"/>
                    </w:rPr>
                    <w:t>0</w:t>
                  </w:r>
                </w:p>
              </w:tc>
              <w:tc>
                <w:tcPr>
                  <w:tcW w:w="1221" w:type="dxa"/>
                  <w:vAlign w:val="center"/>
                </w:tcPr>
                <w:p>
                  <w:pPr>
                    <w:jc w:val="center"/>
                    <w:rPr>
                      <w:rFonts w:eastAsiaTheme="minorEastAsia"/>
                      <w:szCs w:val="21"/>
                    </w:rPr>
                  </w:pPr>
                  <w:r>
                    <w:rPr>
                      <w:rFonts w:hint="eastAsia" w:eastAsiaTheme="minor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878" w:type="dxa"/>
                  <w:vMerge w:val="continue"/>
                  <w:vAlign w:val="center"/>
                </w:tcPr>
                <w:p>
                  <w:pPr>
                    <w:jc w:val="center"/>
                    <w:rPr>
                      <w:rFonts w:eastAsiaTheme="minorEastAsia"/>
                      <w:szCs w:val="21"/>
                    </w:rPr>
                  </w:pPr>
                </w:p>
              </w:tc>
              <w:tc>
                <w:tcPr>
                  <w:tcW w:w="1004" w:type="dxa"/>
                  <w:vAlign w:val="center"/>
                </w:tcPr>
                <w:p>
                  <w:pPr>
                    <w:jc w:val="center"/>
                    <w:rPr>
                      <w:rFonts w:eastAsiaTheme="minorEastAsia"/>
                      <w:szCs w:val="21"/>
                    </w:rPr>
                  </w:pPr>
                  <w:r>
                    <w:rPr>
                      <w:rFonts w:hint="eastAsia" w:eastAsiaTheme="minorEastAsia"/>
                      <w:szCs w:val="21"/>
                    </w:rPr>
                    <w:t>NH</w:t>
                  </w:r>
                  <w:r>
                    <w:rPr>
                      <w:rFonts w:hint="eastAsia" w:eastAsiaTheme="minorEastAsia"/>
                      <w:szCs w:val="21"/>
                      <w:vertAlign w:val="subscript"/>
                    </w:rPr>
                    <w:t>3</w:t>
                  </w:r>
                  <w:r>
                    <w:rPr>
                      <w:rFonts w:hint="eastAsia" w:eastAsiaTheme="minorEastAsia"/>
                      <w:szCs w:val="21"/>
                    </w:rPr>
                    <w:t>-N</w:t>
                  </w:r>
                </w:p>
              </w:tc>
              <w:tc>
                <w:tcPr>
                  <w:tcW w:w="1339" w:type="dxa"/>
                  <w:vAlign w:val="center"/>
                </w:tcPr>
                <w:p>
                  <w:pPr>
                    <w:jc w:val="center"/>
                    <w:rPr>
                      <w:rFonts w:eastAsiaTheme="minorEastAsia"/>
                      <w:szCs w:val="21"/>
                    </w:rPr>
                  </w:pPr>
                  <w:r>
                    <w:rPr>
                      <w:rFonts w:hint="eastAsia" w:eastAsiaTheme="minorEastAsia"/>
                      <w:szCs w:val="21"/>
                    </w:rPr>
                    <w:t>0</w:t>
                  </w:r>
                </w:p>
              </w:tc>
              <w:tc>
                <w:tcPr>
                  <w:tcW w:w="1140" w:type="dxa"/>
                  <w:vAlign w:val="center"/>
                </w:tcPr>
                <w:p>
                  <w:pPr>
                    <w:jc w:val="center"/>
                    <w:rPr>
                      <w:rFonts w:eastAsiaTheme="minorEastAsia"/>
                      <w:szCs w:val="21"/>
                    </w:rPr>
                  </w:pPr>
                  <w:r>
                    <w:rPr>
                      <w:rFonts w:hint="eastAsia" w:eastAsiaTheme="minorEastAsia"/>
                      <w:szCs w:val="21"/>
                    </w:rPr>
                    <w:t>0</w:t>
                  </w:r>
                </w:p>
              </w:tc>
              <w:tc>
                <w:tcPr>
                  <w:tcW w:w="1286" w:type="dxa"/>
                  <w:vAlign w:val="center"/>
                </w:tcPr>
                <w:p>
                  <w:pPr>
                    <w:jc w:val="center"/>
                    <w:rPr>
                      <w:rFonts w:eastAsiaTheme="minorEastAsia"/>
                      <w:szCs w:val="21"/>
                    </w:rPr>
                  </w:pPr>
                  <w:r>
                    <w:rPr>
                      <w:rFonts w:hint="eastAsia" w:eastAsiaTheme="minorEastAsia"/>
                      <w:szCs w:val="21"/>
                    </w:rPr>
                    <w:t>0</w:t>
                  </w:r>
                </w:p>
              </w:tc>
              <w:tc>
                <w:tcPr>
                  <w:tcW w:w="1330" w:type="dxa"/>
                  <w:vAlign w:val="center"/>
                </w:tcPr>
                <w:p>
                  <w:pPr>
                    <w:jc w:val="center"/>
                    <w:rPr>
                      <w:rFonts w:eastAsiaTheme="minorEastAsia"/>
                      <w:szCs w:val="21"/>
                    </w:rPr>
                  </w:pPr>
                  <w:r>
                    <w:rPr>
                      <w:rFonts w:hint="eastAsia" w:eastAsiaTheme="minorEastAsia"/>
                      <w:szCs w:val="21"/>
                    </w:rPr>
                    <w:t>0</w:t>
                  </w:r>
                </w:p>
              </w:tc>
              <w:tc>
                <w:tcPr>
                  <w:tcW w:w="1224" w:type="dxa"/>
                  <w:vAlign w:val="center"/>
                </w:tcPr>
                <w:p>
                  <w:pPr>
                    <w:jc w:val="center"/>
                    <w:rPr>
                      <w:rFonts w:eastAsiaTheme="minorEastAsia"/>
                      <w:szCs w:val="21"/>
                    </w:rPr>
                  </w:pPr>
                  <w:r>
                    <w:rPr>
                      <w:rFonts w:hint="eastAsia" w:eastAsiaTheme="minorEastAsia"/>
                      <w:szCs w:val="21"/>
                    </w:rPr>
                    <w:t>0</w:t>
                  </w:r>
                </w:p>
              </w:tc>
              <w:tc>
                <w:tcPr>
                  <w:tcW w:w="1221" w:type="dxa"/>
                  <w:vAlign w:val="center"/>
                </w:tcPr>
                <w:p>
                  <w:pPr>
                    <w:jc w:val="center"/>
                    <w:rPr>
                      <w:rFonts w:eastAsiaTheme="minorEastAsia"/>
                      <w:szCs w:val="21"/>
                    </w:rPr>
                  </w:pPr>
                  <w:r>
                    <w:rPr>
                      <w:rFonts w:hint="eastAsia" w:eastAsiaTheme="minor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878" w:type="dxa"/>
                  <w:vMerge w:val="continue"/>
                  <w:vAlign w:val="center"/>
                </w:tcPr>
                <w:p>
                  <w:pPr>
                    <w:jc w:val="center"/>
                    <w:rPr>
                      <w:rFonts w:eastAsiaTheme="minorEastAsia"/>
                      <w:szCs w:val="21"/>
                    </w:rPr>
                  </w:pPr>
                </w:p>
              </w:tc>
              <w:tc>
                <w:tcPr>
                  <w:tcW w:w="1004" w:type="dxa"/>
                  <w:vAlign w:val="center"/>
                </w:tcPr>
                <w:p>
                  <w:pPr>
                    <w:jc w:val="center"/>
                    <w:rPr>
                      <w:rFonts w:eastAsiaTheme="minorEastAsia"/>
                      <w:szCs w:val="21"/>
                    </w:rPr>
                  </w:pPr>
                  <w:r>
                    <w:rPr>
                      <w:rFonts w:hint="eastAsia" w:eastAsiaTheme="minorEastAsia"/>
                      <w:szCs w:val="21"/>
                    </w:rPr>
                    <w:t>TP</w:t>
                  </w:r>
                </w:p>
              </w:tc>
              <w:tc>
                <w:tcPr>
                  <w:tcW w:w="1339" w:type="dxa"/>
                  <w:vAlign w:val="center"/>
                </w:tcPr>
                <w:p>
                  <w:pPr>
                    <w:jc w:val="center"/>
                    <w:rPr>
                      <w:rFonts w:eastAsiaTheme="minorEastAsia"/>
                      <w:szCs w:val="21"/>
                    </w:rPr>
                  </w:pPr>
                  <w:r>
                    <w:rPr>
                      <w:rFonts w:hint="eastAsia" w:eastAsiaTheme="minorEastAsia"/>
                      <w:szCs w:val="21"/>
                    </w:rPr>
                    <w:t>0</w:t>
                  </w:r>
                </w:p>
              </w:tc>
              <w:tc>
                <w:tcPr>
                  <w:tcW w:w="1140" w:type="dxa"/>
                  <w:vAlign w:val="center"/>
                </w:tcPr>
                <w:p>
                  <w:pPr>
                    <w:jc w:val="center"/>
                    <w:rPr>
                      <w:rFonts w:eastAsiaTheme="minorEastAsia"/>
                      <w:szCs w:val="21"/>
                    </w:rPr>
                  </w:pPr>
                  <w:r>
                    <w:rPr>
                      <w:rFonts w:hint="eastAsia" w:eastAsiaTheme="minorEastAsia"/>
                      <w:szCs w:val="21"/>
                    </w:rPr>
                    <w:t>0</w:t>
                  </w:r>
                </w:p>
              </w:tc>
              <w:tc>
                <w:tcPr>
                  <w:tcW w:w="1286" w:type="dxa"/>
                  <w:vAlign w:val="center"/>
                </w:tcPr>
                <w:p>
                  <w:pPr>
                    <w:jc w:val="center"/>
                    <w:rPr>
                      <w:rFonts w:eastAsiaTheme="minorEastAsia"/>
                      <w:szCs w:val="21"/>
                    </w:rPr>
                  </w:pPr>
                  <w:r>
                    <w:rPr>
                      <w:rFonts w:hint="eastAsia" w:eastAsiaTheme="minorEastAsia"/>
                      <w:szCs w:val="21"/>
                    </w:rPr>
                    <w:t>0</w:t>
                  </w:r>
                </w:p>
              </w:tc>
              <w:tc>
                <w:tcPr>
                  <w:tcW w:w="1330" w:type="dxa"/>
                  <w:vAlign w:val="center"/>
                </w:tcPr>
                <w:p>
                  <w:pPr>
                    <w:jc w:val="center"/>
                    <w:rPr>
                      <w:rFonts w:eastAsiaTheme="minorEastAsia"/>
                      <w:szCs w:val="21"/>
                    </w:rPr>
                  </w:pPr>
                  <w:r>
                    <w:rPr>
                      <w:rFonts w:hint="eastAsia" w:eastAsiaTheme="minorEastAsia"/>
                      <w:szCs w:val="21"/>
                    </w:rPr>
                    <w:t>0</w:t>
                  </w:r>
                </w:p>
              </w:tc>
              <w:tc>
                <w:tcPr>
                  <w:tcW w:w="1224" w:type="dxa"/>
                  <w:vAlign w:val="center"/>
                </w:tcPr>
                <w:p>
                  <w:pPr>
                    <w:jc w:val="center"/>
                    <w:rPr>
                      <w:rFonts w:eastAsiaTheme="minorEastAsia"/>
                      <w:szCs w:val="21"/>
                    </w:rPr>
                  </w:pPr>
                  <w:r>
                    <w:rPr>
                      <w:rFonts w:hint="eastAsia" w:eastAsiaTheme="minorEastAsia"/>
                      <w:szCs w:val="21"/>
                    </w:rPr>
                    <w:t>0</w:t>
                  </w:r>
                </w:p>
              </w:tc>
              <w:tc>
                <w:tcPr>
                  <w:tcW w:w="1221" w:type="dxa"/>
                  <w:vAlign w:val="center"/>
                </w:tcPr>
                <w:p>
                  <w:pPr>
                    <w:jc w:val="center"/>
                    <w:rPr>
                      <w:rFonts w:eastAsiaTheme="minorEastAsia"/>
                      <w:szCs w:val="21"/>
                    </w:rPr>
                  </w:pPr>
                  <w:r>
                    <w:rPr>
                      <w:rFonts w:hint="eastAsia" w:eastAsiaTheme="minor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Merge w:val="continue"/>
                  <w:vAlign w:val="center"/>
                </w:tcPr>
                <w:p>
                  <w:pPr>
                    <w:jc w:val="center"/>
                    <w:rPr>
                      <w:rFonts w:eastAsiaTheme="minorEastAsia"/>
                      <w:szCs w:val="21"/>
                    </w:rPr>
                  </w:pPr>
                </w:p>
              </w:tc>
              <w:tc>
                <w:tcPr>
                  <w:tcW w:w="1004" w:type="dxa"/>
                  <w:vAlign w:val="center"/>
                </w:tcPr>
                <w:p>
                  <w:pPr>
                    <w:jc w:val="center"/>
                    <w:rPr>
                      <w:rFonts w:eastAsiaTheme="minorEastAsia"/>
                      <w:szCs w:val="21"/>
                    </w:rPr>
                  </w:pPr>
                  <w:r>
                    <w:rPr>
                      <w:rFonts w:hint="eastAsia" w:eastAsiaTheme="minorEastAsia"/>
                      <w:szCs w:val="21"/>
                    </w:rPr>
                    <w:t>TN</w:t>
                  </w:r>
                </w:p>
              </w:tc>
              <w:tc>
                <w:tcPr>
                  <w:tcW w:w="1339" w:type="dxa"/>
                  <w:vAlign w:val="center"/>
                </w:tcPr>
                <w:p>
                  <w:pPr>
                    <w:jc w:val="center"/>
                    <w:rPr>
                      <w:rFonts w:eastAsiaTheme="minorEastAsia"/>
                      <w:szCs w:val="21"/>
                    </w:rPr>
                  </w:pPr>
                  <w:r>
                    <w:rPr>
                      <w:rFonts w:hint="eastAsia" w:eastAsiaTheme="minorEastAsia"/>
                      <w:szCs w:val="21"/>
                    </w:rPr>
                    <w:t>0</w:t>
                  </w:r>
                </w:p>
              </w:tc>
              <w:tc>
                <w:tcPr>
                  <w:tcW w:w="1140" w:type="dxa"/>
                  <w:vAlign w:val="center"/>
                </w:tcPr>
                <w:p>
                  <w:pPr>
                    <w:jc w:val="center"/>
                    <w:rPr>
                      <w:rFonts w:eastAsiaTheme="minorEastAsia"/>
                      <w:szCs w:val="21"/>
                    </w:rPr>
                  </w:pPr>
                  <w:r>
                    <w:rPr>
                      <w:rFonts w:hint="eastAsia" w:eastAsiaTheme="minorEastAsia"/>
                      <w:szCs w:val="21"/>
                    </w:rPr>
                    <w:t>0</w:t>
                  </w:r>
                </w:p>
              </w:tc>
              <w:tc>
                <w:tcPr>
                  <w:tcW w:w="1286" w:type="dxa"/>
                  <w:vAlign w:val="center"/>
                </w:tcPr>
                <w:p>
                  <w:pPr>
                    <w:jc w:val="center"/>
                    <w:rPr>
                      <w:rFonts w:eastAsiaTheme="minorEastAsia"/>
                      <w:szCs w:val="21"/>
                    </w:rPr>
                  </w:pPr>
                  <w:r>
                    <w:rPr>
                      <w:rFonts w:hint="eastAsia" w:eastAsiaTheme="minorEastAsia"/>
                      <w:szCs w:val="21"/>
                    </w:rPr>
                    <w:t>0</w:t>
                  </w:r>
                </w:p>
              </w:tc>
              <w:tc>
                <w:tcPr>
                  <w:tcW w:w="1330" w:type="dxa"/>
                  <w:vAlign w:val="center"/>
                </w:tcPr>
                <w:p>
                  <w:pPr>
                    <w:jc w:val="center"/>
                    <w:rPr>
                      <w:rFonts w:eastAsiaTheme="minorEastAsia"/>
                      <w:szCs w:val="21"/>
                    </w:rPr>
                  </w:pPr>
                  <w:r>
                    <w:rPr>
                      <w:rFonts w:hint="eastAsia" w:eastAsiaTheme="minorEastAsia"/>
                      <w:szCs w:val="21"/>
                    </w:rPr>
                    <w:t>0</w:t>
                  </w:r>
                </w:p>
              </w:tc>
              <w:tc>
                <w:tcPr>
                  <w:tcW w:w="1224" w:type="dxa"/>
                  <w:vAlign w:val="center"/>
                </w:tcPr>
                <w:p>
                  <w:pPr>
                    <w:jc w:val="center"/>
                    <w:rPr>
                      <w:rFonts w:eastAsiaTheme="minorEastAsia"/>
                      <w:szCs w:val="21"/>
                    </w:rPr>
                  </w:pPr>
                  <w:r>
                    <w:rPr>
                      <w:rFonts w:hint="eastAsia" w:eastAsiaTheme="minorEastAsia"/>
                      <w:szCs w:val="21"/>
                    </w:rPr>
                    <w:t>0</w:t>
                  </w:r>
                </w:p>
              </w:tc>
              <w:tc>
                <w:tcPr>
                  <w:tcW w:w="1221" w:type="dxa"/>
                  <w:vAlign w:val="center"/>
                </w:tcPr>
                <w:p>
                  <w:pPr>
                    <w:jc w:val="center"/>
                    <w:rPr>
                      <w:rFonts w:eastAsiaTheme="minorEastAsia"/>
                      <w:szCs w:val="21"/>
                    </w:rPr>
                  </w:pPr>
                  <w:r>
                    <w:rPr>
                      <w:rFonts w:hint="eastAsia" w:eastAsiaTheme="minorEastAsia"/>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 w:type="dxa"/>
                  <w:vAlign w:val="center"/>
                </w:tcPr>
                <w:p>
                  <w:pPr>
                    <w:jc w:val="center"/>
                    <w:rPr>
                      <w:rFonts w:eastAsiaTheme="minorEastAsia"/>
                      <w:szCs w:val="21"/>
                    </w:rPr>
                  </w:pPr>
                  <w:r>
                    <w:rPr>
                      <w:rFonts w:eastAsiaTheme="minorEastAsia"/>
                      <w:szCs w:val="21"/>
                    </w:rPr>
                    <w:t>废气</w:t>
                  </w:r>
                </w:p>
              </w:tc>
              <w:tc>
                <w:tcPr>
                  <w:tcW w:w="1004" w:type="dxa"/>
                  <w:vAlign w:val="center"/>
                </w:tcPr>
                <w:p>
                  <w:pPr>
                    <w:jc w:val="center"/>
                    <w:rPr>
                      <w:rFonts w:eastAsiaTheme="minorEastAsia"/>
                      <w:szCs w:val="21"/>
                    </w:rPr>
                  </w:pPr>
                  <w:r>
                    <w:rPr>
                      <w:rFonts w:eastAsiaTheme="minorEastAsia"/>
                      <w:szCs w:val="21"/>
                    </w:rPr>
                    <w:t>VOCs</w:t>
                  </w:r>
                </w:p>
              </w:tc>
              <w:tc>
                <w:tcPr>
                  <w:tcW w:w="1339" w:type="dxa"/>
                  <w:vAlign w:val="center"/>
                </w:tcPr>
                <w:p>
                  <w:pPr>
                    <w:jc w:val="center"/>
                    <w:rPr>
                      <w:rFonts w:eastAsiaTheme="minorEastAsia"/>
                      <w:szCs w:val="21"/>
                    </w:rPr>
                  </w:pPr>
                  <w:r>
                    <w:rPr>
                      <w:rFonts w:hint="eastAsia" w:eastAsiaTheme="minorEastAsia"/>
                      <w:szCs w:val="21"/>
                    </w:rPr>
                    <w:t>0.2136</w:t>
                  </w:r>
                </w:p>
              </w:tc>
              <w:tc>
                <w:tcPr>
                  <w:tcW w:w="1140" w:type="dxa"/>
                  <w:vAlign w:val="center"/>
                </w:tcPr>
                <w:p>
                  <w:pPr>
                    <w:jc w:val="center"/>
                    <w:rPr>
                      <w:rFonts w:eastAsiaTheme="minorEastAsia"/>
                      <w:szCs w:val="21"/>
                    </w:rPr>
                  </w:pPr>
                  <w:r>
                    <w:rPr>
                      <w:rFonts w:hint="eastAsia" w:eastAsiaTheme="minorEastAsia"/>
                      <w:szCs w:val="21"/>
                    </w:rPr>
                    <w:t>0.2136</w:t>
                  </w:r>
                </w:p>
              </w:tc>
              <w:tc>
                <w:tcPr>
                  <w:tcW w:w="1286" w:type="dxa"/>
                  <w:vAlign w:val="center"/>
                </w:tcPr>
                <w:p>
                  <w:pPr>
                    <w:jc w:val="center"/>
                    <w:rPr>
                      <w:rFonts w:eastAsiaTheme="minorEastAsia"/>
                      <w:szCs w:val="21"/>
                    </w:rPr>
                  </w:pPr>
                  <w:r>
                    <w:rPr>
                      <w:rFonts w:hint="eastAsia" w:eastAsiaTheme="minorEastAsia"/>
                      <w:szCs w:val="21"/>
                    </w:rPr>
                    <w:t>0.0474</w:t>
                  </w:r>
                </w:p>
              </w:tc>
              <w:tc>
                <w:tcPr>
                  <w:tcW w:w="1330" w:type="dxa"/>
                  <w:vAlign w:val="center"/>
                </w:tcPr>
                <w:p>
                  <w:pPr>
                    <w:jc w:val="center"/>
                    <w:rPr>
                      <w:rFonts w:eastAsiaTheme="minorEastAsia"/>
                      <w:szCs w:val="21"/>
                    </w:rPr>
                  </w:pPr>
                  <w:r>
                    <w:rPr>
                      <w:rFonts w:hint="eastAsia" w:eastAsiaTheme="minorEastAsia"/>
                      <w:szCs w:val="21"/>
                    </w:rPr>
                    <w:t>0.1373</w:t>
                  </w:r>
                </w:p>
              </w:tc>
              <w:tc>
                <w:tcPr>
                  <w:tcW w:w="1224" w:type="dxa"/>
                  <w:vAlign w:val="center"/>
                </w:tcPr>
                <w:p>
                  <w:pPr>
                    <w:jc w:val="center"/>
                    <w:rPr>
                      <w:rFonts w:eastAsiaTheme="minorEastAsia"/>
                      <w:szCs w:val="21"/>
                    </w:rPr>
                  </w:pPr>
                  <w:r>
                    <w:rPr>
                      <w:rFonts w:hint="eastAsia" w:eastAsiaTheme="minorEastAsia"/>
                      <w:szCs w:val="21"/>
                    </w:rPr>
                    <w:t>0.1237</w:t>
                  </w:r>
                </w:p>
              </w:tc>
              <w:tc>
                <w:tcPr>
                  <w:tcW w:w="1221" w:type="dxa"/>
                  <w:vAlign w:val="center"/>
                </w:tcPr>
                <w:p>
                  <w:pPr>
                    <w:jc w:val="center"/>
                    <w:rPr>
                      <w:rFonts w:eastAsiaTheme="minorEastAsia"/>
                      <w:szCs w:val="21"/>
                    </w:rPr>
                  </w:pPr>
                  <w:r>
                    <w:rPr>
                      <w:rFonts w:hint="eastAsia" w:eastAsiaTheme="minorEastAsia"/>
                      <w:szCs w:val="21"/>
                    </w:rPr>
                    <w:t>-0.0899</w:t>
                  </w:r>
                </w:p>
              </w:tc>
            </w:tr>
          </w:tbl>
          <w:p>
            <w:pPr>
              <w:spacing w:line="480" w:lineRule="exact"/>
              <w:ind w:firstLine="482" w:firstLineChars="200"/>
              <w:rPr>
                <w:b/>
                <w:bCs/>
                <w:sz w:val="24"/>
              </w:rPr>
            </w:pPr>
            <w:r>
              <w:rPr>
                <w:rFonts w:hint="eastAsia"/>
                <w:b/>
                <w:bCs/>
                <w:sz w:val="24"/>
              </w:rPr>
              <w:t>十</w:t>
            </w:r>
            <w:r>
              <w:rPr>
                <w:rFonts w:hint="eastAsia"/>
                <w:b/>
                <w:sz w:val="24"/>
              </w:rPr>
              <w:t>三</w:t>
            </w:r>
            <w:r>
              <w:rPr>
                <w:rFonts w:hint="eastAsia"/>
                <w:b/>
                <w:bCs/>
                <w:sz w:val="24"/>
              </w:rPr>
              <w:t>、总量替代说明</w:t>
            </w:r>
          </w:p>
          <w:p>
            <w:pPr>
              <w:spacing w:line="480" w:lineRule="exact"/>
              <w:ind w:firstLine="578"/>
              <w:rPr>
                <w:rFonts w:hint="eastAsia"/>
                <w:b/>
                <w:sz w:val="24"/>
                <w:u w:val="single"/>
              </w:rPr>
            </w:pPr>
            <w:r>
              <w:rPr>
                <w:rFonts w:hint="eastAsia"/>
                <w:b/>
                <w:sz w:val="24"/>
                <w:u w:val="single"/>
              </w:rPr>
              <w:t>根据新乡市生态环境局关于转发《河南省生态环境厅关于印发建设项目主要污染物排放总量指标管理工作内部规程的通知》的通知和《新乡市建设项目新增总量指标替代管理指导意见（试行）》的要求，重点污染物共有10项：</w:t>
            </w:r>
            <w:r>
              <w:rPr>
                <w:b/>
                <w:sz w:val="24"/>
                <w:u w:val="single"/>
              </w:rPr>
              <w:t>化学需氧量</w:t>
            </w:r>
            <w:r>
              <w:rPr>
                <w:rFonts w:hint="eastAsia"/>
                <w:b/>
                <w:sz w:val="24"/>
                <w:u w:val="single"/>
              </w:rPr>
              <w:t>、</w:t>
            </w:r>
            <w:r>
              <w:rPr>
                <w:b/>
                <w:sz w:val="24"/>
                <w:u w:val="single"/>
              </w:rPr>
              <w:t>氨氮</w:t>
            </w:r>
            <w:r>
              <w:rPr>
                <w:rFonts w:hint="eastAsia"/>
                <w:b/>
                <w:sz w:val="24"/>
                <w:u w:val="single"/>
              </w:rPr>
              <w:t>、</w:t>
            </w:r>
            <w:r>
              <w:rPr>
                <w:b/>
                <w:sz w:val="24"/>
                <w:u w:val="single"/>
              </w:rPr>
              <w:t>二氧化硫</w:t>
            </w:r>
            <w:r>
              <w:rPr>
                <w:rFonts w:hint="eastAsia"/>
                <w:b/>
                <w:sz w:val="24"/>
                <w:u w:val="single"/>
              </w:rPr>
              <w:t>、</w:t>
            </w:r>
            <w:r>
              <w:rPr>
                <w:b/>
                <w:sz w:val="24"/>
                <w:u w:val="single"/>
              </w:rPr>
              <w:t>氮氧化物</w:t>
            </w:r>
            <w:r>
              <w:rPr>
                <w:rFonts w:hint="eastAsia"/>
                <w:b/>
                <w:sz w:val="24"/>
                <w:u w:val="single"/>
              </w:rPr>
              <w:t>、</w:t>
            </w:r>
            <w:r>
              <w:rPr>
                <w:b/>
                <w:sz w:val="24"/>
                <w:u w:val="single"/>
              </w:rPr>
              <w:t>挥发性有机污染物</w:t>
            </w:r>
            <w:r>
              <w:rPr>
                <w:rFonts w:hint="eastAsia"/>
                <w:b/>
                <w:sz w:val="24"/>
                <w:u w:val="single"/>
              </w:rPr>
              <w:t>、</w:t>
            </w:r>
            <w:r>
              <w:rPr>
                <w:b/>
                <w:sz w:val="24"/>
                <w:u w:val="single"/>
              </w:rPr>
              <w:t>重金属铅</w:t>
            </w:r>
            <w:r>
              <w:rPr>
                <w:rFonts w:hint="eastAsia"/>
                <w:b/>
                <w:sz w:val="24"/>
                <w:u w:val="single"/>
              </w:rPr>
              <w:t>、</w:t>
            </w:r>
            <w:r>
              <w:rPr>
                <w:b/>
                <w:sz w:val="24"/>
                <w:u w:val="single"/>
              </w:rPr>
              <w:t>铬</w:t>
            </w:r>
            <w:r>
              <w:rPr>
                <w:rFonts w:hint="eastAsia"/>
                <w:b/>
                <w:sz w:val="24"/>
                <w:u w:val="single"/>
              </w:rPr>
              <w:t>、</w:t>
            </w:r>
            <w:r>
              <w:rPr>
                <w:b/>
                <w:sz w:val="24"/>
                <w:u w:val="single"/>
              </w:rPr>
              <w:t>砷</w:t>
            </w:r>
            <w:r>
              <w:rPr>
                <w:rFonts w:hint="eastAsia"/>
                <w:b/>
                <w:sz w:val="24"/>
                <w:u w:val="single"/>
              </w:rPr>
              <w:t>、</w:t>
            </w:r>
            <w:r>
              <w:rPr>
                <w:b/>
                <w:sz w:val="24"/>
                <w:u w:val="single"/>
              </w:rPr>
              <w:t>镉</w:t>
            </w:r>
            <w:r>
              <w:rPr>
                <w:rFonts w:hint="eastAsia"/>
                <w:b/>
                <w:sz w:val="24"/>
                <w:u w:val="single"/>
              </w:rPr>
              <w:t>、</w:t>
            </w:r>
            <w:r>
              <w:rPr>
                <w:b/>
                <w:sz w:val="24"/>
                <w:u w:val="single"/>
              </w:rPr>
              <w:t>汞</w:t>
            </w:r>
            <w:r>
              <w:rPr>
                <w:rFonts w:hint="eastAsia"/>
                <w:b/>
                <w:sz w:val="24"/>
                <w:u w:val="single"/>
              </w:rPr>
              <w:t>。本项目涉及到的重点污染物排放量为挥发性有机物0.0474t/a，经本次以新带老措施改造后可削减0.1373t/a，建成后挥发性有机物-0.0899t/a，不新增废气污染物排放。</w:t>
            </w:r>
          </w:p>
          <w:p>
            <w:pPr>
              <w:spacing w:line="480" w:lineRule="exact"/>
              <w:ind w:firstLine="578"/>
              <w:rPr>
                <w:b/>
                <w:sz w:val="24"/>
              </w:rPr>
            </w:pPr>
            <w:r>
              <w:rPr>
                <w:rFonts w:hint="eastAsia"/>
                <w:b/>
                <w:sz w:val="24"/>
              </w:rPr>
              <w:t>十四</w:t>
            </w:r>
            <w:r>
              <w:rPr>
                <w:b/>
                <w:sz w:val="24"/>
              </w:rPr>
              <w:t>、环保治理措施及环保投资</w:t>
            </w:r>
          </w:p>
          <w:p>
            <w:pPr>
              <w:spacing w:line="440" w:lineRule="exact"/>
              <w:ind w:firstLine="578"/>
              <w:rPr>
                <w:sz w:val="24"/>
              </w:rPr>
            </w:pPr>
            <w:r>
              <w:rPr>
                <w:b/>
                <w:sz w:val="24"/>
                <w:u w:val="single"/>
              </w:rPr>
              <w:t>本项目环保投资总计</w:t>
            </w:r>
            <w:r>
              <w:rPr>
                <w:rFonts w:hint="eastAsia"/>
                <w:b/>
                <w:sz w:val="24"/>
                <w:u w:val="single"/>
              </w:rPr>
              <w:t>20</w:t>
            </w:r>
            <w:r>
              <w:rPr>
                <w:b/>
                <w:sz w:val="24"/>
                <w:u w:val="single"/>
              </w:rPr>
              <w:t>万元，占总投资的</w:t>
            </w:r>
            <w:r>
              <w:rPr>
                <w:rFonts w:hint="eastAsia"/>
                <w:b/>
                <w:sz w:val="24"/>
                <w:u w:val="single"/>
              </w:rPr>
              <w:t>10</w:t>
            </w:r>
            <w:r>
              <w:rPr>
                <w:b/>
                <w:sz w:val="24"/>
                <w:u w:val="single"/>
              </w:rPr>
              <w:t>%。</w:t>
            </w:r>
            <w:r>
              <w:rPr>
                <w:sz w:val="24"/>
              </w:rPr>
              <w:t>环保投资概算及环保设施竣工三同时验收如下：</w:t>
            </w:r>
          </w:p>
          <w:p>
            <w:pPr>
              <w:pStyle w:val="65"/>
              <w:spacing w:line="440" w:lineRule="exact"/>
              <w:ind w:firstLine="576"/>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46</w:t>
            </w:r>
            <w:r>
              <w:rPr>
                <w:rFonts w:ascii="Times New Roman" w:hAnsi="Times New Roman" w:eastAsia="黑体" w:cs="Times New Roman"/>
                <w:sz w:val="24"/>
              </w:rPr>
              <w:t xml:space="preserve">      </w:t>
            </w:r>
            <w:r>
              <w:rPr>
                <w:rFonts w:hint="eastAsia" w:ascii="Times New Roman" w:hAnsi="Times New Roman" w:eastAsia="黑体" w:cs="Times New Roman"/>
                <w:sz w:val="24"/>
              </w:rPr>
              <w:t xml:space="preserve">                              </w:t>
            </w:r>
            <w:r>
              <w:rPr>
                <w:rFonts w:ascii="Times New Roman" w:hAnsi="Times New Roman" w:eastAsia="黑体" w:cs="Times New Roman"/>
                <w:sz w:val="24"/>
              </w:rPr>
              <w:t xml:space="preserve"> 工程环保投资概算一览表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6"/>
              <w:gridCol w:w="1119"/>
              <w:gridCol w:w="1611"/>
              <w:gridCol w:w="4503"/>
              <w:gridCol w:w="1483"/>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shd w:val="clear" w:color="auto" w:fill="auto"/>
                  <w:vAlign w:val="center"/>
                </w:tcPr>
                <w:p>
                  <w:pPr>
                    <w:jc w:val="center"/>
                    <w:rPr>
                      <w:b/>
                      <w:szCs w:val="21"/>
                    </w:rPr>
                  </w:pPr>
                  <w:r>
                    <w:rPr>
                      <w:b/>
                      <w:szCs w:val="21"/>
                    </w:rPr>
                    <w:t>序号</w:t>
                  </w:r>
                </w:p>
              </w:tc>
              <w:tc>
                <w:tcPr>
                  <w:tcW w:w="1119" w:type="dxa"/>
                  <w:shd w:val="clear" w:color="auto" w:fill="auto"/>
                  <w:vAlign w:val="center"/>
                </w:tcPr>
                <w:p>
                  <w:pPr>
                    <w:jc w:val="center"/>
                    <w:rPr>
                      <w:b/>
                      <w:szCs w:val="21"/>
                    </w:rPr>
                  </w:pPr>
                  <w:r>
                    <w:rPr>
                      <w:b/>
                      <w:szCs w:val="21"/>
                    </w:rPr>
                    <w:t>污染因子</w:t>
                  </w:r>
                </w:p>
              </w:tc>
              <w:tc>
                <w:tcPr>
                  <w:tcW w:w="1611" w:type="dxa"/>
                  <w:shd w:val="clear" w:color="auto" w:fill="auto"/>
                  <w:vAlign w:val="center"/>
                </w:tcPr>
                <w:p>
                  <w:pPr>
                    <w:jc w:val="center"/>
                    <w:rPr>
                      <w:b/>
                      <w:szCs w:val="21"/>
                    </w:rPr>
                  </w:pPr>
                  <w:r>
                    <w:rPr>
                      <w:b/>
                      <w:szCs w:val="21"/>
                    </w:rPr>
                    <w:t>治理项目</w:t>
                  </w:r>
                </w:p>
              </w:tc>
              <w:tc>
                <w:tcPr>
                  <w:tcW w:w="4503" w:type="dxa"/>
                  <w:shd w:val="clear" w:color="auto" w:fill="auto"/>
                  <w:vAlign w:val="center"/>
                </w:tcPr>
                <w:p>
                  <w:pPr>
                    <w:jc w:val="center"/>
                    <w:rPr>
                      <w:b/>
                      <w:szCs w:val="21"/>
                    </w:rPr>
                  </w:pPr>
                  <w:r>
                    <w:rPr>
                      <w:b/>
                      <w:szCs w:val="21"/>
                    </w:rPr>
                    <w:t>环保措施</w:t>
                  </w:r>
                </w:p>
              </w:tc>
              <w:tc>
                <w:tcPr>
                  <w:tcW w:w="1483" w:type="dxa"/>
                  <w:shd w:val="clear" w:color="auto" w:fill="auto"/>
                  <w:vAlign w:val="center"/>
                </w:tcPr>
                <w:p>
                  <w:pPr>
                    <w:jc w:val="center"/>
                    <w:rPr>
                      <w:b/>
                      <w:szCs w:val="21"/>
                    </w:rPr>
                  </w:pPr>
                  <w:r>
                    <w:rPr>
                      <w:b/>
                      <w:szCs w:val="21"/>
                    </w:rPr>
                    <w:t>投资（万元）</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shd w:val="clear" w:color="auto" w:fill="auto"/>
                  <w:vAlign w:val="center"/>
                </w:tcPr>
                <w:p>
                  <w:pPr>
                    <w:jc w:val="center"/>
                    <w:rPr>
                      <w:szCs w:val="21"/>
                    </w:rPr>
                  </w:pPr>
                  <w:r>
                    <w:rPr>
                      <w:szCs w:val="21"/>
                    </w:rPr>
                    <w:t>1</w:t>
                  </w:r>
                </w:p>
              </w:tc>
              <w:tc>
                <w:tcPr>
                  <w:tcW w:w="1119" w:type="dxa"/>
                  <w:shd w:val="clear" w:color="auto" w:fill="auto"/>
                  <w:vAlign w:val="center"/>
                </w:tcPr>
                <w:p>
                  <w:pPr>
                    <w:jc w:val="center"/>
                    <w:rPr>
                      <w:szCs w:val="21"/>
                    </w:rPr>
                  </w:pPr>
                  <w:r>
                    <w:rPr>
                      <w:szCs w:val="21"/>
                    </w:rPr>
                    <w:t>废水</w:t>
                  </w:r>
                </w:p>
              </w:tc>
              <w:tc>
                <w:tcPr>
                  <w:tcW w:w="1611" w:type="dxa"/>
                  <w:shd w:val="clear" w:color="auto" w:fill="auto"/>
                  <w:vAlign w:val="center"/>
                </w:tcPr>
                <w:p>
                  <w:pPr>
                    <w:jc w:val="center"/>
                    <w:rPr>
                      <w:szCs w:val="21"/>
                    </w:rPr>
                  </w:pPr>
                  <w:r>
                    <w:rPr>
                      <w:szCs w:val="21"/>
                    </w:rPr>
                    <w:t>生活污水</w:t>
                  </w:r>
                </w:p>
              </w:tc>
              <w:tc>
                <w:tcPr>
                  <w:tcW w:w="4503" w:type="dxa"/>
                  <w:shd w:val="clear" w:color="auto" w:fill="auto"/>
                  <w:vAlign w:val="center"/>
                </w:tcPr>
                <w:p>
                  <w:pPr>
                    <w:jc w:val="center"/>
                    <w:rPr>
                      <w:szCs w:val="21"/>
                    </w:rPr>
                  </w:pPr>
                  <w:r>
                    <w:rPr>
                      <w:szCs w:val="21"/>
                    </w:rPr>
                    <w:t>化粪池1座</w:t>
                  </w:r>
                </w:p>
              </w:tc>
              <w:tc>
                <w:tcPr>
                  <w:tcW w:w="1483" w:type="dxa"/>
                  <w:shd w:val="clear" w:color="auto" w:fill="auto"/>
                  <w:vAlign w:val="center"/>
                </w:tcPr>
                <w:p>
                  <w:pPr>
                    <w:jc w:val="center"/>
                    <w:rPr>
                      <w:szCs w:val="21"/>
                    </w:rPr>
                  </w:pPr>
                  <w:r>
                    <w:rPr>
                      <w:rFonts w:hint="eastAsia"/>
                      <w:szCs w:val="21"/>
                    </w:rPr>
                    <w:t>依托</w:t>
                  </w:r>
                  <w:r>
                    <w:rPr>
                      <w:rFonts w:hint="eastAsia"/>
                      <w:bCs/>
                      <w:szCs w:val="21"/>
                    </w:rPr>
                    <w:t>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vMerge w:val="restart"/>
                  <w:shd w:val="clear" w:color="auto" w:fill="auto"/>
                  <w:vAlign w:val="center"/>
                </w:tcPr>
                <w:p>
                  <w:pPr>
                    <w:jc w:val="center"/>
                    <w:rPr>
                      <w:szCs w:val="21"/>
                    </w:rPr>
                  </w:pPr>
                  <w:r>
                    <w:rPr>
                      <w:szCs w:val="21"/>
                    </w:rPr>
                    <w:t>2</w:t>
                  </w:r>
                </w:p>
              </w:tc>
              <w:tc>
                <w:tcPr>
                  <w:tcW w:w="1119" w:type="dxa"/>
                  <w:vMerge w:val="restart"/>
                  <w:shd w:val="clear" w:color="auto" w:fill="auto"/>
                  <w:vAlign w:val="center"/>
                </w:tcPr>
                <w:p>
                  <w:pPr>
                    <w:jc w:val="center"/>
                    <w:rPr>
                      <w:szCs w:val="21"/>
                    </w:rPr>
                  </w:pPr>
                  <w:r>
                    <w:rPr>
                      <w:szCs w:val="21"/>
                    </w:rPr>
                    <w:t>废气</w:t>
                  </w:r>
                </w:p>
              </w:tc>
              <w:tc>
                <w:tcPr>
                  <w:tcW w:w="1611" w:type="dxa"/>
                  <w:shd w:val="clear" w:color="auto" w:fill="auto"/>
                  <w:vAlign w:val="center"/>
                </w:tcPr>
                <w:p>
                  <w:pPr>
                    <w:jc w:val="center"/>
                    <w:rPr>
                      <w:szCs w:val="21"/>
                    </w:rPr>
                  </w:pPr>
                  <w:r>
                    <w:rPr>
                      <w:szCs w:val="21"/>
                    </w:rPr>
                    <w:t>注塑</w:t>
                  </w:r>
                  <w:r>
                    <w:rPr>
                      <w:rFonts w:hint="eastAsia"/>
                      <w:szCs w:val="21"/>
                    </w:rPr>
                    <w:t>工序</w:t>
                  </w:r>
                </w:p>
              </w:tc>
              <w:tc>
                <w:tcPr>
                  <w:tcW w:w="4503" w:type="dxa"/>
                  <w:shd w:val="clear" w:color="auto" w:fill="auto"/>
                  <w:vAlign w:val="center"/>
                </w:tcPr>
                <w:p>
                  <w:pPr>
                    <w:jc w:val="center"/>
                    <w:rPr>
                      <w:bCs/>
                      <w:szCs w:val="21"/>
                    </w:rPr>
                  </w:pPr>
                  <w:r>
                    <w:rPr>
                      <w:rFonts w:hint="eastAsia"/>
                      <w:szCs w:val="21"/>
                    </w:rPr>
                    <w:t>注塑区域密闭（新建），废气经负压收集</w:t>
                  </w:r>
                  <w:r>
                    <w:rPr>
                      <w:bCs/>
                      <w:szCs w:val="21"/>
                    </w:rPr>
                    <w:t>+UV光催化氧化装置</w:t>
                  </w:r>
                  <w:r>
                    <w:rPr>
                      <w:rFonts w:hint="eastAsia"/>
                      <w:szCs w:val="21"/>
                    </w:rPr>
                    <w:t>（新建）</w:t>
                  </w:r>
                  <w:r>
                    <w:rPr>
                      <w:bCs/>
                      <w:szCs w:val="21"/>
                    </w:rPr>
                    <w:t>+活性炭吸附装置</w:t>
                  </w:r>
                  <w:r>
                    <w:rPr>
                      <w:rFonts w:hint="eastAsia"/>
                      <w:szCs w:val="21"/>
                    </w:rPr>
                    <w:t>（新建）</w:t>
                  </w:r>
                  <w:r>
                    <w:rPr>
                      <w:bCs/>
                      <w:szCs w:val="21"/>
                    </w:rPr>
                    <w:t>+15m高排气筒</w:t>
                  </w:r>
                  <w:r>
                    <w:rPr>
                      <w:rFonts w:hint="eastAsia"/>
                      <w:szCs w:val="21"/>
                    </w:rPr>
                    <w:t>（依托现有）</w:t>
                  </w:r>
                </w:p>
              </w:tc>
              <w:tc>
                <w:tcPr>
                  <w:tcW w:w="1483" w:type="dxa"/>
                  <w:shd w:val="clear" w:color="auto" w:fill="auto"/>
                  <w:vAlign w:val="center"/>
                </w:tcPr>
                <w:p>
                  <w:pPr>
                    <w:jc w:val="center"/>
                    <w:rPr>
                      <w:szCs w:val="21"/>
                    </w:rPr>
                  </w:pPr>
                  <w:r>
                    <w:rPr>
                      <w:rFonts w:hint="eastAsia"/>
                      <w:szCs w:val="21"/>
                    </w:rPr>
                    <w:t>8</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vMerge w:val="continue"/>
                  <w:shd w:val="clear" w:color="auto" w:fill="auto"/>
                  <w:vAlign w:val="center"/>
                </w:tcPr>
                <w:p>
                  <w:pPr>
                    <w:jc w:val="center"/>
                    <w:rPr>
                      <w:szCs w:val="21"/>
                    </w:rPr>
                  </w:pPr>
                </w:p>
              </w:tc>
              <w:tc>
                <w:tcPr>
                  <w:tcW w:w="1119" w:type="dxa"/>
                  <w:vMerge w:val="continue"/>
                  <w:shd w:val="clear" w:color="auto" w:fill="auto"/>
                  <w:vAlign w:val="center"/>
                </w:tcPr>
                <w:p>
                  <w:pPr>
                    <w:jc w:val="center"/>
                    <w:rPr>
                      <w:szCs w:val="21"/>
                    </w:rPr>
                  </w:pPr>
                </w:p>
              </w:tc>
              <w:tc>
                <w:tcPr>
                  <w:tcW w:w="1611" w:type="dxa"/>
                  <w:shd w:val="clear" w:color="auto" w:fill="auto"/>
                  <w:vAlign w:val="center"/>
                </w:tcPr>
                <w:p>
                  <w:pPr>
                    <w:jc w:val="center"/>
                    <w:rPr>
                      <w:szCs w:val="21"/>
                    </w:rPr>
                  </w:pPr>
                  <w:r>
                    <w:rPr>
                      <w:szCs w:val="21"/>
                    </w:rPr>
                    <w:t>破碎工序</w:t>
                  </w:r>
                </w:p>
              </w:tc>
              <w:tc>
                <w:tcPr>
                  <w:tcW w:w="4503" w:type="dxa"/>
                  <w:shd w:val="clear" w:color="auto" w:fill="auto"/>
                  <w:vAlign w:val="center"/>
                </w:tcPr>
                <w:p>
                  <w:pPr>
                    <w:jc w:val="center"/>
                    <w:rPr>
                      <w:szCs w:val="21"/>
                    </w:rPr>
                  </w:pPr>
                  <w:r>
                    <w:rPr>
                      <w:rFonts w:hint="eastAsia"/>
                      <w:szCs w:val="21"/>
                    </w:rPr>
                    <w:t>生产车间密闭</w:t>
                  </w:r>
                </w:p>
              </w:tc>
              <w:tc>
                <w:tcPr>
                  <w:tcW w:w="1483" w:type="dxa"/>
                  <w:shd w:val="clear" w:color="auto" w:fill="auto"/>
                  <w:vAlign w:val="center"/>
                </w:tcPr>
                <w:p>
                  <w:pPr>
                    <w:jc w:val="center"/>
                    <w:rPr>
                      <w:szCs w:val="21"/>
                    </w:rPr>
                  </w:pPr>
                  <w:r>
                    <w:rPr>
                      <w:rFonts w:hint="eastAsia"/>
                      <w:szCs w:val="21"/>
                    </w:rPr>
                    <w:t>2</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706" w:type="dxa"/>
                  <w:vMerge w:val="continue"/>
                  <w:shd w:val="clear" w:color="auto" w:fill="auto"/>
                  <w:vAlign w:val="center"/>
                </w:tcPr>
                <w:p>
                  <w:pPr>
                    <w:jc w:val="center"/>
                    <w:rPr>
                      <w:szCs w:val="21"/>
                    </w:rPr>
                  </w:pPr>
                </w:p>
              </w:tc>
              <w:tc>
                <w:tcPr>
                  <w:tcW w:w="1119" w:type="dxa"/>
                  <w:vMerge w:val="continue"/>
                  <w:shd w:val="clear" w:color="auto" w:fill="auto"/>
                  <w:vAlign w:val="center"/>
                </w:tcPr>
                <w:p>
                  <w:pPr>
                    <w:jc w:val="center"/>
                    <w:rPr>
                      <w:szCs w:val="21"/>
                    </w:rPr>
                  </w:pPr>
                </w:p>
              </w:tc>
              <w:tc>
                <w:tcPr>
                  <w:tcW w:w="1611" w:type="dxa"/>
                  <w:shd w:val="clear" w:color="auto" w:fill="auto"/>
                  <w:vAlign w:val="center"/>
                </w:tcPr>
                <w:p>
                  <w:pPr>
                    <w:jc w:val="center"/>
                    <w:rPr>
                      <w:szCs w:val="21"/>
                    </w:rPr>
                  </w:pPr>
                  <w:r>
                    <w:rPr>
                      <w:szCs w:val="21"/>
                    </w:rPr>
                    <w:t>以新带老措施</w:t>
                  </w:r>
                </w:p>
              </w:tc>
              <w:tc>
                <w:tcPr>
                  <w:tcW w:w="4503" w:type="dxa"/>
                  <w:shd w:val="clear" w:color="auto" w:fill="auto"/>
                  <w:vAlign w:val="center"/>
                </w:tcPr>
                <w:p>
                  <w:pPr>
                    <w:jc w:val="center"/>
                    <w:rPr>
                      <w:szCs w:val="21"/>
                    </w:rPr>
                  </w:pPr>
                  <w:r>
                    <w:rPr>
                      <w:rFonts w:hint="eastAsia"/>
                      <w:szCs w:val="21"/>
                    </w:rPr>
                    <w:t>现有工程注塑废气：</w:t>
                  </w:r>
                  <w:r>
                    <w:rPr>
                      <w:bCs/>
                      <w:szCs w:val="21"/>
                    </w:rPr>
                    <w:t>UV光催化氧化装置</w:t>
                  </w:r>
                  <w:r>
                    <w:rPr>
                      <w:rFonts w:hint="eastAsia"/>
                      <w:szCs w:val="21"/>
                    </w:rPr>
                    <w:t>（依托现有）</w:t>
                  </w:r>
                  <w:r>
                    <w:rPr>
                      <w:bCs/>
                      <w:szCs w:val="21"/>
                    </w:rPr>
                    <w:t>+活性炭吸附装置</w:t>
                  </w:r>
                  <w:r>
                    <w:rPr>
                      <w:rFonts w:hint="eastAsia"/>
                      <w:szCs w:val="21"/>
                    </w:rPr>
                    <w:t>（新建）</w:t>
                  </w:r>
                  <w:r>
                    <w:rPr>
                      <w:bCs/>
                      <w:szCs w:val="21"/>
                    </w:rPr>
                    <w:t>+15m高排气筒</w:t>
                  </w:r>
                  <w:r>
                    <w:rPr>
                      <w:rFonts w:hint="eastAsia"/>
                      <w:szCs w:val="21"/>
                    </w:rPr>
                    <w:t>（依托现有）</w:t>
                  </w:r>
                </w:p>
              </w:tc>
              <w:tc>
                <w:tcPr>
                  <w:tcW w:w="1483" w:type="dxa"/>
                  <w:shd w:val="clear" w:color="auto" w:fill="auto"/>
                  <w:vAlign w:val="center"/>
                </w:tcPr>
                <w:p>
                  <w:pPr>
                    <w:jc w:val="center"/>
                    <w:rPr>
                      <w:szCs w:val="21"/>
                    </w:rPr>
                  </w:pPr>
                  <w:r>
                    <w:rPr>
                      <w:rFonts w:hint="eastAsia"/>
                      <w:szCs w:val="21"/>
                    </w:rPr>
                    <w:t>3</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shd w:val="clear" w:color="auto" w:fill="auto"/>
                  <w:vAlign w:val="center"/>
                </w:tcPr>
                <w:p>
                  <w:pPr>
                    <w:jc w:val="center"/>
                    <w:rPr>
                      <w:szCs w:val="21"/>
                    </w:rPr>
                  </w:pPr>
                  <w:r>
                    <w:rPr>
                      <w:szCs w:val="21"/>
                    </w:rPr>
                    <w:t>3</w:t>
                  </w:r>
                </w:p>
              </w:tc>
              <w:tc>
                <w:tcPr>
                  <w:tcW w:w="1119" w:type="dxa"/>
                  <w:shd w:val="clear" w:color="auto" w:fill="auto"/>
                  <w:vAlign w:val="center"/>
                </w:tcPr>
                <w:p>
                  <w:pPr>
                    <w:jc w:val="center"/>
                    <w:rPr>
                      <w:szCs w:val="21"/>
                    </w:rPr>
                  </w:pPr>
                  <w:r>
                    <w:rPr>
                      <w:szCs w:val="21"/>
                    </w:rPr>
                    <w:t>噪声</w:t>
                  </w:r>
                </w:p>
              </w:tc>
              <w:tc>
                <w:tcPr>
                  <w:tcW w:w="1611" w:type="dxa"/>
                  <w:shd w:val="clear" w:color="auto" w:fill="auto"/>
                  <w:vAlign w:val="center"/>
                </w:tcPr>
                <w:p>
                  <w:pPr>
                    <w:jc w:val="center"/>
                    <w:rPr>
                      <w:szCs w:val="21"/>
                    </w:rPr>
                  </w:pPr>
                  <w:r>
                    <w:rPr>
                      <w:rFonts w:hint="eastAsia"/>
                      <w:szCs w:val="21"/>
                    </w:rPr>
                    <w:t>设备噪声</w:t>
                  </w:r>
                </w:p>
              </w:tc>
              <w:tc>
                <w:tcPr>
                  <w:tcW w:w="4503" w:type="dxa"/>
                  <w:shd w:val="clear" w:color="auto" w:fill="auto"/>
                  <w:vAlign w:val="center"/>
                </w:tcPr>
                <w:p>
                  <w:pPr>
                    <w:jc w:val="center"/>
                    <w:rPr>
                      <w:szCs w:val="21"/>
                    </w:rPr>
                  </w:pPr>
                  <w:r>
                    <w:rPr>
                      <w:rFonts w:hint="eastAsia"/>
                      <w:szCs w:val="21"/>
                    </w:rPr>
                    <w:t>采取安装减振基础、厂房隔音、距离衰减等措施治理</w:t>
                  </w:r>
                </w:p>
              </w:tc>
              <w:tc>
                <w:tcPr>
                  <w:tcW w:w="1483" w:type="dxa"/>
                  <w:shd w:val="clear" w:color="auto" w:fill="auto"/>
                  <w:vAlign w:val="center"/>
                </w:tcPr>
                <w:p>
                  <w:pPr>
                    <w:jc w:val="center"/>
                    <w:rPr>
                      <w:szCs w:val="21"/>
                    </w:rPr>
                  </w:pPr>
                  <w:r>
                    <w:rPr>
                      <w:rFonts w:hint="eastAsia"/>
                      <w:szCs w:val="21"/>
                    </w:rPr>
                    <w:t>2</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vMerge w:val="restart"/>
                  <w:shd w:val="clear" w:color="auto" w:fill="auto"/>
                  <w:vAlign w:val="center"/>
                </w:tcPr>
                <w:p>
                  <w:pPr>
                    <w:jc w:val="center"/>
                    <w:rPr>
                      <w:szCs w:val="21"/>
                    </w:rPr>
                  </w:pPr>
                  <w:r>
                    <w:rPr>
                      <w:szCs w:val="21"/>
                    </w:rPr>
                    <w:t>4</w:t>
                  </w:r>
                </w:p>
              </w:tc>
              <w:tc>
                <w:tcPr>
                  <w:tcW w:w="1119" w:type="dxa"/>
                  <w:vMerge w:val="restart"/>
                  <w:shd w:val="clear" w:color="auto" w:fill="auto"/>
                  <w:vAlign w:val="center"/>
                </w:tcPr>
                <w:p>
                  <w:pPr>
                    <w:jc w:val="center"/>
                    <w:rPr>
                      <w:szCs w:val="21"/>
                    </w:rPr>
                  </w:pPr>
                  <w:r>
                    <w:rPr>
                      <w:szCs w:val="21"/>
                    </w:rPr>
                    <w:t>固废</w:t>
                  </w:r>
                </w:p>
              </w:tc>
              <w:tc>
                <w:tcPr>
                  <w:tcW w:w="1611" w:type="dxa"/>
                  <w:shd w:val="clear" w:color="auto" w:fill="auto"/>
                  <w:vAlign w:val="center"/>
                </w:tcPr>
                <w:p>
                  <w:pPr>
                    <w:jc w:val="center"/>
                    <w:rPr>
                      <w:szCs w:val="21"/>
                    </w:rPr>
                  </w:pPr>
                  <w:r>
                    <w:rPr>
                      <w:bCs/>
                      <w:szCs w:val="21"/>
                    </w:rPr>
                    <w:t>废包装材料、</w:t>
                  </w:r>
                  <w:r>
                    <w:rPr>
                      <w:rFonts w:hint="eastAsia"/>
                      <w:bCs/>
                      <w:szCs w:val="21"/>
                    </w:rPr>
                    <w:t>废</w:t>
                  </w:r>
                  <w:r>
                    <w:rPr>
                      <w:bCs/>
                      <w:szCs w:val="21"/>
                    </w:rPr>
                    <w:t>边角料</w:t>
                  </w:r>
                </w:p>
              </w:tc>
              <w:tc>
                <w:tcPr>
                  <w:tcW w:w="4503" w:type="dxa"/>
                  <w:shd w:val="clear" w:color="auto" w:fill="auto"/>
                  <w:vAlign w:val="center"/>
                </w:tcPr>
                <w:p>
                  <w:pPr>
                    <w:jc w:val="center"/>
                    <w:rPr>
                      <w:szCs w:val="21"/>
                    </w:rPr>
                  </w:pPr>
                  <w:r>
                    <w:rPr>
                      <w:szCs w:val="21"/>
                    </w:rPr>
                    <w:t>一般固废暂存区1处（5m</w:t>
                  </w:r>
                  <w:r>
                    <w:rPr>
                      <w:szCs w:val="21"/>
                      <w:vertAlign w:val="superscript"/>
                    </w:rPr>
                    <w:t>2</w:t>
                  </w:r>
                  <w:r>
                    <w:rPr>
                      <w:rFonts w:hint="eastAsia"/>
                      <w:szCs w:val="21"/>
                    </w:rPr>
                    <w:t>、现有）</w:t>
                  </w:r>
                </w:p>
              </w:tc>
              <w:tc>
                <w:tcPr>
                  <w:tcW w:w="1483" w:type="dxa"/>
                  <w:shd w:val="clear" w:color="auto" w:fill="auto"/>
                  <w:vAlign w:val="center"/>
                </w:tcPr>
                <w:p>
                  <w:pPr>
                    <w:jc w:val="center"/>
                    <w:rPr>
                      <w:szCs w:val="21"/>
                    </w:rPr>
                  </w:pPr>
                  <w:r>
                    <w:rPr>
                      <w:rFonts w:hint="eastAsia"/>
                      <w:szCs w:val="21"/>
                    </w:rPr>
                    <w:t>依托</w:t>
                  </w:r>
                  <w:r>
                    <w:rPr>
                      <w:rFonts w:hint="eastAsia"/>
                      <w:bCs/>
                      <w:szCs w:val="21"/>
                    </w:rPr>
                    <w:t>现有</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vMerge w:val="continue"/>
                  <w:shd w:val="clear" w:color="auto" w:fill="auto"/>
                  <w:vAlign w:val="center"/>
                </w:tcPr>
                <w:p>
                  <w:pPr>
                    <w:jc w:val="center"/>
                    <w:rPr>
                      <w:szCs w:val="21"/>
                    </w:rPr>
                  </w:pPr>
                </w:p>
              </w:tc>
              <w:tc>
                <w:tcPr>
                  <w:tcW w:w="1119" w:type="dxa"/>
                  <w:vMerge w:val="continue"/>
                  <w:shd w:val="clear" w:color="auto" w:fill="auto"/>
                  <w:vAlign w:val="center"/>
                </w:tcPr>
                <w:p>
                  <w:pPr>
                    <w:jc w:val="center"/>
                    <w:rPr>
                      <w:szCs w:val="21"/>
                    </w:rPr>
                  </w:pPr>
                </w:p>
              </w:tc>
              <w:tc>
                <w:tcPr>
                  <w:tcW w:w="1611" w:type="dxa"/>
                  <w:shd w:val="clear" w:color="auto" w:fill="auto"/>
                  <w:vAlign w:val="center"/>
                </w:tcPr>
                <w:p>
                  <w:pPr>
                    <w:jc w:val="center"/>
                    <w:rPr>
                      <w:bCs/>
                      <w:szCs w:val="21"/>
                    </w:rPr>
                  </w:pPr>
                  <w:r>
                    <w:rPr>
                      <w:bCs/>
                      <w:szCs w:val="21"/>
                    </w:rPr>
                    <w:t>废液压油</w:t>
                  </w:r>
                  <w:r>
                    <w:rPr>
                      <w:rFonts w:hint="eastAsia"/>
                      <w:bCs/>
                      <w:szCs w:val="21"/>
                    </w:rPr>
                    <w:t>、</w:t>
                  </w:r>
                  <w:r>
                    <w:rPr>
                      <w:bCs/>
                      <w:szCs w:val="21"/>
                    </w:rPr>
                    <w:t>废紫外灯管、废活性炭、废催化板</w:t>
                  </w:r>
                </w:p>
              </w:tc>
              <w:tc>
                <w:tcPr>
                  <w:tcW w:w="4503" w:type="dxa"/>
                  <w:shd w:val="clear" w:color="auto" w:fill="auto"/>
                  <w:vAlign w:val="center"/>
                </w:tcPr>
                <w:p>
                  <w:pPr>
                    <w:jc w:val="center"/>
                    <w:rPr>
                      <w:szCs w:val="21"/>
                    </w:rPr>
                  </w:pPr>
                  <w:r>
                    <w:rPr>
                      <w:szCs w:val="21"/>
                    </w:rPr>
                    <w:t>危废暂存间1处（5m</w:t>
                  </w:r>
                  <w:r>
                    <w:rPr>
                      <w:szCs w:val="21"/>
                      <w:vertAlign w:val="superscript"/>
                    </w:rPr>
                    <w:t>2</w:t>
                  </w:r>
                  <w:r>
                    <w:rPr>
                      <w:rFonts w:hint="eastAsia"/>
                      <w:szCs w:val="21"/>
                    </w:rPr>
                    <w:t>、新建）</w:t>
                  </w:r>
                </w:p>
              </w:tc>
              <w:tc>
                <w:tcPr>
                  <w:tcW w:w="1483" w:type="dxa"/>
                  <w:shd w:val="clear" w:color="auto" w:fill="auto"/>
                  <w:vAlign w:val="center"/>
                </w:tcPr>
                <w:p>
                  <w:pPr>
                    <w:jc w:val="center"/>
                    <w:rPr>
                      <w:szCs w:val="21"/>
                    </w:rPr>
                  </w:pPr>
                  <w:r>
                    <w:rPr>
                      <w:rFonts w:hint="eastAsia"/>
                      <w:szCs w:val="21"/>
                    </w:rPr>
                    <w:t>2</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706" w:type="dxa"/>
                  <w:vMerge w:val="restart"/>
                  <w:shd w:val="clear" w:color="auto" w:fill="auto"/>
                  <w:vAlign w:val="center"/>
                </w:tcPr>
                <w:p>
                  <w:pPr>
                    <w:jc w:val="center"/>
                    <w:rPr>
                      <w:szCs w:val="21"/>
                    </w:rPr>
                  </w:pPr>
                  <w:r>
                    <w:rPr>
                      <w:szCs w:val="21"/>
                    </w:rPr>
                    <w:t>5</w:t>
                  </w:r>
                </w:p>
              </w:tc>
              <w:tc>
                <w:tcPr>
                  <w:tcW w:w="1119" w:type="dxa"/>
                  <w:vMerge w:val="restart"/>
                  <w:shd w:val="clear" w:color="auto" w:fill="auto"/>
                  <w:vAlign w:val="center"/>
                </w:tcPr>
                <w:p>
                  <w:pPr>
                    <w:jc w:val="center"/>
                    <w:rPr>
                      <w:bCs/>
                      <w:szCs w:val="21"/>
                    </w:rPr>
                  </w:pPr>
                  <w:r>
                    <w:rPr>
                      <w:rFonts w:hint="eastAsia"/>
                      <w:szCs w:val="21"/>
                    </w:rPr>
                    <w:t>管理</w:t>
                  </w:r>
                </w:p>
              </w:tc>
              <w:tc>
                <w:tcPr>
                  <w:tcW w:w="6114" w:type="dxa"/>
                  <w:gridSpan w:val="2"/>
                  <w:shd w:val="clear" w:color="auto" w:fill="auto"/>
                  <w:vAlign w:val="center"/>
                </w:tcPr>
                <w:p>
                  <w:pPr>
                    <w:rPr>
                      <w:bCs/>
                      <w:szCs w:val="21"/>
                    </w:rPr>
                  </w:pPr>
                  <w:r>
                    <w:rPr>
                      <w:rFonts w:hint="eastAsia"/>
                      <w:bCs/>
                      <w:szCs w:val="21"/>
                    </w:rPr>
                    <w:t>1、排气筒应安装</w:t>
                  </w:r>
                  <w:r>
                    <w:rPr>
                      <w:bCs/>
                      <w:szCs w:val="21"/>
                    </w:rPr>
                    <w:t>VOCs</w:t>
                  </w:r>
                  <w:r>
                    <w:rPr>
                      <w:rFonts w:hint="eastAsia"/>
                      <w:bCs/>
                      <w:szCs w:val="21"/>
                    </w:rPr>
                    <w:t>排放自动监控设备并与环保部门联网；</w:t>
                  </w:r>
                </w:p>
              </w:tc>
              <w:tc>
                <w:tcPr>
                  <w:tcW w:w="1483" w:type="dxa"/>
                  <w:shd w:val="clear" w:color="auto" w:fill="auto"/>
                  <w:vAlign w:val="center"/>
                </w:tcPr>
                <w:p>
                  <w:pPr>
                    <w:jc w:val="center"/>
                    <w:rPr>
                      <w:szCs w:val="21"/>
                    </w:rPr>
                  </w:pPr>
                  <w:r>
                    <w:rPr>
                      <w:rFonts w:hint="eastAsia"/>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706" w:type="dxa"/>
                  <w:vMerge w:val="continue"/>
                  <w:shd w:val="clear" w:color="auto" w:fill="auto"/>
                  <w:vAlign w:val="center"/>
                </w:tcPr>
                <w:p>
                  <w:pPr>
                    <w:jc w:val="center"/>
                    <w:rPr>
                      <w:szCs w:val="21"/>
                    </w:rPr>
                  </w:pPr>
                </w:p>
              </w:tc>
              <w:tc>
                <w:tcPr>
                  <w:tcW w:w="1119" w:type="dxa"/>
                  <w:vMerge w:val="continue"/>
                  <w:shd w:val="clear" w:color="auto" w:fill="auto"/>
                  <w:vAlign w:val="center"/>
                </w:tcPr>
                <w:p>
                  <w:pPr>
                    <w:jc w:val="center"/>
                    <w:rPr>
                      <w:szCs w:val="21"/>
                    </w:rPr>
                  </w:pPr>
                </w:p>
              </w:tc>
              <w:tc>
                <w:tcPr>
                  <w:tcW w:w="6114" w:type="dxa"/>
                  <w:gridSpan w:val="2"/>
                  <w:shd w:val="clear" w:color="auto" w:fill="auto"/>
                  <w:vAlign w:val="center"/>
                </w:tcPr>
                <w:p>
                  <w:pPr>
                    <w:rPr>
                      <w:bCs/>
                      <w:szCs w:val="21"/>
                    </w:rPr>
                  </w:pPr>
                  <w:r>
                    <w:rPr>
                      <w:rFonts w:hint="eastAsia"/>
                      <w:bCs/>
                      <w:szCs w:val="21"/>
                    </w:rPr>
                    <w:t>2、本项目应在生产区、废气治理装置区以及厂区大门处安装视频监控；</w:t>
                  </w:r>
                </w:p>
              </w:tc>
              <w:tc>
                <w:tcPr>
                  <w:tcW w:w="1483" w:type="dxa"/>
                  <w:shd w:val="clear" w:color="auto" w:fill="auto"/>
                  <w:vAlign w:val="center"/>
                </w:tcPr>
                <w:p>
                  <w:pPr>
                    <w:jc w:val="center"/>
                    <w:rPr>
                      <w:szCs w:val="21"/>
                    </w:rPr>
                  </w:pPr>
                  <w:r>
                    <w:rPr>
                      <w:rFonts w:hint="eastAsia"/>
                      <w:szCs w:val="21"/>
                    </w:rPr>
                    <w:t>2</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706" w:type="dxa"/>
                  <w:vMerge w:val="continue"/>
                  <w:shd w:val="clear" w:color="auto" w:fill="auto"/>
                  <w:vAlign w:val="center"/>
                </w:tcPr>
                <w:p>
                  <w:pPr>
                    <w:jc w:val="center"/>
                    <w:rPr>
                      <w:szCs w:val="21"/>
                    </w:rPr>
                  </w:pPr>
                </w:p>
              </w:tc>
              <w:tc>
                <w:tcPr>
                  <w:tcW w:w="1119" w:type="dxa"/>
                  <w:vMerge w:val="continue"/>
                  <w:shd w:val="clear" w:color="auto" w:fill="auto"/>
                  <w:vAlign w:val="center"/>
                </w:tcPr>
                <w:p>
                  <w:pPr>
                    <w:jc w:val="center"/>
                    <w:rPr>
                      <w:szCs w:val="21"/>
                    </w:rPr>
                  </w:pPr>
                </w:p>
              </w:tc>
              <w:tc>
                <w:tcPr>
                  <w:tcW w:w="6114" w:type="dxa"/>
                  <w:gridSpan w:val="2"/>
                  <w:shd w:val="clear" w:color="auto" w:fill="auto"/>
                  <w:vAlign w:val="center"/>
                </w:tcPr>
                <w:p>
                  <w:pPr>
                    <w:rPr>
                      <w:bCs/>
                      <w:szCs w:val="21"/>
                    </w:rPr>
                  </w:pPr>
                  <w:r>
                    <w:rPr>
                      <w:rFonts w:hint="eastAsia"/>
                      <w:bCs/>
                      <w:szCs w:val="21"/>
                    </w:rPr>
                    <w:t>3、本项目总用电处、生产设施、废气处理设施处安装用电监控设施，并与环保部门联网。</w:t>
                  </w:r>
                </w:p>
              </w:tc>
              <w:tc>
                <w:tcPr>
                  <w:tcW w:w="1483" w:type="dxa"/>
                  <w:shd w:val="clear" w:color="auto" w:fill="auto"/>
                  <w:vAlign w:val="center"/>
                </w:tcPr>
                <w:p>
                  <w:pPr>
                    <w:jc w:val="center"/>
                    <w:rPr>
                      <w:szCs w:val="21"/>
                    </w:rPr>
                  </w:pPr>
                  <w:r>
                    <w:rPr>
                      <w:rFonts w:hint="eastAsia"/>
                      <w:szCs w:val="21"/>
                    </w:rPr>
                    <w:t>1</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dxa"/>
                  <w:shd w:val="clear" w:color="auto" w:fill="auto"/>
                  <w:vAlign w:val="center"/>
                </w:tcPr>
                <w:p>
                  <w:pPr>
                    <w:jc w:val="center"/>
                    <w:rPr>
                      <w:szCs w:val="21"/>
                    </w:rPr>
                  </w:pPr>
                  <w:r>
                    <w:rPr>
                      <w:rFonts w:hint="eastAsia"/>
                      <w:szCs w:val="21"/>
                    </w:rPr>
                    <w:t>6</w:t>
                  </w:r>
                </w:p>
              </w:tc>
              <w:tc>
                <w:tcPr>
                  <w:tcW w:w="7233" w:type="dxa"/>
                  <w:gridSpan w:val="3"/>
                  <w:shd w:val="clear" w:color="auto" w:fill="auto"/>
                  <w:vAlign w:val="center"/>
                </w:tcPr>
                <w:p>
                  <w:pPr>
                    <w:jc w:val="center"/>
                    <w:rPr>
                      <w:szCs w:val="21"/>
                    </w:rPr>
                  </w:pPr>
                  <w:r>
                    <w:rPr>
                      <w:szCs w:val="21"/>
                    </w:rPr>
                    <w:t>合计</w:t>
                  </w:r>
                </w:p>
              </w:tc>
              <w:tc>
                <w:tcPr>
                  <w:tcW w:w="1483" w:type="dxa"/>
                  <w:shd w:val="clear" w:color="auto" w:fill="auto"/>
                  <w:vAlign w:val="center"/>
                </w:tcPr>
                <w:p>
                  <w:pPr>
                    <w:jc w:val="center"/>
                    <w:rPr>
                      <w:szCs w:val="21"/>
                    </w:rPr>
                  </w:pPr>
                  <w:r>
                    <w:rPr>
                      <w:rFonts w:hint="eastAsia"/>
                      <w:szCs w:val="21"/>
                    </w:rPr>
                    <w:t>20</w:t>
                  </w:r>
                </w:p>
              </w:tc>
            </w:tr>
          </w:tbl>
          <w:p>
            <w:pPr>
              <w:pStyle w:val="65"/>
              <w:spacing w:beforeLines="50" w:line="460" w:lineRule="exact"/>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47</w:t>
            </w:r>
            <w:r>
              <w:rPr>
                <w:rFonts w:ascii="Times New Roman" w:hAnsi="Times New Roman" w:eastAsia="黑体" w:cs="Times New Roman"/>
                <w:sz w:val="24"/>
              </w:rPr>
              <w:t xml:space="preserve">  </w:t>
            </w:r>
            <w:r>
              <w:rPr>
                <w:rFonts w:hint="eastAsia" w:ascii="Times New Roman" w:hAnsi="Times New Roman" w:eastAsia="黑体" w:cs="Times New Roman"/>
                <w:sz w:val="24"/>
              </w:rPr>
              <w:t xml:space="preserve">                                     </w:t>
            </w:r>
            <w:r>
              <w:rPr>
                <w:rFonts w:ascii="Times New Roman" w:hAnsi="Times New Roman" w:eastAsia="黑体" w:cs="Times New Roman"/>
                <w:sz w:val="24"/>
              </w:rPr>
              <w:t>环保设施竣工验收一览表</w:t>
            </w:r>
          </w:p>
          <w:tbl>
            <w:tblPr>
              <w:tblStyle w:val="1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40"/>
              <w:gridCol w:w="1183"/>
              <w:gridCol w:w="1655"/>
              <w:gridCol w:w="2835"/>
              <w:gridCol w:w="300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shd w:val="clear" w:color="auto" w:fill="auto"/>
                  <w:vAlign w:val="center"/>
                </w:tcPr>
                <w:p>
                  <w:pPr>
                    <w:jc w:val="center"/>
                    <w:rPr>
                      <w:b/>
                      <w:szCs w:val="21"/>
                    </w:rPr>
                  </w:pPr>
                  <w:r>
                    <w:rPr>
                      <w:b/>
                      <w:szCs w:val="21"/>
                    </w:rPr>
                    <w:t>序号</w:t>
                  </w:r>
                </w:p>
              </w:tc>
              <w:tc>
                <w:tcPr>
                  <w:tcW w:w="1183" w:type="dxa"/>
                  <w:shd w:val="clear" w:color="auto" w:fill="auto"/>
                  <w:vAlign w:val="center"/>
                </w:tcPr>
                <w:p>
                  <w:pPr>
                    <w:jc w:val="center"/>
                    <w:rPr>
                      <w:b/>
                      <w:szCs w:val="21"/>
                    </w:rPr>
                  </w:pPr>
                  <w:r>
                    <w:rPr>
                      <w:b/>
                      <w:szCs w:val="21"/>
                    </w:rPr>
                    <w:t>污染因子</w:t>
                  </w:r>
                </w:p>
              </w:tc>
              <w:tc>
                <w:tcPr>
                  <w:tcW w:w="1655" w:type="dxa"/>
                  <w:shd w:val="clear" w:color="auto" w:fill="auto"/>
                  <w:vAlign w:val="center"/>
                </w:tcPr>
                <w:p>
                  <w:pPr>
                    <w:jc w:val="center"/>
                    <w:rPr>
                      <w:b/>
                      <w:szCs w:val="21"/>
                    </w:rPr>
                  </w:pPr>
                  <w:r>
                    <w:rPr>
                      <w:b/>
                      <w:szCs w:val="21"/>
                    </w:rPr>
                    <w:t>治理项目</w:t>
                  </w:r>
                </w:p>
              </w:tc>
              <w:tc>
                <w:tcPr>
                  <w:tcW w:w="2835" w:type="dxa"/>
                  <w:shd w:val="clear" w:color="auto" w:fill="auto"/>
                  <w:vAlign w:val="center"/>
                </w:tcPr>
                <w:p>
                  <w:pPr>
                    <w:jc w:val="center"/>
                    <w:rPr>
                      <w:b/>
                      <w:szCs w:val="21"/>
                    </w:rPr>
                  </w:pPr>
                  <w:r>
                    <w:rPr>
                      <w:b/>
                      <w:szCs w:val="21"/>
                    </w:rPr>
                    <w:t>验收内容</w:t>
                  </w:r>
                </w:p>
              </w:tc>
              <w:tc>
                <w:tcPr>
                  <w:tcW w:w="3009" w:type="dxa"/>
                  <w:shd w:val="clear" w:color="auto" w:fill="auto"/>
                  <w:vAlign w:val="center"/>
                </w:tcPr>
                <w:p>
                  <w:pPr>
                    <w:jc w:val="center"/>
                    <w:rPr>
                      <w:b/>
                      <w:szCs w:val="21"/>
                    </w:rPr>
                  </w:pPr>
                  <w:r>
                    <w:rPr>
                      <w:b/>
                      <w:szCs w:val="21"/>
                    </w:rPr>
                    <w:t>执行标准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shd w:val="clear" w:color="auto" w:fill="auto"/>
                  <w:vAlign w:val="center"/>
                </w:tcPr>
                <w:p>
                  <w:pPr>
                    <w:jc w:val="center"/>
                    <w:rPr>
                      <w:szCs w:val="21"/>
                    </w:rPr>
                  </w:pPr>
                  <w:r>
                    <w:rPr>
                      <w:szCs w:val="21"/>
                    </w:rPr>
                    <w:t>1</w:t>
                  </w:r>
                </w:p>
              </w:tc>
              <w:tc>
                <w:tcPr>
                  <w:tcW w:w="1183" w:type="dxa"/>
                  <w:shd w:val="clear" w:color="auto" w:fill="auto"/>
                  <w:vAlign w:val="center"/>
                </w:tcPr>
                <w:p>
                  <w:pPr>
                    <w:jc w:val="center"/>
                    <w:rPr>
                      <w:szCs w:val="21"/>
                    </w:rPr>
                  </w:pPr>
                  <w:r>
                    <w:rPr>
                      <w:szCs w:val="21"/>
                    </w:rPr>
                    <w:t>废水</w:t>
                  </w:r>
                </w:p>
              </w:tc>
              <w:tc>
                <w:tcPr>
                  <w:tcW w:w="1655" w:type="dxa"/>
                  <w:shd w:val="clear" w:color="auto" w:fill="auto"/>
                  <w:vAlign w:val="center"/>
                </w:tcPr>
                <w:p>
                  <w:pPr>
                    <w:jc w:val="center"/>
                    <w:rPr>
                      <w:szCs w:val="21"/>
                    </w:rPr>
                  </w:pPr>
                  <w:r>
                    <w:rPr>
                      <w:szCs w:val="21"/>
                    </w:rPr>
                    <w:t>生活污水</w:t>
                  </w:r>
                </w:p>
              </w:tc>
              <w:tc>
                <w:tcPr>
                  <w:tcW w:w="2835" w:type="dxa"/>
                  <w:shd w:val="clear" w:color="auto" w:fill="auto"/>
                  <w:vAlign w:val="center"/>
                </w:tcPr>
                <w:p>
                  <w:pPr>
                    <w:jc w:val="center"/>
                    <w:rPr>
                      <w:szCs w:val="21"/>
                    </w:rPr>
                  </w:pPr>
                  <w:r>
                    <w:rPr>
                      <w:szCs w:val="21"/>
                    </w:rPr>
                    <w:t>化粪池1座</w:t>
                  </w:r>
                </w:p>
              </w:tc>
              <w:tc>
                <w:tcPr>
                  <w:tcW w:w="3009" w:type="dxa"/>
                  <w:shd w:val="clear" w:color="auto" w:fill="auto"/>
                  <w:vAlign w:val="center"/>
                </w:tcPr>
                <w:p>
                  <w:pPr>
                    <w:jc w:val="center"/>
                    <w:rPr>
                      <w:szCs w:val="21"/>
                    </w:rPr>
                  </w:pPr>
                  <w:r>
                    <w:rPr>
                      <w:rFonts w:hint="eastAsia"/>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vMerge w:val="restart"/>
                  <w:shd w:val="clear" w:color="auto" w:fill="auto"/>
                  <w:vAlign w:val="center"/>
                </w:tcPr>
                <w:p>
                  <w:pPr>
                    <w:jc w:val="center"/>
                    <w:rPr>
                      <w:szCs w:val="21"/>
                    </w:rPr>
                  </w:pPr>
                  <w:r>
                    <w:rPr>
                      <w:szCs w:val="21"/>
                    </w:rPr>
                    <w:t>2</w:t>
                  </w:r>
                </w:p>
              </w:tc>
              <w:tc>
                <w:tcPr>
                  <w:tcW w:w="1183" w:type="dxa"/>
                  <w:vMerge w:val="restart"/>
                  <w:shd w:val="clear" w:color="auto" w:fill="auto"/>
                  <w:vAlign w:val="center"/>
                </w:tcPr>
                <w:p>
                  <w:pPr>
                    <w:jc w:val="center"/>
                    <w:rPr>
                      <w:szCs w:val="21"/>
                    </w:rPr>
                  </w:pPr>
                  <w:r>
                    <w:rPr>
                      <w:szCs w:val="21"/>
                    </w:rPr>
                    <w:t>废气</w:t>
                  </w:r>
                </w:p>
              </w:tc>
              <w:tc>
                <w:tcPr>
                  <w:tcW w:w="1655" w:type="dxa"/>
                  <w:shd w:val="clear" w:color="auto" w:fill="auto"/>
                  <w:vAlign w:val="center"/>
                </w:tcPr>
                <w:p>
                  <w:pPr>
                    <w:jc w:val="center"/>
                    <w:rPr>
                      <w:szCs w:val="21"/>
                    </w:rPr>
                  </w:pPr>
                  <w:r>
                    <w:rPr>
                      <w:szCs w:val="21"/>
                    </w:rPr>
                    <w:t>注塑</w:t>
                  </w:r>
                  <w:r>
                    <w:rPr>
                      <w:rFonts w:hint="eastAsia"/>
                      <w:szCs w:val="21"/>
                    </w:rPr>
                    <w:t>工序</w:t>
                  </w:r>
                </w:p>
              </w:tc>
              <w:tc>
                <w:tcPr>
                  <w:tcW w:w="2835" w:type="dxa"/>
                  <w:shd w:val="clear" w:color="auto" w:fill="auto"/>
                  <w:vAlign w:val="center"/>
                </w:tcPr>
                <w:p>
                  <w:pPr>
                    <w:jc w:val="center"/>
                    <w:rPr>
                      <w:b/>
                      <w:bCs/>
                      <w:szCs w:val="21"/>
                      <w:u w:val="single"/>
                    </w:rPr>
                  </w:pPr>
                  <w:r>
                    <w:rPr>
                      <w:rFonts w:hint="eastAsia"/>
                      <w:b/>
                      <w:szCs w:val="21"/>
                      <w:u w:val="single"/>
                    </w:rPr>
                    <w:t>注塑区域密闭20个（新建），废气经负压收集</w:t>
                  </w:r>
                  <w:r>
                    <w:rPr>
                      <w:rFonts w:hint="eastAsia"/>
                      <w:b/>
                      <w:bCs/>
                      <w:szCs w:val="21"/>
                      <w:u w:val="single"/>
                    </w:rPr>
                    <w:t>+</w:t>
                  </w:r>
                  <w:r>
                    <w:rPr>
                      <w:b/>
                      <w:bCs/>
                      <w:szCs w:val="21"/>
                      <w:u w:val="single"/>
                    </w:rPr>
                    <w:t>UV光催化氧化装置1</w:t>
                  </w:r>
                  <w:r>
                    <w:rPr>
                      <w:rFonts w:hint="eastAsia"/>
                      <w:b/>
                      <w:bCs/>
                      <w:szCs w:val="21"/>
                      <w:u w:val="single"/>
                    </w:rPr>
                    <w:t>台</w:t>
                  </w:r>
                  <w:r>
                    <w:rPr>
                      <w:rFonts w:hint="eastAsia"/>
                      <w:b/>
                      <w:szCs w:val="21"/>
                      <w:u w:val="single"/>
                    </w:rPr>
                    <w:t>（新建）</w:t>
                  </w:r>
                  <w:r>
                    <w:rPr>
                      <w:b/>
                      <w:bCs/>
                      <w:szCs w:val="21"/>
                      <w:u w:val="single"/>
                    </w:rPr>
                    <w:t>+活性炭吸附装置</w:t>
                  </w:r>
                  <w:r>
                    <w:rPr>
                      <w:rFonts w:hint="eastAsia"/>
                      <w:b/>
                      <w:bCs/>
                      <w:szCs w:val="21"/>
                      <w:u w:val="single"/>
                    </w:rPr>
                    <w:t>1套</w:t>
                  </w:r>
                  <w:r>
                    <w:rPr>
                      <w:rFonts w:hint="eastAsia"/>
                      <w:b/>
                      <w:szCs w:val="21"/>
                      <w:u w:val="single"/>
                    </w:rPr>
                    <w:t>（新建）</w:t>
                  </w:r>
                  <w:r>
                    <w:rPr>
                      <w:b/>
                      <w:bCs/>
                      <w:szCs w:val="21"/>
                      <w:u w:val="single"/>
                    </w:rPr>
                    <w:t>+15m高排气筒1根</w:t>
                  </w:r>
                  <w:r>
                    <w:rPr>
                      <w:rFonts w:hint="eastAsia"/>
                      <w:b/>
                      <w:szCs w:val="21"/>
                      <w:u w:val="single"/>
                    </w:rPr>
                    <w:t>（依托现有）</w:t>
                  </w:r>
                </w:p>
              </w:tc>
              <w:tc>
                <w:tcPr>
                  <w:tcW w:w="3009" w:type="dxa"/>
                  <w:vMerge w:val="restart"/>
                  <w:shd w:val="clear" w:color="auto" w:fill="auto"/>
                  <w:vAlign w:val="center"/>
                </w:tcPr>
                <w:p>
                  <w:pPr>
                    <w:jc w:val="center"/>
                    <w:rPr>
                      <w:szCs w:val="21"/>
                    </w:rPr>
                  </w:pPr>
                  <w:r>
                    <w:rPr>
                      <w:szCs w:val="21"/>
                    </w:rPr>
                    <w:t>《合成树脂工业污染物排放标准》（GB31572 -2015）表5，同时满足河南省环境污染防治攻坚战领导小组办公室文件（豫环攻坚办[2017] 162号）限值要求</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vMerge w:val="continue"/>
                  <w:shd w:val="clear" w:color="auto" w:fill="auto"/>
                  <w:vAlign w:val="center"/>
                </w:tcPr>
                <w:p>
                  <w:pPr>
                    <w:jc w:val="center"/>
                    <w:rPr>
                      <w:szCs w:val="21"/>
                    </w:rPr>
                  </w:pPr>
                </w:p>
              </w:tc>
              <w:tc>
                <w:tcPr>
                  <w:tcW w:w="1183" w:type="dxa"/>
                  <w:vMerge w:val="continue"/>
                  <w:shd w:val="clear" w:color="auto" w:fill="auto"/>
                  <w:vAlign w:val="center"/>
                </w:tcPr>
                <w:p>
                  <w:pPr>
                    <w:jc w:val="center"/>
                    <w:rPr>
                      <w:szCs w:val="21"/>
                    </w:rPr>
                  </w:pPr>
                </w:p>
              </w:tc>
              <w:tc>
                <w:tcPr>
                  <w:tcW w:w="1655" w:type="dxa"/>
                  <w:shd w:val="clear" w:color="auto" w:fill="auto"/>
                  <w:vAlign w:val="center"/>
                </w:tcPr>
                <w:p>
                  <w:pPr>
                    <w:jc w:val="center"/>
                    <w:rPr>
                      <w:szCs w:val="21"/>
                    </w:rPr>
                  </w:pPr>
                  <w:r>
                    <w:rPr>
                      <w:szCs w:val="21"/>
                    </w:rPr>
                    <w:t>破碎工序</w:t>
                  </w:r>
                </w:p>
              </w:tc>
              <w:tc>
                <w:tcPr>
                  <w:tcW w:w="2835" w:type="dxa"/>
                  <w:shd w:val="clear" w:color="auto" w:fill="auto"/>
                  <w:vAlign w:val="center"/>
                </w:tcPr>
                <w:p>
                  <w:pPr>
                    <w:jc w:val="center"/>
                    <w:rPr>
                      <w:szCs w:val="21"/>
                    </w:rPr>
                  </w:pPr>
                  <w:r>
                    <w:rPr>
                      <w:rFonts w:hint="eastAsia"/>
                      <w:szCs w:val="21"/>
                    </w:rPr>
                    <w:t>生产车间密闭</w:t>
                  </w:r>
                </w:p>
              </w:tc>
              <w:tc>
                <w:tcPr>
                  <w:tcW w:w="3009" w:type="dxa"/>
                  <w:vMerge w:val="continue"/>
                  <w:shd w:val="clear" w:color="auto" w:fill="auto"/>
                  <w:vAlign w:val="center"/>
                </w:tcPr>
                <w:p>
                  <w:pPr>
                    <w:jc w:val="center"/>
                    <w:rPr>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vMerge w:val="continue"/>
                  <w:shd w:val="clear" w:color="auto" w:fill="auto"/>
                  <w:vAlign w:val="center"/>
                </w:tcPr>
                <w:p>
                  <w:pPr>
                    <w:jc w:val="center"/>
                    <w:rPr>
                      <w:szCs w:val="21"/>
                    </w:rPr>
                  </w:pPr>
                </w:p>
              </w:tc>
              <w:tc>
                <w:tcPr>
                  <w:tcW w:w="1183" w:type="dxa"/>
                  <w:vMerge w:val="continue"/>
                  <w:shd w:val="clear" w:color="auto" w:fill="auto"/>
                  <w:vAlign w:val="center"/>
                </w:tcPr>
                <w:p>
                  <w:pPr>
                    <w:jc w:val="center"/>
                    <w:rPr>
                      <w:szCs w:val="21"/>
                    </w:rPr>
                  </w:pPr>
                </w:p>
              </w:tc>
              <w:tc>
                <w:tcPr>
                  <w:tcW w:w="1655" w:type="dxa"/>
                  <w:shd w:val="clear" w:color="auto" w:fill="auto"/>
                  <w:vAlign w:val="center"/>
                </w:tcPr>
                <w:p>
                  <w:pPr>
                    <w:jc w:val="center"/>
                    <w:rPr>
                      <w:szCs w:val="21"/>
                    </w:rPr>
                  </w:pPr>
                  <w:r>
                    <w:rPr>
                      <w:szCs w:val="21"/>
                    </w:rPr>
                    <w:t>以新带老措施</w:t>
                  </w:r>
                </w:p>
              </w:tc>
              <w:tc>
                <w:tcPr>
                  <w:tcW w:w="2835" w:type="dxa"/>
                  <w:shd w:val="clear" w:color="auto" w:fill="auto"/>
                  <w:vAlign w:val="center"/>
                </w:tcPr>
                <w:p>
                  <w:pPr>
                    <w:jc w:val="center"/>
                    <w:rPr>
                      <w:szCs w:val="21"/>
                    </w:rPr>
                  </w:pPr>
                  <w:r>
                    <w:rPr>
                      <w:rFonts w:hint="eastAsia"/>
                      <w:szCs w:val="21"/>
                    </w:rPr>
                    <w:t>现有工程注塑废气：</w:t>
                  </w:r>
                  <w:r>
                    <w:rPr>
                      <w:bCs/>
                      <w:szCs w:val="21"/>
                    </w:rPr>
                    <w:t>UV光催化氧化装置</w:t>
                  </w:r>
                  <w:r>
                    <w:rPr>
                      <w:rFonts w:hint="eastAsia"/>
                      <w:szCs w:val="21"/>
                    </w:rPr>
                    <w:t>（依托现有）</w:t>
                  </w:r>
                  <w:r>
                    <w:rPr>
                      <w:bCs/>
                      <w:szCs w:val="21"/>
                    </w:rPr>
                    <w:t>+活性炭吸附装置</w:t>
                  </w:r>
                  <w:r>
                    <w:rPr>
                      <w:rFonts w:hint="eastAsia"/>
                      <w:szCs w:val="21"/>
                    </w:rPr>
                    <w:t>（新建）</w:t>
                  </w:r>
                  <w:r>
                    <w:rPr>
                      <w:bCs/>
                      <w:szCs w:val="21"/>
                    </w:rPr>
                    <w:t>+15m高排气筒</w:t>
                  </w:r>
                  <w:r>
                    <w:rPr>
                      <w:rFonts w:hint="eastAsia"/>
                      <w:szCs w:val="21"/>
                    </w:rPr>
                    <w:t>（依托现有）</w:t>
                  </w:r>
                </w:p>
              </w:tc>
              <w:tc>
                <w:tcPr>
                  <w:tcW w:w="3009" w:type="dxa"/>
                  <w:vMerge w:val="continue"/>
                  <w:shd w:val="clear" w:color="auto" w:fill="auto"/>
                  <w:vAlign w:val="center"/>
                </w:tcPr>
                <w:p>
                  <w:pPr>
                    <w:jc w:val="center"/>
                    <w:rPr>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shd w:val="clear" w:color="auto" w:fill="auto"/>
                  <w:vAlign w:val="center"/>
                </w:tcPr>
                <w:p>
                  <w:pPr>
                    <w:jc w:val="center"/>
                    <w:rPr>
                      <w:szCs w:val="21"/>
                    </w:rPr>
                  </w:pPr>
                  <w:r>
                    <w:rPr>
                      <w:szCs w:val="21"/>
                    </w:rPr>
                    <w:t>3</w:t>
                  </w:r>
                </w:p>
              </w:tc>
              <w:tc>
                <w:tcPr>
                  <w:tcW w:w="1183" w:type="dxa"/>
                  <w:shd w:val="clear" w:color="auto" w:fill="auto"/>
                  <w:vAlign w:val="center"/>
                </w:tcPr>
                <w:p>
                  <w:pPr>
                    <w:jc w:val="center"/>
                    <w:rPr>
                      <w:szCs w:val="21"/>
                    </w:rPr>
                  </w:pPr>
                  <w:r>
                    <w:rPr>
                      <w:szCs w:val="21"/>
                    </w:rPr>
                    <w:t>噪声</w:t>
                  </w:r>
                </w:p>
              </w:tc>
              <w:tc>
                <w:tcPr>
                  <w:tcW w:w="1655" w:type="dxa"/>
                  <w:shd w:val="clear" w:color="auto" w:fill="auto"/>
                  <w:vAlign w:val="center"/>
                </w:tcPr>
                <w:p>
                  <w:pPr>
                    <w:jc w:val="center"/>
                    <w:rPr>
                      <w:szCs w:val="21"/>
                    </w:rPr>
                  </w:pPr>
                  <w:r>
                    <w:rPr>
                      <w:rFonts w:hint="eastAsia"/>
                      <w:szCs w:val="21"/>
                    </w:rPr>
                    <w:t>设备噪声</w:t>
                  </w:r>
                </w:p>
              </w:tc>
              <w:tc>
                <w:tcPr>
                  <w:tcW w:w="2835" w:type="dxa"/>
                  <w:shd w:val="clear" w:color="auto" w:fill="auto"/>
                  <w:vAlign w:val="center"/>
                </w:tcPr>
                <w:p>
                  <w:pPr>
                    <w:jc w:val="center"/>
                    <w:rPr>
                      <w:szCs w:val="21"/>
                    </w:rPr>
                  </w:pPr>
                  <w:r>
                    <w:rPr>
                      <w:szCs w:val="21"/>
                    </w:rPr>
                    <w:t>减振、隔声</w:t>
                  </w:r>
                </w:p>
              </w:tc>
              <w:tc>
                <w:tcPr>
                  <w:tcW w:w="3009" w:type="dxa"/>
                  <w:shd w:val="clear" w:color="auto" w:fill="auto"/>
                  <w:vAlign w:val="center"/>
                </w:tcPr>
                <w:p>
                  <w:pPr>
                    <w:jc w:val="center"/>
                    <w:rPr>
                      <w:szCs w:val="21"/>
                    </w:rPr>
                  </w:pPr>
                  <w:r>
                    <w:rPr>
                      <w:szCs w:val="21"/>
                    </w:rPr>
                    <w:t>《工业企业厂界环境噪声排放标准》（GB12348-2008）</w:t>
                  </w:r>
                  <w:r>
                    <w:rPr>
                      <w:rFonts w:hint="eastAsia"/>
                      <w:szCs w:val="21"/>
                    </w:rPr>
                    <w:t>2</w:t>
                  </w:r>
                  <w:r>
                    <w:rPr>
                      <w:szCs w:val="21"/>
                    </w:rPr>
                    <w:t>类标准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vMerge w:val="restart"/>
                  <w:shd w:val="clear" w:color="auto" w:fill="auto"/>
                  <w:vAlign w:val="center"/>
                </w:tcPr>
                <w:p>
                  <w:pPr>
                    <w:jc w:val="center"/>
                    <w:rPr>
                      <w:szCs w:val="21"/>
                    </w:rPr>
                  </w:pPr>
                  <w:r>
                    <w:rPr>
                      <w:szCs w:val="21"/>
                    </w:rPr>
                    <w:t>4</w:t>
                  </w:r>
                </w:p>
              </w:tc>
              <w:tc>
                <w:tcPr>
                  <w:tcW w:w="1183" w:type="dxa"/>
                  <w:vMerge w:val="restart"/>
                  <w:shd w:val="clear" w:color="auto" w:fill="auto"/>
                  <w:vAlign w:val="center"/>
                </w:tcPr>
                <w:p>
                  <w:pPr>
                    <w:jc w:val="center"/>
                    <w:rPr>
                      <w:szCs w:val="21"/>
                    </w:rPr>
                  </w:pPr>
                  <w:r>
                    <w:rPr>
                      <w:szCs w:val="21"/>
                    </w:rPr>
                    <w:t>固废</w:t>
                  </w:r>
                </w:p>
              </w:tc>
              <w:tc>
                <w:tcPr>
                  <w:tcW w:w="1655" w:type="dxa"/>
                  <w:shd w:val="clear" w:color="auto" w:fill="auto"/>
                  <w:vAlign w:val="center"/>
                </w:tcPr>
                <w:p>
                  <w:pPr>
                    <w:jc w:val="center"/>
                    <w:rPr>
                      <w:szCs w:val="21"/>
                    </w:rPr>
                  </w:pPr>
                  <w:r>
                    <w:rPr>
                      <w:bCs/>
                      <w:szCs w:val="21"/>
                    </w:rPr>
                    <w:t>废包装材料、废边角料</w:t>
                  </w:r>
                </w:p>
              </w:tc>
              <w:tc>
                <w:tcPr>
                  <w:tcW w:w="2835" w:type="dxa"/>
                  <w:shd w:val="clear" w:color="auto" w:fill="auto"/>
                  <w:vAlign w:val="center"/>
                </w:tcPr>
                <w:p>
                  <w:pPr>
                    <w:jc w:val="center"/>
                    <w:rPr>
                      <w:szCs w:val="21"/>
                    </w:rPr>
                  </w:pPr>
                  <w:r>
                    <w:rPr>
                      <w:szCs w:val="21"/>
                    </w:rPr>
                    <w:t>一般固废暂存区1处（5m</w:t>
                  </w:r>
                  <w:r>
                    <w:rPr>
                      <w:szCs w:val="21"/>
                      <w:vertAlign w:val="superscript"/>
                    </w:rPr>
                    <w:t>2</w:t>
                  </w:r>
                  <w:r>
                    <w:rPr>
                      <w:szCs w:val="21"/>
                    </w:rPr>
                    <w:t>）</w:t>
                  </w:r>
                </w:p>
              </w:tc>
              <w:tc>
                <w:tcPr>
                  <w:tcW w:w="3009" w:type="dxa"/>
                  <w:shd w:val="clear" w:color="auto" w:fill="auto"/>
                  <w:vAlign w:val="center"/>
                </w:tcPr>
                <w:p>
                  <w:pPr>
                    <w:jc w:val="center"/>
                    <w:rPr>
                      <w:szCs w:val="21"/>
                    </w:rPr>
                  </w:pPr>
                  <w:r>
                    <w:rPr>
                      <w:szCs w:val="21"/>
                    </w:rPr>
                    <w:t>《一般工业固体废物贮存、处理场污染控制标准》（GB18599-2001及2013修改单）</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0" w:type="dxa"/>
                  <w:vMerge w:val="continue"/>
                  <w:shd w:val="clear" w:color="auto" w:fill="auto"/>
                  <w:vAlign w:val="center"/>
                </w:tcPr>
                <w:p>
                  <w:pPr>
                    <w:jc w:val="center"/>
                    <w:rPr>
                      <w:szCs w:val="21"/>
                    </w:rPr>
                  </w:pPr>
                </w:p>
              </w:tc>
              <w:tc>
                <w:tcPr>
                  <w:tcW w:w="1183" w:type="dxa"/>
                  <w:vMerge w:val="continue"/>
                  <w:shd w:val="clear" w:color="auto" w:fill="auto"/>
                  <w:vAlign w:val="center"/>
                </w:tcPr>
                <w:p>
                  <w:pPr>
                    <w:jc w:val="center"/>
                    <w:rPr>
                      <w:szCs w:val="21"/>
                    </w:rPr>
                  </w:pPr>
                </w:p>
              </w:tc>
              <w:tc>
                <w:tcPr>
                  <w:tcW w:w="1655" w:type="dxa"/>
                  <w:shd w:val="clear" w:color="auto" w:fill="auto"/>
                  <w:vAlign w:val="center"/>
                </w:tcPr>
                <w:p>
                  <w:pPr>
                    <w:jc w:val="center"/>
                    <w:rPr>
                      <w:bCs/>
                      <w:szCs w:val="21"/>
                    </w:rPr>
                  </w:pPr>
                  <w:r>
                    <w:rPr>
                      <w:bCs/>
                      <w:szCs w:val="21"/>
                    </w:rPr>
                    <w:t>废液压油</w:t>
                  </w:r>
                  <w:r>
                    <w:rPr>
                      <w:rFonts w:hint="eastAsia"/>
                      <w:bCs/>
                      <w:szCs w:val="21"/>
                    </w:rPr>
                    <w:t>、</w:t>
                  </w:r>
                  <w:r>
                    <w:rPr>
                      <w:bCs/>
                      <w:szCs w:val="21"/>
                    </w:rPr>
                    <w:t>废紫外灯管、废活性炭、废催化板</w:t>
                  </w:r>
                </w:p>
              </w:tc>
              <w:tc>
                <w:tcPr>
                  <w:tcW w:w="2835" w:type="dxa"/>
                  <w:shd w:val="clear" w:color="auto" w:fill="auto"/>
                  <w:vAlign w:val="center"/>
                </w:tcPr>
                <w:p>
                  <w:pPr>
                    <w:jc w:val="center"/>
                    <w:rPr>
                      <w:szCs w:val="21"/>
                    </w:rPr>
                  </w:pPr>
                  <w:r>
                    <w:rPr>
                      <w:szCs w:val="21"/>
                    </w:rPr>
                    <w:t>危废暂存间1处（5m</w:t>
                  </w:r>
                  <w:r>
                    <w:rPr>
                      <w:szCs w:val="21"/>
                      <w:vertAlign w:val="superscript"/>
                    </w:rPr>
                    <w:t>2</w:t>
                  </w:r>
                  <w:r>
                    <w:rPr>
                      <w:szCs w:val="21"/>
                    </w:rPr>
                    <w:t>）</w:t>
                  </w:r>
                </w:p>
              </w:tc>
              <w:tc>
                <w:tcPr>
                  <w:tcW w:w="3009" w:type="dxa"/>
                  <w:shd w:val="clear" w:color="auto" w:fill="auto"/>
                  <w:vAlign w:val="center"/>
                </w:tcPr>
                <w:p>
                  <w:pPr>
                    <w:jc w:val="center"/>
                    <w:rPr>
                      <w:szCs w:val="21"/>
                    </w:rPr>
                  </w:pPr>
                  <w:r>
                    <w:rPr>
                      <w:szCs w:val="21"/>
                    </w:rPr>
                    <w:t>《危险废物贮存污染控制标准》（GB18597-2001）及其2013修改单</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740" w:type="dxa"/>
                  <w:vMerge w:val="restart"/>
                  <w:shd w:val="clear" w:color="auto" w:fill="auto"/>
                  <w:vAlign w:val="center"/>
                </w:tcPr>
                <w:p>
                  <w:pPr>
                    <w:jc w:val="center"/>
                    <w:rPr>
                      <w:szCs w:val="21"/>
                    </w:rPr>
                  </w:pPr>
                  <w:r>
                    <w:rPr>
                      <w:rFonts w:hint="eastAsia"/>
                      <w:szCs w:val="21"/>
                    </w:rPr>
                    <w:t>5</w:t>
                  </w:r>
                </w:p>
              </w:tc>
              <w:tc>
                <w:tcPr>
                  <w:tcW w:w="1183" w:type="dxa"/>
                  <w:vMerge w:val="restart"/>
                  <w:shd w:val="clear" w:color="auto" w:fill="auto"/>
                  <w:vAlign w:val="center"/>
                </w:tcPr>
                <w:p>
                  <w:pPr>
                    <w:jc w:val="center"/>
                    <w:rPr>
                      <w:szCs w:val="21"/>
                    </w:rPr>
                  </w:pPr>
                  <w:r>
                    <w:rPr>
                      <w:rFonts w:hint="eastAsia"/>
                      <w:szCs w:val="21"/>
                    </w:rPr>
                    <w:t>管理</w:t>
                  </w:r>
                </w:p>
              </w:tc>
              <w:tc>
                <w:tcPr>
                  <w:tcW w:w="4490" w:type="dxa"/>
                  <w:gridSpan w:val="2"/>
                  <w:shd w:val="clear" w:color="auto" w:fill="auto"/>
                  <w:vAlign w:val="center"/>
                </w:tcPr>
                <w:p>
                  <w:pPr>
                    <w:rPr>
                      <w:bCs/>
                      <w:szCs w:val="21"/>
                    </w:rPr>
                  </w:pPr>
                  <w:r>
                    <w:rPr>
                      <w:rFonts w:hint="eastAsia"/>
                      <w:bCs/>
                      <w:szCs w:val="21"/>
                    </w:rPr>
                    <w:t>1、排气筒应安装</w:t>
                  </w:r>
                  <w:r>
                    <w:rPr>
                      <w:bCs/>
                      <w:szCs w:val="21"/>
                    </w:rPr>
                    <w:t>VOCs</w:t>
                  </w:r>
                  <w:r>
                    <w:rPr>
                      <w:rFonts w:hint="eastAsia"/>
                      <w:bCs/>
                      <w:szCs w:val="21"/>
                    </w:rPr>
                    <w:t>排放自动监控设备并与环保部门联网；</w:t>
                  </w:r>
                </w:p>
              </w:tc>
              <w:tc>
                <w:tcPr>
                  <w:tcW w:w="3009" w:type="dxa"/>
                  <w:shd w:val="clear" w:color="auto" w:fill="auto"/>
                  <w:vAlign w:val="center"/>
                </w:tcPr>
                <w:p>
                  <w:pPr>
                    <w:jc w:val="center"/>
                    <w:rPr>
                      <w:szCs w:val="21"/>
                    </w:rPr>
                  </w:pPr>
                  <w:r>
                    <w:rPr>
                      <w:color w:val="000000" w:themeColor="text1"/>
                      <w:szCs w:val="21"/>
                    </w:rPr>
                    <w:t>《新乡市环境污染防治攻坚指挥部办公室关于印发新乡市2019年大气污染防治攻坚战实施方案的通知》（</w:t>
                  </w:r>
                  <w:r>
                    <w:rPr>
                      <w:bCs/>
                      <w:color w:val="000000" w:themeColor="text1"/>
                      <w:szCs w:val="21"/>
                    </w:rPr>
                    <w:t>新环攻坚办[2019]74号</w:t>
                  </w:r>
                  <w:r>
                    <w:rPr>
                      <w:color w:val="000000" w:themeColor="text1"/>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740" w:type="dxa"/>
                  <w:vMerge w:val="continue"/>
                  <w:shd w:val="clear" w:color="auto" w:fill="auto"/>
                  <w:vAlign w:val="center"/>
                </w:tcPr>
                <w:p>
                  <w:pPr>
                    <w:jc w:val="center"/>
                    <w:rPr>
                      <w:szCs w:val="21"/>
                    </w:rPr>
                  </w:pPr>
                </w:p>
              </w:tc>
              <w:tc>
                <w:tcPr>
                  <w:tcW w:w="1183" w:type="dxa"/>
                  <w:vMerge w:val="continue"/>
                  <w:shd w:val="clear" w:color="auto" w:fill="auto"/>
                  <w:vAlign w:val="center"/>
                </w:tcPr>
                <w:p>
                  <w:pPr>
                    <w:jc w:val="center"/>
                    <w:rPr>
                      <w:szCs w:val="21"/>
                    </w:rPr>
                  </w:pPr>
                </w:p>
              </w:tc>
              <w:tc>
                <w:tcPr>
                  <w:tcW w:w="4490" w:type="dxa"/>
                  <w:gridSpan w:val="2"/>
                  <w:shd w:val="clear" w:color="auto" w:fill="auto"/>
                  <w:vAlign w:val="center"/>
                </w:tcPr>
                <w:p>
                  <w:pPr>
                    <w:rPr>
                      <w:szCs w:val="21"/>
                    </w:rPr>
                  </w:pPr>
                  <w:r>
                    <w:rPr>
                      <w:rFonts w:hint="eastAsia"/>
                      <w:szCs w:val="21"/>
                    </w:rPr>
                    <w:t>2、</w:t>
                  </w:r>
                  <w:r>
                    <w:rPr>
                      <w:rFonts w:hint="eastAsia"/>
                      <w:bCs/>
                      <w:szCs w:val="21"/>
                    </w:rPr>
                    <w:t>本项目应在</w:t>
                  </w:r>
                  <w:r>
                    <w:rPr>
                      <w:rFonts w:hint="eastAsia"/>
                      <w:szCs w:val="21"/>
                    </w:rPr>
                    <w:t>生产区、废气治理装置区以及厂区大门处安装视频监控；</w:t>
                  </w:r>
                </w:p>
              </w:tc>
              <w:tc>
                <w:tcPr>
                  <w:tcW w:w="3009" w:type="dxa"/>
                  <w:shd w:val="clear" w:color="auto" w:fill="auto"/>
                  <w:vAlign w:val="center"/>
                </w:tcPr>
                <w:p>
                  <w:pPr>
                    <w:jc w:val="center"/>
                    <w:rPr>
                      <w:szCs w:val="21"/>
                    </w:rPr>
                  </w:pPr>
                  <w:r>
                    <w:rPr>
                      <w:szCs w:val="21"/>
                    </w:rPr>
                    <w:t>《京津冀及周边地区2019-2020年秋冬季大气污染综合治理攻坚行动方案》的通知（环大气〔2019〕88号）</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740" w:type="dxa"/>
                  <w:vMerge w:val="continue"/>
                  <w:shd w:val="clear" w:color="auto" w:fill="auto"/>
                  <w:vAlign w:val="center"/>
                </w:tcPr>
                <w:p>
                  <w:pPr>
                    <w:jc w:val="center"/>
                    <w:rPr>
                      <w:szCs w:val="21"/>
                    </w:rPr>
                  </w:pPr>
                </w:p>
              </w:tc>
              <w:tc>
                <w:tcPr>
                  <w:tcW w:w="1183" w:type="dxa"/>
                  <w:vMerge w:val="continue"/>
                  <w:shd w:val="clear" w:color="auto" w:fill="auto"/>
                  <w:vAlign w:val="center"/>
                </w:tcPr>
                <w:p>
                  <w:pPr>
                    <w:jc w:val="center"/>
                    <w:rPr>
                      <w:szCs w:val="21"/>
                    </w:rPr>
                  </w:pPr>
                </w:p>
              </w:tc>
              <w:tc>
                <w:tcPr>
                  <w:tcW w:w="4490" w:type="dxa"/>
                  <w:gridSpan w:val="2"/>
                  <w:shd w:val="clear" w:color="auto" w:fill="auto"/>
                  <w:vAlign w:val="center"/>
                </w:tcPr>
                <w:p>
                  <w:pPr>
                    <w:rPr>
                      <w:szCs w:val="21"/>
                    </w:rPr>
                  </w:pPr>
                  <w:r>
                    <w:rPr>
                      <w:rFonts w:hint="eastAsia"/>
                      <w:szCs w:val="21"/>
                    </w:rPr>
                    <w:t>3、本项目总用电处、生产设施、废气处理设施处安装用电监控设施，并与环保部门联网。</w:t>
                  </w:r>
                </w:p>
              </w:tc>
              <w:tc>
                <w:tcPr>
                  <w:tcW w:w="3009" w:type="dxa"/>
                  <w:shd w:val="clear" w:color="auto" w:fill="auto"/>
                  <w:vAlign w:val="center"/>
                </w:tcPr>
                <w:p>
                  <w:pPr>
                    <w:jc w:val="center"/>
                    <w:rPr>
                      <w:szCs w:val="21"/>
                    </w:rPr>
                  </w:pPr>
                  <w:r>
                    <w:rPr>
                      <w:bCs/>
                      <w:szCs w:val="21"/>
                    </w:rPr>
                    <w:t>《新乡市生态环境局关于部署安装工业企业用电量监控系统的通知》（新环[2019]154号）</w:t>
                  </w:r>
                </w:p>
              </w:tc>
            </w:tr>
          </w:tbl>
          <w:p>
            <w:pPr>
              <w:spacing w:line="460" w:lineRule="exact"/>
              <w:jc w:val="left"/>
              <w:rPr>
                <w:b/>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r>
    </w:tbl>
    <w:p>
      <w:pPr>
        <w:sectPr>
          <w:pgSz w:w="11906" w:h="16838"/>
          <w:pgMar w:top="1418" w:right="1134" w:bottom="1701" w:left="1134" w:header="851" w:footer="992" w:gutter="0"/>
          <w:pgNumType w:start="1"/>
          <w:cols w:space="720" w:num="1"/>
          <w:formProt w:val="0"/>
          <w:docGrid w:type="lines" w:linePitch="312" w:charSpace="0"/>
        </w:sectPr>
      </w:pPr>
    </w:p>
    <w:p>
      <w:pPr>
        <w:spacing w:line="440" w:lineRule="exact"/>
        <w:jc w:val="left"/>
        <w:rPr>
          <w:b/>
          <w:sz w:val="28"/>
        </w:rPr>
      </w:pPr>
      <w:r>
        <w:rPr>
          <w:b/>
          <w:sz w:val="28"/>
        </w:rPr>
        <w:t>建设项目拟采取的防治措施及预期治理效果</w:t>
      </w:r>
    </w:p>
    <w:tbl>
      <w:tblPr>
        <w:tblStyle w:val="19"/>
        <w:tblW w:w="9158" w:type="dxa"/>
        <w:jc w:val="center"/>
        <w:tblLayout w:type="autofit"/>
        <w:tblCellMar>
          <w:top w:w="0" w:type="dxa"/>
          <w:left w:w="108" w:type="dxa"/>
          <w:bottom w:w="0" w:type="dxa"/>
          <w:right w:w="108" w:type="dxa"/>
        </w:tblCellMar>
      </w:tblPr>
      <w:tblGrid>
        <w:gridCol w:w="945"/>
        <w:gridCol w:w="1934"/>
        <w:gridCol w:w="1560"/>
        <w:gridCol w:w="3544"/>
        <w:gridCol w:w="1175"/>
      </w:tblGrid>
      <w:tr>
        <w:tblPrEx>
          <w:tblCellMar>
            <w:top w:w="0" w:type="dxa"/>
            <w:left w:w="108" w:type="dxa"/>
            <w:bottom w:w="0" w:type="dxa"/>
            <w:right w:w="108" w:type="dxa"/>
          </w:tblCellMar>
        </w:tblPrEx>
        <w:trPr>
          <w:trHeight w:val="567" w:hRule="atLeast"/>
          <w:jc w:val="center"/>
        </w:trPr>
        <w:tc>
          <w:tcPr>
            <w:tcW w:w="945" w:type="dxa"/>
            <w:tcBorders>
              <w:top w:val="single" w:color="000000" w:sz="8" w:space="0"/>
              <w:left w:val="single" w:color="000000" w:sz="8" w:space="0"/>
              <w:bottom w:val="single" w:color="000000" w:sz="4" w:space="0"/>
              <w:right w:val="single" w:color="000000" w:sz="4" w:space="0"/>
            </w:tcBorders>
            <w:shd w:val="clear" w:color="auto" w:fill="auto"/>
            <w:vAlign w:val="center"/>
          </w:tcPr>
          <w:p>
            <w:pPr>
              <w:spacing w:line="300" w:lineRule="exact"/>
              <w:ind w:firstLine="241"/>
              <w:jc w:val="center"/>
              <w:rPr>
                <w:b/>
                <w:sz w:val="24"/>
              </w:rPr>
            </w:pPr>
            <w:r>
              <w:rPr>
                <w:b/>
                <w:sz w:val="24"/>
              </w:rPr>
              <w:t>内容</w:t>
            </w:r>
          </w:p>
          <w:p>
            <w:pPr>
              <w:spacing w:line="300" w:lineRule="exact"/>
              <w:rPr>
                <w:b/>
                <w:sz w:val="24"/>
              </w:rPr>
            </w:pPr>
          </w:p>
          <w:p>
            <w:pPr>
              <w:spacing w:line="300" w:lineRule="exact"/>
              <w:rPr>
                <w:b/>
                <w:sz w:val="24"/>
              </w:rPr>
            </w:pPr>
            <w:r>
              <w:rPr>
                <w:b/>
                <w:sz w:val="24"/>
              </w:rPr>
              <w:t>类型</w:t>
            </w:r>
          </w:p>
        </w:tc>
        <w:tc>
          <w:tcPr>
            <w:tcW w:w="1934" w:type="dxa"/>
            <w:tcBorders>
              <w:top w:val="single" w:color="000000" w:sz="8" w:space="0"/>
              <w:left w:val="single" w:color="000000" w:sz="4"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排放源</w:t>
            </w:r>
          </w:p>
          <w:p>
            <w:pPr>
              <w:spacing w:line="300" w:lineRule="exact"/>
              <w:jc w:val="center"/>
              <w:rPr>
                <w:b/>
                <w:sz w:val="24"/>
              </w:rPr>
            </w:pPr>
            <w:r>
              <w:rPr>
                <w:b/>
                <w:sz w:val="24"/>
              </w:rPr>
              <w:t>（编号）</w:t>
            </w:r>
          </w:p>
        </w:tc>
        <w:tc>
          <w:tcPr>
            <w:tcW w:w="1560" w:type="dxa"/>
            <w:tcBorders>
              <w:top w:val="single" w:color="000000" w:sz="8" w:space="0"/>
              <w:left w:val="single" w:color="000000" w:sz="4"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污染物</w:t>
            </w:r>
          </w:p>
          <w:p>
            <w:pPr>
              <w:spacing w:line="300" w:lineRule="exact"/>
              <w:jc w:val="center"/>
              <w:rPr>
                <w:b/>
                <w:sz w:val="24"/>
              </w:rPr>
            </w:pPr>
            <w:r>
              <w:rPr>
                <w:b/>
                <w:sz w:val="24"/>
              </w:rPr>
              <w:t>名  称</w:t>
            </w:r>
          </w:p>
        </w:tc>
        <w:tc>
          <w:tcPr>
            <w:tcW w:w="3544" w:type="dxa"/>
            <w:tcBorders>
              <w:top w:val="single" w:color="000000" w:sz="8" w:space="0"/>
              <w:left w:val="single" w:color="000000" w:sz="4"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防治措施</w:t>
            </w:r>
          </w:p>
        </w:tc>
        <w:tc>
          <w:tcPr>
            <w:tcW w:w="1175" w:type="dxa"/>
            <w:tcBorders>
              <w:top w:val="single" w:color="000000" w:sz="8" w:space="0"/>
              <w:left w:val="single" w:color="000000" w:sz="4" w:space="0"/>
              <w:bottom w:val="single" w:color="000000" w:sz="4" w:space="0"/>
              <w:right w:val="single" w:color="000000" w:sz="8" w:space="0"/>
            </w:tcBorders>
            <w:shd w:val="clear" w:color="auto" w:fill="auto"/>
            <w:vAlign w:val="center"/>
          </w:tcPr>
          <w:p>
            <w:pPr>
              <w:spacing w:line="300" w:lineRule="exact"/>
              <w:jc w:val="center"/>
              <w:rPr>
                <w:b/>
                <w:sz w:val="24"/>
              </w:rPr>
            </w:pPr>
            <w:r>
              <w:rPr>
                <w:b/>
                <w:sz w:val="24"/>
              </w:rPr>
              <w:t>预期治理效果</w:t>
            </w:r>
          </w:p>
        </w:tc>
      </w:tr>
      <w:tr>
        <w:tblPrEx>
          <w:tblCellMar>
            <w:top w:w="0" w:type="dxa"/>
            <w:left w:w="108" w:type="dxa"/>
            <w:bottom w:w="0" w:type="dxa"/>
            <w:right w:w="108" w:type="dxa"/>
          </w:tblCellMar>
        </w:tblPrEx>
        <w:trPr>
          <w:trHeight w:val="1758" w:hRule="atLeast"/>
          <w:jc w:val="center"/>
        </w:trPr>
        <w:tc>
          <w:tcPr>
            <w:tcW w:w="945" w:type="dxa"/>
            <w:tcBorders>
              <w:top w:val="single" w:color="000000" w:sz="4" w:space="0"/>
              <w:left w:val="single" w:color="000000" w:sz="8" w:space="0"/>
              <w:right w:val="single" w:color="000000" w:sz="4" w:space="0"/>
            </w:tcBorders>
            <w:shd w:val="clear" w:color="auto" w:fill="auto"/>
            <w:vAlign w:val="center"/>
          </w:tcPr>
          <w:p>
            <w:pPr>
              <w:spacing w:line="300" w:lineRule="exact"/>
              <w:jc w:val="center"/>
              <w:rPr>
                <w:b/>
                <w:sz w:val="24"/>
              </w:rPr>
            </w:pPr>
            <w:r>
              <w:rPr>
                <w:b/>
                <w:sz w:val="24"/>
              </w:rPr>
              <w:t>大</w:t>
            </w:r>
          </w:p>
          <w:p>
            <w:pPr>
              <w:spacing w:line="300" w:lineRule="exact"/>
              <w:jc w:val="center"/>
              <w:rPr>
                <w:b/>
                <w:sz w:val="24"/>
              </w:rPr>
            </w:pPr>
            <w:r>
              <w:rPr>
                <w:b/>
                <w:sz w:val="24"/>
              </w:rPr>
              <w:t>气</w:t>
            </w:r>
          </w:p>
          <w:p>
            <w:pPr>
              <w:spacing w:line="300" w:lineRule="exact"/>
              <w:jc w:val="center"/>
              <w:rPr>
                <w:b/>
                <w:sz w:val="24"/>
              </w:rPr>
            </w:pPr>
            <w:r>
              <w:rPr>
                <w:b/>
                <w:sz w:val="24"/>
              </w:rPr>
              <w:t>污</w:t>
            </w:r>
          </w:p>
          <w:p>
            <w:pPr>
              <w:spacing w:line="300" w:lineRule="exact"/>
              <w:jc w:val="center"/>
              <w:rPr>
                <w:b/>
                <w:sz w:val="24"/>
              </w:rPr>
            </w:pPr>
            <w:r>
              <w:rPr>
                <w:b/>
                <w:sz w:val="24"/>
              </w:rPr>
              <w:t>染</w:t>
            </w:r>
          </w:p>
          <w:p>
            <w:pPr>
              <w:spacing w:line="300" w:lineRule="exact"/>
              <w:jc w:val="center"/>
              <w:rPr>
                <w:b/>
                <w:sz w:val="24"/>
                <w:u w:val="single"/>
              </w:rPr>
            </w:pPr>
            <w:r>
              <w:rPr>
                <w:b/>
                <w:sz w:val="24"/>
              </w:rPr>
              <w:t>物</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sz w:val="24"/>
              </w:rPr>
            </w:pPr>
            <w:r>
              <w:rPr>
                <w:sz w:val="24"/>
              </w:rPr>
              <w:t>注塑工序</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sz w:val="24"/>
              </w:rPr>
            </w:pPr>
            <w:r>
              <w:rPr>
                <w:sz w:val="24"/>
              </w:rPr>
              <w:t>非甲烷总烃</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sz w:val="24"/>
              </w:rPr>
            </w:pPr>
            <w:r>
              <w:rPr>
                <w:rFonts w:hint="eastAsia"/>
                <w:bCs/>
                <w:sz w:val="24"/>
              </w:rPr>
              <w:t>注塑区域密闭，废气经负压收集</w:t>
            </w:r>
            <w:r>
              <w:rPr>
                <w:bCs/>
                <w:sz w:val="24"/>
              </w:rPr>
              <w:t>+ UV光催化氧化装置+活性炭吸附装置+15m高排气筒</w:t>
            </w:r>
          </w:p>
        </w:tc>
        <w:tc>
          <w:tcPr>
            <w:tcW w:w="1175" w:type="dxa"/>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300" w:lineRule="exact"/>
              <w:jc w:val="center"/>
              <w:rPr>
                <w:sz w:val="24"/>
              </w:rPr>
            </w:pPr>
            <w:r>
              <w:rPr>
                <w:sz w:val="24"/>
              </w:rPr>
              <w:t>达标</w:t>
            </w:r>
          </w:p>
        </w:tc>
      </w:tr>
      <w:tr>
        <w:tblPrEx>
          <w:tblCellMar>
            <w:top w:w="0" w:type="dxa"/>
            <w:left w:w="108" w:type="dxa"/>
            <w:bottom w:w="0" w:type="dxa"/>
            <w:right w:w="108" w:type="dxa"/>
          </w:tblCellMar>
        </w:tblPrEx>
        <w:trPr>
          <w:trHeight w:val="567" w:hRule="atLeast"/>
          <w:jc w:val="center"/>
        </w:trPr>
        <w:tc>
          <w:tcPr>
            <w:tcW w:w="945" w:type="dxa"/>
            <w:tcBorders>
              <w:top w:val="single" w:color="000000" w:sz="4" w:space="0"/>
              <w:left w:val="single" w:color="000000" w:sz="8"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水</w:t>
            </w:r>
          </w:p>
          <w:p>
            <w:pPr>
              <w:spacing w:line="300" w:lineRule="exact"/>
              <w:jc w:val="center"/>
              <w:rPr>
                <w:b/>
                <w:sz w:val="24"/>
              </w:rPr>
            </w:pPr>
            <w:r>
              <w:rPr>
                <w:b/>
                <w:sz w:val="24"/>
              </w:rPr>
              <w:t>污</w:t>
            </w:r>
          </w:p>
          <w:p>
            <w:pPr>
              <w:spacing w:line="300" w:lineRule="exact"/>
              <w:jc w:val="center"/>
              <w:rPr>
                <w:b/>
                <w:sz w:val="24"/>
              </w:rPr>
            </w:pPr>
            <w:r>
              <w:rPr>
                <w:b/>
                <w:sz w:val="24"/>
              </w:rPr>
              <w:t>染</w:t>
            </w:r>
          </w:p>
          <w:p>
            <w:pPr>
              <w:spacing w:line="300" w:lineRule="exact"/>
              <w:jc w:val="center"/>
              <w:rPr>
                <w:b/>
                <w:sz w:val="24"/>
              </w:rPr>
            </w:pPr>
            <w:r>
              <w:rPr>
                <w:b/>
                <w:sz w:val="24"/>
              </w:rPr>
              <w:t>物</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sz w:val="24"/>
              </w:rPr>
            </w:pPr>
            <w:r>
              <w:rPr>
                <w:rFonts w:hint="eastAsia"/>
                <w:sz w:val="24"/>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sz w:val="24"/>
              </w:rPr>
            </w:pPr>
            <w:r>
              <w:rPr>
                <w:rFonts w:hint="eastAsia"/>
                <w:sz w:val="24"/>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404"/>
              </w:tabs>
              <w:spacing w:line="300" w:lineRule="exact"/>
              <w:ind w:left="120"/>
              <w:jc w:val="center"/>
              <w:rPr>
                <w:sz w:val="24"/>
              </w:rPr>
            </w:pPr>
            <w:r>
              <w:rPr>
                <w:rFonts w:hint="eastAsia"/>
                <w:sz w:val="24"/>
              </w:rPr>
              <w:t>/</w:t>
            </w:r>
          </w:p>
        </w:tc>
        <w:tc>
          <w:tcPr>
            <w:tcW w:w="1175" w:type="dxa"/>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300" w:lineRule="exact"/>
              <w:jc w:val="center"/>
              <w:rPr>
                <w:sz w:val="24"/>
              </w:rPr>
            </w:pPr>
            <w:r>
              <w:rPr>
                <w:rFonts w:hint="eastAsia"/>
                <w:sz w:val="24"/>
              </w:rPr>
              <w:t>/</w:t>
            </w:r>
          </w:p>
        </w:tc>
      </w:tr>
      <w:tr>
        <w:tblPrEx>
          <w:tblCellMar>
            <w:top w:w="0" w:type="dxa"/>
            <w:left w:w="108" w:type="dxa"/>
            <w:bottom w:w="0" w:type="dxa"/>
            <w:right w:w="108" w:type="dxa"/>
          </w:tblCellMar>
        </w:tblPrEx>
        <w:trPr>
          <w:trHeight w:val="635" w:hRule="atLeast"/>
          <w:jc w:val="center"/>
        </w:trPr>
        <w:tc>
          <w:tcPr>
            <w:tcW w:w="945" w:type="dxa"/>
            <w:vMerge w:val="restart"/>
            <w:tcBorders>
              <w:top w:val="single" w:color="000000" w:sz="4" w:space="0"/>
              <w:left w:val="single" w:color="000000" w:sz="8" w:space="0"/>
              <w:right w:val="single" w:color="000000" w:sz="4" w:space="0"/>
            </w:tcBorders>
            <w:shd w:val="clear" w:color="auto" w:fill="auto"/>
            <w:vAlign w:val="center"/>
          </w:tcPr>
          <w:p>
            <w:pPr>
              <w:spacing w:line="300" w:lineRule="exact"/>
              <w:jc w:val="center"/>
              <w:rPr>
                <w:b/>
                <w:sz w:val="24"/>
              </w:rPr>
            </w:pPr>
            <w:r>
              <w:rPr>
                <w:b/>
                <w:sz w:val="24"/>
              </w:rPr>
              <w:t>固</w:t>
            </w:r>
          </w:p>
          <w:p>
            <w:pPr>
              <w:spacing w:line="300" w:lineRule="exact"/>
              <w:jc w:val="center"/>
              <w:rPr>
                <w:b/>
                <w:sz w:val="24"/>
              </w:rPr>
            </w:pPr>
            <w:r>
              <w:rPr>
                <w:b/>
                <w:sz w:val="24"/>
              </w:rPr>
              <w:t>体</w:t>
            </w:r>
          </w:p>
          <w:p>
            <w:pPr>
              <w:spacing w:line="300" w:lineRule="exact"/>
              <w:jc w:val="center"/>
              <w:rPr>
                <w:b/>
                <w:sz w:val="24"/>
              </w:rPr>
            </w:pPr>
            <w:r>
              <w:rPr>
                <w:b/>
                <w:sz w:val="24"/>
              </w:rPr>
              <w:t>废</w:t>
            </w:r>
          </w:p>
          <w:p>
            <w:pPr>
              <w:spacing w:line="300" w:lineRule="exact"/>
              <w:jc w:val="center"/>
              <w:rPr>
                <w:b/>
                <w:sz w:val="24"/>
              </w:rPr>
            </w:pPr>
            <w:r>
              <w:rPr>
                <w:b/>
                <w:sz w:val="24"/>
              </w:rPr>
              <w:t>物</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sz w:val="24"/>
              </w:rPr>
              <w:t>包装工序</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kern w:val="0"/>
                <w:sz w:val="24"/>
              </w:rPr>
              <w:t>废包装材料</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 w:val="24"/>
              </w:rPr>
            </w:pPr>
            <w:r>
              <w:rPr>
                <w:kern w:val="0"/>
                <w:sz w:val="24"/>
              </w:rPr>
              <w:t>集中收集暂存后外售</w:t>
            </w:r>
          </w:p>
        </w:tc>
        <w:tc>
          <w:tcPr>
            <w:tcW w:w="1175" w:type="dxa"/>
            <w:vMerge w:val="restart"/>
            <w:tcBorders>
              <w:top w:val="single" w:color="000000" w:sz="4" w:space="0"/>
              <w:left w:val="single" w:color="000000" w:sz="4" w:space="0"/>
              <w:right w:val="single" w:color="000000" w:sz="8" w:space="0"/>
            </w:tcBorders>
            <w:shd w:val="clear" w:color="auto" w:fill="auto"/>
            <w:vAlign w:val="center"/>
          </w:tcPr>
          <w:p>
            <w:pPr>
              <w:spacing w:line="300" w:lineRule="exact"/>
              <w:ind w:firstLine="240"/>
              <w:rPr>
                <w:sz w:val="24"/>
              </w:rPr>
            </w:pPr>
            <w:r>
              <w:rPr>
                <w:sz w:val="24"/>
              </w:rPr>
              <w:t>可行</w:t>
            </w:r>
          </w:p>
        </w:tc>
      </w:tr>
      <w:tr>
        <w:tblPrEx>
          <w:tblCellMar>
            <w:top w:w="0" w:type="dxa"/>
            <w:left w:w="108" w:type="dxa"/>
            <w:bottom w:w="0" w:type="dxa"/>
            <w:right w:w="108" w:type="dxa"/>
          </w:tblCellMar>
        </w:tblPrEx>
        <w:trPr>
          <w:trHeight w:val="567" w:hRule="atLeast"/>
          <w:jc w:val="center"/>
        </w:trPr>
        <w:tc>
          <w:tcPr>
            <w:tcW w:w="945" w:type="dxa"/>
            <w:vMerge w:val="continue"/>
            <w:tcBorders>
              <w:left w:val="single" w:color="000000" w:sz="8" w:space="0"/>
              <w:right w:val="single" w:color="000000" w:sz="4" w:space="0"/>
            </w:tcBorders>
            <w:shd w:val="clear" w:color="auto" w:fill="auto"/>
            <w:vAlign w:val="center"/>
          </w:tcPr>
          <w:p>
            <w:pPr>
              <w:spacing w:line="300" w:lineRule="exact"/>
              <w:jc w:val="center"/>
              <w:rPr>
                <w:b/>
                <w:sz w:val="24"/>
              </w:rPr>
            </w:pP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rFonts w:hint="eastAsia"/>
                <w:bCs/>
                <w:sz w:val="24"/>
              </w:rPr>
              <w:t>冲压打孔</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kern w:val="0"/>
                <w:sz w:val="24"/>
              </w:rPr>
            </w:pPr>
            <w:r>
              <w:rPr>
                <w:kern w:val="0"/>
                <w:sz w:val="24"/>
              </w:rPr>
              <w:t>废边角料</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60" w:line="276" w:lineRule="auto"/>
              <w:jc w:val="center"/>
              <w:textAlignment w:val="baseline"/>
              <w:rPr>
                <w:kern w:val="0"/>
                <w:sz w:val="24"/>
              </w:rPr>
            </w:pPr>
            <w:r>
              <w:rPr>
                <w:kern w:val="0"/>
                <w:sz w:val="24"/>
              </w:rPr>
              <w:t>集中收集暂存后外售</w:t>
            </w:r>
          </w:p>
        </w:tc>
        <w:tc>
          <w:tcPr>
            <w:tcW w:w="1175" w:type="dxa"/>
            <w:vMerge w:val="continue"/>
            <w:tcBorders>
              <w:left w:val="single" w:color="000000" w:sz="4" w:space="0"/>
              <w:right w:val="single" w:color="000000" w:sz="8" w:space="0"/>
            </w:tcBorders>
            <w:shd w:val="clear" w:color="auto" w:fill="auto"/>
            <w:vAlign w:val="center"/>
          </w:tcPr>
          <w:p>
            <w:pPr>
              <w:spacing w:line="300" w:lineRule="exact"/>
              <w:ind w:firstLine="240"/>
              <w:rPr>
                <w:sz w:val="24"/>
              </w:rPr>
            </w:pPr>
          </w:p>
        </w:tc>
      </w:tr>
      <w:tr>
        <w:tblPrEx>
          <w:tblCellMar>
            <w:top w:w="0" w:type="dxa"/>
            <w:left w:w="108" w:type="dxa"/>
            <w:bottom w:w="0" w:type="dxa"/>
            <w:right w:w="108" w:type="dxa"/>
          </w:tblCellMar>
        </w:tblPrEx>
        <w:trPr>
          <w:trHeight w:val="713" w:hRule="atLeast"/>
          <w:jc w:val="center"/>
        </w:trPr>
        <w:tc>
          <w:tcPr>
            <w:tcW w:w="945" w:type="dxa"/>
            <w:vMerge w:val="continue"/>
            <w:tcBorders>
              <w:left w:val="single" w:color="000000" w:sz="8" w:space="0"/>
              <w:right w:val="single" w:color="000000" w:sz="4" w:space="0"/>
            </w:tcBorders>
            <w:shd w:val="clear" w:color="auto" w:fill="auto"/>
            <w:vAlign w:val="center"/>
          </w:tcPr>
          <w:p>
            <w:pPr>
              <w:spacing w:line="300" w:lineRule="exact"/>
              <w:jc w:val="center"/>
              <w:rPr>
                <w:b/>
                <w:sz w:val="24"/>
              </w:rPr>
            </w:pPr>
          </w:p>
        </w:tc>
        <w:tc>
          <w:tcPr>
            <w:tcW w:w="1934"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jc w:val="center"/>
              <w:rPr>
                <w:sz w:val="24"/>
              </w:rPr>
            </w:pPr>
            <w:r>
              <w:rPr>
                <w:rFonts w:hint="eastAsia"/>
                <w:sz w:val="24"/>
              </w:rPr>
              <w:t>废气处理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rFonts w:hint="eastAsia"/>
                <w:sz w:val="24"/>
              </w:rPr>
              <w:t>废紫外灯管</w:t>
            </w:r>
          </w:p>
        </w:tc>
        <w:tc>
          <w:tcPr>
            <w:tcW w:w="3544" w:type="dxa"/>
            <w:vMerge w:val="restart"/>
            <w:tcBorders>
              <w:top w:val="single" w:color="000000" w:sz="4" w:space="0"/>
              <w:left w:val="single" w:color="000000" w:sz="4" w:space="0"/>
              <w:right w:val="single" w:color="000000" w:sz="4" w:space="0"/>
            </w:tcBorders>
            <w:shd w:val="clear" w:color="auto" w:fill="auto"/>
            <w:vAlign w:val="center"/>
          </w:tcPr>
          <w:p>
            <w:pPr>
              <w:snapToGrid w:val="0"/>
              <w:spacing w:before="60" w:line="300" w:lineRule="exact"/>
              <w:jc w:val="center"/>
              <w:textAlignment w:val="baseline"/>
              <w:rPr>
                <w:kern w:val="0"/>
                <w:sz w:val="24"/>
              </w:rPr>
            </w:pPr>
            <w:r>
              <w:rPr>
                <w:kern w:val="0"/>
                <w:sz w:val="24"/>
              </w:rPr>
              <w:t>密闭容器收集，</w:t>
            </w:r>
            <w:r>
              <w:rPr>
                <w:spacing w:val="-2"/>
                <w:kern w:val="0"/>
                <w:sz w:val="24"/>
              </w:rPr>
              <w:t>危废储存间暂存</w:t>
            </w:r>
            <w:r>
              <w:rPr>
                <w:kern w:val="0"/>
                <w:sz w:val="24"/>
              </w:rPr>
              <w:t>，定期委托有相应资质单位安全处置</w:t>
            </w:r>
          </w:p>
        </w:tc>
        <w:tc>
          <w:tcPr>
            <w:tcW w:w="1175" w:type="dxa"/>
            <w:vMerge w:val="continue"/>
            <w:tcBorders>
              <w:left w:val="single" w:color="000000" w:sz="4" w:space="0"/>
              <w:right w:val="single" w:color="000000" w:sz="8" w:space="0"/>
            </w:tcBorders>
            <w:shd w:val="clear" w:color="auto" w:fill="auto"/>
            <w:vAlign w:val="center"/>
          </w:tcPr>
          <w:p>
            <w:pPr>
              <w:spacing w:line="300" w:lineRule="exact"/>
              <w:ind w:firstLine="240"/>
              <w:rPr>
                <w:sz w:val="24"/>
              </w:rPr>
            </w:pPr>
          </w:p>
        </w:tc>
      </w:tr>
      <w:tr>
        <w:tblPrEx>
          <w:tblCellMar>
            <w:top w:w="0" w:type="dxa"/>
            <w:left w:w="108" w:type="dxa"/>
            <w:bottom w:w="0" w:type="dxa"/>
            <w:right w:w="108" w:type="dxa"/>
          </w:tblCellMar>
        </w:tblPrEx>
        <w:trPr>
          <w:trHeight w:val="713" w:hRule="atLeast"/>
          <w:jc w:val="center"/>
        </w:trPr>
        <w:tc>
          <w:tcPr>
            <w:tcW w:w="945" w:type="dxa"/>
            <w:vMerge w:val="continue"/>
            <w:tcBorders>
              <w:left w:val="single" w:color="000000" w:sz="8" w:space="0"/>
              <w:right w:val="single" w:color="000000" w:sz="4" w:space="0"/>
            </w:tcBorders>
            <w:shd w:val="clear" w:color="auto" w:fill="auto"/>
            <w:vAlign w:val="center"/>
          </w:tcPr>
          <w:p>
            <w:pPr>
              <w:spacing w:line="300" w:lineRule="exact"/>
              <w:jc w:val="center"/>
              <w:rPr>
                <w:b/>
                <w:sz w:val="24"/>
              </w:rPr>
            </w:pPr>
          </w:p>
        </w:tc>
        <w:tc>
          <w:tcPr>
            <w:tcW w:w="1934"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jc w:val="center"/>
              <w:rPr>
                <w:sz w:val="24"/>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sz w:val="24"/>
              </w:rPr>
              <w:t>废活性炭</w:t>
            </w:r>
          </w:p>
        </w:tc>
        <w:tc>
          <w:tcPr>
            <w:tcW w:w="3544" w:type="dxa"/>
            <w:vMerge w:val="continue"/>
            <w:tcBorders>
              <w:left w:val="single" w:color="000000" w:sz="4" w:space="0"/>
              <w:right w:val="single" w:color="000000" w:sz="4" w:space="0"/>
            </w:tcBorders>
            <w:shd w:val="clear" w:color="auto" w:fill="auto"/>
            <w:vAlign w:val="center"/>
          </w:tcPr>
          <w:p>
            <w:pPr>
              <w:snapToGrid w:val="0"/>
              <w:spacing w:before="60" w:line="300" w:lineRule="exact"/>
              <w:jc w:val="center"/>
              <w:textAlignment w:val="baseline"/>
              <w:rPr>
                <w:kern w:val="0"/>
                <w:sz w:val="24"/>
              </w:rPr>
            </w:pPr>
          </w:p>
        </w:tc>
        <w:tc>
          <w:tcPr>
            <w:tcW w:w="1175" w:type="dxa"/>
            <w:vMerge w:val="continue"/>
            <w:tcBorders>
              <w:left w:val="single" w:color="000000" w:sz="4" w:space="0"/>
              <w:right w:val="single" w:color="000000" w:sz="8" w:space="0"/>
            </w:tcBorders>
            <w:shd w:val="clear" w:color="auto" w:fill="auto"/>
            <w:vAlign w:val="center"/>
          </w:tcPr>
          <w:p>
            <w:pPr>
              <w:spacing w:line="300" w:lineRule="exact"/>
              <w:ind w:firstLine="240"/>
              <w:rPr>
                <w:sz w:val="24"/>
              </w:rPr>
            </w:pPr>
          </w:p>
        </w:tc>
      </w:tr>
      <w:tr>
        <w:tblPrEx>
          <w:tblCellMar>
            <w:top w:w="0" w:type="dxa"/>
            <w:left w:w="108" w:type="dxa"/>
            <w:bottom w:w="0" w:type="dxa"/>
            <w:right w:w="108" w:type="dxa"/>
          </w:tblCellMar>
        </w:tblPrEx>
        <w:trPr>
          <w:trHeight w:val="599" w:hRule="atLeast"/>
          <w:jc w:val="center"/>
        </w:trPr>
        <w:tc>
          <w:tcPr>
            <w:tcW w:w="945" w:type="dxa"/>
            <w:vMerge w:val="continue"/>
            <w:tcBorders>
              <w:left w:val="single" w:color="000000" w:sz="8" w:space="0"/>
              <w:right w:val="single" w:color="000000" w:sz="4" w:space="0"/>
            </w:tcBorders>
            <w:shd w:val="clear" w:color="auto" w:fill="auto"/>
            <w:vAlign w:val="center"/>
          </w:tcPr>
          <w:p>
            <w:pPr>
              <w:spacing w:line="300" w:lineRule="exact"/>
              <w:jc w:val="center"/>
              <w:rPr>
                <w:b/>
                <w:sz w:val="24"/>
              </w:rPr>
            </w:pPr>
          </w:p>
        </w:tc>
        <w:tc>
          <w:tcPr>
            <w:tcW w:w="1934"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sz w:val="24"/>
              </w:rPr>
              <w:t>废催化板</w:t>
            </w:r>
          </w:p>
        </w:tc>
        <w:tc>
          <w:tcPr>
            <w:tcW w:w="3544" w:type="dxa"/>
            <w:vMerge w:val="continue"/>
            <w:tcBorders>
              <w:left w:val="single" w:color="000000" w:sz="4" w:space="0"/>
              <w:right w:val="single" w:color="000000" w:sz="4" w:space="0"/>
            </w:tcBorders>
            <w:shd w:val="clear" w:color="auto" w:fill="auto"/>
            <w:vAlign w:val="center"/>
          </w:tcPr>
          <w:p>
            <w:pPr>
              <w:snapToGrid w:val="0"/>
              <w:spacing w:before="60" w:line="300" w:lineRule="exact"/>
              <w:jc w:val="center"/>
              <w:textAlignment w:val="baseline"/>
              <w:rPr>
                <w:kern w:val="0"/>
                <w:sz w:val="24"/>
              </w:rPr>
            </w:pPr>
          </w:p>
        </w:tc>
        <w:tc>
          <w:tcPr>
            <w:tcW w:w="1175" w:type="dxa"/>
            <w:vMerge w:val="continue"/>
            <w:tcBorders>
              <w:left w:val="single" w:color="000000" w:sz="4" w:space="0"/>
              <w:right w:val="single" w:color="000000" w:sz="8" w:space="0"/>
            </w:tcBorders>
            <w:shd w:val="clear" w:color="auto" w:fill="auto"/>
            <w:vAlign w:val="center"/>
          </w:tcPr>
          <w:p>
            <w:pPr>
              <w:spacing w:line="300" w:lineRule="exact"/>
              <w:ind w:firstLine="240"/>
              <w:rPr>
                <w:sz w:val="24"/>
              </w:rPr>
            </w:pPr>
          </w:p>
        </w:tc>
      </w:tr>
      <w:tr>
        <w:tblPrEx>
          <w:tblCellMar>
            <w:top w:w="0" w:type="dxa"/>
            <w:left w:w="108" w:type="dxa"/>
            <w:bottom w:w="0" w:type="dxa"/>
            <w:right w:w="108" w:type="dxa"/>
          </w:tblCellMar>
        </w:tblPrEx>
        <w:trPr>
          <w:trHeight w:val="599" w:hRule="atLeast"/>
          <w:jc w:val="center"/>
        </w:trPr>
        <w:tc>
          <w:tcPr>
            <w:tcW w:w="945" w:type="dxa"/>
            <w:vMerge w:val="continue"/>
            <w:tcBorders>
              <w:left w:val="single" w:color="000000" w:sz="8" w:space="0"/>
              <w:bottom w:val="single" w:color="000000" w:sz="4" w:space="0"/>
              <w:right w:val="single" w:color="000000" w:sz="4" w:space="0"/>
            </w:tcBorders>
            <w:shd w:val="clear" w:color="auto" w:fill="auto"/>
            <w:vAlign w:val="center"/>
          </w:tcPr>
          <w:p>
            <w:pPr>
              <w:spacing w:line="300" w:lineRule="exact"/>
              <w:jc w:val="center"/>
              <w:rPr>
                <w:b/>
                <w:sz w:val="24"/>
              </w:rPr>
            </w:pPr>
          </w:p>
        </w:tc>
        <w:tc>
          <w:tcPr>
            <w:tcW w:w="1934" w:type="dxa"/>
            <w:tcBorders>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sz w:val="24"/>
              </w:rPr>
              <w:t>维修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sz w:val="24"/>
              </w:rPr>
            </w:pPr>
            <w:r>
              <w:rPr>
                <w:sz w:val="24"/>
              </w:rPr>
              <w:t>废液压油</w:t>
            </w:r>
          </w:p>
        </w:tc>
        <w:tc>
          <w:tcPr>
            <w:tcW w:w="3544" w:type="dxa"/>
            <w:vMerge w:val="continue"/>
            <w:tcBorders>
              <w:left w:val="single" w:color="000000" w:sz="4" w:space="0"/>
              <w:bottom w:val="single" w:color="000000" w:sz="4" w:space="0"/>
              <w:right w:val="single" w:color="000000" w:sz="4" w:space="0"/>
            </w:tcBorders>
            <w:shd w:val="clear" w:color="auto" w:fill="auto"/>
            <w:vAlign w:val="center"/>
          </w:tcPr>
          <w:p>
            <w:pPr>
              <w:snapToGrid w:val="0"/>
              <w:spacing w:before="60" w:line="300" w:lineRule="exact"/>
              <w:jc w:val="center"/>
              <w:textAlignment w:val="baseline"/>
              <w:rPr>
                <w:kern w:val="0"/>
                <w:sz w:val="24"/>
              </w:rPr>
            </w:pPr>
          </w:p>
        </w:tc>
        <w:tc>
          <w:tcPr>
            <w:tcW w:w="1175" w:type="dxa"/>
            <w:vMerge w:val="continue"/>
            <w:tcBorders>
              <w:left w:val="single" w:color="000000" w:sz="4" w:space="0"/>
              <w:bottom w:val="single" w:color="000000" w:sz="4" w:space="0"/>
              <w:right w:val="single" w:color="000000" w:sz="8" w:space="0"/>
            </w:tcBorders>
            <w:shd w:val="clear" w:color="auto" w:fill="auto"/>
            <w:vAlign w:val="center"/>
          </w:tcPr>
          <w:p>
            <w:pPr>
              <w:spacing w:line="300" w:lineRule="exact"/>
              <w:ind w:firstLine="240"/>
              <w:rPr>
                <w:sz w:val="24"/>
              </w:rPr>
            </w:pPr>
          </w:p>
        </w:tc>
      </w:tr>
      <w:tr>
        <w:tblPrEx>
          <w:tblCellMar>
            <w:top w:w="0" w:type="dxa"/>
            <w:left w:w="108" w:type="dxa"/>
            <w:bottom w:w="0" w:type="dxa"/>
            <w:right w:w="108" w:type="dxa"/>
          </w:tblCellMar>
        </w:tblPrEx>
        <w:trPr>
          <w:trHeight w:val="567" w:hRule="atLeast"/>
          <w:jc w:val="center"/>
        </w:trPr>
        <w:tc>
          <w:tcPr>
            <w:tcW w:w="945" w:type="dxa"/>
            <w:tcBorders>
              <w:top w:val="single" w:color="000000" w:sz="4" w:space="0"/>
              <w:left w:val="single" w:color="000000" w:sz="8"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噪</w:t>
            </w:r>
          </w:p>
          <w:p>
            <w:pPr>
              <w:spacing w:line="300" w:lineRule="exact"/>
              <w:jc w:val="center"/>
              <w:rPr>
                <w:b/>
                <w:sz w:val="24"/>
              </w:rPr>
            </w:pPr>
            <w:r>
              <w:rPr>
                <w:b/>
                <w:sz w:val="24"/>
              </w:rPr>
              <w:t>声</w:t>
            </w:r>
          </w:p>
        </w:tc>
        <w:tc>
          <w:tcPr>
            <w:tcW w:w="8213"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400" w:lineRule="exact"/>
              <w:ind w:firstLine="480" w:firstLineChars="200"/>
              <w:rPr>
                <w:bCs/>
                <w:sz w:val="24"/>
              </w:rPr>
            </w:pPr>
            <w:r>
              <w:rPr>
                <w:sz w:val="24"/>
              </w:rPr>
              <w:t>本项目营运期噪声主要来源于</w:t>
            </w:r>
            <w:r>
              <w:rPr>
                <w:bCs/>
                <w:kern w:val="0"/>
                <w:sz w:val="24"/>
              </w:rPr>
              <w:t>冲床</w:t>
            </w:r>
            <w:r>
              <w:rPr>
                <w:rFonts w:hint="eastAsia"/>
                <w:bCs/>
                <w:kern w:val="0"/>
                <w:sz w:val="24"/>
              </w:rPr>
              <w:t>、</w:t>
            </w:r>
            <w:r>
              <w:rPr>
                <w:rFonts w:hint="eastAsia"/>
                <w:sz w:val="24"/>
              </w:rPr>
              <w:t>空压机</w:t>
            </w:r>
            <w:r>
              <w:rPr>
                <w:sz w:val="24"/>
              </w:rPr>
              <w:t>等设备，声源强度在7</w:t>
            </w:r>
            <w:r>
              <w:rPr>
                <w:rFonts w:hint="eastAsia"/>
                <w:sz w:val="24"/>
              </w:rPr>
              <w:t>5</w:t>
            </w:r>
            <w:r>
              <w:rPr>
                <w:sz w:val="24"/>
              </w:rPr>
              <w:t>~8</w:t>
            </w:r>
            <w:r>
              <w:rPr>
                <w:rFonts w:hint="eastAsia"/>
                <w:sz w:val="24"/>
              </w:rPr>
              <w:t>5</w:t>
            </w:r>
            <w:r>
              <w:rPr>
                <w:sz w:val="24"/>
              </w:rPr>
              <w:t>dB(A)之间，设备经基础减振、厂房隔声和距离衰减后，预测厂界噪声能达到《工业企业厂界环境噪声排放标准》（GB12348-2008）</w:t>
            </w:r>
            <w:r>
              <w:rPr>
                <w:rFonts w:hint="eastAsia"/>
                <w:sz w:val="24"/>
              </w:rPr>
              <w:t>2</w:t>
            </w:r>
            <w:r>
              <w:rPr>
                <w:sz w:val="24"/>
              </w:rPr>
              <w:t>类区昼间6</w:t>
            </w:r>
            <w:r>
              <w:rPr>
                <w:rFonts w:hint="eastAsia"/>
                <w:sz w:val="24"/>
              </w:rPr>
              <w:t>0</w:t>
            </w:r>
            <w:r>
              <w:rPr>
                <w:sz w:val="24"/>
              </w:rPr>
              <w:t>dB(A)、夜间5</w:t>
            </w:r>
            <w:r>
              <w:rPr>
                <w:rFonts w:hint="eastAsia"/>
                <w:sz w:val="24"/>
              </w:rPr>
              <w:t>0</w:t>
            </w:r>
            <w:r>
              <w:rPr>
                <w:sz w:val="24"/>
              </w:rPr>
              <w:t>dB(A)的标准要求。</w:t>
            </w:r>
          </w:p>
        </w:tc>
      </w:tr>
      <w:tr>
        <w:tblPrEx>
          <w:tblCellMar>
            <w:top w:w="0" w:type="dxa"/>
            <w:left w:w="108" w:type="dxa"/>
            <w:bottom w:w="0" w:type="dxa"/>
            <w:right w:w="108" w:type="dxa"/>
          </w:tblCellMar>
        </w:tblPrEx>
        <w:trPr>
          <w:trHeight w:val="567" w:hRule="atLeast"/>
          <w:jc w:val="center"/>
        </w:trPr>
        <w:tc>
          <w:tcPr>
            <w:tcW w:w="945" w:type="dxa"/>
            <w:tcBorders>
              <w:top w:val="single" w:color="000000" w:sz="4" w:space="0"/>
              <w:left w:val="single" w:color="000000" w:sz="8" w:space="0"/>
              <w:bottom w:val="single" w:color="000000" w:sz="4" w:space="0"/>
              <w:right w:val="single" w:color="000000" w:sz="4" w:space="0"/>
            </w:tcBorders>
            <w:shd w:val="clear" w:color="auto" w:fill="auto"/>
            <w:vAlign w:val="center"/>
          </w:tcPr>
          <w:p>
            <w:pPr>
              <w:spacing w:line="300" w:lineRule="exact"/>
              <w:jc w:val="center"/>
              <w:rPr>
                <w:b/>
                <w:sz w:val="24"/>
              </w:rPr>
            </w:pPr>
            <w:r>
              <w:rPr>
                <w:b/>
                <w:sz w:val="24"/>
              </w:rPr>
              <w:t>其</w:t>
            </w:r>
          </w:p>
          <w:p>
            <w:pPr>
              <w:spacing w:line="300" w:lineRule="exact"/>
              <w:jc w:val="center"/>
              <w:rPr>
                <w:b/>
                <w:sz w:val="24"/>
              </w:rPr>
            </w:pPr>
            <w:r>
              <w:rPr>
                <w:b/>
                <w:sz w:val="24"/>
              </w:rPr>
              <w:t>他</w:t>
            </w:r>
          </w:p>
        </w:tc>
        <w:tc>
          <w:tcPr>
            <w:tcW w:w="8213"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300" w:lineRule="exact"/>
              <w:jc w:val="center"/>
              <w:rPr>
                <w:sz w:val="24"/>
              </w:rPr>
            </w:pPr>
          </w:p>
          <w:p>
            <w:pPr>
              <w:spacing w:line="300" w:lineRule="exact"/>
              <w:jc w:val="center"/>
              <w:rPr>
                <w:sz w:val="24"/>
              </w:rPr>
            </w:pPr>
            <w:r>
              <w:rPr>
                <w:sz w:val="24"/>
              </w:rPr>
              <w:t>/</w:t>
            </w:r>
          </w:p>
          <w:p>
            <w:pPr>
              <w:spacing w:line="300" w:lineRule="exact"/>
              <w:jc w:val="center"/>
              <w:rPr>
                <w:sz w:val="24"/>
              </w:rPr>
            </w:pPr>
          </w:p>
        </w:tc>
      </w:tr>
      <w:tr>
        <w:tblPrEx>
          <w:tblCellMar>
            <w:top w:w="0" w:type="dxa"/>
            <w:left w:w="108" w:type="dxa"/>
            <w:bottom w:w="0" w:type="dxa"/>
            <w:right w:w="108" w:type="dxa"/>
          </w:tblCellMar>
        </w:tblPrEx>
        <w:trPr>
          <w:trHeight w:val="567" w:hRule="atLeast"/>
          <w:jc w:val="center"/>
        </w:trPr>
        <w:tc>
          <w:tcPr>
            <w:tcW w:w="9158" w:type="dxa"/>
            <w:gridSpan w:val="5"/>
            <w:tcBorders>
              <w:top w:val="single" w:color="000000" w:sz="4" w:space="0"/>
              <w:left w:val="single" w:color="000000" w:sz="8" w:space="0"/>
              <w:bottom w:val="single" w:color="000000" w:sz="8" w:space="0"/>
              <w:right w:val="single" w:color="000000" w:sz="8" w:space="0"/>
            </w:tcBorders>
            <w:shd w:val="clear" w:color="auto" w:fill="auto"/>
          </w:tcPr>
          <w:p>
            <w:pPr>
              <w:spacing w:line="440" w:lineRule="exact"/>
              <w:rPr>
                <w:b/>
                <w:sz w:val="24"/>
              </w:rPr>
            </w:pPr>
            <w:r>
              <w:rPr>
                <w:b/>
                <w:sz w:val="24"/>
              </w:rPr>
              <w:t>主要生态影响（不够时可附另页）：</w:t>
            </w:r>
          </w:p>
          <w:p>
            <w:pPr>
              <w:spacing w:line="440" w:lineRule="exact"/>
              <w:ind w:firstLine="4080"/>
              <w:rPr>
                <w:bCs/>
                <w:sz w:val="24"/>
              </w:rPr>
            </w:pPr>
          </w:p>
          <w:p>
            <w:pPr>
              <w:spacing w:line="440" w:lineRule="exact"/>
              <w:ind w:firstLine="4080"/>
              <w:rPr>
                <w:bCs/>
                <w:sz w:val="24"/>
              </w:rPr>
            </w:pPr>
            <w:r>
              <w:rPr>
                <w:bCs/>
                <w:sz w:val="24"/>
              </w:rPr>
              <w:t>无</w:t>
            </w:r>
          </w:p>
          <w:p>
            <w:pPr>
              <w:spacing w:line="440" w:lineRule="exact"/>
              <w:ind w:firstLine="4080"/>
              <w:rPr>
                <w:bCs/>
                <w:sz w:val="24"/>
              </w:rPr>
            </w:pPr>
          </w:p>
          <w:p>
            <w:pPr>
              <w:spacing w:line="440" w:lineRule="exact"/>
              <w:rPr>
                <w:bCs/>
                <w:sz w:val="24"/>
              </w:rPr>
            </w:pPr>
          </w:p>
          <w:p>
            <w:pPr>
              <w:spacing w:line="440" w:lineRule="exact"/>
              <w:rPr>
                <w:bCs/>
                <w:sz w:val="24"/>
              </w:rPr>
            </w:pPr>
          </w:p>
        </w:tc>
      </w:tr>
    </w:tbl>
    <w:p>
      <w:pPr>
        <w:spacing w:line="440" w:lineRule="exact"/>
        <w:jc w:val="left"/>
        <w:rPr>
          <w:b/>
          <w:sz w:val="28"/>
        </w:rPr>
      </w:pPr>
      <w:r>
        <w:rPr>
          <w:b/>
          <w:sz w:val="28"/>
        </w:rPr>
        <w:t>建议与结论</w:t>
      </w:r>
    </w:p>
    <w:tbl>
      <w:tblPr>
        <w:tblStyle w:val="20"/>
        <w:tblW w:w="955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95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2762" w:hRule="atLeast"/>
        </w:trPr>
        <w:tc>
          <w:tcPr>
            <w:tcW w:w="9555" w:type="dxa"/>
            <w:shd w:val="clear" w:color="auto" w:fill="auto"/>
          </w:tcPr>
          <w:p>
            <w:pPr>
              <w:spacing w:line="460" w:lineRule="exact"/>
              <w:rPr>
                <w:b/>
                <w:sz w:val="24"/>
              </w:rPr>
            </w:pPr>
            <w:r>
              <w:rPr>
                <w:b/>
                <w:sz w:val="24"/>
              </w:rPr>
              <w:t>一、结 论</w:t>
            </w:r>
          </w:p>
          <w:p>
            <w:pPr>
              <w:pStyle w:val="65"/>
              <w:tabs>
                <w:tab w:val="left" w:pos="6607"/>
              </w:tabs>
              <w:snapToGrid w:val="0"/>
              <w:spacing w:line="460" w:lineRule="exact"/>
              <w:ind w:firstLine="482"/>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ascii="Times New Roman" w:hAnsi="Times New Roman" w:cs="Times New Roman"/>
                <w:b/>
                <w:sz w:val="24"/>
              </w:rPr>
              <w:t>、项目符合国家产业政策要求</w:t>
            </w:r>
          </w:p>
          <w:p>
            <w:pPr>
              <w:spacing w:line="460" w:lineRule="exact"/>
              <w:ind w:firstLine="480"/>
              <w:rPr>
                <w:sz w:val="24"/>
              </w:rPr>
            </w:pPr>
            <w:r>
              <w:rPr>
                <w:sz w:val="24"/>
                <w:szCs w:val="20"/>
              </w:rPr>
              <w:t>经查阅《产业结构调整指导目录（2011年本）》</w:t>
            </w:r>
            <w:r>
              <w:rPr>
                <w:sz w:val="24"/>
              </w:rPr>
              <w:t>（2013修正版），</w:t>
            </w:r>
            <w:r>
              <w:rPr>
                <w:bCs/>
                <w:sz w:val="24"/>
              </w:rPr>
              <w:t>该项目生产规模、生产设备、生产工艺均不属于</w:t>
            </w:r>
            <w:r>
              <w:rPr>
                <w:rFonts w:hint="eastAsia"/>
                <w:bCs/>
                <w:sz w:val="24"/>
              </w:rPr>
              <w:t>“</w:t>
            </w:r>
            <w:r>
              <w:rPr>
                <w:bCs/>
                <w:sz w:val="24"/>
              </w:rPr>
              <w:t>鼓励类</w:t>
            </w:r>
            <w:r>
              <w:rPr>
                <w:rFonts w:hint="eastAsia"/>
                <w:bCs/>
                <w:sz w:val="24"/>
              </w:rPr>
              <w:t>”“</w:t>
            </w:r>
            <w:r>
              <w:rPr>
                <w:bCs/>
                <w:sz w:val="24"/>
              </w:rPr>
              <w:t>限制类</w:t>
            </w:r>
            <w:r>
              <w:rPr>
                <w:rFonts w:hint="eastAsia"/>
                <w:bCs/>
                <w:sz w:val="24"/>
              </w:rPr>
              <w:t>”</w:t>
            </w:r>
            <w:r>
              <w:rPr>
                <w:bCs/>
                <w:sz w:val="24"/>
              </w:rPr>
              <w:t>和</w:t>
            </w:r>
            <w:r>
              <w:rPr>
                <w:rFonts w:hint="eastAsia"/>
                <w:bCs/>
                <w:sz w:val="24"/>
              </w:rPr>
              <w:t>“</w:t>
            </w:r>
            <w:r>
              <w:rPr>
                <w:bCs/>
                <w:sz w:val="24"/>
              </w:rPr>
              <w:t>淘汰类</w:t>
            </w:r>
            <w:r>
              <w:rPr>
                <w:rFonts w:hint="eastAsia"/>
                <w:bCs/>
                <w:sz w:val="24"/>
              </w:rPr>
              <w:t>”</w:t>
            </w:r>
            <w:r>
              <w:rPr>
                <w:bCs/>
                <w:sz w:val="24"/>
              </w:rPr>
              <w:t>，</w:t>
            </w:r>
            <w:r>
              <w:rPr>
                <w:rFonts w:asciiTheme="minorEastAsia" w:hAnsiTheme="minorEastAsia"/>
                <w:sz w:val="24"/>
              </w:rPr>
              <w:t>属于“允许类”</w:t>
            </w:r>
            <w:r>
              <w:rPr>
                <w:sz w:val="24"/>
              </w:rPr>
              <w:t>，</w:t>
            </w:r>
            <w:r>
              <w:rPr>
                <w:sz w:val="24"/>
                <w:szCs w:val="20"/>
              </w:rPr>
              <w:t>项目符合国家产业政策。</w:t>
            </w:r>
            <w:r>
              <w:rPr>
                <w:sz w:val="24"/>
              </w:rPr>
              <w:t>项目已由新乡市凤泉区发展和改革委员会备案，</w:t>
            </w:r>
            <w:r>
              <w:rPr>
                <w:sz w:val="24"/>
                <w:szCs w:val="20"/>
              </w:rPr>
              <w:t>项目</w:t>
            </w:r>
            <w:r>
              <w:rPr>
                <w:sz w:val="24"/>
              </w:rPr>
              <w:t>代码：2020-410704-29-03-021184（详见附件）</w:t>
            </w:r>
            <w:r>
              <w:rPr>
                <w:sz w:val="24"/>
                <w:szCs w:val="20"/>
              </w:rPr>
              <w:t>。</w:t>
            </w:r>
          </w:p>
          <w:p>
            <w:pPr>
              <w:pStyle w:val="65"/>
              <w:tabs>
                <w:tab w:val="left" w:pos="6607"/>
              </w:tabs>
              <w:snapToGrid w:val="0"/>
              <w:spacing w:line="460" w:lineRule="exact"/>
              <w:ind w:firstLine="482"/>
              <w:rPr>
                <w:rFonts w:ascii="Times New Roman" w:hAnsi="Times New Roman" w:cs="Times New Roman" w:eastAsiaTheme="minorEastAsia"/>
                <w:b/>
                <w:sz w:val="24"/>
              </w:rPr>
            </w:pPr>
            <w:r>
              <w:rPr>
                <w:rFonts w:ascii="Times New Roman" w:hAnsi="Times New Roman" w:cs="Times New Roman" w:eastAsiaTheme="minorEastAsia"/>
                <w:b/>
                <w:sz w:val="24"/>
              </w:rPr>
              <w:t>2</w:t>
            </w:r>
            <w:r>
              <w:rPr>
                <w:rFonts w:ascii="Times New Roman" w:hAnsi="Times New Roman" w:cs="Times New Roman"/>
                <w:b/>
                <w:sz w:val="24"/>
              </w:rPr>
              <w:t>、项目选址可行</w:t>
            </w:r>
          </w:p>
          <w:p>
            <w:pPr>
              <w:pStyle w:val="65"/>
              <w:tabs>
                <w:tab w:val="left" w:pos="6607"/>
              </w:tabs>
              <w:snapToGrid w:val="0"/>
              <w:spacing w:line="460" w:lineRule="exact"/>
              <w:ind w:firstLine="482"/>
              <w:rPr>
                <w:rFonts w:ascii="Times New Roman" w:hAnsi="Times New Roman" w:cs="Times New Roman"/>
                <w:b/>
                <w:sz w:val="24"/>
                <w:u w:val="single"/>
              </w:rPr>
            </w:pPr>
            <w:r>
              <w:rPr>
                <w:rFonts w:ascii="Times New Roman" w:cs="Times New Roman"/>
                <w:b/>
                <w:sz w:val="24"/>
                <w:u w:val="single"/>
              </w:rPr>
              <w:t>本项目位于</w:t>
            </w:r>
            <w:r>
              <w:rPr>
                <w:rFonts w:ascii="Times New Roman" w:cs="Times New Roman"/>
                <w:b/>
                <w:bCs/>
                <w:sz w:val="24"/>
                <w:u w:val="single"/>
              </w:rPr>
              <w:t>新乡市凤泉区大块镇小块村西</w:t>
            </w:r>
            <w:r>
              <w:rPr>
                <w:rFonts w:ascii="Times New Roman" w:hAnsi="Times New Roman" w:cs="Times New Roman"/>
                <w:b/>
                <w:bCs/>
                <w:sz w:val="24"/>
                <w:u w:val="single"/>
              </w:rPr>
              <w:t>1658</w:t>
            </w:r>
            <w:r>
              <w:rPr>
                <w:rFonts w:ascii="Times New Roman" w:cs="Times New Roman"/>
                <w:b/>
                <w:bCs/>
                <w:sz w:val="24"/>
                <w:u w:val="single"/>
              </w:rPr>
              <w:t>号</w:t>
            </w:r>
            <w:r>
              <w:rPr>
                <w:rFonts w:ascii="Times New Roman" w:cs="Times New Roman"/>
                <w:b/>
                <w:sz w:val="24"/>
                <w:u w:val="single"/>
              </w:rPr>
              <w:t>，根据大块镇土地利用总体规划图（</w:t>
            </w:r>
            <w:r>
              <w:rPr>
                <w:rFonts w:ascii="Times New Roman" w:hAnsi="Times New Roman" w:cs="Times New Roman"/>
                <w:b/>
                <w:sz w:val="24"/>
                <w:u w:val="single"/>
              </w:rPr>
              <w:t>2010-2020</w:t>
            </w:r>
            <w:r>
              <w:rPr>
                <w:rFonts w:ascii="Times New Roman" w:cs="Times New Roman"/>
                <w:b/>
                <w:sz w:val="24"/>
                <w:u w:val="single"/>
              </w:rPr>
              <w:t>）（见附图），该项目用地属于允许建设区。</w:t>
            </w:r>
          </w:p>
          <w:p>
            <w:pPr>
              <w:pStyle w:val="65"/>
              <w:tabs>
                <w:tab w:val="left" w:pos="6607"/>
              </w:tabs>
              <w:snapToGrid w:val="0"/>
              <w:spacing w:line="460" w:lineRule="exact"/>
              <w:ind w:firstLine="482"/>
              <w:rPr>
                <w:rFonts w:ascii="Times New Roman" w:hAnsi="Times New Roman" w:cs="Times New Roman" w:eastAsiaTheme="minorEastAsia"/>
                <w:b/>
                <w:sz w:val="24"/>
              </w:rPr>
            </w:pPr>
            <w:r>
              <w:rPr>
                <w:rFonts w:ascii="Times New Roman" w:hAnsi="Times New Roman" w:eastAsia="黑体" w:cs="Times New Roman"/>
                <w:b/>
                <w:sz w:val="24"/>
              </w:rPr>
              <w:t>3</w:t>
            </w:r>
            <w:r>
              <w:rPr>
                <w:rFonts w:ascii="Times New Roman" w:hAnsi="Times New Roman" w:cs="Times New Roman"/>
                <w:b/>
                <w:sz w:val="24"/>
              </w:rPr>
              <w:t>、本项目运营期的废气</w:t>
            </w:r>
            <w:r>
              <w:rPr>
                <w:rFonts w:hint="eastAsia" w:ascii="Times New Roman" w:hAnsi="Times New Roman" w:cs="Times New Roman"/>
                <w:b/>
                <w:sz w:val="24"/>
              </w:rPr>
              <w:t>、</w:t>
            </w:r>
            <w:r>
              <w:rPr>
                <w:rFonts w:ascii="Times New Roman" w:hAnsi="Times New Roman" w:cs="Times New Roman"/>
                <w:b/>
                <w:sz w:val="24"/>
              </w:rPr>
              <w:t>废水、噪声、固废等污染因素均采取了有效的处置措施，可以满足相应的排放标准要求，不会对周围环境产生大的影响。</w:t>
            </w:r>
          </w:p>
          <w:p>
            <w:pPr>
              <w:snapToGrid w:val="0"/>
              <w:spacing w:line="460" w:lineRule="exact"/>
              <w:ind w:firstLine="482"/>
              <w:jc w:val="left"/>
              <w:textAlignment w:val="baseline"/>
              <w:rPr>
                <w:b/>
                <w:sz w:val="24"/>
              </w:rPr>
            </w:pPr>
            <w:r>
              <w:rPr>
                <w:b/>
                <w:sz w:val="24"/>
              </w:rPr>
              <w:t>（1）废气：</w:t>
            </w:r>
          </w:p>
          <w:p>
            <w:pPr>
              <w:tabs>
                <w:tab w:val="left" w:pos="354"/>
              </w:tabs>
              <w:spacing w:line="460" w:lineRule="exact"/>
              <w:ind w:firstLine="470"/>
              <w:rPr>
                <w:sz w:val="24"/>
              </w:rPr>
            </w:pPr>
            <w:r>
              <w:rPr>
                <w:sz w:val="24"/>
              </w:rPr>
              <w:t>本项目废气产生环节为注塑工序</w:t>
            </w:r>
            <w:r>
              <w:rPr>
                <w:rFonts w:hint="eastAsia"/>
                <w:sz w:val="24"/>
              </w:rPr>
              <w:t>，将注塑区域密闭，废气采用负压收集，经</w:t>
            </w:r>
            <w:r>
              <w:rPr>
                <w:sz w:val="24"/>
              </w:rPr>
              <w:t>UV光催化氧化装置+活性炭吸附装置处理后</w:t>
            </w:r>
            <w:r>
              <w:rPr>
                <w:rFonts w:hint="eastAsia"/>
                <w:sz w:val="24"/>
              </w:rPr>
              <w:t>由</w:t>
            </w:r>
            <w:r>
              <w:rPr>
                <w:sz w:val="24"/>
              </w:rPr>
              <w:t>15m高排气筒排放</w:t>
            </w:r>
            <w:r>
              <w:rPr>
                <w:rFonts w:hint="eastAsia"/>
                <w:sz w:val="24"/>
              </w:rPr>
              <w:t>。</w:t>
            </w:r>
            <w:r>
              <w:rPr>
                <w:sz w:val="24"/>
              </w:rPr>
              <w:t>有机废气经处理后均能够满足</w:t>
            </w:r>
            <w:r>
              <w:rPr>
                <w:bCs/>
                <w:sz w:val="24"/>
              </w:rPr>
              <w:t>《合成树脂工业污染物排放标准》（GB31572-2015）表5 大气污染物特别排放限值要求60mg/m</w:t>
            </w:r>
            <w:r>
              <w:rPr>
                <w:bCs/>
                <w:sz w:val="24"/>
                <w:vertAlign w:val="superscript"/>
              </w:rPr>
              <w:t>3</w:t>
            </w:r>
            <w:r>
              <w:rPr>
                <w:rFonts w:hint="eastAsia"/>
                <w:bCs/>
                <w:sz w:val="24"/>
              </w:rPr>
              <w:t>，</w:t>
            </w:r>
            <w:r>
              <w:rPr>
                <w:bCs/>
                <w:sz w:val="24"/>
              </w:rPr>
              <w:t>同时能够满足</w:t>
            </w:r>
            <w:r>
              <w:rPr>
                <w:sz w:val="24"/>
              </w:rPr>
              <w:t>《关于全省开展工业企业挥发性有机物专项治理工作中排放建议值的通知》（豫环攻坚办（2017）162号）中其他行业有机废气排放口非甲烷总烃</w:t>
            </w:r>
            <w:r>
              <w:rPr>
                <w:rFonts w:hint="eastAsia"/>
                <w:sz w:val="24"/>
              </w:rPr>
              <w:t>8</w:t>
            </w:r>
            <w:r>
              <w:rPr>
                <w:sz w:val="24"/>
              </w:rPr>
              <w:t>0mg/m</w:t>
            </w:r>
            <w:r>
              <w:rPr>
                <w:sz w:val="24"/>
                <w:vertAlign w:val="superscript"/>
              </w:rPr>
              <w:t>3</w:t>
            </w:r>
            <w:r>
              <w:rPr>
                <w:sz w:val="24"/>
              </w:rPr>
              <w:t>和去除效率70%的限值要求。</w:t>
            </w:r>
          </w:p>
          <w:p>
            <w:pPr>
              <w:snapToGrid w:val="0"/>
              <w:spacing w:line="460" w:lineRule="exact"/>
              <w:ind w:firstLine="482"/>
              <w:jc w:val="left"/>
              <w:textAlignment w:val="baseline"/>
              <w:rPr>
                <w:b/>
                <w:sz w:val="24"/>
              </w:rPr>
            </w:pPr>
            <w:r>
              <w:rPr>
                <w:b/>
                <w:sz w:val="24"/>
              </w:rPr>
              <w:t>（2）废水：</w:t>
            </w:r>
          </w:p>
          <w:p>
            <w:pPr>
              <w:spacing w:line="460" w:lineRule="exact"/>
              <w:ind w:firstLine="480"/>
              <w:rPr>
                <w:sz w:val="24"/>
              </w:rPr>
            </w:pPr>
            <w:r>
              <w:rPr>
                <w:bCs/>
                <w:sz w:val="24"/>
              </w:rPr>
              <w:t>本项目无生产废水排放；</w:t>
            </w:r>
            <w:r>
              <w:rPr>
                <w:rFonts w:hint="eastAsia"/>
                <w:bCs/>
                <w:sz w:val="24"/>
              </w:rPr>
              <w:t>员工生活污水经化粪池处理后定期清运不外排。</w:t>
            </w:r>
          </w:p>
          <w:p>
            <w:pPr>
              <w:snapToGrid w:val="0"/>
              <w:spacing w:line="460" w:lineRule="exact"/>
              <w:ind w:firstLine="466"/>
              <w:rPr>
                <w:b/>
                <w:sz w:val="24"/>
              </w:rPr>
            </w:pPr>
            <w:r>
              <w:rPr>
                <w:b/>
                <w:spacing w:val="-4"/>
                <w:sz w:val="24"/>
              </w:rPr>
              <w:t>（3）</w:t>
            </w:r>
            <w:r>
              <w:rPr>
                <w:b/>
                <w:sz w:val="24"/>
              </w:rPr>
              <w:t>噪声：</w:t>
            </w:r>
          </w:p>
          <w:p>
            <w:pPr>
              <w:snapToGrid w:val="0"/>
              <w:spacing w:line="460" w:lineRule="exact"/>
              <w:ind w:firstLine="480"/>
              <w:rPr>
                <w:sz w:val="24"/>
              </w:rPr>
            </w:pPr>
            <w:r>
              <w:rPr>
                <w:sz w:val="24"/>
              </w:rPr>
              <w:t>本项目营运期噪声主要来源于</w:t>
            </w:r>
            <w:r>
              <w:rPr>
                <w:bCs/>
                <w:kern w:val="0"/>
                <w:sz w:val="24"/>
              </w:rPr>
              <w:t>冲床</w:t>
            </w:r>
            <w:r>
              <w:rPr>
                <w:rFonts w:hint="eastAsia"/>
                <w:bCs/>
                <w:kern w:val="0"/>
                <w:sz w:val="24"/>
              </w:rPr>
              <w:t>、</w:t>
            </w:r>
            <w:r>
              <w:rPr>
                <w:rFonts w:hint="eastAsia"/>
                <w:sz w:val="24"/>
              </w:rPr>
              <w:t>空压机</w:t>
            </w:r>
            <w:r>
              <w:rPr>
                <w:sz w:val="24"/>
              </w:rPr>
              <w:t>等设备，声源强度在7</w:t>
            </w:r>
            <w:r>
              <w:rPr>
                <w:rFonts w:hint="eastAsia"/>
                <w:sz w:val="24"/>
              </w:rPr>
              <w:t>5</w:t>
            </w:r>
            <w:r>
              <w:rPr>
                <w:sz w:val="24"/>
              </w:rPr>
              <w:t>~8</w:t>
            </w:r>
            <w:r>
              <w:rPr>
                <w:rFonts w:hint="eastAsia"/>
                <w:sz w:val="24"/>
              </w:rPr>
              <w:t>5</w:t>
            </w:r>
            <w:r>
              <w:rPr>
                <w:sz w:val="24"/>
              </w:rPr>
              <w:t>dB(A)之间，设备经基础减振、厂房隔声和距离衰减后，预测厂界噪声能达到《工业企业厂界环境噪声排放标准》（GB12348-2008）</w:t>
            </w:r>
            <w:r>
              <w:rPr>
                <w:rFonts w:hint="eastAsia"/>
                <w:sz w:val="24"/>
              </w:rPr>
              <w:t>2</w:t>
            </w:r>
            <w:r>
              <w:rPr>
                <w:sz w:val="24"/>
              </w:rPr>
              <w:t>类区昼间6</w:t>
            </w:r>
            <w:r>
              <w:rPr>
                <w:rFonts w:hint="eastAsia"/>
                <w:sz w:val="24"/>
              </w:rPr>
              <w:t>0</w:t>
            </w:r>
            <w:r>
              <w:rPr>
                <w:sz w:val="24"/>
              </w:rPr>
              <w:t>dB(A)、夜间5</w:t>
            </w:r>
            <w:r>
              <w:rPr>
                <w:rFonts w:hint="eastAsia"/>
                <w:sz w:val="24"/>
              </w:rPr>
              <w:t>0</w:t>
            </w:r>
            <w:r>
              <w:rPr>
                <w:sz w:val="24"/>
              </w:rPr>
              <w:t>dB(A)的标准要求。</w:t>
            </w:r>
          </w:p>
          <w:p>
            <w:pPr>
              <w:snapToGrid w:val="0"/>
              <w:spacing w:line="460" w:lineRule="exact"/>
              <w:ind w:firstLine="466"/>
              <w:rPr>
                <w:b/>
                <w:sz w:val="24"/>
              </w:rPr>
            </w:pPr>
            <w:r>
              <w:rPr>
                <w:b/>
                <w:spacing w:val="-4"/>
                <w:sz w:val="24"/>
              </w:rPr>
              <w:t>（4）</w:t>
            </w:r>
            <w:r>
              <w:rPr>
                <w:b/>
                <w:sz w:val="24"/>
              </w:rPr>
              <w:t>固废：</w:t>
            </w:r>
          </w:p>
          <w:p>
            <w:pPr>
              <w:pStyle w:val="65"/>
              <w:tabs>
                <w:tab w:val="left" w:pos="6607"/>
              </w:tabs>
              <w:snapToGrid w:val="0"/>
              <w:spacing w:line="460" w:lineRule="exact"/>
              <w:ind w:firstLine="480"/>
              <w:rPr>
                <w:rFonts w:ascii="Times New Roman" w:hAnsi="Times New Roman" w:cs="Times New Roman"/>
                <w:sz w:val="24"/>
              </w:rPr>
            </w:pPr>
            <w:r>
              <w:rPr>
                <w:rFonts w:ascii="Times New Roman" w:hAnsi="Times New Roman" w:cs="Times New Roman"/>
                <w:sz w:val="24"/>
              </w:rPr>
              <w:t>本项目产生的一般工业固废有：</w:t>
            </w:r>
            <w:r>
              <w:rPr>
                <w:sz w:val="24"/>
              </w:rPr>
              <w:t>废包装材料</w:t>
            </w:r>
            <w:r>
              <w:rPr>
                <w:bCs/>
                <w:sz w:val="24"/>
              </w:rPr>
              <w:t>和</w:t>
            </w:r>
            <w:r>
              <w:rPr>
                <w:rFonts w:hint="eastAsia"/>
                <w:bCs/>
                <w:sz w:val="24"/>
              </w:rPr>
              <w:t>废边角料</w:t>
            </w:r>
            <w:r>
              <w:rPr>
                <w:rFonts w:ascii="Times New Roman" w:hAnsi="Times New Roman" w:cs="Times New Roman"/>
                <w:sz w:val="24"/>
                <w:szCs w:val="24"/>
              </w:rPr>
              <w:t>，危险废物有：废液压油</w:t>
            </w:r>
            <w:r>
              <w:rPr>
                <w:rFonts w:hint="eastAsia" w:ascii="Times New Roman" w:hAnsi="Times New Roman" w:cs="Times New Roman"/>
                <w:sz w:val="24"/>
                <w:szCs w:val="24"/>
              </w:rPr>
              <w:t>、</w:t>
            </w:r>
            <w:r>
              <w:rPr>
                <w:rFonts w:ascii="Times New Roman" w:hAnsi="Times New Roman" w:cs="Times New Roman"/>
                <w:sz w:val="24"/>
              </w:rPr>
              <w:t>废紫外灯管、废活性炭</w:t>
            </w:r>
            <w:r>
              <w:rPr>
                <w:sz w:val="24"/>
              </w:rPr>
              <w:t>、废催化板</w:t>
            </w:r>
            <w:r>
              <w:rPr>
                <w:rFonts w:ascii="Times New Roman" w:hAnsi="Times New Roman" w:cs="Times New Roman"/>
                <w:sz w:val="24"/>
                <w:szCs w:val="24"/>
              </w:rPr>
              <w:t>。处置措施为：</w:t>
            </w:r>
            <w:r>
              <w:rPr>
                <w:sz w:val="24"/>
              </w:rPr>
              <w:t>废包装材料</w:t>
            </w:r>
            <w:r>
              <w:rPr>
                <w:bCs/>
                <w:sz w:val="24"/>
              </w:rPr>
              <w:t>和</w:t>
            </w:r>
            <w:r>
              <w:rPr>
                <w:rFonts w:hint="eastAsia"/>
                <w:bCs/>
                <w:sz w:val="24"/>
              </w:rPr>
              <w:t>废边角料于一般固废暂存区内</w:t>
            </w:r>
            <w:r>
              <w:rPr>
                <w:rFonts w:hint="eastAsia" w:ascii="Times New Roman" w:hAnsi="Times New Roman" w:cs="Times New Roman"/>
                <w:sz w:val="24"/>
                <w:szCs w:val="24"/>
              </w:rPr>
              <w:t>暂存后</w:t>
            </w:r>
            <w:r>
              <w:rPr>
                <w:rFonts w:ascii="Times New Roman" w:hAnsi="Times New Roman" w:cs="Times New Roman"/>
                <w:sz w:val="24"/>
                <w:szCs w:val="24"/>
              </w:rPr>
              <w:t>集中出售</w:t>
            </w:r>
            <w:r>
              <w:rPr>
                <w:rFonts w:hint="eastAsia" w:ascii="Times New Roman" w:hAnsi="Times New Roman" w:cs="Times New Roman"/>
                <w:kern w:val="0"/>
                <w:sz w:val="24"/>
                <w:szCs w:val="24"/>
              </w:rPr>
              <w:t>；废液压油</w:t>
            </w:r>
            <w:r>
              <w:rPr>
                <w:rFonts w:ascii="Times New Roman" w:hAnsi="Times New Roman" w:cs="Times New Roman"/>
                <w:sz w:val="24"/>
              </w:rPr>
              <w:t>于危废贮存间暂存</w:t>
            </w:r>
            <w:r>
              <w:rPr>
                <w:rFonts w:hint="eastAsia" w:ascii="Times New Roman" w:hAnsi="Times New Roman" w:cs="Times New Roman"/>
                <w:sz w:val="24"/>
              </w:rPr>
              <w:t>，</w:t>
            </w:r>
            <w:r>
              <w:rPr>
                <w:rFonts w:ascii="Times New Roman" w:hAnsi="Times New Roman" w:cs="Times New Roman"/>
                <w:sz w:val="24"/>
              </w:rPr>
              <w:t>废紫外灯管、废活性炭</w:t>
            </w:r>
            <w:r>
              <w:rPr>
                <w:rFonts w:hint="eastAsia" w:ascii="Times New Roman" w:hAnsi="Times New Roman" w:cs="Times New Roman"/>
                <w:sz w:val="24"/>
              </w:rPr>
              <w:t>、</w:t>
            </w:r>
            <w:r>
              <w:rPr>
                <w:sz w:val="24"/>
              </w:rPr>
              <w:t>废催化板</w:t>
            </w:r>
            <w:r>
              <w:rPr>
                <w:rFonts w:ascii="Times New Roman" w:hAnsi="Times New Roman" w:cs="Times New Roman"/>
                <w:sz w:val="24"/>
              </w:rPr>
              <w:t>于危废贮存间暂存后委托有相应危废资质单位安全处置。</w:t>
            </w:r>
          </w:p>
          <w:p>
            <w:pPr>
              <w:pStyle w:val="65"/>
              <w:tabs>
                <w:tab w:val="left" w:pos="6607"/>
              </w:tabs>
              <w:snapToGrid w:val="0"/>
              <w:spacing w:line="460" w:lineRule="exact"/>
              <w:ind w:firstLine="482" w:firstLineChars="200"/>
              <w:rPr>
                <w:rFonts w:ascii="Times New Roman" w:hAnsi="Times New Roman" w:cs="Times New Roman" w:eastAsiaTheme="minorEastAsia"/>
                <w:b/>
                <w:sz w:val="24"/>
              </w:rPr>
            </w:pPr>
            <w:r>
              <w:rPr>
                <w:rFonts w:hint="eastAsia" w:ascii="Times New Roman" w:hAnsi="Times New Roman" w:cs="Times New Roman" w:eastAsiaTheme="minorEastAsia"/>
                <w:b/>
                <w:sz w:val="24"/>
              </w:rPr>
              <w:t>4</w:t>
            </w:r>
            <w:r>
              <w:rPr>
                <w:rFonts w:ascii="Times New Roman" w:hAnsi="Times New Roman" w:cs="Times New Roman" w:eastAsiaTheme="minorEastAsia"/>
                <w:b/>
                <w:sz w:val="24"/>
              </w:rPr>
              <w:t>、自动监控要求</w:t>
            </w:r>
          </w:p>
          <w:p>
            <w:pPr>
              <w:spacing w:line="460" w:lineRule="exact"/>
              <w:ind w:firstLine="480" w:firstLineChars="200"/>
              <w:rPr>
                <w:bCs/>
                <w:sz w:val="24"/>
                <w:szCs w:val="20"/>
              </w:rPr>
            </w:pPr>
            <w:r>
              <w:rPr>
                <w:bCs/>
                <w:sz w:val="24"/>
                <w:szCs w:val="20"/>
              </w:rPr>
              <w:t>根据《新乡市2019年大气污染防治攻坚战实施方案的通知》（新环攻坚办[2019]74号），排气筒应安装VOCs排放自动监控设备并与环保部门联网。</w:t>
            </w:r>
          </w:p>
          <w:p>
            <w:pPr>
              <w:spacing w:line="440" w:lineRule="exact"/>
              <w:ind w:firstLine="480" w:firstLineChars="200"/>
              <w:rPr>
                <w:sz w:val="24"/>
              </w:rPr>
            </w:pPr>
            <w:r>
              <w:rPr>
                <w:sz w:val="24"/>
              </w:rPr>
              <w:t>根据《京津冀及周边地区2019-2020 年秋冬季大气污染综合治理攻坚行动方案》（环大气[2019]88号），按照</w:t>
            </w:r>
            <w:r>
              <w:rPr>
                <w:rFonts w:hint="eastAsia"/>
                <w:sz w:val="24"/>
              </w:rPr>
              <w:t>当地环保</w:t>
            </w:r>
            <w:r>
              <w:rPr>
                <w:sz w:val="24"/>
              </w:rPr>
              <w:t>要求在生产区、废气治理装置区以及厂区大门处安装视频监控。</w:t>
            </w:r>
          </w:p>
          <w:p>
            <w:pPr>
              <w:pStyle w:val="65"/>
              <w:tabs>
                <w:tab w:val="left" w:pos="6607"/>
              </w:tabs>
              <w:snapToGrid w:val="0"/>
              <w:spacing w:line="460" w:lineRule="exact"/>
              <w:ind w:firstLine="482"/>
              <w:rPr>
                <w:sz w:val="24"/>
              </w:rPr>
            </w:pPr>
            <w:r>
              <w:rPr>
                <w:sz w:val="24"/>
              </w:rPr>
              <w:t>根据《新乡市生态环境局关于部署安装工业企业用电量监控系统的通知》（新环[2019]154号），本项目总用电处、生产设施、废气处理设施处安装用电监控设施，并与</w:t>
            </w:r>
            <w:r>
              <w:rPr>
                <w:rFonts w:hint="eastAsia"/>
                <w:sz w:val="24"/>
              </w:rPr>
              <w:t>环保部门</w:t>
            </w:r>
            <w:r>
              <w:rPr>
                <w:sz w:val="24"/>
              </w:rPr>
              <w:t>联网。</w:t>
            </w:r>
          </w:p>
          <w:p>
            <w:pPr>
              <w:pStyle w:val="65"/>
              <w:tabs>
                <w:tab w:val="left" w:pos="6607"/>
              </w:tabs>
              <w:snapToGrid w:val="0"/>
              <w:spacing w:line="460" w:lineRule="exact"/>
              <w:ind w:firstLine="482"/>
              <w:rPr>
                <w:rFonts w:ascii="Times New Roman" w:hAnsi="Times New Roman" w:cs="Times New Roman" w:eastAsiaTheme="minorEastAsia"/>
                <w:b/>
                <w:sz w:val="24"/>
              </w:rPr>
            </w:pPr>
            <w:r>
              <w:rPr>
                <w:rFonts w:hint="eastAsia" w:ascii="Times New Roman" w:hAnsi="Times New Roman" w:cs="Times New Roman"/>
                <w:b/>
                <w:sz w:val="24"/>
              </w:rPr>
              <w:t>5</w:t>
            </w:r>
            <w:r>
              <w:rPr>
                <w:rFonts w:ascii="Times New Roman" w:hAnsi="Times New Roman" w:cs="Times New Roman"/>
                <w:b/>
                <w:sz w:val="24"/>
              </w:rPr>
              <w:t>、总量控制指标</w:t>
            </w:r>
          </w:p>
          <w:p>
            <w:pPr>
              <w:spacing w:line="460" w:lineRule="exact"/>
              <w:ind w:firstLine="482"/>
              <w:rPr>
                <w:b/>
                <w:sz w:val="24"/>
                <w:u w:val="single"/>
              </w:rPr>
            </w:pPr>
            <w:r>
              <w:rPr>
                <w:rFonts w:hint="eastAsia"/>
                <w:b/>
                <w:sz w:val="24"/>
                <w:u w:val="single"/>
              </w:rPr>
              <w:t>本项目废气污染物</w:t>
            </w:r>
            <w:r>
              <w:rPr>
                <w:b/>
                <w:sz w:val="24"/>
                <w:u w:val="single"/>
              </w:rPr>
              <w:t>排放总量指标</w:t>
            </w:r>
            <w:r>
              <w:rPr>
                <w:rFonts w:hint="eastAsia"/>
                <w:b/>
                <w:sz w:val="24"/>
                <w:u w:val="single"/>
              </w:rPr>
              <w:t>：</w:t>
            </w:r>
            <w:r>
              <w:rPr>
                <w:b/>
                <w:sz w:val="24"/>
                <w:u w:val="single"/>
              </w:rPr>
              <w:t>VOCs</w:t>
            </w:r>
            <w:r>
              <w:rPr>
                <w:rFonts w:hint="eastAsia"/>
                <w:b/>
                <w:sz w:val="24"/>
                <w:u w:val="single"/>
              </w:rPr>
              <w:t xml:space="preserve"> 0.0474</w:t>
            </w:r>
            <w:r>
              <w:rPr>
                <w:b/>
                <w:sz w:val="24"/>
                <w:u w:val="single"/>
              </w:rPr>
              <w:t>t/a</w:t>
            </w:r>
            <w:r>
              <w:rPr>
                <w:rFonts w:hint="eastAsia"/>
                <w:b/>
                <w:sz w:val="24"/>
                <w:u w:val="single"/>
              </w:rPr>
              <w:t>；废水污染物排放总量指标：COD 0t/a，</w:t>
            </w:r>
            <w:r>
              <w:rPr>
                <w:b/>
                <w:sz w:val="24"/>
                <w:u w:val="single"/>
              </w:rPr>
              <w:t>NH</w:t>
            </w:r>
            <w:r>
              <w:rPr>
                <w:b/>
                <w:sz w:val="24"/>
                <w:u w:val="single"/>
                <w:vertAlign w:val="subscript"/>
              </w:rPr>
              <w:t>3</w:t>
            </w:r>
            <w:r>
              <w:rPr>
                <w:b/>
                <w:sz w:val="24"/>
                <w:u w:val="single"/>
              </w:rPr>
              <w:t>-N</w:t>
            </w:r>
            <w:r>
              <w:rPr>
                <w:rFonts w:hint="eastAsia"/>
                <w:b/>
                <w:sz w:val="24"/>
                <w:u w:val="single"/>
              </w:rPr>
              <w:t xml:space="preserve"> 0t/a。</w:t>
            </w:r>
          </w:p>
          <w:p>
            <w:pPr>
              <w:spacing w:line="460" w:lineRule="exact"/>
              <w:ind w:firstLine="482"/>
              <w:rPr>
                <w:b/>
                <w:sz w:val="24"/>
                <w:u w:val="single"/>
              </w:rPr>
            </w:pPr>
            <w:r>
              <w:rPr>
                <w:rFonts w:hint="eastAsia"/>
                <w:b/>
                <w:sz w:val="24"/>
                <w:u w:val="single"/>
              </w:rPr>
              <w:t>扩建完成后全厂废气污染物</w:t>
            </w:r>
            <w:r>
              <w:rPr>
                <w:b/>
                <w:sz w:val="24"/>
                <w:u w:val="single"/>
              </w:rPr>
              <w:t>排放总量指标</w:t>
            </w:r>
            <w:r>
              <w:rPr>
                <w:rFonts w:hint="eastAsia"/>
                <w:b/>
                <w:sz w:val="24"/>
                <w:u w:val="single"/>
              </w:rPr>
              <w:t>：</w:t>
            </w:r>
            <w:r>
              <w:rPr>
                <w:b/>
                <w:sz w:val="24"/>
                <w:u w:val="single"/>
              </w:rPr>
              <w:t>VOCs</w:t>
            </w:r>
            <w:r>
              <w:rPr>
                <w:rFonts w:hint="eastAsia"/>
                <w:b/>
                <w:sz w:val="24"/>
                <w:u w:val="single"/>
              </w:rPr>
              <w:t xml:space="preserve"> 0.1237</w:t>
            </w:r>
            <w:r>
              <w:rPr>
                <w:b/>
                <w:sz w:val="24"/>
                <w:u w:val="single"/>
              </w:rPr>
              <w:t>t/a</w:t>
            </w:r>
            <w:r>
              <w:rPr>
                <w:rFonts w:hint="eastAsia"/>
                <w:b/>
                <w:sz w:val="24"/>
                <w:u w:val="single"/>
              </w:rPr>
              <w:t>；废水污染物排放总量指标：COD 0t/a，</w:t>
            </w:r>
            <w:r>
              <w:rPr>
                <w:b/>
                <w:sz w:val="24"/>
                <w:u w:val="single"/>
              </w:rPr>
              <w:t>NH</w:t>
            </w:r>
            <w:r>
              <w:rPr>
                <w:b/>
                <w:sz w:val="24"/>
                <w:u w:val="single"/>
                <w:vertAlign w:val="subscript"/>
              </w:rPr>
              <w:t>3</w:t>
            </w:r>
            <w:r>
              <w:rPr>
                <w:b/>
                <w:sz w:val="24"/>
                <w:u w:val="single"/>
              </w:rPr>
              <w:t>-N</w:t>
            </w:r>
            <w:r>
              <w:rPr>
                <w:rFonts w:hint="eastAsia"/>
                <w:b/>
                <w:sz w:val="24"/>
                <w:u w:val="single"/>
              </w:rPr>
              <w:t xml:space="preserve"> 0t/a。</w:t>
            </w:r>
          </w:p>
          <w:p>
            <w:pPr>
              <w:spacing w:line="460" w:lineRule="exact"/>
              <w:ind w:firstLine="482"/>
              <w:rPr>
                <w:b/>
                <w:sz w:val="24"/>
                <w:u w:val="single"/>
              </w:rPr>
            </w:pPr>
            <w:r>
              <w:rPr>
                <w:rFonts w:hint="eastAsia"/>
                <w:b/>
                <w:sz w:val="24"/>
                <w:u w:val="single"/>
              </w:rPr>
              <w:t>全厂新增污染物排放量为：COD 0t/a，</w:t>
            </w:r>
            <w:r>
              <w:rPr>
                <w:b/>
                <w:sz w:val="24"/>
                <w:u w:val="single"/>
              </w:rPr>
              <w:t>NH</w:t>
            </w:r>
            <w:r>
              <w:rPr>
                <w:b/>
                <w:sz w:val="24"/>
                <w:u w:val="single"/>
                <w:vertAlign w:val="subscript"/>
              </w:rPr>
              <w:t>3</w:t>
            </w:r>
            <w:r>
              <w:rPr>
                <w:b/>
                <w:sz w:val="24"/>
                <w:u w:val="single"/>
              </w:rPr>
              <w:t>-N</w:t>
            </w:r>
            <w:r>
              <w:rPr>
                <w:rFonts w:hint="eastAsia"/>
                <w:b/>
                <w:sz w:val="24"/>
                <w:u w:val="single"/>
              </w:rPr>
              <w:t xml:space="preserve"> 0t/a；</w:t>
            </w:r>
            <w:r>
              <w:rPr>
                <w:b/>
                <w:sz w:val="24"/>
                <w:u w:val="single"/>
              </w:rPr>
              <w:t>VOCs</w:t>
            </w:r>
            <w:r>
              <w:rPr>
                <w:rFonts w:hint="eastAsia"/>
                <w:b/>
                <w:sz w:val="24"/>
                <w:u w:val="single"/>
              </w:rPr>
              <w:t xml:space="preserve"> -0.0899</w:t>
            </w:r>
            <w:r>
              <w:rPr>
                <w:b/>
                <w:sz w:val="24"/>
                <w:u w:val="single"/>
              </w:rPr>
              <w:t>t/a</w:t>
            </w:r>
            <w:r>
              <w:rPr>
                <w:rFonts w:hint="eastAsia"/>
                <w:b/>
                <w:sz w:val="24"/>
                <w:u w:val="single"/>
              </w:rPr>
              <w:t>。不新增废气排放量。</w:t>
            </w:r>
          </w:p>
          <w:p>
            <w:pPr>
              <w:spacing w:line="480" w:lineRule="exact"/>
              <w:ind w:firstLine="482" w:firstLineChars="200"/>
              <w:rPr>
                <w:b/>
                <w:sz w:val="24"/>
                <w:u w:val="single"/>
              </w:rPr>
            </w:pPr>
            <w:r>
              <w:rPr>
                <w:rFonts w:hint="eastAsia"/>
                <w:b/>
                <w:sz w:val="24"/>
                <w:u w:val="single"/>
              </w:rPr>
              <w:t>根据新乡市生态环境局关于转发《河南省生态环境厅关于印发建设项目主要污染物排放总量指标管理工作内部规程的通知》的通知和《新乡市建设项目新增总量指标替代管理指导意见（试行）》的要求，本项目重点污染物排放量为0.0474t/a，经本次以新带老措施改造后不新增废气污染物排放。</w:t>
            </w:r>
          </w:p>
          <w:p>
            <w:pPr>
              <w:pStyle w:val="65"/>
              <w:tabs>
                <w:tab w:val="left" w:pos="6607"/>
              </w:tabs>
              <w:snapToGrid w:val="0"/>
              <w:spacing w:line="460" w:lineRule="exact"/>
              <w:ind w:firstLine="479"/>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b/>
                <w:sz w:val="24"/>
              </w:rPr>
              <w:t>、环保投资</w:t>
            </w:r>
          </w:p>
          <w:p>
            <w:pPr>
              <w:pStyle w:val="65"/>
              <w:snapToGrid w:val="0"/>
              <w:spacing w:line="460" w:lineRule="exact"/>
              <w:ind w:firstLine="480"/>
              <w:rPr>
                <w:rFonts w:ascii="Times New Roman" w:hAnsi="Times New Roman" w:cs="Times New Roman"/>
                <w:b/>
                <w:sz w:val="24"/>
                <w:u w:val="single"/>
              </w:rPr>
            </w:pPr>
            <w:r>
              <w:rPr>
                <w:rFonts w:ascii="Times New Roman" w:hAnsi="Times New Roman" w:cs="Times New Roman"/>
                <w:b/>
                <w:sz w:val="24"/>
                <w:u w:val="single"/>
              </w:rPr>
              <w:t>本项目环保投资总计</w:t>
            </w:r>
            <w:r>
              <w:rPr>
                <w:rFonts w:hint="eastAsia" w:ascii="Times New Roman" w:hAnsi="Times New Roman" w:cs="Times New Roman"/>
                <w:b/>
                <w:sz w:val="24"/>
                <w:szCs w:val="24"/>
                <w:u w:val="single"/>
              </w:rPr>
              <w:t>20</w:t>
            </w:r>
            <w:r>
              <w:rPr>
                <w:rFonts w:ascii="Times New Roman" w:hAnsi="Times New Roman" w:cs="Times New Roman"/>
                <w:b/>
                <w:sz w:val="24"/>
                <w:szCs w:val="24"/>
                <w:u w:val="single"/>
              </w:rPr>
              <w:t>万元</w:t>
            </w:r>
            <w:r>
              <w:rPr>
                <w:rFonts w:hint="eastAsia" w:ascii="Times New Roman" w:hAnsi="Times New Roman" w:cs="Times New Roman"/>
                <w:b/>
                <w:sz w:val="24"/>
                <w:szCs w:val="24"/>
                <w:u w:val="single"/>
              </w:rPr>
              <w:t>，</w:t>
            </w:r>
            <w:r>
              <w:rPr>
                <w:rFonts w:ascii="Times New Roman" w:hAnsi="Times New Roman" w:cs="Times New Roman"/>
                <w:b/>
                <w:sz w:val="24"/>
                <w:u w:val="single"/>
              </w:rPr>
              <w:t>环保投资占项目总投资的</w:t>
            </w:r>
            <w:r>
              <w:rPr>
                <w:rFonts w:hint="eastAsia" w:ascii="Times New Roman" w:hAnsi="Times New Roman" w:cs="Times New Roman"/>
                <w:b/>
                <w:sz w:val="24"/>
                <w:u w:val="single"/>
              </w:rPr>
              <w:t>10</w:t>
            </w:r>
            <w:r>
              <w:rPr>
                <w:rFonts w:ascii="Times New Roman" w:hAnsi="Times New Roman" w:cs="Times New Roman"/>
                <w:b/>
                <w:sz w:val="24"/>
                <w:u w:val="single"/>
              </w:rPr>
              <w:t>%。</w:t>
            </w:r>
          </w:p>
          <w:p>
            <w:pPr>
              <w:spacing w:line="460" w:lineRule="exact"/>
              <w:rPr>
                <w:b/>
                <w:sz w:val="24"/>
              </w:rPr>
            </w:pPr>
            <w:r>
              <w:rPr>
                <w:b/>
                <w:sz w:val="24"/>
              </w:rPr>
              <w:t>二、建 议</w:t>
            </w:r>
          </w:p>
          <w:p>
            <w:pPr>
              <w:pStyle w:val="65"/>
              <w:spacing w:line="460" w:lineRule="exact"/>
              <w:ind w:firstLine="600"/>
              <w:jc w:val="left"/>
              <w:rPr>
                <w:rFonts w:ascii="Times New Roman" w:hAnsi="Times New Roman" w:cs="Times New Roman"/>
                <w:sz w:val="24"/>
              </w:rPr>
            </w:pPr>
            <w:r>
              <w:rPr>
                <w:rFonts w:ascii="Times New Roman" w:hAnsi="Times New Roman" w:cs="Times New Roman"/>
                <w:sz w:val="24"/>
              </w:rPr>
              <w:t>（1）建设单位应严格落实环保资金，确保各种污染物的达标排放。</w:t>
            </w:r>
          </w:p>
          <w:p>
            <w:pPr>
              <w:pStyle w:val="65"/>
              <w:spacing w:line="460" w:lineRule="exact"/>
              <w:ind w:firstLine="600"/>
              <w:jc w:val="left"/>
              <w:rPr>
                <w:rFonts w:ascii="Times New Roman" w:hAnsi="Times New Roman" w:cs="Times New Roman"/>
                <w:sz w:val="24"/>
              </w:rPr>
            </w:pPr>
            <w:r>
              <w:rPr>
                <w:rFonts w:ascii="Times New Roman" w:hAnsi="Times New Roman" w:cs="Times New Roman"/>
                <w:sz w:val="24"/>
              </w:rPr>
              <w:t>（2）健全环保规章制度，加强对各种污染防治设施的运行管理，定期维护检修，确保其正常稳定运行。</w:t>
            </w:r>
          </w:p>
          <w:p>
            <w:pPr>
              <w:spacing w:line="460" w:lineRule="exact"/>
              <w:rPr>
                <w:b/>
                <w:sz w:val="24"/>
              </w:rPr>
            </w:pPr>
            <w:r>
              <w:rPr>
                <w:b/>
                <w:sz w:val="24"/>
              </w:rPr>
              <w:t>三、</w:t>
            </w:r>
            <w:bookmarkStart w:id="0" w:name="_Toc306089685"/>
            <w:r>
              <w:rPr>
                <w:b/>
                <w:sz w:val="24"/>
              </w:rPr>
              <w:t>总结论</w:t>
            </w:r>
            <w:bookmarkEnd w:id="0"/>
          </w:p>
          <w:p>
            <w:pPr>
              <w:pStyle w:val="2"/>
              <w:spacing w:line="460" w:lineRule="exact"/>
              <w:ind w:firstLine="480"/>
              <w:rPr>
                <w:sz w:val="24"/>
              </w:rPr>
            </w:pPr>
            <w:r>
              <w:rPr>
                <w:sz w:val="24"/>
              </w:rPr>
              <w:t>新乡市碧阔塑业有限公司年产8亿只电池密封圈、2.5亿只负极底扩建项目建设符合国家相关政策要求，厂址选择符合</w:t>
            </w:r>
            <w:r>
              <w:rPr>
                <w:rFonts w:hint="eastAsia"/>
                <w:sz w:val="24"/>
              </w:rPr>
              <w:t>当地</w:t>
            </w:r>
            <w:r>
              <w:rPr>
                <w:sz w:val="24"/>
              </w:rPr>
              <w:t>规划要求。项目产生的废水、废气、噪声、固废各项污染因素经治理后能达到排放要求。评价认为，从环保角度分析，该项目可行。</w:t>
            </w:r>
          </w:p>
          <w:p>
            <w:pPr>
              <w:spacing w:beforeLines="50" w:line="460" w:lineRule="exact"/>
              <w:ind w:firstLine="5880"/>
              <w:rPr>
                <w:sz w:val="24"/>
              </w:rPr>
            </w:pPr>
            <w:r>
              <w:rPr>
                <w:sz w:val="24"/>
              </w:rPr>
              <w:drawing>
                <wp:anchor distT="0" distB="0" distL="114300" distR="114300" simplePos="0" relativeHeight="251849728" behindDoc="0" locked="0" layoutInCell="1" allowOverlap="1">
                  <wp:simplePos x="0" y="0"/>
                  <wp:positionH relativeFrom="column">
                    <wp:posOffset>-608330</wp:posOffset>
                  </wp:positionH>
                  <wp:positionV relativeFrom="paragraph">
                    <wp:posOffset>-1390015</wp:posOffset>
                  </wp:positionV>
                  <wp:extent cx="6995795" cy="9994265"/>
                  <wp:effectExtent l="19050" t="0" r="0" b="0"/>
                  <wp:wrapNone/>
                  <wp:docPr id="8" name="图片 1" descr="C:\Users\Administrator\Desktop\CCF_0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CCF_000290.jpg"/>
                          <pic:cNvPicPr>
                            <a:picLocks noChangeAspect="1" noChangeArrowheads="1"/>
                          </pic:cNvPicPr>
                        </pic:nvPicPr>
                        <pic:blipFill>
                          <a:blip r:embed="rId24"/>
                          <a:srcRect/>
                          <a:stretch>
                            <a:fillRect/>
                          </a:stretch>
                        </pic:blipFill>
                        <pic:spPr>
                          <a:xfrm>
                            <a:off x="0" y="0"/>
                            <a:ext cx="6999566" cy="9999264"/>
                          </a:xfrm>
                          <a:prstGeom prst="rect">
                            <a:avLst/>
                          </a:prstGeom>
                          <a:noFill/>
                          <a:ln w="9525">
                            <a:noFill/>
                            <a:miter lim="800000"/>
                            <a:headEnd/>
                            <a:tailEnd/>
                          </a:ln>
                        </pic:spPr>
                      </pic:pic>
                    </a:graphicData>
                  </a:graphic>
                </wp:anchor>
              </w:drawing>
            </w:r>
            <w:r>
              <w:rPr>
                <w:sz w:val="24"/>
              </w:rPr>
              <w:t>新乡市蓝天环境技术有限公司</w:t>
            </w:r>
          </w:p>
          <w:p>
            <w:pPr>
              <w:spacing w:line="460" w:lineRule="exact"/>
              <w:ind w:left="7080" w:right="980" w:hanging="7080"/>
              <w:jc w:val="right"/>
              <w:rPr>
                <w:sz w:val="24"/>
              </w:rPr>
            </w:pPr>
            <w:r>
              <w:rPr>
                <w:sz w:val="24"/>
              </w:rPr>
              <w:t>20</w:t>
            </w:r>
            <w:r>
              <w:rPr>
                <w:rFonts w:hint="eastAsia"/>
                <w:sz w:val="24"/>
              </w:rPr>
              <w:t>20.5.20</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07" w:hRule="atLeast"/>
        </w:trPr>
        <w:tc>
          <w:tcPr>
            <w:tcW w:w="9555" w:type="dxa"/>
            <w:shd w:val="clear" w:color="auto" w:fill="auto"/>
          </w:tcPr>
          <w:p>
            <w:pPr>
              <w:spacing w:line="440" w:lineRule="exact"/>
              <w:jc w:val="left"/>
              <w:rPr>
                <w:sz w:val="24"/>
              </w:rPr>
            </w:pPr>
            <w:r>
              <w:rPr>
                <w:sz w:val="24"/>
              </w:rPr>
              <w:t>预审意见：</w:t>
            </w: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ind w:right="1120"/>
              <w:jc w:val="center"/>
              <w:rPr>
                <w:sz w:val="24"/>
              </w:rPr>
            </w:pPr>
            <w:r>
              <w:rPr>
                <w:sz w:val="24"/>
              </w:rPr>
              <w:t>公   章</w:t>
            </w:r>
          </w:p>
          <w:p>
            <w:pPr>
              <w:spacing w:line="440" w:lineRule="exact"/>
              <w:jc w:val="left"/>
              <w:rPr>
                <w:sz w:val="24"/>
              </w:rPr>
            </w:pPr>
            <w:r>
              <w:rPr>
                <w:sz w:val="24"/>
              </w:rPr>
              <w:t>经办人：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296" w:hRule="atLeast"/>
        </w:trPr>
        <w:tc>
          <w:tcPr>
            <w:tcW w:w="9555" w:type="dxa"/>
            <w:shd w:val="clear" w:color="auto" w:fill="auto"/>
          </w:tcPr>
          <w:p>
            <w:pPr>
              <w:spacing w:line="440" w:lineRule="exact"/>
              <w:jc w:val="left"/>
              <w:rPr>
                <w:b/>
                <w:sz w:val="24"/>
              </w:rPr>
            </w:pPr>
          </w:p>
          <w:p>
            <w:pPr>
              <w:spacing w:line="440" w:lineRule="exact"/>
              <w:jc w:val="left"/>
              <w:rPr>
                <w:sz w:val="24"/>
              </w:rPr>
            </w:pPr>
            <w:r>
              <w:rPr>
                <w:sz w:val="24"/>
              </w:rPr>
              <w:t>下一级环境保护行政主管部门审查意见：</w:t>
            </w: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r>
              <w:rPr>
                <w:sz w:val="24"/>
              </w:rPr>
              <w:t>公  章</w:t>
            </w:r>
          </w:p>
          <w:p>
            <w:pPr>
              <w:spacing w:line="440" w:lineRule="exact"/>
              <w:jc w:val="left"/>
              <w:rPr>
                <w:sz w:val="24"/>
              </w:rPr>
            </w:pPr>
            <w:r>
              <w:rPr>
                <w:sz w:val="24"/>
              </w:rPr>
              <w:t>经办人：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3103" w:hRule="atLeast"/>
        </w:trPr>
        <w:tc>
          <w:tcPr>
            <w:tcW w:w="9555" w:type="dxa"/>
            <w:shd w:val="clear" w:color="auto" w:fill="auto"/>
          </w:tcPr>
          <w:p>
            <w:pPr>
              <w:spacing w:line="440" w:lineRule="exact"/>
              <w:jc w:val="left"/>
              <w:rPr>
                <w:sz w:val="24"/>
              </w:rPr>
            </w:pPr>
            <w:r>
              <w:rPr>
                <w:sz w:val="24"/>
              </w:rPr>
              <w:t>审批意见：</w:t>
            </w: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p>
          <w:p>
            <w:pPr>
              <w:spacing w:line="440" w:lineRule="exact"/>
              <w:jc w:val="left"/>
              <w:rPr>
                <w:sz w:val="24"/>
              </w:rPr>
            </w:pPr>
            <w:r>
              <w:rPr>
                <w:sz w:val="24"/>
              </w:rPr>
              <w:t>公   章</w:t>
            </w:r>
          </w:p>
          <w:p>
            <w:pPr>
              <w:spacing w:line="440" w:lineRule="exact"/>
              <w:jc w:val="left"/>
              <w:rPr>
                <w:sz w:val="24"/>
              </w:rPr>
            </w:pPr>
            <w:r>
              <w:rPr>
                <w:sz w:val="24"/>
              </w:rPr>
              <w:t>经办人：                                               年    月    日</w:t>
            </w:r>
          </w:p>
        </w:tc>
      </w:tr>
    </w:tbl>
    <w:p>
      <w:pPr>
        <w:spacing w:line="440" w:lineRule="exact"/>
        <w:rPr>
          <w:sz w:val="24"/>
        </w:rPr>
        <w:sectPr>
          <w:headerReference r:id="rId5" w:type="default"/>
          <w:footerReference r:id="rId6" w:type="default"/>
          <w:pgSz w:w="11906" w:h="16838"/>
          <w:pgMar w:top="1701" w:right="1418" w:bottom="1524" w:left="1418" w:header="851" w:footer="992" w:gutter="0"/>
          <w:cols w:space="720" w:num="1"/>
          <w:formProt w:val="0"/>
          <w:docGrid w:type="lines" w:linePitch="312" w:charSpace="0"/>
        </w:sectPr>
      </w:pPr>
    </w:p>
    <w:p>
      <w:pPr>
        <w:jc w:val="center"/>
      </w:pPr>
      <w:r>
        <w:pict>
          <v:shape id="_x0000_s1674" o:spid="_x0000_s1674" o:spt="202" type="#_x0000_t202" style="position:absolute;left:0pt;margin-left:149.45pt;margin-top:421.85pt;height:31.2pt;width:369.15pt;z-index:251807744;mso-width-relative:page;mso-height-relative:page;" filled="f" stroked="f" coordsize="21600,21600">
            <v:path/>
            <v:fill on="f" focussize="0,0"/>
            <v:stroke on="f" joinstyle="miter"/>
            <v:imagedata o:title=""/>
            <o:lock v:ext="edit"/>
            <v:textbox>
              <w:txbxContent>
                <w:p>
                  <w:pPr>
                    <w:jc w:val="center"/>
                    <w:rPr>
                      <w:rFonts w:ascii="黑体" w:eastAsia="黑体"/>
                      <w:sz w:val="24"/>
                      <w:szCs w:val="30"/>
                    </w:rPr>
                  </w:pPr>
                  <w:r>
                    <w:rPr>
                      <w:rFonts w:hint="eastAsia" w:ascii="黑体" w:eastAsia="黑体"/>
                      <w:sz w:val="24"/>
                      <w:szCs w:val="30"/>
                    </w:rPr>
                    <w:t>附图1  新乡市碧阔塑业有限公司地理位置示意图</w:t>
                  </w:r>
                </w:p>
              </w:txbxContent>
            </v:textbox>
          </v:shape>
        </w:pict>
      </w:r>
      <w:r>
        <w:pict>
          <v:shape id="_x0000_s1679" o:spid="_x0000_s1679" o:spt="62" type="#_x0000_t62" style="position:absolute;left:0pt;margin-left:231.5pt;margin-top:264pt;height:26pt;width:63.5pt;z-index:251812864;mso-width-relative:page;mso-height-relative:page;" coordsize="21600,21600" adj="12399,-23428">
            <v:path/>
            <v:fill focussize="0,0"/>
            <v:stroke joinstyle="miter"/>
            <v:imagedata o:title=""/>
            <o:lock v:ext="edit"/>
            <v:textbox>
              <w:txbxContent>
                <w:p>
                  <w:pPr>
                    <w:jc w:val="center"/>
                    <w:rPr>
                      <w:b/>
                    </w:rPr>
                  </w:pPr>
                  <w:r>
                    <w:rPr>
                      <w:b/>
                    </w:rPr>
                    <w:t>本项目</w:t>
                  </w:r>
                </w:p>
              </w:txbxContent>
            </v:textbox>
          </v:shape>
        </w:pict>
      </w:r>
      <w:r>
        <w:pict>
          <v:shape id="_x0000_s1678" o:spid="_x0000_s1678" style="position:absolute;left:0pt;margin-left:264pt;margin-top:226pt;height:13pt;width:11pt;z-index:251811840;mso-width-relative:page;mso-height-relative:page;" filled="f" coordsize="220,260" path="m0,0l220,0,140,260,10,260,0,0xe">
            <v:path arrowok="t"/>
            <v:fill on="f" focussize="0,0"/>
            <v:stroke weight="1.5pt"/>
            <v:imagedata o:title=""/>
            <o:lock v:ext="edit"/>
          </v:shape>
        </w:pict>
      </w:r>
      <w:r>
        <w:pict>
          <v:shape id="_x0000_s1677" o:spid="_x0000_s1677" o:spt="202" type="#_x0000_t202" style="position:absolute;left:0pt;margin-left:212.15pt;margin-top:180pt;height:155pt;width:152.35pt;z-index:251810816;mso-width-relative:page;mso-height-relative:page;" filled="f" stroked="f" coordsize="21600,21600">
            <v:path/>
            <v:fill on="f" focussize="0,0"/>
            <v:stroke on="f" joinstyle="miter"/>
            <v:imagedata o:title=""/>
            <o:lock v:ext="edit"/>
            <v:textbox>
              <w:txbxContent>
                <w:p>
                  <w:r>
                    <w:drawing>
                      <wp:inline distT="0" distB="0" distL="0" distR="0">
                        <wp:extent cx="1364615" cy="1487805"/>
                        <wp:effectExtent l="38100" t="19050" r="26035" b="17145"/>
                        <wp:docPr id="16" name="图片 2" descr="C:\Users\Administrator\Desktop\QQ截图2020040912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Administrator\Desktop\QQ截图20200409120056.png"/>
                                <pic:cNvPicPr>
                                  <a:picLocks noChangeAspect="1" noChangeArrowheads="1"/>
                                </pic:cNvPicPr>
                              </pic:nvPicPr>
                              <pic:blipFill>
                                <a:blip r:embed="rId25"/>
                                <a:srcRect l="11214" t="5528" r="17876" b="7817"/>
                                <a:stretch>
                                  <a:fillRect/>
                                </a:stretch>
                              </pic:blipFill>
                              <pic:spPr>
                                <a:xfrm>
                                  <a:off x="0" y="0"/>
                                  <a:ext cx="1364615" cy="1487805"/>
                                </a:xfrm>
                                <a:prstGeom prst="rect">
                                  <a:avLst/>
                                </a:prstGeom>
                                <a:noFill/>
                                <a:ln w="12700" cmpd="sng">
                                  <a:solidFill>
                                    <a:srgbClr val="000000"/>
                                  </a:solidFill>
                                  <a:miter lim="800000"/>
                                  <a:headEnd/>
                                  <a:tailEnd/>
                                </a:ln>
                                <a:effectLst/>
                              </pic:spPr>
                            </pic:pic>
                          </a:graphicData>
                        </a:graphic>
                      </wp:inline>
                    </w:drawing>
                  </w:r>
                </w:p>
              </w:txbxContent>
            </v:textbox>
          </v:shape>
        </w:pict>
      </w:r>
      <w:r>
        <w:pict>
          <v:shape id="_x0000_s1676" o:spid="_x0000_s1676" o:spt="32" type="#_x0000_t32" style="position:absolute;left:0pt;flip:x;margin-left:326pt;margin-top:164.5pt;height:15.5pt;width:20.5pt;z-index:251809792;mso-width-relative:page;mso-height-relative:page;" o:connectortype="straight" filled="f" coordsize="21600,21600">
            <v:path arrowok="t"/>
            <v:fill on="f" focussize="0,0"/>
            <v:stroke endarrow="block"/>
            <v:imagedata o:title=""/>
            <o:lock v:ext="edit"/>
          </v:shape>
        </w:pict>
      </w:r>
      <w:r>
        <w:pict>
          <v:rect id="_x0000_s1675" o:spid="_x0000_s1675" o:spt="1" style="position:absolute;left:0pt;margin-left:346.5pt;margin-top:142pt;height:22.5pt;width:18pt;z-index:251808768;mso-width-relative:page;mso-height-relative:page;" filled="f" coordsize="21600,21600">
            <v:path/>
            <v:fill on="f" focussize="0,0"/>
            <v:stroke/>
            <v:imagedata o:title=""/>
            <o:lock v:ext="edit"/>
          </v:rect>
        </w:pict>
      </w:r>
      <w:r>
        <w:drawing>
          <wp:inline distT="0" distB="0" distL="0" distR="0">
            <wp:extent cx="8434070" cy="5349875"/>
            <wp:effectExtent l="19050" t="0" r="5080" b="0"/>
            <wp:docPr id="5" name="图片 1" descr="G:\蓝天环境共享资料\新乡各市县区基础资料（规评、规划、污水厂、敏感区域等）\乡镇规划图\凤泉区\大块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G:\蓝天环境共享资料\新乡各市县区基础资料（规评、规划、污水厂、敏感区域等）\乡镇规划图\凤泉区\大块镇.jpg"/>
                    <pic:cNvPicPr>
                      <a:picLocks noChangeAspect="1" noChangeArrowheads="1"/>
                    </pic:cNvPicPr>
                  </pic:nvPicPr>
                  <pic:blipFill>
                    <a:blip r:embed="rId26" cstate="print"/>
                    <a:srcRect/>
                    <a:stretch>
                      <a:fillRect/>
                    </a:stretch>
                  </pic:blipFill>
                  <pic:spPr>
                    <a:xfrm>
                      <a:off x="0" y="0"/>
                      <a:ext cx="8434070" cy="5349875"/>
                    </a:xfrm>
                    <a:prstGeom prst="rect">
                      <a:avLst/>
                    </a:prstGeom>
                    <a:noFill/>
                    <a:ln w="9525">
                      <a:noFill/>
                      <a:miter lim="800000"/>
                      <a:headEnd/>
                      <a:tailEnd/>
                    </a:ln>
                  </pic:spPr>
                </pic:pic>
              </a:graphicData>
            </a:graphic>
          </wp:inline>
        </w:drawing>
      </w:r>
    </w:p>
    <w:p>
      <w:pPr>
        <w:sectPr>
          <w:pgSz w:w="16838" w:h="11906" w:orient="landscape"/>
          <w:pgMar w:top="1800" w:right="1440" w:bottom="1800" w:left="1440" w:header="851" w:footer="992" w:gutter="0"/>
          <w:cols w:space="425" w:num="1"/>
          <w:docGrid w:type="lines" w:linePitch="312" w:charSpace="0"/>
        </w:sectPr>
      </w:pPr>
    </w:p>
    <w:p>
      <w:r>
        <w:pict>
          <v:shape id="_x0000_s1689" o:spid="_x0000_s1689" o:spt="202" type="#_x0000_t202" style="position:absolute;left:0pt;margin-left:248.2pt;margin-top:213.15pt;height:59.55pt;width:80.2pt;z-index:251823104;mso-width-relative:page;mso-height-relative:page;" filled="f" stroked="f" coordsize="21600,21600">
            <v:path/>
            <v:fill on="f" focussize="0,0"/>
            <v:stroke on="f" joinstyle="miter"/>
            <v:imagedata o:title=""/>
            <o:lock v:ext="edit"/>
            <v:textbox>
              <w:txbxContent>
                <w:p>
                  <w:pPr>
                    <w:jc w:val="center"/>
                  </w:pPr>
                  <w:r>
                    <w:rPr>
                      <w:rFonts w:hint="eastAsia"/>
                    </w:rPr>
                    <w:t>电池负极底</w:t>
                  </w:r>
                </w:p>
                <w:p>
                  <w:pPr>
                    <w:jc w:val="center"/>
                  </w:pPr>
                  <w:r>
                    <w:rPr>
                      <w:rFonts w:hint="eastAsia"/>
                    </w:rPr>
                    <w:t>车间</w:t>
                  </w:r>
                </w:p>
                <w:p>
                  <w:pPr>
                    <w:jc w:val="center"/>
                  </w:pPr>
                  <w:r>
                    <w:rPr>
                      <w:rFonts w:hint="eastAsia"/>
                    </w:rPr>
                    <w:t>（现有+本次）</w:t>
                  </w:r>
                </w:p>
              </w:txbxContent>
            </v:textbox>
          </v:shape>
        </w:pict>
      </w:r>
      <w:r>
        <w:pict>
          <v:rect id="_x0000_s1685" o:spid="_x0000_s1685" o:spt="1" style="position:absolute;left:0pt;margin-left:263.55pt;margin-top:175.15pt;height:139.7pt;width:51.45pt;z-index:251819008;mso-width-relative:page;mso-height-relative:page;" filled="f" coordsize="21600,21600">
            <v:path/>
            <v:fill on="f" focussize="0,0"/>
            <v:stroke/>
            <v:imagedata o:title=""/>
            <o:lock v:ext="edit"/>
          </v:rect>
        </w:pict>
      </w:r>
      <w:r>
        <w:pict>
          <v:shape id="_x0000_s1704" o:spid="_x0000_s1704" o:spt="202" type="#_x0000_t202" style="position:absolute;left:0pt;margin-left:161.5pt;margin-top:570.75pt;height:40.45pt;width:75.9pt;z-index:251838464;mso-width-relative:page;mso-height-relative:page;" filled="f" stroked="f" coordsize="21600,21600">
            <v:path/>
            <v:fill on="f" focussize="0,0"/>
            <v:stroke on="f" joinstyle="miter"/>
            <v:imagedata o:title=""/>
            <o:lock v:ext="edit"/>
            <v:textbox>
              <w:txbxContent>
                <w:p>
                  <w:pPr>
                    <w:jc w:val="center"/>
                  </w:pPr>
                  <w:r>
                    <w:rPr>
                      <w:rFonts w:hint="eastAsia"/>
                    </w:rPr>
                    <w:t>闲置厂房</w:t>
                  </w:r>
                </w:p>
              </w:txbxContent>
            </v:textbox>
          </v:shape>
        </w:pict>
      </w:r>
      <w:r>
        <w:pict>
          <v:shape id="_x0000_s1688" o:spid="_x0000_s1688" o:spt="202" type="#_x0000_t202" style="position:absolute;left:0pt;margin-left:77.3pt;margin-top:175.15pt;height:70.85pt;width:155.8pt;z-index:251822080;mso-width-relative:page;mso-height-relative:page;" filled="f" stroked="f" coordsize="21600,21600">
            <v:path/>
            <v:fill on="f" focussize="0,0"/>
            <v:stroke on="f" joinstyle="miter"/>
            <v:imagedata o:title=""/>
            <o:lock v:ext="edit"/>
            <v:textbox>
              <w:txbxContent>
                <w:p>
                  <w:pPr>
                    <w:jc w:val="center"/>
                  </w:pPr>
                  <w:r>
                    <w:rPr>
                      <w:rFonts w:hint="eastAsia"/>
                    </w:rPr>
                    <w:t>塑料生产车间</w:t>
                  </w:r>
                </w:p>
                <w:p>
                  <w:pPr>
                    <w:jc w:val="center"/>
                  </w:pPr>
                  <w:r>
                    <w:rPr>
                      <w:rFonts w:hint="eastAsia"/>
                    </w:rPr>
                    <w:t>（1F为现有仓库</w:t>
                  </w:r>
                </w:p>
                <w:p>
                  <w:pPr>
                    <w:jc w:val="center"/>
                  </w:pPr>
                  <w:r>
                    <w:rPr>
                      <w:rFonts w:hint="eastAsia"/>
                    </w:rPr>
                    <w:t>2F为本次密封圈项目</w:t>
                  </w:r>
                </w:p>
                <w:p>
                  <w:pPr>
                    <w:jc w:val="center"/>
                  </w:pPr>
                  <w:r>
                    <w:rPr>
                      <w:rFonts w:hint="eastAsia"/>
                    </w:rPr>
                    <w:t>3F为现有工程塑料罩体项目）</w:t>
                  </w:r>
                </w:p>
              </w:txbxContent>
            </v:textbox>
          </v:shape>
        </w:pict>
      </w:r>
      <w:r>
        <w:pict>
          <v:rect id="_x0000_s1683" o:spid="_x0000_s1683" o:spt="1" style="position:absolute;left:0pt;margin-left:84.3pt;margin-top:175.15pt;height:73.1pt;width:146.15pt;z-index:251816960;mso-width-relative:page;mso-height-relative:page;" filled="f" coordsize="21600,21600">
            <v:path/>
            <v:fill on="f" focussize="0,0"/>
            <v:stroke/>
            <v:imagedata o:title=""/>
            <o:lock v:ext="edit"/>
          </v:rect>
        </w:pict>
      </w:r>
      <w:r>
        <w:pict>
          <v:shape id="_x0000_s1681" o:spid="_x0000_s1681" o:spt="202" type="#_x0000_t202" style="position:absolute;left:0pt;margin-left:7.95pt;margin-top:681.95pt;height:29.05pt;width:407.25pt;z-index:251814912;mso-width-relative:page;mso-height-relative:page;" filled="f" stroked="f" coordsize="21600,21600">
            <v:path/>
            <v:fill on="f" focussize="0,0"/>
            <v:stroke on="f" joinstyle="miter"/>
            <v:imagedata o:title=""/>
            <o:lock v:ext="edit"/>
            <v:textbox>
              <w:txbxContent>
                <w:p>
                  <w:pPr>
                    <w:jc w:val="center"/>
                    <w:rPr>
                      <w:rFonts w:ascii="黑体" w:hAnsi="黑体" w:eastAsia="黑体"/>
                      <w:sz w:val="24"/>
                    </w:rPr>
                  </w:pPr>
                  <w:r>
                    <w:rPr>
                      <w:rFonts w:ascii="黑体" w:hAnsi="黑体" w:eastAsia="黑体"/>
                      <w:sz w:val="24"/>
                    </w:rPr>
                    <w:t>附图</w:t>
                  </w:r>
                  <w:r>
                    <w:rPr>
                      <w:rFonts w:hint="eastAsia" w:ascii="黑体" w:hAnsi="黑体" w:eastAsia="黑体"/>
                      <w:sz w:val="24"/>
                    </w:rPr>
                    <w:t>2  新乡市碧阔塑业有限公司厂区平面图</w:t>
                  </w:r>
                </w:p>
              </w:txbxContent>
            </v:textbox>
          </v:shape>
        </w:pict>
      </w:r>
      <w:r>
        <w:pict>
          <v:shape id="_x0000_s1713" o:spid="_x0000_s1713" o:spt="202" type="#_x0000_t202" style="position:absolute;left:0pt;margin-left:357pt;margin-top:538.65pt;height:39pt;width:79.6pt;z-index:251847680;mso-width-relative:page;mso-height-relative:page;" filled="f" stroked="f" coordsize="21600,21600">
            <v:path/>
            <v:fill on="f" focussize="0,0"/>
            <v:stroke on="f" joinstyle="miter"/>
            <v:imagedata o:title=""/>
            <o:lock v:ext="edit"/>
            <v:textbox>
              <w:txbxContent>
                <w:p>
                  <w:pPr>
                    <w:jc w:val="center"/>
                  </w:pPr>
                  <w:r>
                    <w:rPr>
                      <w:rFonts w:hint="eastAsia"/>
                    </w:rPr>
                    <w:t>小块第四小学</w:t>
                  </w:r>
                </w:p>
                <w:p>
                  <w:pPr>
                    <w:jc w:val="center"/>
                  </w:pPr>
                  <w:r>
                    <w:rPr>
                      <w:rFonts w:hint="eastAsia"/>
                    </w:rPr>
                    <w:t>520m</w:t>
                  </w:r>
                </w:p>
              </w:txbxContent>
            </v:textbox>
          </v:shape>
        </w:pict>
      </w:r>
      <w:r>
        <w:pict>
          <v:shape id="_x0000_s1712" o:spid="_x0000_s1712" o:spt="21" type="#_x0000_t21" style="position:absolute;left:0pt;margin-left:372.1pt;margin-top:515.25pt;height:24.45pt;width:51.65pt;z-index:251846656;mso-width-relative:page;mso-height-relative:page;" fillcolor="#000000" filled="t" coordsize="21600,21600" adj="7754">
            <v:path/>
            <v:fill type="pattern" on="t" o:title="浅色上对角线" focussize="0,0" r:id="rId27"/>
            <v:stroke joinstyle="miter"/>
            <v:imagedata o:title=""/>
            <o:lock v:ext="edit"/>
          </v:shape>
        </w:pict>
      </w:r>
      <w:r>
        <w:pict>
          <v:shape id="_x0000_s1711" o:spid="_x0000_s1711" o:spt="202" type="#_x0000_t202" style="position:absolute;left:0pt;margin-left:369.95pt;margin-top:419.8pt;height:39pt;width:72pt;z-index:251845632;mso-width-relative:page;mso-height-relative:page;" filled="f" stroked="f" coordsize="21600,21600">
            <v:path/>
            <v:fill on="f" focussize="0,0"/>
            <v:stroke on="f" joinstyle="miter"/>
            <v:imagedata o:title=""/>
            <o:lock v:ext="edit"/>
            <v:textbox>
              <w:txbxContent>
                <w:p>
                  <w:pPr>
                    <w:jc w:val="center"/>
                  </w:pPr>
                  <w:r>
                    <w:rPr>
                      <w:rFonts w:hint="eastAsia"/>
                    </w:rPr>
                    <w:t>小块村</w:t>
                  </w:r>
                </w:p>
                <w:p>
                  <w:pPr>
                    <w:jc w:val="center"/>
                  </w:pPr>
                  <w:r>
                    <w:rPr>
                      <w:rFonts w:hint="eastAsia"/>
                    </w:rPr>
                    <w:t>530m</w:t>
                  </w:r>
                </w:p>
              </w:txbxContent>
            </v:textbox>
          </v:shape>
        </w:pict>
      </w:r>
      <w:r>
        <w:pict>
          <v:shape id="_x0000_s1710" o:spid="_x0000_s1710" o:spt="21" type="#_x0000_t21" style="position:absolute;left:0pt;margin-left:375.2pt;margin-top:396.4pt;height:24.45pt;width:51.65pt;z-index:251844608;mso-width-relative:page;mso-height-relative:page;" fillcolor="#000000" filled="t" coordsize="21600,21600" adj="7754">
            <v:path/>
            <v:fill type="pattern" on="t" o:title="浅色上对角线" focussize="0,0" r:id="rId27"/>
            <v:stroke joinstyle="miter"/>
            <v:imagedata o:title=""/>
            <o:lock v:ext="edit"/>
          </v:shape>
        </w:pict>
      </w:r>
      <w:r>
        <w:pict>
          <v:shape id="_x0000_s1697" o:spid="_x0000_s1697" o:spt="32" type="#_x0000_t32" style="position:absolute;left:0pt;flip:y;margin-left:1.4pt;margin-top:499.5pt;height:33pt;width:430.45pt;z-index:251831296;mso-width-relative:page;mso-height-relative:page;" o:connectortype="straight" filled="f" coordsize="21600,21600">
            <v:path arrowok="t"/>
            <v:fill on="f" focussize="0,0"/>
            <v:stroke/>
            <v:imagedata o:title=""/>
            <o:lock v:ext="edit"/>
          </v:shape>
        </w:pict>
      </w:r>
      <w:r>
        <w:pict>
          <v:shape id="_x0000_s1696" o:spid="_x0000_s1696" o:spt="32" type="#_x0000_t32" style="position:absolute;left:0pt;flip:y;margin-left:1.4pt;margin-top:482.25pt;height:33pt;width:430.45pt;z-index:251830272;mso-width-relative:page;mso-height-relative:page;" o:connectortype="straight" filled="f" coordsize="21600,21600">
            <v:path arrowok="t"/>
            <v:fill on="f" focussize="0,0"/>
            <v:stroke/>
            <v:imagedata o:title=""/>
            <o:lock v:ext="edit"/>
          </v:shape>
        </w:pict>
      </w:r>
      <w:r>
        <w:pict>
          <v:rect id="_x0000_s1680" o:spid="_x0000_s1680" o:spt="1" style="position:absolute;left:0pt;margin-left:1.4pt;margin-top:0pt;height:675.95pt;width:430.45pt;z-index:251813888;mso-width-relative:page;mso-height-relative:page;" filled="f" coordsize="21600,21600">
            <v:path/>
            <v:fill on="f" focussize="0,0"/>
            <v:stroke/>
            <v:imagedata o:title=""/>
            <o:lock v:ext="edit"/>
          </v:rect>
        </w:pict>
      </w:r>
      <w:r>
        <w:pict>
          <v:rect id="_x0000_s1703" o:spid="_x0000_s1703" o:spt="1" style="position:absolute;left:0pt;margin-left:72.6pt;margin-top:544.5pt;height:80.25pt;width:261pt;z-index:251837440;mso-width-relative:page;mso-height-relative:page;" filled="f" coordsize="21600,21600">
            <v:path/>
            <v:fill on="f" focussize="0,0"/>
            <v:stroke/>
            <v:imagedata o:title=""/>
            <o:lock v:ext="edit"/>
          </v:rect>
        </w:pict>
      </w:r>
      <w:r>
        <w:pict>
          <v:shape id="_x0000_s1709" o:spid="_x0000_s1709" o:spt="202" type="#_x0000_t202" style="position:absolute;left:0pt;margin-left:215.45pt;margin-top:174.3pt;height:38.85pt;width:75.9pt;z-index:251843584;mso-width-relative:page;mso-height-relative:page;" filled="f" stroked="f" coordsize="21600,21600">
            <v:path/>
            <v:fill on="f" focussize="0,0"/>
            <v:stroke on="f" joinstyle="miter"/>
            <v:imagedata o:title=""/>
            <o:lock v:ext="edit"/>
            <v:textbox>
              <w:txbxContent>
                <w:p>
                  <w:pPr>
                    <w:spacing w:line="240" w:lineRule="exact"/>
                    <w:jc w:val="center"/>
                    <w:rPr>
                      <w:sz w:val="16"/>
                    </w:rPr>
                  </w:pPr>
                  <w:r>
                    <w:rPr>
                      <w:rFonts w:hint="eastAsia"/>
                      <w:sz w:val="16"/>
                    </w:rPr>
                    <w:t>危废</w:t>
                  </w:r>
                </w:p>
                <w:p>
                  <w:pPr>
                    <w:spacing w:line="240" w:lineRule="exact"/>
                    <w:jc w:val="center"/>
                    <w:rPr>
                      <w:sz w:val="16"/>
                    </w:rPr>
                  </w:pPr>
                  <w:r>
                    <w:rPr>
                      <w:rFonts w:hint="eastAsia"/>
                      <w:sz w:val="16"/>
                    </w:rPr>
                    <w:t>暂存间</w:t>
                  </w:r>
                </w:p>
              </w:txbxContent>
            </v:textbox>
          </v:shape>
        </w:pict>
      </w:r>
      <w:r>
        <w:pict>
          <v:rect id="_x0000_s1708" o:spid="_x0000_s1708" o:spt="1" style="position:absolute;left:0pt;margin-left:242.95pt;margin-top:175.15pt;height:33.5pt;width:20.6pt;z-index:251842560;mso-width-relative:page;mso-height-relative:page;" filled="f" coordsize="21600,21600">
            <v:path/>
            <v:fill on="f" focussize="0,0"/>
            <v:stroke/>
            <v:imagedata o:title=""/>
            <o:lock v:ext="edit"/>
          </v:rect>
        </w:pict>
      </w:r>
      <w:r>
        <w:pict>
          <v:shape id="_x0000_s1707" o:spid="_x0000_s1707" o:spt="202" type="#_x0000_t202" style="position:absolute;left:0pt;margin-left:134.3pt;margin-top:272.7pt;height:27pt;width:75.9pt;z-index:251841536;mso-width-relative:page;mso-height-relative:page;" filled="f" stroked="f" coordsize="21600,21600">
            <v:path/>
            <v:fill on="f" focussize="0,0"/>
            <v:stroke on="f" joinstyle="miter"/>
            <v:imagedata o:title=""/>
            <o:lock v:ext="edit"/>
            <v:textbox>
              <w:txbxContent>
                <w:p>
                  <w:pPr>
                    <w:jc w:val="center"/>
                    <w:rPr>
                      <w:b/>
                    </w:rPr>
                  </w:pPr>
                  <w:r>
                    <w:rPr>
                      <w:rFonts w:hint="eastAsia"/>
                      <w:b/>
                    </w:rPr>
                    <w:t>本项目厂区</w:t>
                  </w:r>
                </w:p>
              </w:txbxContent>
            </v:textbox>
          </v:shape>
        </w:pict>
      </w:r>
      <w:r>
        <w:pict>
          <v:shape id="_x0000_s1706" o:spid="_x0000_s1706" o:spt="202" type="#_x0000_t202" style="position:absolute;left:0pt;margin-left:3.45pt;margin-top:36pt;height:27pt;width:37.05pt;z-index:251840512;mso-width-relative:page;mso-height-relative:page;" filled="f" stroked="f" coordsize="21600,21600">
            <v:path/>
            <v:fill on="f" focussize="0,0"/>
            <v:stroke on="f" joinstyle="miter"/>
            <v:imagedata o:title=""/>
            <o:lock v:ext="edit"/>
            <v:textbox>
              <w:txbxContent>
                <w:p>
                  <w:pPr>
                    <w:jc w:val="center"/>
                  </w:pPr>
                  <w:r>
                    <w:rPr>
                      <w:rFonts w:hint="eastAsia"/>
                    </w:rPr>
                    <w:t>北</w:t>
                  </w:r>
                </w:p>
              </w:txbxContent>
            </v:textbox>
          </v:shape>
        </w:pict>
      </w:r>
      <w:r>
        <w:pict>
          <v:shape id="_x0000_s1705" o:spid="_x0000_s1705" o:spt="68" type="#_x0000_t68" style="position:absolute;left:0pt;margin-left:16.5pt;margin-top:15pt;height:21pt;width:9.75pt;z-index:251839488;mso-width-relative:page;mso-height-relative:page;" filled="f" coordsize="21600,21600">
            <v:path/>
            <v:fill on="f" focussize="0,0"/>
            <v:stroke joinstyle="miter"/>
            <v:imagedata o:title=""/>
            <o:lock v:ext="edit"/>
          </v:shape>
        </w:pict>
      </w:r>
      <w:r>
        <w:pict>
          <v:shape id="_x0000_s1702" o:spid="_x0000_s1702" o:spt="202" type="#_x0000_t202" style="position:absolute;left:0pt;margin-left:174pt;margin-top:79.5pt;height:26.25pt;width:68.95pt;z-index:251836416;mso-width-relative:page;mso-height-relative:page;" filled="f" stroked="f" coordsize="21600,21600">
            <v:path/>
            <v:fill on="f" focussize="0,0"/>
            <v:stroke on="f" joinstyle="miter"/>
            <v:imagedata o:title=""/>
            <o:lock v:ext="edit"/>
            <v:textbox>
              <w:txbxContent>
                <w:p>
                  <w:r>
                    <w:t>闲置厂房</w:t>
                  </w:r>
                </w:p>
              </w:txbxContent>
            </v:textbox>
          </v:shape>
        </w:pict>
      </w:r>
      <w:r>
        <w:pict>
          <v:shape id="_x0000_s1701" o:spid="_x0000_s1701" style="position:absolute;left:0pt;margin-left:64.75pt;margin-top:39.75pt;height:107.25pt;width:305.2pt;z-index:251835392;mso-width-relative:page;mso-height-relative:page;" filled="f" coordsize="6104,2145" path="m0,2145l5588,2145,6104,0,0,0,0,2145xe">
            <v:path arrowok="t"/>
            <v:fill on="f" focussize="0,0"/>
            <v:stroke/>
            <v:imagedata o:title=""/>
            <o:lock v:ext="edit"/>
          </v:shape>
        </w:pict>
      </w:r>
      <w:r>
        <w:pict>
          <v:shape id="_x0000_s1700" o:spid="_x0000_s1700" o:spt="202" type="#_x0000_t202" style="position:absolute;left:0pt;margin-left:333.6pt;margin-top:299.7pt;height:27pt;width:75.9pt;z-index:251834368;mso-width-relative:page;mso-height-relative:page;" filled="f" stroked="f" coordsize="21600,21600">
            <v:path/>
            <v:fill on="f" focussize="0,0"/>
            <v:stroke on="f" joinstyle="miter"/>
            <v:imagedata o:title=""/>
            <o:lock v:ext="edit"/>
            <v:textbox>
              <w:txbxContent>
                <w:p>
                  <w:pPr>
                    <w:jc w:val="center"/>
                  </w:pPr>
                  <w:r>
                    <w:rPr>
                      <w:rFonts w:hint="eastAsia"/>
                    </w:rPr>
                    <w:t>林地</w:t>
                  </w:r>
                </w:p>
              </w:txbxContent>
            </v:textbox>
          </v:shape>
        </w:pict>
      </w:r>
      <w:r>
        <w:pict>
          <v:shape id="_x0000_s1699" o:spid="_x0000_s1699" o:spt="202" type="#_x0000_t202" style="position:absolute;left:0pt;margin-left:1.4pt;margin-top:304.35pt;height:27pt;width:75.9pt;z-index:251833344;mso-width-relative:page;mso-height-relative:page;" filled="f" stroked="f" coordsize="21600,21600">
            <v:path/>
            <v:fill on="f" focussize="0,0"/>
            <v:stroke on="f" joinstyle="miter"/>
            <v:imagedata o:title=""/>
            <o:lock v:ext="edit"/>
            <v:textbox>
              <w:txbxContent>
                <w:p>
                  <w:pPr>
                    <w:jc w:val="center"/>
                  </w:pPr>
                  <w:r>
                    <w:rPr>
                      <w:rFonts w:hint="eastAsia"/>
                    </w:rPr>
                    <w:t>林地</w:t>
                  </w:r>
                </w:p>
              </w:txbxContent>
            </v:textbox>
          </v:shape>
        </w:pict>
      </w:r>
      <w:r>
        <w:pict>
          <v:shape id="_x0000_s1698" o:spid="_x0000_s1698" o:spt="202" type="#_x0000_t202" style="position:absolute;left:0pt;margin-left:154.55pt;margin-top:497.25pt;height:27pt;width:75.9pt;z-index:251832320;mso-width-relative:page;mso-height-relative:page;" filled="f" stroked="f" coordsize="21600,21600">
            <v:path/>
            <v:fill on="f" focussize="0,0"/>
            <v:stroke on="f" joinstyle="miter"/>
            <v:imagedata o:title=""/>
            <o:lock v:ext="edit"/>
            <v:textbox>
              <w:txbxContent>
                <w:p>
                  <w:pPr>
                    <w:jc w:val="center"/>
                  </w:pPr>
                  <w:r>
                    <w:rPr>
                      <w:rFonts w:hint="eastAsia"/>
                    </w:rPr>
                    <w:t>进村小路</w:t>
                  </w:r>
                </w:p>
              </w:txbxContent>
            </v:textbox>
          </v:shape>
        </w:pict>
      </w:r>
      <w:r>
        <w:pict>
          <v:shape id="_x0000_s1695" o:spid="_x0000_s1695" o:spt="202" type="#_x0000_t202" style="position:absolute;left:0pt;margin-left:254.75pt;margin-top:439.5pt;height:37.7pt;width:55.75pt;z-index:251829248;mso-width-relative:page;mso-height-relative:page;" filled="f" stroked="f" coordsize="21600,21600">
            <v:path/>
            <v:fill on="f" focussize="0,0"/>
            <v:stroke on="f" joinstyle="miter"/>
            <v:imagedata o:title=""/>
            <o:lock v:ext="edit"/>
            <v:textbox>
              <w:txbxContent>
                <w:p>
                  <w:pPr>
                    <w:jc w:val="center"/>
                  </w:pPr>
                  <w:r>
                    <w:rPr>
                      <w:rFonts w:hint="eastAsia"/>
                    </w:rPr>
                    <w:t>门</w:t>
                  </w:r>
                </w:p>
                <w:p>
                  <w:pPr>
                    <w:jc w:val="center"/>
                  </w:pPr>
                  <w:r>
                    <w:rPr>
                      <w:rFonts w:hint="eastAsia"/>
                    </w:rPr>
                    <w:t>岗</w:t>
                  </w:r>
                </w:p>
              </w:txbxContent>
            </v:textbox>
          </v:shape>
        </w:pict>
      </w:r>
      <w:r>
        <w:pict>
          <v:rect id="_x0000_s1694" o:spid="_x0000_s1694" o:spt="1" style="position:absolute;left:0pt;margin-left:271.5pt;margin-top:443.25pt;height:30.75pt;width:18.75pt;z-index:251828224;mso-width-relative:page;mso-height-relative:page;" filled="f" coordsize="21600,21600">
            <v:path/>
            <v:fill on="f" focussize="0,0"/>
            <v:stroke/>
            <v:imagedata o:title=""/>
            <o:lock v:ext="edit"/>
          </v:rect>
        </w:pict>
      </w:r>
      <w:r>
        <w:pict>
          <v:shape id="_x0000_s1693" o:spid="_x0000_s1693" o:spt="202" type="#_x0000_t202" style="position:absolute;left:0pt;margin-left:225.2pt;margin-top:466.5pt;height:21pt;width:39.2pt;z-index:251827200;mso-width-relative:page;mso-height-relative:page;" stroked="f" coordsize="21600,21600">
            <v:path/>
            <v:fill focussize="0,0"/>
            <v:stroke on="f" joinstyle="miter"/>
            <v:imagedata o:title=""/>
            <o:lock v:ext="edit"/>
            <v:textbox>
              <w:txbxContent>
                <w:p>
                  <w:pPr>
                    <w:jc w:val="center"/>
                  </w:pPr>
                  <w:r>
                    <w:t>大门</w:t>
                  </w:r>
                </w:p>
              </w:txbxContent>
            </v:textbox>
          </v:shape>
        </w:pict>
      </w:r>
      <w:r>
        <w:pict>
          <v:shape id="_x0000_s1682" o:spid="_x0000_s1682" style="position:absolute;left:0pt;margin-left:64.75pt;margin-top:159.05pt;height:330.7pt;width:279.4pt;z-index:251815936;mso-width-relative:page;mso-height-relative:page;" filled="f" coordsize="5588,6598" path="m0,172l0,6598,4578,6319,5588,0,21,0,0,172xe">
            <v:path arrowok="t"/>
            <v:fill on="f" focussize="0,0"/>
            <v:stroke weight="2pt"/>
            <v:imagedata o:title=""/>
            <o:lock v:ext="edit"/>
          </v:shape>
        </w:pict>
      </w:r>
      <w:r>
        <w:pict>
          <v:shape id="_x0000_s1691" o:spid="_x0000_s1691" o:spt="202" type="#_x0000_t202" style="position:absolute;left:0pt;margin-left:119.2pt;margin-top:331.35pt;height:40.45pt;width:75.9pt;z-index:251825152;mso-width-relative:page;mso-height-relative:page;" filled="f" stroked="f" coordsize="21600,21600">
            <v:path/>
            <v:fill on="f" focussize="0,0"/>
            <v:stroke on="f" joinstyle="miter"/>
            <v:imagedata o:title=""/>
            <o:lock v:ext="edit"/>
            <v:textbox>
              <w:txbxContent>
                <w:p>
                  <w:pPr>
                    <w:jc w:val="center"/>
                  </w:pPr>
                  <w:r>
                    <w:rPr>
                      <w:rFonts w:hint="eastAsia"/>
                    </w:rPr>
                    <w:t>办公楼</w:t>
                  </w:r>
                </w:p>
              </w:txbxContent>
            </v:textbox>
          </v:shape>
        </w:pict>
      </w:r>
      <w:r>
        <w:pict>
          <v:shape id="_x0000_s1692" o:spid="_x0000_s1692" o:spt="202" type="#_x0000_t202" style="position:absolute;left:0pt;margin-left:247.25pt;margin-top:319.65pt;height:28.7pt;width:75.9pt;z-index:251826176;mso-width-relative:page;mso-height-relative:page;" filled="f" stroked="f" coordsize="21600,21600">
            <v:path/>
            <v:fill on="f" focussize="0,0"/>
            <v:stroke on="f" joinstyle="miter"/>
            <v:imagedata o:title=""/>
            <o:lock v:ext="edit"/>
            <v:textbox>
              <w:txbxContent>
                <w:p>
                  <w:pPr>
                    <w:jc w:val="center"/>
                  </w:pPr>
                  <w:r>
                    <w:rPr>
                      <w:rFonts w:hint="eastAsia"/>
                    </w:rPr>
                    <w:t>卫生间</w:t>
                  </w:r>
                </w:p>
              </w:txbxContent>
            </v:textbox>
          </v:shape>
        </w:pict>
      </w:r>
      <w:r>
        <w:pict>
          <v:shape id="_x0000_s1690" o:spid="_x0000_s1690" o:spt="202" type="#_x0000_t202" style="position:absolute;left:0pt;margin-left:247.25pt;margin-top:346.25pt;height:51.2pt;width:75.9pt;z-index:251824128;mso-width-relative:page;mso-height-relative:page;" filled="f" stroked="f" coordsize="21600,21600">
            <v:path/>
            <v:fill on="f" focussize="0,0"/>
            <v:stroke on="f" joinstyle="miter"/>
            <v:imagedata o:title=""/>
            <o:lock v:ext="edit"/>
            <v:textbox>
              <w:txbxContent>
                <w:p>
                  <w:pPr>
                    <w:jc w:val="center"/>
                  </w:pPr>
                  <w:r>
                    <w:rPr>
                      <w:rFonts w:hint="eastAsia"/>
                    </w:rPr>
                    <w:t>一般固废</w:t>
                  </w:r>
                </w:p>
                <w:p>
                  <w:pPr>
                    <w:jc w:val="center"/>
                  </w:pPr>
                  <w:r>
                    <w:rPr>
                      <w:rFonts w:hint="eastAsia"/>
                    </w:rPr>
                    <w:t>暂存区</w:t>
                  </w:r>
                </w:p>
              </w:txbxContent>
            </v:textbox>
          </v:shape>
        </w:pict>
      </w:r>
      <w:r>
        <w:pict>
          <v:rect id="_x0000_s1687" o:spid="_x0000_s1687" o:spt="1" style="position:absolute;left:0pt;margin-left:263.55pt;margin-top:348.35pt;height:33.15pt;width:39.45pt;z-index:251821056;mso-width-relative:page;mso-height-relative:page;" filled="f" coordsize="21600,21600">
            <v:path/>
            <v:fill on="f" focussize="0,0"/>
            <v:stroke/>
            <v:imagedata o:title=""/>
            <o:lock v:ext="edit"/>
          </v:rect>
        </w:pict>
      </w:r>
      <w:r>
        <w:pict>
          <v:rect id="_x0000_s1686" o:spid="_x0000_s1686" o:spt="1" style="position:absolute;left:0pt;margin-left:263.55pt;margin-top:314.85pt;height:33.5pt;width:44.05pt;z-index:251820032;mso-width-relative:page;mso-height-relative:page;" filled="f" coordsize="21600,21600">
            <v:path/>
            <v:fill on="f" focussize="0,0"/>
            <v:stroke/>
            <v:imagedata o:title=""/>
            <o:lock v:ext="edit"/>
          </v:rect>
        </w:pict>
      </w:r>
      <w:r>
        <w:pict>
          <v:rect id="_x0000_s1684" o:spid="_x0000_s1684" o:spt="1" style="position:absolute;left:0pt;margin-left:92.7pt;margin-top:320.25pt;height:42.95pt;width:122.5pt;z-index:251817984;mso-width-relative:page;mso-height-relative:page;" filled="f" coordsize="21600,21600">
            <v:path/>
            <v:fill on="f" focussize="0,0"/>
            <v:stroke/>
            <v:imagedata o:title=""/>
            <o:lock v:ext="edit"/>
          </v:rect>
        </w:pict>
      </w:r>
    </w:p>
    <w:p>
      <w:pPr>
        <w:sectPr>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drawing>
          <wp:inline distT="0" distB="0" distL="0" distR="0">
            <wp:extent cx="5267960" cy="7519670"/>
            <wp:effectExtent l="19050" t="0" r="8890" b="0"/>
            <wp:docPr id="11" name="图片 6" descr="G:\1-蓝天\16 碧阔塑业-环评\1 碧阔塑业-正式\附件\附件1-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G:\1-蓝天\16 碧阔塑业-环评\1 碧阔塑业-正式\附件\附件1-委托书.jpg"/>
                    <pic:cNvPicPr>
                      <a:picLocks noChangeAspect="1" noChangeArrowheads="1"/>
                    </pic:cNvPicPr>
                  </pic:nvPicPr>
                  <pic:blipFill>
                    <a:blip r:embed="rId28"/>
                    <a:srcRect/>
                    <a:stretch>
                      <a:fillRect/>
                    </a:stretch>
                  </pic:blipFill>
                  <pic:spPr>
                    <a:xfrm>
                      <a:off x="0" y="0"/>
                      <a:ext cx="5267960" cy="7519670"/>
                    </a:xfrm>
                    <a:prstGeom prst="rect">
                      <a:avLst/>
                    </a:prstGeom>
                    <a:noFill/>
                    <a:ln w="9525">
                      <a:noFill/>
                      <a:miter lim="800000"/>
                      <a:headEnd/>
                      <a:tailEnd/>
                    </a:ln>
                  </pic:spPr>
                </pic:pic>
              </a:graphicData>
            </a:graphic>
          </wp:inline>
        </w:drawing>
      </w:r>
    </w:p>
    <w:p>
      <w:pPr>
        <w:sectPr>
          <w:pgSz w:w="11906" w:h="16838"/>
          <w:pgMar w:top="1440" w:right="1800" w:bottom="1440" w:left="1800" w:header="851" w:footer="992" w:gutter="0"/>
          <w:cols w:space="425" w:num="1"/>
          <w:docGrid w:type="lines" w:linePitch="312" w:charSpace="0"/>
        </w:sectPr>
      </w:pPr>
      <w:r>
        <w:drawing>
          <wp:inline distT="0" distB="0" distL="0" distR="0">
            <wp:extent cx="5267960" cy="7519670"/>
            <wp:effectExtent l="19050" t="0" r="8890" b="0"/>
            <wp:docPr id="12" name="图片 7" descr="G:\1-蓝天\16 碧阔塑业-环评\1 碧阔塑业-正式\附件\2 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G:\1-蓝天\16 碧阔塑业-环评\1 碧阔塑业-正式\附件\2 备案.jpg"/>
                    <pic:cNvPicPr>
                      <a:picLocks noChangeAspect="1" noChangeArrowheads="1"/>
                    </pic:cNvPicPr>
                  </pic:nvPicPr>
                  <pic:blipFill>
                    <a:blip r:embed="rId29"/>
                    <a:srcRect/>
                    <a:stretch>
                      <a:fillRect/>
                    </a:stretch>
                  </pic:blipFill>
                  <pic:spPr>
                    <a:xfrm>
                      <a:off x="0" y="0"/>
                      <a:ext cx="5267960" cy="7519670"/>
                    </a:xfrm>
                    <a:prstGeom prst="rect">
                      <a:avLst/>
                    </a:prstGeom>
                    <a:noFill/>
                    <a:ln w="9525">
                      <a:noFill/>
                      <a:miter lim="800000"/>
                      <a:headEnd/>
                      <a:tailEnd/>
                    </a:ln>
                  </pic:spPr>
                </pic:pic>
              </a:graphicData>
            </a:graphic>
          </wp:inline>
        </w:drawing>
      </w:r>
    </w:p>
    <w:p>
      <w:pPr>
        <w:sectPr>
          <w:pgSz w:w="11906" w:h="16838"/>
          <w:pgMar w:top="1440" w:right="1800" w:bottom="1440" w:left="1800" w:header="851" w:footer="992" w:gutter="0"/>
          <w:cols w:space="425" w:num="1"/>
          <w:docGrid w:type="lines" w:linePitch="312" w:charSpace="0"/>
        </w:sectPr>
      </w:pPr>
      <w:r>
        <w:drawing>
          <wp:inline distT="0" distB="0" distL="0" distR="0">
            <wp:extent cx="5267960" cy="7519670"/>
            <wp:effectExtent l="19050" t="0" r="8890" b="0"/>
            <wp:docPr id="13" name="图片 8" descr="G:\1-蓝天\16 碧阔塑业-环评\1 碧阔塑业-正式\附件\3 土地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G:\1-蓝天\16 碧阔塑业-环评\1 碧阔塑业-正式\附件\3 土地证明.jpg"/>
                    <pic:cNvPicPr>
                      <a:picLocks noChangeAspect="1" noChangeArrowheads="1"/>
                    </pic:cNvPicPr>
                  </pic:nvPicPr>
                  <pic:blipFill>
                    <a:blip r:embed="rId30"/>
                    <a:srcRect/>
                    <a:stretch>
                      <a:fillRect/>
                    </a:stretch>
                  </pic:blipFill>
                  <pic:spPr>
                    <a:xfrm>
                      <a:off x="0" y="0"/>
                      <a:ext cx="5267960" cy="7519670"/>
                    </a:xfrm>
                    <a:prstGeom prst="rect">
                      <a:avLst/>
                    </a:prstGeom>
                    <a:noFill/>
                    <a:ln w="9525">
                      <a:noFill/>
                      <a:miter lim="800000"/>
                      <a:headEnd/>
                      <a:tailEnd/>
                    </a:ln>
                  </pic:spPr>
                </pic:pic>
              </a:graphicData>
            </a:graphic>
          </wp:inline>
        </w:drawing>
      </w:r>
    </w:p>
    <w:p>
      <w:pPr>
        <w:sectPr>
          <w:pgSz w:w="11906" w:h="16838"/>
          <w:pgMar w:top="1440" w:right="1800" w:bottom="1440" w:left="1800" w:header="851" w:footer="992" w:gutter="0"/>
          <w:cols w:space="425" w:num="1"/>
          <w:docGrid w:type="lines" w:linePitch="312" w:charSpace="0"/>
        </w:sectPr>
      </w:pPr>
      <w:r>
        <w:drawing>
          <wp:inline distT="0" distB="0" distL="0" distR="0">
            <wp:extent cx="5267960" cy="7519670"/>
            <wp:effectExtent l="19050" t="0" r="8890" b="0"/>
            <wp:docPr id="14" name="图片 9" descr="G:\1-蓝天\16 碧阔塑业-环评\1 碧阔塑业-正式\附件\4 原环评备案公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G:\1-蓝天\16 碧阔塑业-环评\1 碧阔塑业-正式\附件\4 原环评备案公告.jpg"/>
                    <pic:cNvPicPr>
                      <a:picLocks noChangeAspect="1" noChangeArrowheads="1"/>
                    </pic:cNvPicPr>
                  </pic:nvPicPr>
                  <pic:blipFill>
                    <a:blip r:embed="rId31"/>
                    <a:srcRect/>
                    <a:stretch>
                      <a:fillRect/>
                    </a:stretch>
                  </pic:blipFill>
                  <pic:spPr>
                    <a:xfrm>
                      <a:off x="0" y="0"/>
                      <a:ext cx="5267960" cy="7519670"/>
                    </a:xfrm>
                    <a:prstGeom prst="rect">
                      <a:avLst/>
                    </a:prstGeom>
                    <a:noFill/>
                    <a:ln w="9525">
                      <a:noFill/>
                      <a:miter lim="800000"/>
                      <a:headEnd/>
                      <a:tailEnd/>
                    </a:ln>
                  </pic:spPr>
                </pic:pic>
              </a:graphicData>
            </a:graphic>
          </wp:inline>
        </w:drawing>
      </w:r>
    </w:p>
    <w:p>
      <w:pPr>
        <w:jc w:val="center"/>
        <w:rPr>
          <w:rFonts w:eastAsia="黑体"/>
        </w:rPr>
      </w:pPr>
      <w:r>
        <w:rPr>
          <w:rFonts w:eastAsia="黑体"/>
        </w:rPr>
        <w:t>附表</w:t>
      </w:r>
      <w:r>
        <w:rPr>
          <w:rFonts w:eastAsia="Times New Roman"/>
        </w:rPr>
        <w:t>1</w:t>
      </w:r>
      <w:r>
        <w:rPr>
          <w:rFonts w:eastAsia="黑体"/>
        </w:rPr>
        <w:t xml:space="preserve">  建设项目大气环境影响评价自查表</w:t>
      </w:r>
    </w:p>
    <w:p>
      <w:pPr>
        <w:spacing w:line="16" w:lineRule="exact"/>
        <w:rPr>
          <w:rFonts w:eastAsia="Times New Roman"/>
          <w:b/>
        </w:rPr>
      </w:pPr>
    </w:p>
    <w:tbl>
      <w:tblPr>
        <w:tblStyle w:val="19"/>
        <w:tblW w:w="952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1040"/>
        <w:gridCol w:w="1780"/>
        <w:gridCol w:w="906"/>
        <w:gridCol w:w="567"/>
        <w:gridCol w:w="283"/>
        <w:gridCol w:w="304"/>
        <w:gridCol w:w="547"/>
        <w:gridCol w:w="1134"/>
        <w:gridCol w:w="992"/>
        <w:gridCol w:w="567"/>
        <w:gridCol w:w="640"/>
        <w:gridCol w:w="76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820" w:type="dxa"/>
            <w:gridSpan w:val="2"/>
            <w:vAlign w:val="center"/>
          </w:tcPr>
          <w:p>
            <w:pPr>
              <w:jc w:val="center"/>
              <w:rPr>
                <w:b/>
                <w:sz w:val="18"/>
              </w:rPr>
            </w:pPr>
            <w:r>
              <w:rPr>
                <w:b/>
                <w:sz w:val="18"/>
              </w:rPr>
              <w:t>工作内容</w:t>
            </w:r>
          </w:p>
        </w:tc>
        <w:tc>
          <w:tcPr>
            <w:tcW w:w="6700" w:type="dxa"/>
            <w:gridSpan w:val="10"/>
            <w:vAlign w:val="center"/>
          </w:tcPr>
          <w:p>
            <w:pPr>
              <w:jc w:val="center"/>
              <w:rPr>
                <w:b/>
                <w:sz w:val="22"/>
              </w:rPr>
            </w:pPr>
            <w:r>
              <w:rPr>
                <w:b/>
                <w:sz w:val="18"/>
              </w:rPr>
              <w:t>自查项目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评价等级与</w:t>
            </w:r>
          </w:p>
          <w:p>
            <w:pPr>
              <w:jc w:val="center"/>
              <w:rPr>
                <w:w w:val="99"/>
                <w:sz w:val="18"/>
              </w:rPr>
            </w:pPr>
            <w:r>
              <w:rPr>
                <w:w w:val="99"/>
                <w:sz w:val="18"/>
              </w:rPr>
              <w:t>范围</w:t>
            </w:r>
          </w:p>
        </w:tc>
        <w:tc>
          <w:tcPr>
            <w:tcW w:w="1780" w:type="dxa"/>
            <w:vAlign w:val="center"/>
          </w:tcPr>
          <w:p>
            <w:pPr>
              <w:jc w:val="center"/>
              <w:rPr>
                <w:w w:val="99"/>
                <w:sz w:val="18"/>
              </w:rPr>
            </w:pPr>
            <w:r>
              <w:rPr>
                <w:w w:val="99"/>
                <w:sz w:val="18"/>
              </w:rPr>
              <w:t>评价等级</w:t>
            </w:r>
          </w:p>
        </w:tc>
        <w:tc>
          <w:tcPr>
            <w:tcW w:w="2607" w:type="dxa"/>
            <w:gridSpan w:val="5"/>
            <w:vAlign w:val="center"/>
          </w:tcPr>
          <w:p>
            <w:pPr>
              <w:jc w:val="center"/>
              <w:rPr>
                <w:w w:val="99"/>
                <w:sz w:val="18"/>
              </w:rPr>
            </w:pPr>
            <w:r>
              <w:rPr>
                <w:w w:val="99"/>
                <w:sz w:val="18"/>
              </w:rPr>
              <w:t>一级□</w:t>
            </w:r>
          </w:p>
        </w:tc>
        <w:tc>
          <w:tcPr>
            <w:tcW w:w="2126" w:type="dxa"/>
            <w:gridSpan w:val="2"/>
            <w:vAlign w:val="center"/>
          </w:tcPr>
          <w:p>
            <w:pPr>
              <w:jc w:val="center"/>
              <w:rPr>
                <w:w w:val="99"/>
                <w:sz w:val="18"/>
              </w:rPr>
            </w:pPr>
            <w:r>
              <w:rPr>
                <w:w w:val="99"/>
                <w:sz w:val="18"/>
              </w:rPr>
              <w:t>二级□</w:t>
            </w:r>
          </w:p>
        </w:tc>
        <w:tc>
          <w:tcPr>
            <w:tcW w:w="1967" w:type="dxa"/>
            <w:gridSpan w:val="3"/>
            <w:vAlign w:val="center"/>
          </w:tcPr>
          <w:p>
            <w:pPr>
              <w:jc w:val="center"/>
              <w:rPr>
                <w:w w:val="99"/>
                <w:sz w:val="18"/>
              </w:rPr>
            </w:pPr>
            <w:r>
              <w:rPr>
                <w:w w:val="99"/>
                <w:sz w:val="18"/>
              </w:rPr>
              <w:t>三级</w:t>
            </w:r>
            <w:r>
              <w:rPr>
                <w:w w:val="99"/>
                <w:sz w:val="18"/>
              </w:rPr>
              <w:sym w:font="Wingdings" w:char="F0FE"/>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评价范围</w:t>
            </w:r>
          </w:p>
        </w:tc>
        <w:tc>
          <w:tcPr>
            <w:tcW w:w="2607" w:type="dxa"/>
            <w:gridSpan w:val="5"/>
            <w:vAlign w:val="center"/>
          </w:tcPr>
          <w:p>
            <w:pPr>
              <w:jc w:val="center"/>
              <w:rPr>
                <w:w w:val="99"/>
                <w:sz w:val="18"/>
              </w:rPr>
            </w:pPr>
            <w:r>
              <w:rPr>
                <w:w w:val="99"/>
                <w:sz w:val="18"/>
              </w:rPr>
              <w:t>边长=50km□</w:t>
            </w:r>
          </w:p>
        </w:tc>
        <w:tc>
          <w:tcPr>
            <w:tcW w:w="2126" w:type="dxa"/>
            <w:gridSpan w:val="2"/>
            <w:vAlign w:val="center"/>
          </w:tcPr>
          <w:p>
            <w:pPr>
              <w:jc w:val="center"/>
              <w:rPr>
                <w:w w:val="99"/>
                <w:sz w:val="18"/>
              </w:rPr>
            </w:pPr>
            <w:r>
              <w:rPr>
                <w:w w:val="99"/>
                <w:sz w:val="18"/>
              </w:rPr>
              <w:t>边长5～50km□</w:t>
            </w:r>
          </w:p>
        </w:tc>
        <w:tc>
          <w:tcPr>
            <w:tcW w:w="1967" w:type="dxa"/>
            <w:gridSpan w:val="3"/>
            <w:vAlign w:val="center"/>
          </w:tcPr>
          <w:p>
            <w:pPr>
              <w:jc w:val="center"/>
              <w:rPr>
                <w:w w:val="99"/>
                <w:sz w:val="18"/>
              </w:rPr>
            </w:pPr>
            <w:r>
              <w:rPr>
                <w:w w:val="99"/>
                <w:sz w:val="18"/>
              </w:rPr>
              <w:t>边长=5km</w:t>
            </w:r>
            <w:r>
              <w:rPr>
                <w:w w:val="99"/>
                <w:sz w:val="18"/>
              </w:rPr>
              <w:sym w:font="Wingdings" w:char="F0FE"/>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评价因子</w:t>
            </w:r>
          </w:p>
        </w:tc>
        <w:tc>
          <w:tcPr>
            <w:tcW w:w="1780" w:type="dxa"/>
            <w:vAlign w:val="center"/>
          </w:tcPr>
          <w:p>
            <w:pPr>
              <w:jc w:val="center"/>
              <w:rPr>
                <w:w w:val="99"/>
                <w:sz w:val="18"/>
              </w:rPr>
            </w:pPr>
            <w:r>
              <w:rPr>
                <w:w w:val="99"/>
                <w:sz w:val="18"/>
              </w:rPr>
              <w:t>SO</w:t>
            </w:r>
            <w:r>
              <w:rPr>
                <w:w w:val="99"/>
                <w:sz w:val="18"/>
                <w:vertAlign w:val="subscript"/>
              </w:rPr>
              <w:t>2</w:t>
            </w:r>
            <w:r>
              <w:rPr>
                <w:w w:val="99"/>
                <w:sz w:val="18"/>
              </w:rPr>
              <w:t>+NO</w:t>
            </w:r>
            <w:r>
              <w:rPr>
                <w:w w:val="99"/>
                <w:sz w:val="18"/>
                <w:vertAlign w:val="subscript"/>
              </w:rPr>
              <w:t>x</w:t>
            </w:r>
            <w:r>
              <w:rPr>
                <w:w w:val="99"/>
                <w:sz w:val="18"/>
              </w:rPr>
              <w:t>排放量</w:t>
            </w:r>
          </w:p>
        </w:tc>
        <w:tc>
          <w:tcPr>
            <w:tcW w:w="2607" w:type="dxa"/>
            <w:gridSpan w:val="5"/>
            <w:vAlign w:val="center"/>
          </w:tcPr>
          <w:p>
            <w:pPr>
              <w:jc w:val="center"/>
              <w:rPr>
                <w:w w:val="99"/>
                <w:sz w:val="18"/>
              </w:rPr>
            </w:pPr>
            <w:r>
              <w:rPr>
                <w:w w:val="99"/>
                <w:sz w:val="18"/>
              </w:rPr>
              <w:t>2000t/a□</w:t>
            </w:r>
          </w:p>
        </w:tc>
        <w:tc>
          <w:tcPr>
            <w:tcW w:w="2126" w:type="dxa"/>
            <w:gridSpan w:val="2"/>
            <w:vAlign w:val="center"/>
          </w:tcPr>
          <w:p>
            <w:pPr>
              <w:jc w:val="center"/>
              <w:rPr>
                <w:w w:val="99"/>
                <w:sz w:val="18"/>
              </w:rPr>
            </w:pPr>
            <w:r>
              <w:rPr>
                <w:w w:val="99"/>
                <w:sz w:val="18"/>
              </w:rPr>
              <w:t>500～2000t/a□</w:t>
            </w:r>
          </w:p>
        </w:tc>
        <w:tc>
          <w:tcPr>
            <w:tcW w:w="1967" w:type="dxa"/>
            <w:gridSpan w:val="3"/>
            <w:vAlign w:val="center"/>
          </w:tcPr>
          <w:p>
            <w:pPr>
              <w:jc w:val="center"/>
              <w:rPr>
                <w:w w:val="99"/>
                <w:sz w:val="18"/>
              </w:rPr>
            </w:pPr>
            <w:r>
              <w:rPr>
                <w:w w:val="99"/>
                <w:sz w:val="18"/>
              </w:rPr>
              <w:t>＜500t/a□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评价因子</w:t>
            </w:r>
          </w:p>
        </w:tc>
        <w:tc>
          <w:tcPr>
            <w:tcW w:w="3741" w:type="dxa"/>
            <w:gridSpan w:val="6"/>
            <w:vAlign w:val="center"/>
          </w:tcPr>
          <w:p>
            <w:pPr>
              <w:jc w:val="center"/>
              <w:rPr>
                <w:w w:val="99"/>
                <w:sz w:val="18"/>
              </w:rPr>
            </w:pPr>
            <w:r>
              <w:rPr>
                <w:w w:val="99"/>
                <w:sz w:val="18"/>
              </w:rPr>
              <w:t>基本污染物(  /  )</w:t>
            </w:r>
          </w:p>
          <w:p>
            <w:pPr>
              <w:ind w:firstLine="532"/>
              <w:jc w:val="center"/>
              <w:rPr>
                <w:w w:val="99"/>
                <w:sz w:val="18"/>
              </w:rPr>
            </w:pPr>
            <w:r>
              <w:rPr>
                <w:w w:val="99"/>
                <w:sz w:val="18"/>
              </w:rPr>
              <w:t>其他污染物（非甲烷总烃）</w:t>
            </w:r>
          </w:p>
        </w:tc>
        <w:tc>
          <w:tcPr>
            <w:tcW w:w="2959" w:type="dxa"/>
            <w:gridSpan w:val="4"/>
            <w:vAlign w:val="center"/>
          </w:tcPr>
          <w:p>
            <w:pPr>
              <w:jc w:val="center"/>
              <w:rPr>
                <w:w w:val="99"/>
                <w:sz w:val="18"/>
              </w:rPr>
            </w:pPr>
            <w:r>
              <w:rPr>
                <w:w w:val="99"/>
                <w:sz w:val="18"/>
              </w:rPr>
              <w:t>包括二次PM</w:t>
            </w:r>
            <w:r>
              <w:rPr>
                <w:w w:val="99"/>
                <w:sz w:val="18"/>
                <w:vertAlign w:val="subscript"/>
              </w:rPr>
              <w:t>2.5</w:t>
            </w:r>
            <w:r>
              <w:rPr>
                <w:w w:val="99"/>
                <w:sz w:val="18"/>
              </w:rPr>
              <w:t>□</w:t>
            </w:r>
          </w:p>
          <w:p>
            <w:pPr>
              <w:jc w:val="center"/>
              <w:rPr>
                <w:w w:val="99"/>
                <w:sz w:val="18"/>
              </w:rPr>
            </w:pPr>
            <w:r>
              <w:rPr>
                <w:w w:val="99"/>
                <w:sz w:val="18"/>
              </w:rPr>
              <w:t>不包括二次PM</w:t>
            </w:r>
            <w:r>
              <w:rPr>
                <w:w w:val="99"/>
                <w:sz w:val="18"/>
                <w:vertAlign w:val="subscript"/>
              </w:rPr>
              <w:t>2.5</w:t>
            </w:r>
            <w:r>
              <w:rPr>
                <w:w w:val="99"/>
                <w:sz w:val="18"/>
              </w:rPr>
              <w:sym w:font="Wingdings" w:char="F0FE"/>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Align w:val="center"/>
          </w:tcPr>
          <w:p>
            <w:pPr>
              <w:jc w:val="center"/>
              <w:rPr>
                <w:w w:val="99"/>
                <w:sz w:val="18"/>
              </w:rPr>
            </w:pPr>
            <w:r>
              <w:rPr>
                <w:w w:val="99"/>
                <w:sz w:val="18"/>
              </w:rPr>
              <w:t>评价标准</w:t>
            </w:r>
          </w:p>
        </w:tc>
        <w:tc>
          <w:tcPr>
            <w:tcW w:w="1780" w:type="dxa"/>
            <w:vAlign w:val="center"/>
          </w:tcPr>
          <w:p>
            <w:pPr>
              <w:jc w:val="center"/>
              <w:rPr>
                <w:w w:val="99"/>
                <w:sz w:val="18"/>
              </w:rPr>
            </w:pPr>
            <w:r>
              <w:rPr>
                <w:w w:val="99"/>
                <w:sz w:val="18"/>
              </w:rPr>
              <w:t>评价标准</w:t>
            </w:r>
          </w:p>
        </w:tc>
        <w:tc>
          <w:tcPr>
            <w:tcW w:w="2060" w:type="dxa"/>
            <w:gridSpan w:val="4"/>
            <w:vAlign w:val="center"/>
          </w:tcPr>
          <w:p>
            <w:pPr>
              <w:jc w:val="center"/>
              <w:rPr>
                <w:w w:val="99"/>
                <w:sz w:val="18"/>
              </w:rPr>
            </w:pPr>
            <w:r>
              <w:rPr>
                <w:w w:val="99"/>
                <w:sz w:val="18"/>
              </w:rPr>
              <w:t>国家标准</w:t>
            </w:r>
            <w:r>
              <w:rPr>
                <w:w w:val="99"/>
                <w:sz w:val="18"/>
              </w:rPr>
              <w:sym w:font="Wingdings" w:char="F0FE"/>
            </w:r>
          </w:p>
        </w:tc>
        <w:tc>
          <w:tcPr>
            <w:tcW w:w="1681" w:type="dxa"/>
            <w:gridSpan w:val="2"/>
            <w:vAlign w:val="center"/>
          </w:tcPr>
          <w:p>
            <w:pPr>
              <w:jc w:val="center"/>
              <w:rPr>
                <w:w w:val="99"/>
                <w:sz w:val="18"/>
              </w:rPr>
            </w:pPr>
            <w:r>
              <w:rPr>
                <w:w w:val="99"/>
                <w:sz w:val="18"/>
              </w:rPr>
              <w:t>地方标准</w:t>
            </w:r>
            <w:r>
              <w:rPr>
                <w:w w:val="99"/>
                <w:sz w:val="18"/>
              </w:rPr>
              <w:sym w:font="Wingdings" w:char="F0FE"/>
            </w:r>
          </w:p>
        </w:tc>
        <w:tc>
          <w:tcPr>
            <w:tcW w:w="1559" w:type="dxa"/>
            <w:gridSpan w:val="2"/>
            <w:vAlign w:val="center"/>
          </w:tcPr>
          <w:p>
            <w:pPr>
              <w:jc w:val="center"/>
              <w:rPr>
                <w:w w:val="99"/>
                <w:sz w:val="18"/>
              </w:rPr>
            </w:pPr>
            <w:r>
              <w:rPr>
                <w:w w:val="99"/>
                <w:sz w:val="18"/>
              </w:rPr>
              <w:t>附录D□</w:t>
            </w:r>
          </w:p>
        </w:tc>
        <w:tc>
          <w:tcPr>
            <w:tcW w:w="1400" w:type="dxa"/>
            <w:gridSpan w:val="2"/>
            <w:vAlign w:val="center"/>
          </w:tcPr>
          <w:p>
            <w:pPr>
              <w:jc w:val="center"/>
              <w:rPr>
                <w:w w:val="99"/>
                <w:sz w:val="18"/>
              </w:rPr>
            </w:pPr>
            <w:r>
              <w:rPr>
                <w:w w:val="99"/>
                <w:sz w:val="18"/>
              </w:rPr>
              <w:t>其他标准□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现状评价</w:t>
            </w:r>
          </w:p>
        </w:tc>
        <w:tc>
          <w:tcPr>
            <w:tcW w:w="1780" w:type="dxa"/>
            <w:vAlign w:val="center"/>
          </w:tcPr>
          <w:p>
            <w:pPr>
              <w:jc w:val="center"/>
              <w:rPr>
                <w:w w:val="99"/>
                <w:sz w:val="18"/>
              </w:rPr>
            </w:pPr>
            <w:r>
              <w:rPr>
                <w:w w:val="99"/>
                <w:sz w:val="18"/>
              </w:rPr>
              <w:t>环境功能区</w:t>
            </w:r>
          </w:p>
        </w:tc>
        <w:tc>
          <w:tcPr>
            <w:tcW w:w="2607" w:type="dxa"/>
            <w:gridSpan w:val="5"/>
            <w:vAlign w:val="center"/>
          </w:tcPr>
          <w:p>
            <w:pPr>
              <w:jc w:val="center"/>
              <w:rPr>
                <w:w w:val="99"/>
                <w:sz w:val="18"/>
              </w:rPr>
            </w:pPr>
            <w:r>
              <w:rPr>
                <w:w w:val="99"/>
                <w:sz w:val="18"/>
              </w:rPr>
              <w:t>一类区□</w:t>
            </w:r>
          </w:p>
        </w:tc>
        <w:tc>
          <w:tcPr>
            <w:tcW w:w="2126" w:type="dxa"/>
            <w:gridSpan w:val="2"/>
            <w:vAlign w:val="center"/>
          </w:tcPr>
          <w:p>
            <w:pPr>
              <w:jc w:val="center"/>
              <w:rPr>
                <w:w w:val="99"/>
                <w:sz w:val="18"/>
              </w:rPr>
            </w:pPr>
            <w:r>
              <w:rPr>
                <w:w w:val="99"/>
                <w:sz w:val="18"/>
              </w:rPr>
              <w:t>二类区</w:t>
            </w:r>
            <w:r>
              <w:rPr>
                <w:w w:val="99"/>
                <w:sz w:val="18"/>
              </w:rPr>
              <w:sym w:font="Wingdings" w:char="F0FE"/>
            </w:r>
          </w:p>
        </w:tc>
        <w:tc>
          <w:tcPr>
            <w:tcW w:w="1967" w:type="dxa"/>
            <w:gridSpan w:val="3"/>
            <w:vAlign w:val="center"/>
          </w:tcPr>
          <w:p>
            <w:pPr>
              <w:jc w:val="center"/>
              <w:rPr>
                <w:w w:val="99"/>
                <w:sz w:val="18"/>
              </w:rPr>
            </w:pPr>
            <w:r>
              <w:rPr>
                <w:w w:val="99"/>
                <w:sz w:val="18"/>
              </w:rPr>
              <w:t>一类区和二类区□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评价基准年</w:t>
            </w:r>
          </w:p>
        </w:tc>
        <w:tc>
          <w:tcPr>
            <w:tcW w:w="6700" w:type="dxa"/>
            <w:gridSpan w:val="10"/>
            <w:vAlign w:val="center"/>
          </w:tcPr>
          <w:p>
            <w:pPr>
              <w:jc w:val="center"/>
              <w:rPr>
                <w:w w:val="99"/>
                <w:sz w:val="18"/>
              </w:rPr>
            </w:pPr>
            <w:r>
              <w:rPr>
                <w:w w:val="99"/>
                <w:sz w:val="18"/>
              </w:rPr>
              <w:t>（2019）年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环境空气质量</w:t>
            </w:r>
          </w:p>
        </w:tc>
        <w:tc>
          <w:tcPr>
            <w:tcW w:w="2607" w:type="dxa"/>
            <w:gridSpan w:val="5"/>
            <w:vMerge w:val="restart"/>
            <w:vAlign w:val="center"/>
          </w:tcPr>
          <w:p>
            <w:pPr>
              <w:jc w:val="center"/>
              <w:rPr>
                <w:w w:val="99"/>
                <w:sz w:val="18"/>
              </w:rPr>
            </w:pPr>
            <w:r>
              <w:rPr>
                <w:w w:val="99"/>
                <w:sz w:val="18"/>
              </w:rPr>
              <w:t>长期例行监测数据□</w:t>
            </w:r>
          </w:p>
        </w:tc>
        <w:tc>
          <w:tcPr>
            <w:tcW w:w="2126" w:type="dxa"/>
            <w:gridSpan w:val="2"/>
            <w:vMerge w:val="restart"/>
            <w:vAlign w:val="center"/>
          </w:tcPr>
          <w:p>
            <w:pPr>
              <w:jc w:val="center"/>
              <w:rPr>
                <w:w w:val="99"/>
                <w:sz w:val="18"/>
              </w:rPr>
            </w:pPr>
            <w:r>
              <w:rPr>
                <w:w w:val="99"/>
                <w:sz w:val="18"/>
              </w:rPr>
              <w:t>主管部门发布的数据</w:t>
            </w:r>
            <w:r>
              <w:rPr>
                <w:w w:val="99"/>
                <w:sz w:val="18"/>
              </w:rPr>
              <w:sym w:font="Wingdings" w:char="F0FE"/>
            </w:r>
          </w:p>
        </w:tc>
        <w:tc>
          <w:tcPr>
            <w:tcW w:w="1967" w:type="dxa"/>
            <w:gridSpan w:val="3"/>
            <w:vMerge w:val="restart"/>
            <w:vAlign w:val="center"/>
          </w:tcPr>
          <w:p>
            <w:pPr>
              <w:jc w:val="center"/>
              <w:rPr>
                <w:w w:val="99"/>
                <w:sz w:val="18"/>
              </w:rPr>
            </w:pPr>
            <w:r>
              <w:rPr>
                <w:w w:val="99"/>
                <w:sz w:val="18"/>
              </w:rPr>
              <w:t>现状补充监测□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现状调查数据来源</w:t>
            </w:r>
          </w:p>
        </w:tc>
        <w:tc>
          <w:tcPr>
            <w:tcW w:w="2607" w:type="dxa"/>
            <w:gridSpan w:val="5"/>
            <w:vMerge w:val="continue"/>
            <w:vAlign w:val="center"/>
          </w:tcPr>
          <w:p>
            <w:pPr>
              <w:jc w:val="center"/>
              <w:rPr>
                <w:w w:val="99"/>
                <w:sz w:val="18"/>
              </w:rPr>
            </w:pPr>
          </w:p>
        </w:tc>
        <w:tc>
          <w:tcPr>
            <w:tcW w:w="2126" w:type="dxa"/>
            <w:gridSpan w:val="2"/>
            <w:vMerge w:val="continue"/>
            <w:vAlign w:val="center"/>
          </w:tcPr>
          <w:p>
            <w:pPr>
              <w:jc w:val="center"/>
              <w:rPr>
                <w:w w:val="99"/>
                <w:sz w:val="18"/>
              </w:rPr>
            </w:pPr>
          </w:p>
        </w:tc>
        <w:tc>
          <w:tcPr>
            <w:tcW w:w="1967" w:type="dxa"/>
            <w:gridSpan w:val="3"/>
            <w:vMerge w:val="continue"/>
            <w:vAlign w:val="center"/>
          </w:tcPr>
          <w:p>
            <w:pPr>
              <w:jc w:val="center"/>
              <w:rPr>
                <w:w w:val="99"/>
                <w:sz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现状评价</w:t>
            </w:r>
          </w:p>
        </w:tc>
        <w:tc>
          <w:tcPr>
            <w:tcW w:w="3741" w:type="dxa"/>
            <w:gridSpan w:val="6"/>
            <w:vAlign w:val="center"/>
          </w:tcPr>
          <w:p>
            <w:pPr>
              <w:jc w:val="center"/>
              <w:rPr>
                <w:w w:val="99"/>
                <w:sz w:val="18"/>
              </w:rPr>
            </w:pPr>
            <w:r>
              <w:rPr>
                <w:w w:val="99"/>
                <w:sz w:val="18"/>
              </w:rPr>
              <w:t>达标区□</w:t>
            </w:r>
          </w:p>
        </w:tc>
        <w:tc>
          <w:tcPr>
            <w:tcW w:w="2959" w:type="dxa"/>
            <w:gridSpan w:val="4"/>
            <w:vAlign w:val="center"/>
          </w:tcPr>
          <w:p>
            <w:pPr>
              <w:jc w:val="center"/>
              <w:rPr>
                <w:w w:val="99"/>
                <w:sz w:val="18"/>
              </w:rPr>
            </w:pPr>
            <w:r>
              <w:rPr>
                <w:w w:val="99"/>
                <w:sz w:val="18"/>
              </w:rPr>
              <w:t>不达标区</w:t>
            </w:r>
            <w:r>
              <w:rPr>
                <w:w w:val="99"/>
                <w:sz w:val="18"/>
              </w:rPr>
              <w:sym w:font="Wingdings" w:char="F0FE"/>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Align w:val="center"/>
          </w:tcPr>
          <w:p>
            <w:pPr>
              <w:jc w:val="center"/>
              <w:rPr>
                <w:w w:val="99"/>
                <w:sz w:val="18"/>
              </w:rPr>
            </w:pPr>
            <w:r>
              <w:rPr>
                <w:w w:val="99"/>
                <w:sz w:val="18"/>
              </w:rPr>
              <w:t>污染源调查</w:t>
            </w:r>
          </w:p>
        </w:tc>
        <w:tc>
          <w:tcPr>
            <w:tcW w:w="1780" w:type="dxa"/>
            <w:vAlign w:val="center"/>
          </w:tcPr>
          <w:p>
            <w:pPr>
              <w:jc w:val="center"/>
              <w:rPr>
                <w:w w:val="99"/>
                <w:sz w:val="18"/>
              </w:rPr>
            </w:pPr>
            <w:r>
              <w:rPr>
                <w:w w:val="99"/>
                <w:sz w:val="18"/>
              </w:rPr>
              <w:t>调查内容</w:t>
            </w:r>
          </w:p>
        </w:tc>
        <w:tc>
          <w:tcPr>
            <w:tcW w:w="2060" w:type="dxa"/>
            <w:gridSpan w:val="4"/>
            <w:vAlign w:val="center"/>
          </w:tcPr>
          <w:p>
            <w:pPr>
              <w:jc w:val="center"/>
              <w:rPr>
                <w:w w:val="99"/>
                <w:sz w:val="18"/>
              </w:rPr>
            </w:pPr>
            <w:r>
              <w:rPr>
                <w:w w:val="99"/>
                <w:sz w:val="18"/>
              </w:rPr>
              <w:t xml:space="preserve">本项目正常排放源 </w:t>
            </w:r>
            <w:r>
              <w:rPr>
                <w:w w:val="99"/>
                <w:sz w:val="18"/>
              </w:rPr>
              <w:sym w:font="Wingdings" w:char="F0FE"/>
            </w:r>
          </w:p>
          <w:p>
            <w:pPr>
              <w:jc w:val="center"/>
              <w:rPr>
                <w:w w:val="99"/>
                <w:sz w:val="18"/>
              </w:rPr>
            </w:pPr>
            <w:r>
              <w:rPr>
                <w:w w:val="99"/>
                <w:sz w:val="18"/>
              </w:rPr>
              <w:t>本项目非正常排放源□</w:t>
            </w:r>
          </w:p>
          <w:p>
            <w:pPr>
              <w:jc w:val="center"/>
              <w:rPr>
                <w:w w:val="99"/>
                <w:sz w:val="18"/>
              </w:rPr>
            </w:pPr>
            <w:r>
              <w:rPr>
                <w:w w:val="99"/>
                <w:sz w:val="18"/>
              </w:rPr>
              <w:t>现有污染源□</w:t>
            </w:r>
          </w:p>
        </w:tc>
        <w:tc>
          <w:tcPr>
            <w:tcW w:w="1681" w:type="dxa"/>
            <w:gridSpan w:val="2"/>
            <w:vAlign w:val="center"/>
          </w:tcPr>
          <w:p>
            <w:pPr>
              <w:jc w:val="center"/>
              <w:rPr>
                <w:w w:val="99"/>
                <w:sz w:val="18"/>
              </w:rPr>
            </w:pPr>
            <w:r>
              <w:rPr>
                <w:w w:val="99"/>
                <w:sz w:val="18"/>
              </w:rPr>
              <w:t>拟替代的污染源</w:t>
            </w:r>
            <w:r>
              <w:rPr>
                <w:w w:val="99"/>
                <w:sz w:val="18"/>
              </w:rPr>
              <w:sym w:font="Wingdings" w:char="F0FE"/>
            </w:r>
          </w:p>
        </w:tc>
        <w:tc>
          <w:tcPr>
            <w:tcW w:w="1559" w:type="dxa"/>
            <w:gridSpan w:val="2"/>
            <w:vAlign w:val="center"/>
          </w:tcPr>
          <w:p>
            <w:pPr>
              <w:jc w:val="center"/>
              <w:rPr>
                <w:w w:val="99"/>
                <w:sz w:val="18"/>
              </w:rPr>
            </w:pPr>
            <w:r>
              <w:rPr>
                <w:w w:val="99"/>
                <w:sz w:val="18"/>
              </w:rPr>
              <w:t>其他在建、拟建项目污染源□</w:t>
            </w:r>
          </w:p>
        </w:tc>
        <w:tc>
          <w:tcPr>
            <w:tcW w:w="1400" w:type="dxa"/>
            <w:gridSpan w:val="2"/>
            <w:vAlign w:val="center"/>
          </w:tcPr>
          <w:p>
            <w:pPr>
              <w:jc w:val="center"/>
              <w:rPr>
                <w:w w:val="99"/>
                <w:sz w:val="18"/>
              </w:rPr>
            </w:pPr>
            <w:r>
              <w:rPr>
                <w:w w:val="99"/>
                <w:sz w:val="18"/>
              </w:rPr>
              <w:t>区域污染源□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大气环境影</w:t>
            </w:r>
          </w:p>
          <w:p>
            <w:pPr>
              <w:jc w:val="center"/>
              <w:rPr>
                <w:w w:val="99"/>
                <w:sz w:val="18"/>
              </w:rPr>
            </w:pPr>
            <w:r>
              <w:rPr>
                <w:w w:val="99"/>
                <w:sz w:val="18"/>
              </w:rPr>
              <w:t>响预测与评价</w:t>
            </w:r>
          </w:p>
        </w:tc>
        <w:tc>
          <w:tcPr>
            <w:tcW w:w="1780" w:type="dxa"/>
            <w:vAlign w:val="center"/>
          </w:tcPr>
          <w:p>
            <w:pPr>
              <w:jc w:val="center"/>
              <w:rPr>
                <w:w w:val="99"/>
                <w:sz w:val="18"/>
              </w:rPr>
            </w:pPr>
            <w:r>
              <w:rPr>
                <w:w w:val="99"/>
                <w:sz w:val="18"/>
              </w:rPr>
              <w:t>预测模型</w:t>
            </w:r>
          </w:p>
        </w:tc>
        <w:tc>
          <w:tcPr>
            <w:tcW w:w="906" w:type="dxa"/>
            <w:vAlign w:val="center"/>
          </w:tcPr>
          <w:p>
            <w:pPr>
              <w:jc w:val="center"/>
              <w:rPr>
                <w:w w:val="99"/>
                <w:sz w:val="18"/>
              </w:rPr>
            </w:pPr>
            <w:r>
              <w:rPr>
                <w:w w:val="99"/>
                <w:sz w:val="18"/>
              </w:rPr>
              <w:t>AERMOD</w:t>
            </w:r>
          </w:p>
          <w:p>
            <w:pPr>
              <w:jc w:val="center"/>
              <w:rPr>
                <w:w w:val="99"/>
                <w:sz w:val="18"/>
              </w:rPr>
            </w:pPr>
            <w:r>
              <w:rPr>
                <w:w w:val="99"/>
                <w:sz w:val="18"/>
              </w:rPr>
              <w:t>□</w:t>
            </w:r>
          </w:p>
        </w:tc>
        <w:tc>
          <w:tcPr>
            <w:tcW w:w="567" w:type="dxa"/>
            <w:vAlign w:val="center"/>
          </w:tcPr>
          <w:p>
            <w:pPr>
              <w:jc w:val="center"/>
              <w:rPr>
                <w:w w:val="99"/>
                <w:sz w:val="18"/>
              </w:rPr>
            </w:pPr>
            <w:r>
              <w:rPr>
                <w:w w:val="99"/>
                <w:sz w:val="18"/>
              </w:rPr>
              <w:t>ADMS</w:t>
            </w:r>
          </w:p>
          <w:p>
            <w:pPr>
              <w:jc w:val="center"/>
              <w:rPr>
                <w:w w:val="99"/>
                <w:sz w:val="18"/>
              </w:rPr>
            </w:pPr>
            <w:r>
              <w:rPr>
                <w:w w:val="99"/>
                <w:sz w:val="18"/>
              </w:rPr>
              <w:t>□</w:t>
            </w:r>
          </w:p>
        </w:tc>
        <w:tc>
          <w:tcPr>
            <w:tcW w:w="1134" w:type="dxa"/>
            <w:gridSpan w:val="3"/>
            <w:vAlign w:val="center"/>
          </w:tcPr>
          <w:p>
            <w:pPr>
              <w:jc w:val="center"/>
              <w:rPr>
                <w:w w:val="99"/>
                <w:sz w:val="18"/>
              </w:rPr>
            </w:pPr>
            <w:r>
              <w:rPr>
                <w:w w:val="99"/>
                <w:sz w:val="18"/>
              </w:rPr>
              <w:t>AUSTAL2000</w:t>
            </w:r>
          </w:p>
          <w:p>
            <w:pPr>
              <w:jc w:val="center"/>
              <w:rPr>
                <w:w w:val="99"/>
                <w:sz w:val="18"/>
              </w:rPr>
            </w:pPr>
            <w:r>
              <w:rPr>
                <w:w w:val="99"/>
                <w:sz w:val="18"/>
              </w:rPr>
              <w:t>□</w:t>
            </w:r>
          </w:p>
        </w:tc>
        <w:tc>
          <w:tcPr>
            <w:tcW w:w="1134" w:type="dxa"/>
            <w:vAlign w:val="center"/>
          </w:tcPr>
          <w:p>
            <w:pPr>
              <w:jc w:val="center"/>
              <w:rPr>
                <w:w w:val="99"/>
                <w:sz w:val="18"/>
              </w:rPr>
            </w:pPr>
            <w:r>
              <w:rPr>
                <w:w w:val="99"/>
                <w:sz w:val="18"/>
              </w:rPr>
              <w:t>EDMS/AEDT</w:t>
            </w:r>
          </w:p>
          <w:p>
            <w:pPr>
              <w:jc w:val="center"/>
              <w:rPr>
                <w:w w:val="99"/>
                <w:sz w:val="18"/>
              </w:rPr>
            </w:pPr>
            <w:r>
              <w:rPr>
                <w:w w:val="99"/>
                <w:sz w:val="18"/>
              </w:rPr>
              <w:t>□</w:t>
            </w:r>
          </w:p>
        </w:tc>
        <w:tc>
          <w:tcPr>
            <w:tcW w:w="992" w:type="dxa"/>
            <w:vAlign w:val="center"/>
          </w:tcPr>
          <w:p>
            <w:pPr>
              <w:jc w:val="center"/>
              <w:rPr>
                <w:w w:val="99"/>
                <w:sz w:val="18"/>
              </w:rPr>
            </w:pPr>
            <w:r>
              <w:rPr>
                <w:w w:val="99"/>
                <w:sz w:val="18"/>
              </w:rPr>
              <w:t>CALPUFF</w:t>
            </w:r>
          </w:p>
          <w:p>
            <w:pPr>
              <w:jc w:val="center"/>
              <w:rPr>
                <w:w w:val="99"/>
                <w:sz w:val="18"/>
              </w:rPr>
            </w:pPr>
            <w:r>
              <w:rPr>
                <w:w w:val="99"/>
                <w:sz w:val="18"/>
              </w:rPr>
              <w:t>□</w:t>
            </w:r>
          </w:p>
        </w:tc>
        <w:tc>
          <w:tcPr>
            <w:tcW w:w="1207" w:type="dxa"/>
            <w:gridSpan w:val="2"/>
            <w:vAlign w:val="center"/>
          </w:tcPr>
          <w:p>
            <w:pPr>
              <w:jc w:val="center"/>
              <w:rPr>
                <w:w w:val="99"/>
                <w:sz w:val="18"/>
              </w:rPr>
            </w:pPr>
            <w:r>
              <w:rPr>
                <w:w w:val="99"/>
                <w:sz w:val="18"/>
              </w:rPr>
              <w:t>网格模型</w:t>
            </w:r>
          </w:p>
          <w:p>
            <w:pPr>
              <w:jc w:val="center"/>
              <w:rPr>
                <w:w w:val="99"/>
                <w:sz w:val="18"/>
              </w:rPr>
            </w:pPr>
            <w:r>
              <w:rPr>
                <w:w w:val="99"/>
                <w:sz w:val="18"/>
              </w:rPr>
              <w:t>□</w:t>
            </w:r>
          </w:p>
        </w:tc>
        <w:tc>
          <w:tcPr>
            <w:tcW w:w="760" w:type="dxa"/>
            <w:vAlign w:val="center"/>
          </w:tcPr>
          <w:p>
            <w:pPr>
              <w:jc w:val="center"/>
              <w:rPr>
                <w:w w:val="99"/>
                <w:sz w:val="18"/>
              </w:rPr>
            </w:pPr>
            <w:r>
              <w:rPr>
                <w:w w:val="99"/>
                <w:sz w:val="18"/>
              </w:rPr>
              <w:t>其他</w:t>
            </w:r>
          </w:p>
          <w:p>
            <w:pPr>
              <w:jc w:val="center"/>
              <w:rPr>
                <w:w w:val="99"/>
                <w:sz w:val="18"/>
              </w:rPr>
            </w:pPr>
            <w:r>
              <w:rPr>
                <w:w w:val="99"/>
                <w:sz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预测范围</w:t>
            </w:r>
          </w:p>
        </w:tc>
        <w:tc>
          <w:tcPr>
            <w:tcW w:w="1473" w:type="dxa"/>
            <w:gridSpan w:val="2"/>
            <w:vAlign w:val="center"/>
          </w:tcPr>
          <w:p>
            <w:pPr>
              <w:jc w:val="center"/>
              <w:rPr>
                <w:w w:val="99"/>
                <w:sz w:val="18"/>
              </w:rPr>
            </w:pPr>
            <w:r>
              <w:rPr>
                <w:w w:val="99"/>
                <w:sz w:val="18"/>
              </w:rPr>
              <w:t>边长≥50km□</w:t>
            </w:r>
          </w:p>
        </w:tc>
        <w:tc>
          <w:tcPr>
            <w:tcW w:w="3260" w:type="dxa"/>
            <w:gridSpan w:val="5"/>
            <w:vAlign w:val="center"/>
          </w:tcPr>
          <w:p>
            <w:pPr>
              <w:jc w:val="center"/>
              <w:rPr>
                <w:w w:val="99"/>
                <w:sz w:val="18"/>
              </w:rPr>
            </w:pPr>
            <w:r>
              <w:rPr>
                <w:w w:val="99"/>
                <w:sz w:val="18"/>
              </w:rPr>
              <w:t>边长5～50km□</w:t>
            </w:r>
          </w:p>
        </w:tc>
        <w:tc>
          <w:tcPr>
            <w:tcW w:w="1967" w:type="dxa"/>
            <w:gridSpan w:val="3"/>
            <w:vAlign w:val="center"/>
          </w:tcPr>
          <w:p>
            <w:pPr>
              <w:jc w:val="center"/>
              <w:rPr>
                <w:w w:val="99"/>
                <w:sz w:val="18"/>
              </w:rPr>
            </w:pPr>
            <w:r>
              <w:rPr>
                <w:w w:val="99"/>
                <w:sz w:val="18"/>
              </w:rPr>
              <w:t>边长5km□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预测因子</w:t>
            </w:r>
          </w:p>
        </w:tc>
        <w:tc>
          <w:tcPr>
            <w:tcW w:w="3741" w:type="dxa"/>
            <w:gridSpan w:val="6"/>
            <w:vAlign w:val="center"/>
          </w:tcPr>
          <w:p>
            <w:pPr>
              <w:ind w:firstLine="532"/>
              <w:jc w:val="center"/>
              <w:rPr>
                <w:w w:val="99"/>
                <w:sz w:val="18"/>
              </w:rPr>
            </w:pPr>
            <w:r>
              <w:rPr>
                <w:w w:val="99"/>
                <w:sz w:val="18"/>
              </w:rPr>
              <w:t>预测因子（       ）</w:t>
            </w:r>
          </w:p>
        </w:tc>
        <w:tc>
          <w:tcPr>
            <w:tcW w:w="2959" w:type="dxa"/>
            <w:gridSpan w:val="4"/>
            <w:vAlign w:val="center"/>
          </w:tcPr>
          <w:p>
            <w:pPr>
              <w:jc w:val="center"/>
              <w:rPr>
                <w:w w:val="99"/>
                <w:sz w:val="18"/>
              </w:rPr>
            </w:pPr>
            <w:r>
              <w:rPr>
                <w:w w:val="99"/>
                <w:sz w:val="18"/>
              </w:rPr>
              <w:t>包括二次 PM</w:t>
            </w:r>
            <w:r>
              <w:rPr>
                <w:w w:val="99"/>
                <w:sz w:val="18"/>
                <w:vertAlign w:val="subscript"/>
              </w:rPr>
              <w:t>2.5</w:t>
            </w:r>
            <w:r>
              <w:rPr>
                <w:w w:val="99"/>
                <w:sz w:val="18"/>
              </w:rPr>
              <w:t>□；不包括二次 PM</w:t>
            </w:r>
            <w:r>
              <w:rPr>
                <w:w w:val="99"/>
                <w:sz w:val="18"/>
                <w:vertAlign w:val="subscript"/>
              </w:rPr>
              <w:t>2.5</w:t>
            </w:r>
            <w:r>
              <w:rPr>
                <w:w w:val="99"/>
                <w:sz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正常排放短期浓度</w:t>
            </w:r>
          </w:p>
          <w:p>
            <w:pPr>
              <w:jc w:val="center"/>
              <w:rPr>
                <w:w w:val="99"/>
                <w:sz w:val="18"/>
              </w:rPr>
            </w:pPr>
            <w:r>
              <w:rPr>
                <w:w w:val="99"/>
                <w:sz w:val="18"/>
              </w:rPr>
              <w:t>贡献值</w:t>
            </w:r>
          </w:p>
        </w:tc>
        <w:tc>
          <w:tcPr>
            <w:tcW w:w="3741" w:type="dxa"/>
            <w:gridSpan w:val="6"/>
            <w:vAlign w:val="center"/>
          </w:tcPr>
          <w:p>
            <w:pPr>
              <w:jc w:val="center"/>
              <w:rPr>
                <w:w w:val="99"/>
                <w:sz w:val="18"/>
              </w:rPr>
            </w:pPr>
            <w:r>
              <w:rPr>
                <w:w w:val="99"/>
                <w:sz w:val="18"/>
              </w:rPr>
              <w:t>本项目最大占标率≤100%□</w:t>
            </w:r>
          </w:p>
        </w:tc>
        <w:tc>
          <w:tcPr>
            <w:tcW w:w="2959" w:type="dxa"/>
            <w:gridSpan w:val="4"/>
            <w:vAlign w:val="center"/>
          </w:tcPr>
          <w:p>
            <w:pPr>
              <w:jc w:val="center"/>
              <w:rPr>
                <w:w w:val="99"/>
                <w:sz w:val="18"/>
              </w:rPr>
            </w:pPr>
            <w:r>
              <w:rPr>
                <w:w w:val="99"/>
                <w:sz w:val="18"/>
              </w:rPr>
              <w:t>本项目最大占标率＞100%□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Merge w:val="restart"/>
            <w:vAlign w:val="center"/>
          </w:tcPr>
          <w:p>
            <w:pPr>
              <w:jc w:val="center"/>
              <w:rPr>
                <w:w w:val="99"/>
                <w:sz w:val="18"/>
              </w:rPr>
            </w:pPr>
            <w:r>
              <w:rPr>
                <w:w w:val="99"/>
                <w:sz w:val="18"/>
              </w:rPr>
              <w:t>正常排放年均浓度</w:t>
            </w:r>
          </w:p>
          <w:p>
            <w:pPr>
              <w:jc w:val="center"/>
              <w:rPr>
                <w:w w:val="99"/>
                <w:sz w:val="18"/>
              </w:rPr>
            </w:pPr>
            <w:r>
              <w:rPr>
                <w:w w:val="99"/>
                <w:sz w:val="18"/>
              </w:rPr>
              <w:t>贡献值</w:t>
            </w:r>
          </w:p>
        </w:tc>
        <w:tc>
          <w:tcPr>
            <w:tcW w:w="906" w:type="dxa"/>
            <w:vAlign w:val="center"/>
          </w:tcPr>
          <w:p>
            <w:pPr>
              <w:jc w:val="center"/>
              <w:rPr>
                <w:w w:val="99"/>
                <w:sz w:val="18"/>
              </w:rPr>
            </w:pPr>
            <w:r>
              <w:rPr>
                <w:w w:val="99"/>
                <w:sz w:val="18"/>
              </w:rPr>
              <w:t>一类区</w:t>
            </w:r>
          </w:p>
        </w:tc>
        <w:tc>
          <w:tcPr>
            <w:tcW w:w="2835" w:type="dxa"/>
            <w:gridSpan w:val="5"/>
            <w:vAlign w:val="center"/>
          </w:tcPr>
          <w:p>
            <w:pPr>
              <w:jc w:val="center"/>
              <w:rPr>
                <w:w w:val="99"/>
                <w:sz w:val="18"/>
              </w:rPr>
            </w:pPr>
            <w:r>
              <w:rPr>
                <w:w w:val="99"/>
                <w:sz w:val="18"/>
              </w:rPr>
              <w:t>本项目最大占标率≤10%□</w:t>
            </w:r>
          </w:p>
        </w:tc>
        <w:tc>
          <w:tcPr>
            <w:tcW w:w="2959" w:type="dxa"/>
            <w:gridSpan w:val="4"/>
            <w:vAlign w:val="center"/>
          </w:tcPr>
          <w:p>
            <w:pPr>
              <w:jc w:val="center"/>
              <w:rPr>
                <w:w w:val="99"/>
                <w:sz w:val="18"/>
              </w:rPr>
            </w:pPr>
            <w:r>
              <w:rPr>
                <w:w w:val="99"/>
                <w:sz w:val="18"/>
              </w:rPr>
              <w:t>本项目最大标率＞10%□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Merge w:val="continue"/>
            <w:vAlign w:val="center"/>
          </w:tcPr>
          <w:p>
            <w:pPr>
              <w:jc w:val="center"/>
              <w:rPr>
                <w:w w:val="99"/>
                <w:sz w:val="18"/>
              </w:rPr>
            </w:pPr>
          </w:p>
        </w:tc>
        <w:tc>
          <w:tcPr>
            <w:tcW w:w="906" w:type="dxa"/>
            <w:vAlign w:val="center"/>
          </w:tcPr>
          <w:p>
            <w:pPr>
              <w:jc w:val="center"/>
              <w:rPr>
                <w:w w:val="99"/>
                <w:sz w:val="18"/>
              </w:rPr>
            </w:pPr>
            <w:r>
              <w:rPr>
                <w:w w:val="99"/>
                <w:sz w:val="18"/>
              </w:rPr>
              <w:t>二类区</w:t>
            </w:r>
          </w:p>
        </w:tc>
        <w:tc>
          <w:tcPr>
            <w:tcW w:w="2835" w:type="dxa"/>
            <w:gridSpan w:val="5"/>
            <w:vAlign w:val="center"/>
          </w:tcPr>
          <w:p>
            <w:pPr>
              <w:jc w:val="center"/>
              <w:rPr>
                <w:w w:val="99"/>
                <w:sz w:val="18"/>
              </w:rPr>
            </w:pPr>
            <w:r>
              <w:rPr>
                <w:w w:val="99"/>
                <w:sz w:val="18"/>
              </w:rPr>
              <w:t>本项目最大占标率≤30%□</w:t>
            </w:r>
          </w:p>
        </w:tc>
        <w:tc>
          <w:tcPr>
            <w:tcW w:w="2959" w:type="dxa"/>
            <w:gridSpan w:val="4"/>
            <w:vAlign w:val="center"/>
          </w:tcPr>
          <w:p>
            <w:pPr>
              <w:jc w:val="center"/>
              <w:rPr>
                <w:w w:val="99"/>
                <w:sz w:val="18"/>
              </w:rPr>
            </w:pPr>
            <w:r>
              <w:rPr>
                <w:w w:val="99"/>
                <w:sz w:val="18"/>
              </w:rPr>
              <w:t>本项目最大标率＞30%□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非正常排放1h浓度</w:t>
            </w:r>
          </w:p>
          <w:p>
            <w:pPr>
              <w:jc w:val="center"/>
              <w:rPr>
                <w:w w:val="99"/>
                <w:sz w:val="18"/>
              </w:rPr>
            </w:pPr>
            <w:r>
              <w:rPr>
                <w:w w:val="99"/>
                <w:sz w:val="18"/>
              </w:rPr>
              <w:t>贡献值</w:t>
            </w:r>
          </w:p>
        </w:tc>
        <w:tc>
          <w:tcPr>
            <w:tcW w:w="1756" w:type="dxa"/>
            <w:gridSpan w:val="3"/>
            <w:vAlign w:val="center"/>
          </w:tcPr>
          <w:p>
            <w:pPr>
              <w:jc w:val="center"/>
              <w:rPr>
                <w:w w:val="99"/>
                <w:sz w:val="18"/>
              </w:rPr>
            </w:pPr>
            <w:r>
              <w:rPr>
                <w:w w:val="99"/>
                <w:sz w:val="18"/>
              </w:rPr>
              <w:t>非正常持续时长（）h</w:t>
            </w:r>
          </w:p>
        </w:tc>
        <w:tc>
          <w:tcPr>
            <w:tcW w:w="1985" w:type="dxa"/>
            <w:gridSpan w:val="3"/>
            <w:vAlign w:val="center"/>
          </w:tcPr>
          <w:p>
            <w:pPr>
              <w:jc w:val="center"/>
              <w:rPr>
                <w:w w:val="99"/>
                <w:sz w:val="18"/>
              </w:rPr>
            </w:pPr>
            <w:r>
              <w:rPr>
                <w:w w:val="99"/>
                <w:sz w:val="18"/>
              </w:rPr>
              <w:t>非正常占标率≤100%□</w:t>
            </w:r>
          </w:p>
        </w:tc>
        <w:tc>
          <w:tcPr>
            <w:tcW w:w="2959" w:type="dxa"/>
            <w:gridSpan w:val="4"/>
            <w:vAlign w:val="center"/>
          </w:tcPr>
          <w:p>
            <w:pPr>
              <w:jc w:val="center"/>
              <w:rPr>
                <w:w w:val="99"/>
                <w:sz w:val="18"/>
              </w:rPr>
            </w:pPr>
            <w:r>
              <w:rPr>
                <w:w w:val="99"/>
                <w:sz w:val="18"/>
              </w:rPr>
              <w:t>非正常占标率＞100%□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保证率日平均浓度和</w:t>
            </w:r>
          </w:p>
          <w:p>
            <w:pPr>
              <w:jc w:val="center"/>
              <w:rPr>
                <w:w w:val="99"/>
                <w:sz w:val="18"/>
              </w:rPr>
            </w:pPr>
            <w:r>
              <w:rPr>
                <w:w w:val="99"/>
                <w:sz w:val="18"/>
              </w:rPr>
              <w:t>年平均浓度叠加值</w:t>
            </w:r>
          </w:p>
        </w:tc>
        <w:tc>
          <w:tcPr>
            <w:tcW w:w="2607" w:type="dxa"/>
            <w:gridSpan w:val="5"/>
            <w:vAlign w:val="center"/>
          </w:tcPr>
          <w:p>
            <w:pPr>
              <w:jc w:val="center"/>
              <w:rPr>
                <w:w w:val="99"/>
                <w:sz w:val="18"/>
              </w:rPr>
            </w:pPr>
            <w:r>
              <w:rPr>
                <w:w w:val="99"/>
                <w:sz w:val="18"/>
              </w:rPr>
              <w:t>叠加达标□</w:t>
            </w:r>
          </w:p>
        </w:tc>
        <w:tc>
          <w:tcPr>
            <w:tcW w:w="4093" w:type="dxa"/>
            <w:gridSpan w:val="5"/>
            <w:vAlign w:val="center"/>
          </w:tcPr>
          <w:p>
            <w:pPr>
              <w:jc w:val="center"/>
              <w:rPr>
                <w:w w:val="99"/>
                <w:sz w:val="18"/>
              </w:rPr>
            </w:pPr>
            <w:r>
              <w:rPr>
                <w:w w:val="99"/>
                <w:sz w:val="18"/>
              </w:rPr>
              <w:t>叠加不达标□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区域环境质量的整体</w:t>
            </w:r>
          </w:p>
          <w:p>
            <w:pPr>
              <w:jc w:val="center"/>
              <w:rPr>
                <w:w w:val="99"/>
                <w:sz w:val="18"/>
              </w:rPr>
            </w:pPr>
            <w:r>
              <w:rPr>
                <w:w w:val="99"/>
                <w:sz w:val="18"/>
              </w:rPr>
              <w:t>变化情况</w:t>
            </w:r>
          </w:p>
        </w:tc>
        <w:tc>
          <w:tcPr>
            <w:tcW w:w="2607" w:type="dxa"/>
            <w:gridSpan w:val="5"/>
            <w:vAlign w:val="center"/>
          </w:tcPr>
          <w:p>
            <w:pPr>
              <w:jc w:val="center"/>
              <w:rPr>
                <w:w w:val="99"/>
                <w:sz w:val="18"/>
              </w:rPr>
            </w:pPr>
            <w:r>
              <w:rPr>
                <w:w w:val="99"/>
                <w:sz w:val="18"/>
              </w:rPr>
              <w:t>k ≤-20%□</w:t>
            </w:r>
          </w:p>
        </w:tc>
        <w:tc>
          <w:tcPr>
            <w:tcW w:w="4093" w:type="dxa"/>
            <w:gridSpan w:val="5"/>
            <w:vAlign w:val="center"/>
          </w:tcPr>
          <w:p>
            <w:pPr>
              <w:jc w:val="center"/>
              <w:rPr>
                <w:w w:val="99"/>
                <w:sz w:val="18"/>
              </w:rPr>
            </w:pPr>
            <w:r>
              <w:rPr>
                <w:w w:val="99"/>
                <w:sz w:val="18"/>
              </w:rPr>
              <w:t>k ＞-20%□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环境监测</w:t>
            </w:r>
          </w:p>
          <w:p>
            <w:pPr>
              <w:jc w:val="center"/>
              <w:rPr>
                <w:w w:val="99"/>
                <w:sz w:val="18"/>
              </w:rPr>
            </w:pPr>
            <w:r>
              <w:rPr>
                <w:w w:val="99"/>
                <w:sz w:val="18"/>
              </w:rPr>
              <w:t>计划</w:t>
            </w:r>
          </w:p>
        </w:tc>
        <w:tc>
          <w:tcPr>
            <w:tcW w:w="1780" w:type="dxa"/>
            <w:vAlign w:val="center"/>
          </w:tcPr>
          <w:p>
            <w:pPr>
              <w:jc w:val="center"/>
              <w:rPr>
                <w:w w:val="99"/>
                <w:sz w:val="18"/>
              </w:rPr>
            </w:pPr>
            <w:r>
              <w:rPr>
                <w:w w:val="99"/>
                <w:sz w:val="18"/>
              </w:rPr>
              <w:t>污染源监测</w:t>
            </w:r>
          </w:p>
        </w:tc>
        <w:tc>
          <w:tcPr>
            <w:tcW w:w="2607" w:type="dxa"/>
            <w:gridSpan w:val="5"/>
            <w:vAlign w:val="center"/>
          </w:tcPr>
          <w:p>
            <w:pPr>
              <w:jc w:val="center"/>
              <w:rPr>
                <w:w w:val="99"/>
                <w:sz w:val="18"/>
              </w:rPr>
            </w:pPr>
            <w:r>
              <w:rPr>
                <w:w w:val="99"/>
                <w:sz w:val="18"/>
              </w:rPr>
              <w:t>监测因子：（非甲烷总烃、颗粒物）</w:t>
            </w:r>
          </w:p>
        </w:tc>
        <w:tc>
          <w:tcPr>
            <w:tcW w:w="2693" w:type="dxa"/>
            <w:gridSpan w:val="3"/>
            <w:vAlign w:val="center"/>
          </w:tcPr>
          <w:p>
            <w:pPr>
              <w:jc w:val="center"/>
              <w:rPr>
                <w:w w:val="99"/>
                <w:sz w:val="18"/>
              </w:rPr>
            </w:pPr>
            <w:r>
              <w:rPr>
                <w:w w:val="99"/>
                <w:sz w:val="18"/>
              </w:rPr>
              <w:t xml:space="preserve">有组织废气监测 </w:t>
            </w:r>
            <w:r>
              <w:rPr>
                <w:w w:val="99"/>
                <w:sz w:val="18"/>
              </w:rPr>
              <w:sym w:font="Wingdings" w:char="F0FE"/>
            </w:r>
          </w:p>
          <w:p>
            <w:pPr>
              <w:jc w:val="center"/>
              <w:rPr>
                <w:w w:val="99"/>
                <w:sz w:val="18"/>
              </w:rPr>
            </w:pPr>
            <w:r>
              <w:rPr>
                <w:w w:val="99"/>
                <w:sz w:val="18"/>
              </w:rPr>
              <w:t xml:space="preserve">无组织废气监测 </w:t>
            </w:r>
            <w:r>
              <w:rPr>
                <w:w w:val="99"/>
                <w:sz w:val="18"/>
              </w:rPr>
              <w:sym w:font="Wingdings" w:char="F0FE"/>
            </w:r>
          </w:p>
        </w:tc>
        <w:tc>
          <w:tcPr>
            <w:tcW w:w="1400" w:type="dxa"/>
            <w:gridSpan w:val="2"/>
            <w:vAlign w:val="center"/>
          </w:tcPr>
          <w:p>
            <w:pPr>
              <w:jc w:val="center"/>
              <w:rPr>
                <w:w w:val="99"/>
                <w:sz w:val="18"/>
              </w:rPr>
            </w:pPr>
            <w:r>
              <w:rPr>
                <w:w w:val="99"/>
                <w:sz w:val="18"/>
              </w:rPr>
              <w:t>无监测□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环境质量监测</w:t>
            </w:r>
          </w:p>
        </w:tc>
        <w:tc>
          <w:tcPr>
            <w:tcW w:w="2607" w:type="dxa"/>
            <w:gridSpan w:val="5"/>
            <w:vAlign w:val="center"/>
          </w:tcPr>
          <w:p>
            <w:pPr>
              <w:jc w:val="center"/>
              <w:rPr>
                <w:w w:val="99"/>
                <w:sz w:val="18"/>
              </w:rPr>
            </w:pPr>
            <w:r>
              <w:rPr>
                <w:w w:val="99"/>
                <w:sz w:val="18"/>
              </w:rPr>
              <w:t>监测因子：（          ）</w:t>
            </w:r>
          </w:p>
        </w:tc>
        <w:tc>
          <w:tcPr>
            <w:tcW w:w="2693" w:type="dxa"/>
            <w:gridSpan w:val="3"/>
            <w:vAlign w:val="center"/>
          </w:tcPr>
          <w:p>
            <w:pPr>
              <w:jc w:val="center"/>
              <w:rPr>
                <w:w w:val="99"/>
                <w:sz w:val="18"/>
              </w:rPr>
            </w:pPr>
            <w:r>
              <w:rPr>
                <w:w w:val="99"/>
                <w:sz w:val="18"/>
              </w:rPr>
              <w:t>监测点位数（ ）</w:t>
            </w:r>
          </w:p>
        </w:tc>
        <w:tc>
          <w:tcPr>
            <w:tcW w:w="1400" w:type="dxa"/>
            <w:gridSpan w:val="2"/>
            <w:vAlign w:val="center"/>
          </w:tcPr>
          <w:p>
            <w:pPr>
              <w:jc w:val="center"/>
              <w:rPr>
                <w:w w:val="99"/>
                <w:sz w:val="18"/>
              </w:rPr>
            </w:pPr>
            <w:r>
              <w:rPr>
                <w:w w:val="99"/>
                <w:sz w:val="18"/>
              </w:rPr>
              <w:t>无监测</w:t>
            </w:r>
            <w:r>
              <w:rPr>
                <w:w w:val="99"/>
                <w:sz w:val="18"/>
              </w:rPr>
              <w:sym w:font="Wingdings" w:char="F0FE"/>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restart"/>
            <w:vAlign w:val="center"/>
          </w:tcPr>
          <w:p>
            <w:pPr>
              <w:jc w:val="center"/>
              <w:rPr>
                <w:w w:val="99"/>
                <w:sz w:val="18"/>
              </w:rPr>
            </w:pPr>
            <w:r>
              <w:rPr>
                <w:w w:val="99"/>
                <w:sz w:val="18"/>
              </w:rPr>
              <w:t>评价结论</w:t>
            </w:r>
          </w:p>
        </w:tc>
        <w:tc>
          <w:tcPr>
            <w:tcW w:w="1780" w:type="dxa"/>
            <w:vAlign w:val="center"/>
          </w:tcPr>
          <w:p>
            <w:pPr>
              <w:jc w:val="center"/>
              <w:rPr>
                <w:w w:val="99"/>
                <w:sz w:val="18"/>
              </w:rPr>
            </w:pPr>
            <w:r>
              <w:rPr>
                <w:w w:val="99"/>
                <w:sz w:val="18"/>
              </w:rPr>
              <w:t>环境影响</w:t>
            </w:r>
          </w:p>
        </w:tc>
        <w:tc>
          <w:tcPr>
            <w:tcW w:w="6700" w:type="dxa"/>
            <w:gridSpan w:val="10"/>
            <w:vAlign w:val="center"/>
          </w:tcPr>
          <w:p>
            <w:pPr>
              <w:jc w:val="center"/>
              <w:rPr>
                <w:w w:val="99"/>
                <w:sz w:val="18"/>
              </w:rPr>
            </w:pPr>
            <w:r>
              <w:rPr>
                <w:w w:val="99"/>
                <w:sz w:val="18"/>
              </w:rPr>
              <w:t xml:space="preserve">可以接受 </w:t>
            </w:r>
            <w:r>
              <w:rPr>
                <w:w w:val="99"/>
                <w:sz w:val="18"/>
              </w:rPr>
              <w:sym w:font="Wingdings" w:char="F0FE"/>
            </w:r>
            <w:r>
              <w:rPr>
                <w:w w:val="99"/>
                <w:sz w:val="18"/>
              </w:rPr>
              <w:t xml:space="preserve">                       不可以接受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大气环境防护距离</w:t>
            </w:r>
          </w:p>
        </w:tc>
        <w:tc>
          <w:tcPr>
            <w:tcW w:w="6700" w:type="dxa"/>
            <w:gridSpan w:val="10"/>
            <w:vAlign w:val="center"/>
          </w:tcPr>
          <w:p>
            <w:pPr>
              <w:jc w:val="center"/>
              <w:rPr>
                <w:w w:val="99"/>
                <w:sz w:val="18"/>
              </w:rPr>
            </w:pPr>
            <w:r>
              <w:rPr>
                <w:w w:val="99"/>
                <w:sz w:val="18"/>
              </w:rPr>
              <w:t>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40" w:type="dxa"/>
            <w:vMerge w:val="continue"/>
            <w:vAlign w:val="center"/>
          </w:tcPr>
          <w:p>
            <w:pPr>
              <w:jc w:val="center"/>
              <w:rPr>
                <w:w w:val="99"/>
                <w:sz w:val="18"/>
              </w:rPr>
            </w:pPr>
          </w:p>
        </w:tc>
        <w:tc>
          <w:tcPr>
            <w:tcW w:w="1780" w:type="dxa"/>
            <w:vAlign w:val="center"/>
          </w:tcPr>
          <w:p>
            <w:pPr>
              <w:jc w:val="center"/>
              <w:rPr>
                <w:w w:val="99"/>
                <w:sz w:val="18"/>
              </w:rPr>
            </w:pPr>
            <w:r>
              <w:rPr>
                <w:w w:val="99"/>
                <w:sz w:val="18"/>
              </w:rPr>
              <w:t>污染源年排放量</w:t>
            </w:r>
          </w:p>
        </w:tc>
        <w:tc>
          <w:tcPr>
            <w:tcW w:w="1473" w:type="dxa"/>
            <w:gridSpan w:val="2"/>
            <w:vAlign w:val="center"/>
          </w:tcPr>
          <w:p>
            <w:pPr>
              <w:jc w:val="center"/>
              <w:rPr>
                <w:w w:val="99"/>
                <w:sz w:val="18"/>
              </w:rPr>
            </w:pPr>
            <w:r>
              <w:rPr>
                <w:w w:val="99"/>
                <w:sz w:val="18"/>
              </w:rPr>
              <w:t>SO</w:t>
            </w:r>
            <w:r>
              <w:rPr>
                <w:w w:val="99"/>
                <w:sz w:val="18"/>
                <w:vertAlign w:val="subscript"/>
              </w:rPr>
              <w:t>2</w:t>
            </w:r>
            <w:r>
              <w:rPr>
                <w:w w:val="99"/>
                <w:sz w:val="18"/>
              </w:rPr>
              <w:t>：（0）t/a</w:t>
            </w:r>
          </w:p>
        </w:tc>
        <w:tc>
          <w:tcPr>
            <w:tcW w:w="1134" w:type="dxa"/>
            <w:gridSpan w:val="3"/>
            <w:vAlign w:val="center"/>
          </w:tcPr>
          <w:p>
            <w:pPr>
              <w:jc w:val="center"/>
              <w:rPr>
                <w:w w:val="99"/>
                <w:sz w:val="18"/>
              </w:rPr>
            </w:pPr>
            <w:r>
              <w:rPr>
                <w:w w:val="99"/>
                <w:sz w:val="18"/>
              </w:rPr>
              <w:t>NO</w:t>
            </w:r>
            <w:r>
              <w:rPr>
                <w:w w:val="99"/>
                <w:sz w:val="18"/>
                <w:vertAlign w:val="subscript"/>
              </w:rPr>
              <w:t>x</w:t>
            </w:r>
            <w:r>
              <w:rPr>
                <w:w w:val="99"/>
                <w:sz w:val="18"/>
              </w:rPr>
              <w:t>：（0）t/a</w:t>
            </w:r>
          </w:p>
        </w:tc>
        <w:tc>
          <w:tcPr>
            <w:tcW w:w="2126" w:type="dxa"/>
            <w:gridSpan w:val="2"/>
            <w:vAlign w:val="center"/>
          </w:tcPr>
          <w:p>
            <w:pPr>
              <w:spacing w:line="280" w:lineRule="exact"/>
              <w:jc w:val="center"/>
              <w:rPr>
                <w:w w:val="99"/>
                <w:sz w:val="18"/>
              </w:rPr>
            </w:pPr>
            <w:r>
              <w:rPr>
                <w:w w:val="99"/>
                <w:sz w:val="18"/>
              </w:rPr>
              <w:t>颗粒物：（0）t/a</w:t>
            </w:r>
          </w:p>
        </w:tc>
        <w:tc>
          <w:tcPr>
            <w:tcW w:w="1967" w:type="dxa"/>
            <w:gridSpan w:val="3"/>
            <w:vAlign w:val="center"/>
          </w:tcPr>
          <w:p>
            <w:pPr>
              <w:jc w:val="center"/>
              <w:rPr>
                <w:w w:val="99"/>
                <w:sz w:val="18"/>
              </w:rPr>
            </w:pPr>
            <w:r>
              <w:rPr>
                <w:w w:val="99"/>
                <w:sz w:val="18"/>
              </w:rPr>
              <w:t>VOCs：（0.0474）t/a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9520" w:type="dxa"/>
            <w:gridSpan w:val="12"/>
            <w:vAlign w:val="center"/>
          </w:tcPr>
          <w:p>
            <w:pPr>
              <w:jc w:val="center"/>
              <w:rPr>
                <w:w w:val="99"/>
                <w:sz w:val="18"/>
              </w:rPr>
            </w:pPr>
            <w:r>
              <w:rPr>
                <w:w w:val="99"/>
                <w:sz w:val="18"/>
              </w:rPr>
              <w:t>注：“□” 为勾选项 ，填“√” ；“（）”为内容填写项</w:t>
            </w:r>
          </w:p>
        </w:tc>
      </w:tr>
    </w:tbl>
    <w:p>
      <w:pPr>
        <w:spacing w:line="100" w:lineRule="exact"/>
      </w:pPr>
    </w:p>
    <w:p>
      <w:pPr>
        <w:sectPr>
          <w:pgSz w:w="11906" w:h="16838"/>
          <w:pgMar w:top="1440" w:right="1800" w:bottom="1440" w:left="1800" w:header="851" w:footer="992" w:gutter="0"/>
          <w:cols w:space="425" w:num="1"/>
          <w:docGrid w:type="lines" w:linePitch="312" w:charSpace="0"/>
        </w:sectPr>
      </w:pPr>
    </w:p>
    <w:p>
      <w:pPr>
        <w:spacing w:line="440" w:lineRule="exact"/>
        <w:rPr>
          <w:sz w:val="24"/>
        </w:rPr>
      </w:pPr>
      <w:r>
        <w:rPr>
          <w:rFonts w:hint="eastAsia"/>
          <w:sz w:val="24"/>
        </w:rPr>
        <w:drawing>
          <wp:anchor distT="0" distB="0" distL="114300" distR="114300" simplePos="0" relativeHeight="251848704" behindDoc="0" locked="0" layoutInCell="1" allowOverlap="1">
            <wp:simplePos x="0" y="0"/>
            <wp:positionH relativeFrom="column">
              <wp:posOffset>-212090</wp:posOffset>
            </wp:positionH>
            <wp:positionV relativeFrom="paragraph">
              <wp:posOffset>-424815</wp:posOffset>
            </wp:positionV>
            <wp:extent cx="6376035" cy="9103360"/>
            <wp:effectExtent l="19050" t="0" r="5715" b="0"/>
            <wp:wrapNone/>
            <wp:docPr id="6" name="图片 10" descr="G:\1-蓝天\16 碧阔塑业-环评\CCF_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G:\1-蓝天\16 碧阔塑业-环评\CCF_000196.jpg"/>
                    <pic:cNvPicPr>
                      <a:picLocks noChangeAspect="1" noChangeArrowheads="1"/>
                    </pic:cNvPicPr>
                  </pic:nvPicPr>
                  <pic:blipFill>
                    <a:blip r:embed="rId32"/>
                    <a:srcRect/>
                    <a:stretch>
                      <a:fillRect/>
                    </a:stretch>
                  </pic:blipFill>
                  <pic:spPr>
                    <a:xfrm>
                      <a:off x="0" y="0"/>
                      <a:ext cx="6376035" cy="9103057"/>
                    </a:xfrm>
                    <a:prstGeom prst="rect">
                      <a:avLst/>
                    </a:prstGeom>
                    <a:noFill/>
                    <a:ln w="9525">
                      <a:noFill/>
                      <a:miter lim="800000"/>
                      <a:headEnd/>
                      <a:tailEnd/>
                    </a:ln>
                  </pic:spPr>
                </pic:pic>
              </a:graphicData>
            </a:graphic>
          </wp:anchor>
        </w:drawing>
      </w: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pPr>
    </w:p>
    <w:p>
      <w:pPr>
        <w:spacing w:line="440" w:lineRule="exact"/>
        <w:rPr>
          <w:sz w:val="24"/>
        </w:rPr>
        <w:sectPr>
          <w:pgSz w:w="11906" w:h="16838"/>
          <w:pgMar w:top="1701" w:right="1418" w:bottom="1524" w:left="1418" w:header="851" w:footer="992" w:gutter="0"/>
          <w:cols w:space="720" w:num="1"/>
          <w:formProt w:val="0"/>
          <w:docGrid w:type="lines" w:linePitch="312" w:charSpace="0"/>
        </w:sectPr>
      </w:pPr>
    </w:p>
    <w:p>
      <w:pPr>
        <w:spacing w:line="440" w:lineRule="exact"/>
        <w:rPr>
          <w:sz w:val="24"/>
        </w:rPr>
      </w:pPr>
    </w:p>
    <w:sectPr>
      <w:pgSz w:w="11906" w:h="16838"/>
      <w:pgMar w:top="1701" w:right="1418" w:bottom="1524" w:left="1418" w:header="851" w:footer="992" w:gutter="0"/>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KaiTi_GB2312">
    <w:altName w:val="楷体"/>
    <w:panose1 w:val="02010609060101010101"/>
    <w:charset w:val="86"/>
    <w:family w:val="modern"/>
    <w:pitch w:val="default"/>
    <w:sig w:usb0="00000000" w:usb1="00000000"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Liberation Sans">
    <w:altName w:val="Arial Unicode MS"/>
    <w:panose1 w:val="00000000000000000000"/>
    <w:charset w:val="86"/>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480"/>
      <w:jc w:val="center"/>
    </w:pPr>
    <w:r>
      <w:rPr>
        <w:lang w:val="zh-CN"/>
      </w:rPr>
      <w:fldChar w:fldCharType="begin"/>
    </w:r>
    <w:r>
      <w:instrText xml:space="preserve">PAGE</w:instrText>
    </w:r>
    <w:r>
      <w:fldChar w:fldCharType="separate"/>
    </w:r>
    <w:r>
      <w:t>55</w:t>
    </w:r>
    <w:r>
      <w:fldChar w:fldCharType="end"/>
    </w:r>
  </w:p>
  <w:p>
    <w:pPr>
      <w:pStyle w:val="5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480"/>
      <w:jc w:val="center"/>
    </w:pPr>
    <w:r>
      <w:rPr>
        <w:lang w:val="zh-CN"/>
      </w:rPr>
      <w:fldChar w:fldCharType="begin"/>
    </w:r>
    <w:r>
      <w:instrText xml:space="preserve">PAGE</w:instrText>
    </w:r>
    <w:r>
      <w:fldChar w:fldCharType="separate"/>
    </w:r>
    <w:r>
      <w:t>58</w:t>
    </w:r>
    <w:r>
      <w:fldChar w:fldCharType="end"/>
    </w:r>
  </w:p>
  <w:p>
    <w:pPr>
      <w:pStyle w:val="5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103638"/>
    <w:multiLevelType w:val="singleLevel"/>
    <w:tmpl w:val="9A103638"/>
    <w:lvl w:ilvl="0" w:tentative="0">
      <w:start w:val="1"/>
      <w:numFmt w:val="decimal"/>
      <w:suff w:val="space"/>
      <w:lvlText w:val="%1."/>
      <w:lvlJc w:val="left"/>
    </w:lvl>
  </w:abstractNum>
  <w:abstractNum w:abstractNumId="1">
    <w:nsid w:val="5F713913"/>
    <w:multiLevelType w:val="multilevel"/>
    <w:tmpl w:val="5F713913"/>
    <w:lvl w:ilvl="0" w:tentative="0">
      <w:start w:val="1"/>
      <w:numFmt w:val="decimal"/>
      <w:lvlText w:val="（%1）"/>
      <w:lvlJc w:val="left"/>
      <w:pPr>
        <w:ind w:left="1200" w:hanging="7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documentProtection w:enforcement="0"/>
  <w:defaultTabStop w:val="424"/>
  <w:drawingGridHorizontalSpacing w:val="105"/>
  <w:drawingGridVerticalSpacing w:val="156"/>
  <w:displayHorizontalDrawingGridEvery w:val="2"/>
  <w:displayVerticalDrawingGridEvery w:val="2"/>
  <w:characterSpacingControl w:val="doNotCompress"/>
  <w:compat>
    <w:doNotExpandShiftReturn/>
    <w:useFELayout/>
    <w:compatSetting w:name="compatibilityMode" w:uri="http://schemas.microsoft.com/office/word" w:val="12"/>
  </w:compat>
  <w:rsids>
    <w:rsidRoot w:val="00D62DBD"/>
    <w:rsid w:val="00006035"/>
    <w:rsid w:val="00010682"/>
    <w:rsid w:val="000150C7"/>
    <w:rsid w:val="00015117"/>
    <w:rsid w:val="000159C4"/>
    <w:rsid w:val="000159DA"/>
    <w:rsid w:val="00023021"/>
    <w:rsid w:val="00023EB3"/>
    <w:rsid w:val="000244EE"/>
    <w:rsid w:val="00024E49"/>
    <w:rsid w:val="00031776"/>
    <w:rsid w:val="0003200E"/>
    <w:rsid w:val="00032A9F"/>
    <w:rsid w:val="00033186"/>
    <w:rsid w:val="0003446D"/>
    <w:rsid w:val="000362C4"/>
    <w:rsid w:val="00043E95"/>
    <w:rsid w:val="00044EA7"/>
    <w:rsid w:val="00045782"/>
    <w:rsid w:val="00054781"/>
    <w:rsid w:val="00063BD1"/>
    <w:rsid w:val="00064E73"/>
    <w:rsid w:val="00065CAD"/>
    <w:rsid w:val="00073051"/>
    <w:rsid w:val="00073110"/>
    <w:rsid w:val="00074D08"/>
    <w:rsid w:val="00081407"/>
    <w:rsid w:val="0008152F"/>
    <w:rsid w:val="00081FE6"/>
    <w:rsid w:val="00090E8D"/>
    <w:rsid w:val="00091EF0"/>
    <w:rsid w:val="000924E8"/>
    <w:rsid w:val="000925B2"/>
    <w:rsid w:val="00092EE1"/>
    <w:rsid w:val="00094030"/>
    <w:rsid w:val="00094C6D"/>
    <w:rsid w:val="000955AF"/>
    <w:rsid w:val="000963E2"/>
    <w:rsid w:val="000A27B9"/>
    <w:rsid w:val="000A3BF1"/>
    <w:rsid w:val="000B199A"/>
    <w:rsid w:val="000B42E4"/>
    <w:rsid w:val="000B7BF6"/>
    <w:rsid w:val="000C0B19"/>
    <w:rsid w:val="000C15DE"/>
    <w:rsid w:val="000C3D80"/>
    <w:rsid w:val="000C3E94"/>
    <w:rsid w:val="000C5FD0"/>
    <w:rsid w:val="000D0878"/>
    <w:rsid w:val="000D505E"/>
    <w:rsid w:val="000E38D6"/>
    <w:rsid w:val="000E4B76"/>
    <w:rsid w:val="000F12BE"/>
    <w:rsid w:val="000F5A0B"/>
    <w:rsid w:val="000F5C48"/>
    <w:rsid w:val="001012CB"/>
    <w:rsid w:val="00107634"/>
    <w:rsid w:val="00114AAB"/>
    <w:rsid w:val="001223AE"/>
    <w:rsid w:val="00123165"/>
    <w:rsid w:val="001253F7"/>
    <w:rsid w:val="001301E3"/>
    <w:rsid w:val="0013112E"/>
    <w:rsid w:val="00136BDE"/>
    <w:rsid w:val="00140337"/>
    <w:rsid w:val="00143775"/>
    <w:rsid w:val="0015105A"/>
    <w:rsid w:val="00151E0D"/>
    <w:rsid w:val="001526A9"/>
    <w:rsid w:val="0015294D"/>
    <w:rsid w:val="00153F37"/>
    <w:rsid w:val="0015551B"/>
    <w:rsid w:val="0015676D"/>
    <w:rsid w:val="001604B3"/>
    <w:rsid w:val="001606ED"/>
    <w:rsid w:val="001645A1"/>
    <w:rsid w:val="00164656"/>
    <w:rsid w:val="001651F0"/>
    <w:rsid w:val="001655F5"/>
    <w:rsid w:val="00165D34"/>
    <w:rsid w:val="00167BD3"/>
    <w:rsid w:val="00167CD2"/>
    <w:rsid w:val="00184459"/>
    <w:rsid w:val="00190CB2"/>
    <w:rsid w:val="001A066B"/>
    <w:rsid w:val="001A29F1"/>
    <w:rsid w:val="001A7907"/>
    <w:rsid w:val="001B21A7"/>
    <w:rsid w:val="001B3736"/>
    <w:rsid w:val="001B4F23"/>
    <w:rsid w:val="001B59A5"/>
    <w:rsid w:val="001C6301"/>
    <w:rsid w:val="001C666E"/>
    <w:rsid w:val="001D3E29"/>
    <w:rsid w:val="001E08A9"/>
    <w:rsid w:val="001E4103"/>
    <w:rsid w:val="001E6B4F"/>
    <w:rsid w:val="001E70FB"/>
    <w:rsid w:val="001F1320"/>
    <w:rsid w:val="00203E6A"/>
    <w:rsid w:val="00205709"/>
    <w:rsid w:val="00210048"/>
    <w:rsid w:val="002113D8"/>
    <w:rsid w:val="00211830"/>
    <w:rsid w:val="00213F20"/>
    <w:rsid w:val="00216481"/>
    <w:rsid w:val="00217D58"/>
    <w:rsid w:val="00224F41"/>
    <w:rsid w:val="00226926"/>
    <w:rsid w:val="00226E07"/>
    <w:rsid w:val="00230424"/>
    <w:rsid w:val="00232057"/>
    <w:rsid w:val="00232188"/>
    <w:rsid w:val="00232DF5"/>
    <w:rsid w:val="00232FDC"/>
    <w:rsid w:val="00233952"/>
    <w:rsid w:val="002342A1"/>
    <w:rsid w:val="00236420"/>
    <w:rsid w:val="00236823"/>
    <w:rsid w:val="00236CC2"/>
    <w:rsid w:val="00242F08"/>
    <w:rsid w:val="002557E8"/>
    <w:rsid w:val="0025666C"/>
    <w:rsid w:val="00262208"/>
    <w:rsid w:val="00263E8A"/>
    <w:rsid w:val="00265318"/>
    <w:rsid w:val="00266C05"/>
    <w:rsid w:val="00270407"/>
    <w:rsid w:val="00271958"/>
    <w:rsid w:val="00271D68"/>
    <w:rsid w:val="00272E19"/>
    <w:rsid w:val="002747CE"/>
    <w:rsid w:val="002758E1"/>
    <w:rsid w:val="00283BC6"/>
    <w:rsid w:val="00287308"/>
    <w:rsid w:val="002906B3"/>
    <w:rsid w:val="002A4380"/>
    <w:rsid w:val="002A5A1E"/>
    <w:rsid w:val="002A750C"/>
    <w:rsid w:val="002B0B31"/>
    <w:rsid w:val="002B2277"/>
    <w:rsid w:val="002B6FC2"/>
    <w:rsid w:val="002C088B"/>
    <w:rsid w:val="002C34A6"/>
    <w:rsid w:val="002D294C"/>
    <w:rsid w:val="002D632C"/>
    <w:rsid w:val="002D6CDE"/>
    <w:rsid w:val="002E0CF1"/>
    <w:rsid w:val="002E13FA"/>
    <w:rsid w:val="002F3A53"/>
    <w:rsid w:val="002F7B1D"/>
    <w:rsid w:val="00300714"/>
    <w:rsid w:val="00301602"/>
    <w:rsid w:val="00304432"/>
    <w:rsid w:val="00310BC7"/>
    <w:rsid w:val="0031196E"/>
    <w:rsid w:val="00312A5D"/>
    <w:rsid w:val="00315219"/>
    <w:rsid w:val="00316DCF"/>
    <w:rsid w:val="0032024D"/>
    <w:rsid w:val="00320697"/>
    <w:rsid w:val="00321A83"/>
    <w:rsid w:val="0032359C"/>
    <w:rsid w:val="00324DD3"/>
    <w:rsid w:val="00330673"/>
    <w:rsid w:val="00332604"/>
    <w:rsid w:val="00332B39"/>
    <w:rsid w:val="00334AF4"/>
    <w:rsid w:val="00336146"/>
    <w:rsid w:val="00336ED7"/>
    <w:rsid w:val="00340110"/>
    <w:rsid w:val="00343DD7"/>
    <w:rsid w:val="00344AA8"/>
    <w:rsid w:val="0035038C"/>
    <w:rsid w:val="00350B73"/>
    <w:rsid w:val="00351941"/>
    <w:rsid w:val="00352065"/>
    <w:rsid w:val="00352DC6"/>
    <w:rsid w:val="00363136"/>
    <w:rsid w:val="00365F29"/>
    <w:rsid w:val="00366474"/>
    <w:rsid w:val="00373E83"/>
    <w:rsid w:val="00374EE7"/>
    <w:rsid w:val="00375109"/>
    <w:rsid w:val="0037631F"/>
    <w:rsid w:val="00381D8C"/>
    <w:rsid w:val="00384665"/>
    <w:rsid w:val="00385787"/>
    <w:rsid w:val="00391D22"/>
    <w:rsid w:val="00391E26"/>
    <w:rsid w:val="00397432"/>
    <w:rsid w:val="003A1C95"/>
    <w:rsid w:val="003A4FC7"/>
    <w:rsid w:val="003A7CB7"/>
    <w:rsid w:val="003A7CE5"/>
    <w:rsid w:val="003B0F23"/>
    <w:rsid w:val="003C2079"/>
    <w:rsid w:val="003C2DC0"/>
    <w:rsid w:val="003C3C0D"/>
    <w:rsid w:val="003C58AC"/>
    <w:rsid w:val="003D1B44"/>
    <w:rsid w:val="003D1B93"/>
    <w:rsid w:val="003D20F8"/>
    <w:rsid w:val="003D5568"/>
    <w:rsid w:val="003D61DE"/>
    <w:rsid w:val="003E0D7E"/>
    <w:rsid w:val="003E4EDB"/>
    <w:rsid w:val="003E688F"/>
    <w:rsid w:val="003E6FF0"/>
    <w:rsid w:val="003E752A"/>
    <w:rsid w:val="003F01C8"/>
    <w:rsid w:val="003F0AA8"/>
    <w:rsid w:val="003F231D"/>
    <w:rsid w:val="003F56A0"/>
    <w:rsid w:val="003F72C7"/>
    <w:rsid w:val="004009F9"/>
    <w:rsid w:val="00400EEE"/>
    <w:rsid w:val="00400FCE"/>
    <w:rsid w:val="00403009"/>
    <w:rsid w:val="00410E18"/>
    <w:rsid w:val="00416225"/>
    <w:rsid w:val="00420649"/>
    <w:rsid w:val="0042303E"/>
    <w:rsid w:val="004234A8"/>
    <w:rsid w:val="004234E6"/>
    <w:rsid w:val="004276F7"/>
    <w:rsid w:val="00432F5D"/>
    <w:rsid w:val="0044010C"/>
    <w:rsid w:val="00441843"/>
    <w:rsid w:val="00445338"/>
    <w:rsid w:val="00446B12"/>
    <w:rsid w:val="0044757E"/>
    <w:rsid w:val="0045038C"/>
    <w:rsid w:val="00452585"/>
    <w:rsid w:val="00452863"/>
    <w:rsid w:val="004551F1"/>
    <w:rsid w:val="0045534D"/>
    <w:rsid w:val="0045738A"/>
    <w:rsid w:val="00457B98"/>
    <w:rsid w:val="00463470"/>
    <w:rsid w:val="00465F64"/>
    <w:rsid w:val="004661A3"/>
    <w:rsid w:val="00467F1E"/>
    <w:rsid w:val="004706E0"/>
    <w:rsid w:val="004729D3"/>
    <w:rsid w:val="004762E9"/>
    <w:rsid w:val="00476C1B"/>
    <w:rsid w:val="00482466"/>
    <w:rsid w:val="00486219"/>
    <w:rsid w:val="004874C1"/>
    <w:rsid w:val="00490EBD"/>
    <w:rsid w:val="00492C17"/>
    <w:rsid w:val="004966D9"/>
    <w:rsid w:val="00497B57"/>
    <w:rsid w:val="004A253E"/>
    <w:rsid w:val="004A3922"/>
    <w:rsid w:val="004A48D4"/>
    <w:rsid w:val="004A523E"/>
    <w:rsid w:val="004B0AAD"/>
    <w:rsid w:val="004B2726"/>
    <w:rsid w:val="004B58FA"/>
    <w:rsid w:val="004B7003"/>
    <w:rsid w:val="004C43C2"/>
    <w:rsid w:val="004C5986"/>
    <w:rsid w:val="004D227C"/>
    <w:rsid w:val="004D379B"/>
    <w:rsid w:val="004D4FDD"/>
    <w:rsid w:val="004D67B1"/>
    <w:rsid w:val="004D733D"/>
    <w:rsid w:val="004D7905"/>
    <w:rsid w:val="004E1B84"/>
    <w:rsid w:val="004E42BA"/>
    <w:rsid w:val="004E458E"/>
    <w:rsid w:val="004E4F8F"/>
    <w:rsid w:val="004F092B"/>
    <w:rsid w:val="004F6460"/>
    <w:rsid w:val="004F74FE"/>
    <w:rsid w:val="004F7EA4"/>
    <w:rsid w:val="00504BEC"/>
    <w:rsid w:val="005067F3"/>
    <w:rsid w:val="00506D56"/>
    <w:rsid w:val="0051480B"/>
    <w:rsid w:val="0051631A"/>
    <w:rsid w:val="005201D0"/>
    <w:rsid w:val="0052183F"/>
    <w:rsid w:val="00525BC5"/>
    <w:rsid w:val="0052634B"/>
    <w:rsid w:val="00526B79"/>
    <w:rsid w:val="005308FE"/>
    <w:rsid w:val="00530B3B"/>
    <w:rsid w:val="00533123"/>
    <w:rsid w:val="00534167"/>
    <w:rsid w:val="00537623"/>
    <w:rsid w:val="005405AE"/>
    <w:rsid w:val="00540630"/>
    <w:rsid w:val="0054203E"/>
    <w:rsid w:val="0054312D"/>
    <w:rsid w:val="00546716"/>
    <w:rsid w:val="00546DB8"/>
    <w:rsid w:val="00547570"/>
    <w:rsid w:val="00552316"/>
    <w:rsid w:val="00552CEF"/>
    <w:rsid w:val="00553744"/>
    <w:rsid w:val="005553C6"/>
    <w:rsid w:val="00557C03"/>
    <w:rsid w:val="00560C10"/>
    <w:rsid w:val="005628D7"/>
    <w:rsid w:val="0056315D"/>
    <w:rsid w:val="005631DD"/>
    <w:rsid w:val="00565AC2"/>
    <w:rsid w:val="0057188D"/>
    <w:rsid w:val="00573276"/>
    <w:rsid w:val="0057345F"/>
    <w:rsid w:val="00575602"/>
    <w:rsid w:val="00577132"/>
    <w:rsid w:val="00580619"/>
    <w:rsid w:val="00584133"/>
    <w:rsid w:val="00584776"/>
    <w:rsid w:val="00584A5D"/>
    <w:rsid w:val="00590C72"/>
    <w:rsid w:val="0059236F"/>
    <w:rsid w:val="005943F7"/>
    <w:rsid w:val="00595AF0"/>
    <w:rsid w:val="005A0A4F"/>
    <w:rsid w:val="005A11A5"/>
    <w:rsid w:val="005A2AF9"/>
    <w:rsid w:val="005A4384"/>
    <w:rsid w:val="005A5779"/>
    <w:rsid w:val="005B1748"/>
    <w:rsid w:val="005B53A0"/>
    <w:rsid w:val="005B6B8F"/>
    <w:rsid w:val="005C210F"/>
    <w:rsid w:val="005C23C9"/>
    <w:rsid w:val="005C3CAC"/>
    <w:rsid w:val="005C5D52"/>
    <w:rsid w:val="005C7DB6"/>
    <w:rsid w:val="005D3A4B"/>
    <w:rsid w:val="005D5F06"/>
    <w:rsid w:val="005D79A8"/>
    <w:rsid w:val="005E087A"/>
    <w:rsid w:val="005E40A2"/>
    <w:rsid w:val="005E53A1"/>
    <w:rsid w:val="005E6375"/>
    <w:rsid w:val="005E6BEB"/>
    <w:rsid w:val="005F18D5"/>
    <w:rsid w:val="005F7376"/>
    <w:rsid w:val="005F7F74"/>
    <w:rsid w:val="00605BCE"/>
    <w:rsid w:val="00605C28"/>
    <w:rsid w:val="006068A7"/>
    <w:rsid w:val="00612984"/>
    <w:rsid w:val="006134D2"/>
    <w:rsid w:val="00613D23"/>
    <w:rsid w:val="006143A9"/>
    <w:rsid w:val="00617491"/>
    <w:rsid w:val="0062045C"/>
    <w:rsid w:val="00621181"/>
    <w:rsid w:val="0062577D"/>
    <w:rsid w:val="0062624E"/>
    <w:rsid w:val="00626864"/>
    <w:rsid w:val="0062765A"/>
    <w:rsid w:val="00627C63"/>
    <w:rsid w:val="00643E72"/>
    <w:rsid w:val="006450D8"/>
    <w:rsid w:val="006504D1"/>
    <w:rsid w:val="00650895"/>
    <w:rsid w:val="00651A69"/>
    <w:rsid w:val="00654294"/>
    <w:rsid w:val="00655C6D"/>
    <w:rsid w:val="00656974"/>
    <w:rsid w:val="006575C6"/>
    <w:rsid w:val="006621E0"/>
    <w:rsid w:val="00663525"/>
    <w:rsid w:val="00666A67"/>
    <w:rsid w:val="006675EB"/>
    <w:rsid w:val="0067056F"/>
    <w:rsid w:val="006709B2"/>
    <w:rsid w:val="00672355"/>
    <w:rsid w:val="00673F55"/>
    <w:rsid w:val="0067492C"/>
    <w:rsid w:val="006749FB"/>
    <w:rsid w:val="00680D2D"/>
    <w:rsid w:val="00682EE4"/>
    <w:rsid w:val="00683AF1"/>
    <w:rsid w:val="00684AD5"/>
    <w:rsid w:val="00686551"/>
    <w:rsid w:val="00690561"/>
    <w:rsid w:val="0069319C"/>
    <w:rsid w:val="0069659C"/>
    <w:rsid w:val="00696A1B"/>
    <w:rsid w:val="00697563"/>
    <w:rsid w:val="006975A6"/>
    <w:rsid w:val="006A48CD"/>
    <w:rsid w:val="006A59C3"/>
    <w:rsid w:val="006A5F29"/>
    <w:rsid w:val="006B0369"/>
    <w:rsid w:val="006B0622"/>
    <w:rsid w:val="006B319C"/>
    <w:rsid w:val="006B34D9"/>
    <w:rsid w:val="006B5067"/>
    <w:rsid w:val="006B7164"/>
    <w:rsid w:val="006C2D32"/>
    <w:rsid w:val="006C3937"/>
    <w:rsid w:val="006C5073"/>
    <w:rsid w:val="006D0B58"/>
    <w:rsid w:val="006D44D3"/>
    <w:rsid w:val="006D5609"/>
    <w:rsid w:val="006D69F3"/>
    <w:rsid w:val="006D7661"/>
    <w:rsid w:val="006D7ED4"/>
    <w:rsid w:val="006E1BCB"/>
    <w:rsid w:val="006E39BF"/>
    <w:rsid w:val="006E5196"/>
    <w:rsid w:val="006F0157"/>
    <w:rsid w:val="006F2D01"/>
    <w:rsid w:val="007025B4"/>
    <w:rsid w:val="00710846"/>
    <w:rsid w:val="00712075"/>
    <w:rsid w:val="007124B3"/>
    <w:rsid w:val="00712BA3"/>
    <w:rsid w:val="00715EC6"/>
    <w:rsid w:val="0072057D"/>
    <w:rsid w:val="00722F77"/>
    <w:rsid w:val="0072348A"/>
    <w:rsid w:val="00724F36"/>
    <w:rsid w:val="00725056"/>
    <w:rsid w:val="007379DE"/>
    <w:rsid w:val="007410F9"/>
    <w:rsid w:val="00743EF6"/>
    <w:rsid w:val="00747494"/>
    <w:rsid w:val="007506F4"/>
    <w:rsid w:val="00752F26"/>
    <w:rsid w:val="0075567B"/>
    <w:rsid w:val="00755D77"/>
    <w:rsid w:val="007577E1"/>
    <w:rsid w:val="007608AB"/>
    <w:rsid w:val="00761B2A"/>
    <w:rsid w:val="00763C82"/>
    <w:rsid w:val="00764E99"/>
    <w:rsid w:val="00764EE8"/>
    <w:rsid w:val="007678F0"/>
    <w:rsid w:val="00772032"/>
    <w:rsid w:val="0077330B"/>
    <w:rsid w:val="007738CA"/>
    <w:rsid w:val="007753C9"/>
    <w:rsid w:val="007766F2"/>
    <w:rsid w:val="00780954"/>
    <w:rsid w:val="007812AD"/>
    <w:rsid w:val="0078133E"/>
    <w:rsid w:val="00786644"/>
    <w:rsid w:val="00786799"/>
    <w:rsid w:val="0079067C"/>
    <w:rsid w:val="00792B76"/>
    <w:rsid w:val="0079408E"/>
    <w:rsid w:val="00796ED8"/>
    <w:rsid w:val="007A1E36"/>
    <w:rsid w:val="007A6020"/>
    <w:rsid w:val="007B0802"/>
    <w:rsid w:val="007B0B44"/>
    <w:rsid w:val="007B16A6"/>
    <w:rsid w:val="007B2EA9"/>
    <w:rsid w:val="007C1D8F"/>
    <w:rsid w:val="007C207A"/>
    <w:rsid w:val="007C7204"/>
    <w:rsid w:val="007C7510"/>
    <w:rsid w:val="007C7BD2"/>
    <w:rsid w:val="007D0982"/>
    <w:rsid w:val="007D1FE1"/>
    <w:rsid w:val="007D49E0"/>
    <w:rsid w:val="007E15F5"/>
    <w:rsid w:val="007E1E8B"/>
    <w:rsid w:val="007E2681"/>
    <w:rsid w:val="007E2B8C"/>
    <w:rsid w:val="007E4EC2"/>
    <w:rsid w:val="007F14B8"/>
    <w:rsid w:val="007F20A2"/>
    <w:rsid w:val="007F34FE"/>
    <w:rsid w:val="007F4105"/>
    <w:rsid w:val="007F5F42"/>
    <w:rsid w:val="007F5FF2"/>
    <w:rsid w:val="007F6223"/>
    <w:rsid w:val="008003E9"/>
    <w:rsid w:val="00800A5E"/>
    <w:rsid w:val="00800BE1"/>
    <w:rsid w:val="00800DEF"/>
    <w:rsid w:val="008043B9"/>
    <w:rsid w:val="008061D3"/>
    <w:rsid w:val="00820D91"/>
    <w:rsid w:val="008261FF"/>
    <w:rsid w:val="008300F9"/>
    <w:rsid w:val="008316AC"/>
    <w:rsid w:val="00832C76"/>
    <w:rsid w:val="00833BF7"/>
    <w:rsid w:val="00834D0B"/>
    <w:rsid w:val="00834D3E"/>
    <w:rsid w:val="00835891"/>
    <w:rsid w:val="008359CA"/>
    <w:rsid w:val="00835EB5"/>
    <w:rsid w:val="00837757"/>
    <w:rsid w:val="00840348"/>
    <w:rsid w:val="00840911"/>
    <w:rsid w:val="00840B8A"/>
    <w:rsid w:val="00842A47"/>
    <w:rsid w:val="008434C8"/>
    <w:rsid w:val="00853A96"/>
    <w:rsid w:val="00853DBA"/>
    <w:rsid w:val="00854A29"/>
    <w:rsid w:val="00854DAC"/>
    <w:rsid w:val="0085515B"/>
    <w:rsid w:val="00861DE4"/>
    <w:rsid w:val="0087490F"/>
    <w:rsid w:val="00874E5A"/>
    <w:rsid w:val="008777D1"/>
    <w:rsid w:val="008778F2"/>
    <w:rsid w:val="00877D44"/>
    <w:rsid w:val="00880967"/>
    <w:rsid w:val="00881BA7"/>
    <w:rsid w:val="00882C95"/>
    <w:rsid w:val="00887011"/>
    <w:rsid w:val="00887091"/>
    <w:rsid w:val="00892BBA"/>
    <w:rsid w:val="00897EA3"/>
    <w:rsid w:val="008A3F7E"/>
    <w:rsid w:val="008A4468"/>
    <w:rsid w:val="008A540B"/>
    <w:rsid w:val="008A6847"/>
    <w:rsid w:val="008B0689"/>
    <w:rsid w:val="008B0E50"/>
    <w:rsid w:val="008B21E4"/>
    <w:rsid w:val="008B4E26"/>
    <w:rsid w:val="008B79B0"/>
    <w:rsid w:val="008C4451"/>
    <w:rsid w:val="008C60CE"/>
    <w:rsid w:val="008D72EB"/>
    <w:rsid w:val="008D7596"/>
    <w:rsid w:val="008E11F2"/>
    <w:rsid w:val="008E14B1"/>
    <w:rsid w:val="008F2FDA"/>
    <w:rsid w:val="008F50E6"/>
    <w:rsid w:val="008F7C70"/>
    <w:rsid w:val="00901424"/>
    <w:rsid w:val="009021E4"/>
    <w:rsid w:val="0091538C"/>
    <w:rsid w:val="009170FC"/>
    <w:rsid w:val="00920D19"/>
    <w:rsid w:val="00922FB7"/>
    <w:rsid w:val="00923773"/>
    <w:rsid w:val="009245DB"/>
    <w:rsid w:val="00926901"/>
    <w:rsid w:val="0092699A"/>
    <w:rsid w:val="00930E47"/>
    <w:rsid w:val="00932A6E"/>
    <w:rsid w:val="00934401"/>
    <w:rsid w:val="00936198"/>
    <w:rsid w:val="009424F6"/>
    <w:rsid w:val="00945272"/>
    <w:rsid w:val="0095286C"/>
    <w:rsid w:val="00953858"/>
    <w:rsid w:val="00956594"/>
    <w:rsid w:val="00957C41"/>
    <w:rsid w:val="00961527"/>
    <w:rsid w:val="00962D99"/>
    <w:rsid w:val="00970206"/>
    <w:rsid w:val="009717E7"/>
    <w:rsid w:val="00971B61"/>
    <w:rsid w:val="00971C93"/>
    <w:rsid w:val="00972C91"/>
    <w:rsid w:val="0097484F"/>
    <w:rsid w:val="00977F19"/>
    <w:rsid w:val="00993233"/>
    <w:rsid w:val="009933AE"/>
    <w:rsid w:val="00994969"/>
    <w:rsid w:val="00995771"/>
    <w:rsid w:val="00996E55"/>
    <w:rsid w:val="00997E10"/>
    <w:rsid w:val="009A0C2D"/>
    <w:rsid w:val="009A4BC7"/>
    <w:rsid w:val="009A6043"/>
    <w:rsid w:val="009A6A02"/>
    <w:rsid w:val="009B3048"/>
    <w:rsid w:val="009B5493"/>
    <w:rsid w:val="009B6D8D"/>
    <w:rsid w:val="009C47A0"/>
    <w:rsid w:val="009C4A2B"/>
    <w:rsid w:val="009C5364"/>
    <w:rsid w:val="009C594C"/>
    <w:rsid w:val="009C7D5B"/>
    <w:rsid w:val="009D1683"/>
    <w:rsid w:val="009D7091"/>
    <w:rsid w:val="009E32C8"/>
    <w:rsid w:val="009E479A"/>
    <w:rsid w:val="009F4DF0"/>
    <w:rsid w:val="009F6355"/>
    <w:rsid w:val="00A06FA8"/>
    <w:rsid w:val="00A1586C"/>
    <w:rsid w:val="00A164E3"/>
    <w:rsid w:val="00A23EDD"/>
    <w:rsid w:val="00A3117D"/>
    <w:rsid w:val="00A35096"/>
    <w:rsid w:val="00A43953"/>
    <w:rsid w:val="00A44E51"/>
    <w:rsid w:val="00A45DAA"/>
    <w:rsid w:val="00A462BA"/>
    <w:rsid w:val="00A466DB"/>
    <w:rsid w:val="00A47065"/>
    <w:rsid w:val="00A50303"/>
    <w:rsid w:val="00A51478"/>
    <w:rsid w:val="00A537AB"/>
    <w:rsid w:val="00A5420E"/>
    <w:rsid w:val="00A5421A"/>
    <w:rsid w:val="00A55EA4"/>
    <w:rsid w:val="00A621FE"/>
    <w:rsid w:val="00A6457F"/>
    <w:rsid w:val="00A67491"/>
    <w:rsid w:val="00A700AC"/>
    <w:rsid w:val="00A863B2"/>
    <w:rsid w:val="00A86D4A"/>
    <w:rsid w:val="00A91AA5"/>
    <w:rsid w:val="00A927BC"/>
    <w:rsid w:val="00A92F48"/>
    <w:rsid w:val="00A973B7"/>
    <w:rsid w:val="00A979A8"/>
    <w:rsid w:val="00AA3342"/>
    <w:rsid w:val="00AA33E6"/>
    <w:rsid w:val="00AB4999"/>
    <w:rsid w:val="00AB5E02"/>
    <w:rsid w:val="00AC114D"/>
    <w:rsid w:val="00AC17C2"/>
    <w:rsid w:val="00AC3588"/>
    <w:rsid w:val="00AC36FF"/>
    <w:rsid w:val="00AC4644"/>
    <w:rsid w:val="00AC56CD"/>
    <w:rsid w:val="00AC7C11"/>
    <w:rsid w:val="00AD2EC0"/>
    <w:rsid w:val="00AD30D4"/>
    <w:rsid w:val="00AD36C2"/>
    <w:rsid w:val="00AD4CB8"/>
    <w:rsid w:val="00AD5D01"/>
    <w:rsid w:val="00AD649F"/>
    <w:rsid w:val="00AD7F64"/>
    <w:rsid w:val="00AE35CB"/>
    <w:rsid w:val="00AE77AE"/>
    <w:rsid w:val="00AF1C37"/>
    <w:rsid w:val="00AF611F"/>
    <w:rsid w:val="00B006AF"/>
    <w:rsid w:val="00B01755"/>
    <w:rsid w:val="00B04D01"/>
    <w:rsid w:val="00B0779B"/>
    <w:rsid w:val="00B07DEE"/>
    <w:rsid w:val="00B147D7"/>
    <w:rsid w:val="00B15840"/>
    <w:rsid w:val="00B21443"/>
    <w:rsid w:val="00B30D96"/>
    <w:rsid w:val="00B30E0B"/>
    <w:rsid w:val="00B319AC"/>
    <w:rsid w:val="00B3282A"/>
    <w:rsid w:val="00B329D0"/>
    <w:rsid w:val="00B339BC"/>
    <w:rsid w:val="00B339E1"/>
    <w:rsid w:val="00B354C6"/>
    <w:rsid w:val="00B441C2"/>
    <w:rsid w:val="00B4590B"/>
    <w:rsid w:val="00B45B7B"/>
    <w:rsid w:val="00B45C52"/>
    <w:rsid w:val="00B4628C"/>
    <w:rsid w:val="00B46544"/>
    <w:rsid w:val="00B47EF0"/>
    <w:rsid w:val="00B5164D"/>
    <w:rsid w:val="00B51E5E"/>
    <w:rsid w:val="00B53C06"/>
    <w:rsid w:val="00B545CA"/>
    <w:rsid w:val="00B579D1"/>
    <w:rsid w:val="00B60923"/>
    <w:rsid w:val="00B61BB3"/>
    <w:rsid w:val="00B647BA"/>
    <w:rsid w:val="00B6760E"/>
    <w:rsid w:val="00B72EAB"/>
    <w:rsid w:val="00B738B1"/>
    <w:rsid w:val="00B763D1"/>
    <w:rsid w:val="00B77AC4"/>
    <w:rsid w:val="00B84412"/>
    <w:rsid w:val="00B8443A"/>
    <w:rsid w:val="00B86C90"/>
    <w:rsid w:val="00B86F00"/>
    <w:rsid w:val="00B87060"/>
    <w:rsid w:val="00B917E9"/>
    <w:rsid w:val="00B91C2E"/>
    <w:rsid w:val="00B91DDA"/>
    <w:rsid w:val="00B942F5"/>
    <w:rsid w:val="00B9714E"/>
    <w:rsid w:val="00BA2272"/>
    <w:rsid w:val="00BA3AE5"/>
    <w:rsid w:val="00BA414E"/>
    <w:rsid w:val="00BA4C91"/>
    <w:rsid w:val="00BB077B"/>
    <w:rsid w:val="00BB2150"/>
    <w:rsid w:val="00BB5EE7"/>
    <w:rsid w:val="00BB7B49"/>
    <w:rsid w:val="00BC163B"/>
    <w:rsid w:val="00BC385F"/>
    <w:rsid w:val="00BD19FD"/>
    <w:rsid w:val="00BD26B8"/>
    <w:rsid w:val="00BD6691"/>
    <w:rsid w:val="00BD6D2A"/>
    <w:rsid w:val="00BD6FC0"/>
    <w:rsid w:val="00BE1402"/>
    <w:rsid w:val="00BE22A8"/>
    <w:rsid w:val="00BE3819"/>
    <w:rsid w:val="00BE3E47"/>
    <w:rsid w:val="00BF0CA2"/>
    <w:rsid w:val="00BF3148"/>
    <w:rsid w:val="00BF64E6"/>
    <w:rsid w:val="00BF6D2F"/>
    <w:rsid w:val="00C021E7"/>
    <w:rsid w:val="00C033CE"/>
    <w:rsid w:val="00C037CD"/>
    <w:rsid w:val="00C06934"/>
    <w:rsid w:val="00C1072D"/>
    <w:rsid w:val="00C17C5F"/>
    <w:rsid w:val="00C201AF"/>
    <w:rsid w:val="00C25001"/>
    <w:rsid w:val="00C257D1"/>
    <w:rsid w:val="00C27384"/>
    <w:rsid w:val="00C30CB6"/>
    <w:rsid w:val="00C348B5"/>
    <w:rsid w:val="00C37148"/>
    <w:rsid w:val="00C37D07"/>
    <w:rsid w:val="00C427E2"/>
    <w:rsid w:val="00C42A11"/>
    <w:rsid w:val="00C51C1E"/>
    <w:rsid w:val="00C54906"/>
    <w:rsid w:val="00C618DB"/>
    <w:rsid w:val="00C63032"/>
    <w:rsid w:val="00C65FEB"/>
    <w:rsid w:val="00C667F2"/>
    <w:rsid w:val="00C669B5"/>
    <w:rsid w:val="00C70244"/>
    <w:rsid w:val="00C720AD"/>
    <w:rsid w:val="00C74C27"/>
    <w:rsid w:val="00C74D35"/>
    <w:rsid w:val="00C77838"/>
    <w:rsid w:val="00C80C0B"/>
    <w:rsid w:val="00C810DD"/>
    <w:rsid w:val="00C83D31"/>
    <w:rsid w:val="00C848C1"/>
    <w:rsid w:val="00C913D8"/>
    <w:rsid w:val="00C92BAA"/>
    <w:rsid w:val="00C92E62"/>
    <w:rsid w:val="00C9307D"/>
    <w:rsid w:val="00C93FC8"/>
    <w:rsid w:val="00C9425E"/>
    <w:rsid w:val="00C9575D"/>
    <w:rsid w:val="00CA0D95"/>
    <w:rsid w:val="00CA203D"/>
    <w:rsid w:val="00CA2A13"/>
    <w:rsid w:val="00CA2B75"/>
    <w:rsid w:val="00CA476F"/>
    <w:rsid w:val="00CA7CF6"/>
    <w:rsid w:val="00CB355F"/>
    <w:rsid w:val="00CB39DD"/>
    <w:rsid w:val="00CC0029"/>
    <w:rsid w:val="00CC155A"/>
    <w:rsid w:val="00CC7013"/>
    <w:rsid w:val="00CD3D92"/>
    <w:rsid w:val="00CD496C"/>
    <w:rsid w:val="00CD4C71"/>
    <w:rsid w:val="00CD630A"/>
    <w:rsid w:val="00CD744C"/>
    <w:rsid w:val="00CE54AC"/>
    <w:rsid w:val="00CE6A99"/>
    <w:rsid w:val="00CE796F"/>
    <w:rsid w:val="00CE7C40"/>
    <w:rsid w:val="00CF5642"/>
    <w:rsid w:val="00CF5833"/>
    <w:rsid w:val="00CF7C60"/>
    <w:rsid w:val="00D016C7"/>
    <w:rsid w:val="00D0204D"/>
    <w:rsid w:val="00D0444F"/>
    <w:rsid w:val="00D071EC"/>
    <w:rsid w:val="00D07938"/>
    <w:rsid w:val="00D1182C"/>
    <w:rsid w:val="00D11AC4"/>
    <w:rsid w:val="00D12FC8"/>
    <w:rsid w:val="00D1460A"/>
    <w:rsid w:val="00D1519E"/>
    <w:rsid w:val="00D15A25"/>
    <w:rsid w:val="00D20C79"/>
    <w:rsid w:val="00D2298C"/>
    <w:rsid w:val="00D234E0"/>
    <w:rsid w:val="00D24545"/>
    <w:rsid w:val="00D266F0"/>
    <w:rsid w:val="00D30D59"/>
    <w:rsid w:val="00D3250C"/>
    <w:rsid w:val="00D32CBE"/>
    <w:rsid w:val="00D33B82"/>
    <w:rsid w:val="00D365EF"/>
    <w:rsid w:val="00D37038"/>
    <w:rsid w:val="00D373C2"/>
    <w:rsid w:val="00D43158"/>
    <w:rsid w:val="00D43A93"/>
    <w:rsid w:val="00D44774"/>
    <w:rsid w:val="00D456D5"/>
    <w:rsid w:val="00D4707C"/>
    <w:rsid w:val="00D50925"/>
    <w:rsid w:val="00D5334A"/>
    <w:rsid w:val="00D564AD"/>
    <w:rsid w:val="00D611E9"/>
    <w:rsid w:val="00D62508"/>
    <w:rsid w:val="00D627AB"/>
    <w:rsid w:val="00D62A09"/>
    <w:rsid w:val="00D62DBD"/>
    <w:rsid w:val="00D641A6"/>
    <w:rsid w:val="00D6538D"/>
    <w:rsid w:val="00D660E2"/>
    <w:rsid w:val="00D6636E"/>
    <w:rsid w:val="00D6748A"/>
    <w:rsid w:val="00D70AF6"/>
    <w:rsid w:val="00D70C75"/>
    <w:rsid w:val="00D71E9A"/>
    <w:rsid w:val="00D725CC"/>
    <w:rsid w:val="00D74E8B"/>
    <w:rsid w:val="00D7647A"/>
    <w:rsid w:val="00D76FD6"/>
    <w:rsid w:val="00D779A9"/>
    <w:rsid w:val="00D77A54"/>
    <w:rsid w:val="00D82FB2"/>
    <w:rsid w:val="00D8523C"/>
    <w:rsid w:val="00D854B1"/>
    <w:rsid w:val="00D85F5A"/>
    <w:rsid w:val="00D86AC0"/>
    <w:rsid w:val="00D92726"/>
    <w:rsid w:val="00D938A7"/>
    <w:rsid w:val="00D948ED"/>
    <w:rsid w:val="00DA0858"/>
    <w:rsid w:val="00DA0C29"/>
    <w:rsid w:val="00DA11E2"/>
    <w:rsid w:val="00DA29A4"/>
    <w:rsid w:val="00DA2F1D"/>
    <w:rsid w:val="00DA6AB0"/>
    <w:rsid w:val="00DB20A7"/>
    <w:rsid w:val="00DB33BA"/>
    <w:rsid w:val="00DB5064"/>
    <w:rsid w:val="00DC5547"/>
    <w:rsid w:val="00DC582C"/>
    <w:rsid w:val="00DD0862"/>
    <w:rsid w:val="00DD25BF"/>
    <w:rsid w:val="00DD3180"/>
    <w:rsid w:val="00DD44B3"/>
    <w:rsid w:val="00DD6946"/>
    <w:rsid w:val="00DE5605"/>
    <w:rsid w:val="00DE5ED6"/>
    <w:rsid w:val="00DE65B0"/>
    <w:rsid w:val="00DE6FE0"/>
    <w:rsid w:val="00DF346A"/>
    <w:rsid w:val="00DF3F56"/>
    <w:rsid w:val="00DF4375"/>
    <w:rsid w:val="00DF5094"/>
    <w:rsid w:val="00DF532F"/>
    <w:rsid w:val="00DF77BC"/>
    <w:rsid w:val="00E01A42"/>
    <w:rsid w:val="00E02BEC"/>
    <w:rsid w:val="00E0312B"/>
    <w:rsid w:val="00E03E45"/>
    <w:rsid w:val="00E041C3"/>
    <w:rsid w:val="00E04864"/>
    <w:rsid w:val="00E07D26"/>
    <w:rsid w:val="00E1370D"/>
    <w:rsid w:val="00E13D4B"/>
    <w:rsid w:val="00E15291"/>
    <w:rsid w:val="00E16CC7"/>
    <w:rsid w:val="00E17672"/>
    <w:rsid w:val="00E21F92"/>
    <w:rsid w:val="00E25368"/>
    <w:rsid w:val="00E3051D"/>
    <w:rsid w:val="00E331E9"/>
    <w:rsid w:val="00E3650C"/>
    <w:rsid w:val="00E36D37"/>
    <w:rsid w:val="00E36F13"/>
    <w:rsid w:val="00E41E88"/>
    <w:rsid w:val="00E42235"/>
    <w:rsid w:val="00E45DD7"/>
    <w:rsid w:val="00E4743F"/>
    <w:rsid w:val="00E50A4F"/>
    <w:rsid w:val="00E5181E"/>
    <w:rsid w:val="00E53785"/>
    <w:rsid w:val="00E543A0"/>
    <w:rsid w:val="00E5750B"/>
    <w:rsid w:val="00E57BCB"/>
    <w:rsid w:val="00E63AF6"/>
    <w:rsid w:val="00E659AA"/>
    <w:rsid w:val="00E66FD0"/>
    <w:rsid w:val="00E72B40"/>
    <w:rsid w:val="00E72C60"/>
    <w:rsid w:val="00E75B47"/>
    <w:rsid w:val="00E774D6"/>
    <w:rsid w:val="00E81521"/>
    <w:rsid w:val="00E85A1A"/>
    <w:rsid w:val="00E863E1"/>
    <w:rsid w:val="00E87650"/>
    <w:rsid w:val="00E900DF"/>
    <w:rsid w:val="00E94A88"/>
    <w:rsid w:val="00E9726F"/>
    <w:rsid w:val="00EA26CF"/>
    <w:rsid w:val="00EA2F9C"/>
    <w:rsid w:val="00EA3FD4"/>
    <w:rsid w:val="00EA4F92"/>
    <w:rsid w:val="00EA50A6"/>
    <w:rsid w:val="00EA7DC2"/>
    <w:rsid w:val="00EB1293"/>
    <w:rsid w:val="00EB144D"/>
    <w:rsid w:val="00EB4879"/>
    <w:rsid w:val="00EB7354"/>
    <w:rsid w:val="00EB73E5"/>
    <w:rsid w:val="00EB7609"/>
    <w:rsid w:val="00EC1BC0"/>
    <w:rsid w:val="00EC2545"/>
    <w:rsid w:val="00EC30EB"/>
    <w:rsid w:val="00ED11F6"/>
    <w:rsid w:val="00ED504D"/>
    <w:rsid w:val="00EE1A22"/>
    <w:rsid w:val="00EE1D51"/>
    <w:rsid w:val="00EE2CF1"/>
    <w:rsid w:val="00EE40C3"/>
    <w:rsid w:val="00EE624D"/>
    <w:rsid w:val="00EE6C2C"/>
    <w:rsid w:val="00EE7514"/>
    <w:rsid w:val="00EF14F5"/>
    <w:rsid w:val="00EF1940"/>
    <w:rsid w:val="00EF1ADB"/>
    <w:rsid w:val="00EF1CA2"/>
    <w:rsid w:val="00EF3BDA"/>
    <w:rsid w:val="00EF4BA4"/>
    <w:rsid w:val="00EF6A16"/>
    <w:rsid w:val="00EF6FC4"/>
    <w:rsid w:val="00EF793D"/>
    <w:rsid w:val="00F00FAB"/>
    <w:rsid w:val="00F03A01"/>
    <w:rsid w:val="00F068AC"/>
    <w:rsid w:val="00F11025"/>
    <w:rsid w:val="00F1181C"/>
    <w:rsid w:val="00F11A6A"/>
    <w:rsid w:val="00F15315"/>
    <w:rsid w:val="00F179AD"/>
    <w:rsid w:val="00F21DCA"/>
    <w:rsid w:val="00F22F63"/>
    <w:rsid w:val="00F25BC3"/>
    <w:rsid w:val="00F33AC1"/>
    <w:rsid w:val="00F33B06"/>
    <w:rsid w:val="00F416A9"/>
    <w:rsid w:val="00F45813"/>
    <w:rsid w:val="00F47388"/>
    <w:rsid w:val="00F56118"/>
    <w:rsid w:val="00F571ED"/>
    <w:rsid w:val="00F66D3E"/>
    <w:rsid w:val="00F67127"/>
    <w:rsid w:val="00F67855"/>
    <w:rsid w:val="00F71336"/>
    <w:rsid w:val="00F720C9"/>
    <w:rsid w:val="00F72D6A"/>
    <w:rsid w:val="00F73F19"/>
    <w:rsid w:val="00F74F65"/>
    <w:rsid w:val="00F75270"/>
    <w:rsid w:val="00F75296"/>
    <w:rsid w:val="00F80C7E"/>
    <w:rsid w:val="00F81713"/>
    <w:rsid w:val="00F84A0D"/>
    <w:rsid w:val="00F92F7D"/>
    <w:rsid w:val="00F93E88"/>
    <w:rsid w:val="00F9400F"/>
    <w:rsid w:val="00FA2A01"/>
    <w:rsid w:val="00FA687F"/>
    <w:rsid w:val="00FB0B25"/>
    <w:rsid w:val="00FB0D58"/>
    <w:rsid w:val="00FB1B12"/>
    <w:rsid w:val="00FB3508"/>
    <w:rsid w:val="00FB3742"/>
    <w:rsid w:val="00FB3E74"/>
    <w:rsid w:val="00FB4221"/>
    <w:rsid w:val="00FB452E"/>
    <w:rsid w:val="00FB66BD"/>
    <w:rsid w:val="00FC284C"/>
    <w:rsid w:val="00FC349F"/>
    <w:rsid w:val="00FC37BE"/>
    <w:rsid w:val="00FC3C6B"/>
    <w:rsid w:val="00FC62BC"/>
    <w:rsid w:val="00FD10F8"/>
    <w:rsid w:val="00FD2ACF"/>
    <w:rsid w:val="00FD4A52"/>
    <w:rsid w:val="00FE18B8"/>
    <w:rsid w:val="00FE3B2B"/>
    <w:rsid w:val="00FE416C"/>
    <w:rsid w:val="00FE5154"/>
    <w:rsid w:val="00FE5415"/>
    <w:rsid w:val="00FF163A"/>
    <w:rsid w:val="00FF461A"/>
    <w:rsid w:val="00FF5314"/>
    <w:rsid w:val="00FF7F31"/>
    <w:rsid w:val="27E110EB"/>
    <w:rsid w:val="3FEC4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FF0000"/>
    </o:shapedefaults>
    <o:shapelayout v:ext="edit">
      <o:idmap v:ext="edit" data="1"/>
      <o:rules v:ext="edit">
        <o:r id="V:Rule1" type="connector" idref="#直接箭头连接符 2"/>
        <o:r id="V:Rule2" type="connector" idref="#直接箭头连接符 1"/>
        <o:r id="V:Rule3" type="connector" idref="#_x0000_s1676"/>
        <o:r id="V:Rule4" type="connector" idref="#_x0000_s1696"/>
        <o:r id="V:Rule5" type="connector" idref="#_x0000_s169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iPriority="99" w:semiHidden="0" w:name="header"/>
    <w:lsdException w:qFormat="1" w:uiPriority="99"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35"/>
    <w:qFormat/>
    <w:uiPriority w:val="0"/>
    <w:pPr>
      <w:ind w:firstLine="420"/>
    </w:pPr>
  </w:style>
  <w:style w:type="paragraph" w:styleId="3">
    <w:name w:val="caption"/>
    <w:basedOn w:val="1"/>
    <w:next w:val="1"/>
    <w:qFormat/>
    <w:uiPriority w:val="0"/>
    <w:rPr>
      <w:rFonts w:ascii="Arial" w:hAnsi="Arial" w:eastAsia="黑体"/>
      <w:sz w:val="20"/>
      <w:szCs w:val="20"/>
    </w:rPr>
  </w:style>
  <w:style w:type="paragraph" w:styleId="4">
    <w:name w:val="annotation text"/>
    <w:basedOn w:val="1"/>
    <w:semiHidden/>
    <w:qFormat/>
    <w:uiPriority w:val="0"/>
    <w:pPr>
      <w:jc w:val="left"/>
    </w:pPr>
  </w:style>
  <w:style w:type="paragraph" w:styleId="5">
    <w:name w:val="Body Text"/>
    <w:basedOn w:val="1"/>
    <w:link w:val="39"/>
    <w:qFormat/>
    <w:uiPriority w:val="0"/>
    <w:pPr>
      <w:spacing w:after="120"/>
    </w:pPr>
    <w:rPr>
      <w:szCs w:val="20"/>
    </w:rPr>
  </w:style>
  <w:style w:type="paragraph" w:styleId="6">
    <w:name w:val="Body Text Indent"/>
    <w:basedOn w:val="1"/>
    <w:qFormat/>
    <w:uiPriority w:val="0"/>
    <w:pPr>
      <w:ind w:firstLine="560"/>
      <w:jc w:val="left"/>
    </w:pPr>
    <w:rPr>
      <w:sz w:val="28"/>
    </w:rPr>
  </w:style>
  <w:style w:type="paragraph" w:styleId="7">
    <w:name w:val="Plain Text"/>
    <w:basedOn w:val="1"/>
    <w:link w:val="40"/>
    <w:qFormat/>
    <w:uiPriority w:val="0"/>
    <w:rPr>
      <w:rFonts w:ascii="宋体" w:hAnsi="宋体"/>
      <w:szCs w:val="20"/>
    </w:rPr>
  </w:style>
  <w:style w:type="paragraph" w:styleId="8">
    <w:name w:val="Date"/>
    <w:basedOn w:val="1"/>
    <w:next w:val="1"/>
    <w:link w:val="42"/>
    <w:qFormat/>
    <w:uiPriority w:val="0"/>
    <w:pPr>
      <w:textAlignment w:val="baseline"/>
    </w:pPr>
    <w:rPr>
      <w:sz w:val="24"/>
      <w:szCs w:val="20"/>
    </w:rPr>
  </w:style>
  <w:style w:type="paragraph" w:styleId="9">
    <w:name w:val="Body Text Indent 2"/>
    <w:basedOn w:val="1"/>
    <w:qFormat/>
    <w:uiPriority w:val="0"/>
    <w:pPr>
      <w:ind w:firstLine="560"/>
    </w:pPr>
    <w:rPr>
      <w:bCs/>
      <w:sz w:val="28"/>
    </w:rPr>
  </w:style>
  <w:style w:type="paragraph" w:styleId="10">
    <w:name w:val="Balloon Text"/>
    <w:basedOn w:val="1"/>
    <w:link w:val="43"/>
    <w:semiHidden/>
    <w:qFormat/>
    <w:uiPriority w:val="0"/>
    <w:rPr>
      <w:sz w:val="18"/>
      <w:szCs w:val="18"/>
    </w:rPr>
  </w:style>
  <w:style w:type="paragraph" w:styleId="11">
    <w:name w:val="footer"/>
    <w:basedOn w:val="1"/>
    <w:link w:val="142"/>
    <w:semiHidden/>
    <w:unhideWhenUsed/>
    <w:qFormat/>
    <w:uiPriority w:val="99"/>
    <w:pPr>
      <w:tabs>
        <w:tab w:val="center" w:pos="4153"/>
        <w:tab w:val="right" w:pos="8306"/>
      </w:tabs>
      <w:snapToGrid w:val="0"/>
      <w:jc w:val="left"/>
    </w:pPr>
    <w:rPr>
      <w:sz w:val="18"/>
      <w:szCs w:val="18"/>
    </w:rPr>
  </w:style>
  <w:style w:type="paragraph" w:styleId="12">
    <w:name w:val="header"/>
    <w:basedOn w:val="1"/>
    <w:link w:val="14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5"/>
    <w:qFormat/>
    <w:uiPriority w:val="0"/>
    <w:rPr>
      <w:rFonts w:cs="Arial"/>
    </w:rPr>
  </w:style>
  <w:style w:type="paragraph" w:styleId="14">
    <w:name w:val="Body Text Indent 3"/>
    <w:basedOn w:val="1"/>
    <w:qFormat/>
    <w:uiPriority w:val="0"/>
    <w:pPr>
      <w:spacing w:after="120"/>
      <w:ind w:left="420"/>
    </w:pPr>
    <w:rPr>
      <w:sz w:val="16"/>
      <w:szCs w:val="16"/>
    </w:rPr>
  </w:style>
  <w:style w:type="paragraph" w:styleId="15">
    <w:name w:val="Body Text 2"/>
    <w:basedOn w:val="1"/>
    <w:link w:val="41"/>
    <w:qFormat/>
    <w:uiPriority w:val="0"/>
    <w:pPr>
      <w:spacing w:after="120" w:line="480" w:lineRule="auto"/>
    </w:pPr>
  </w:style>
  <w:style w:type="paragraph" w:styleId="16">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7">
    <w:name w:val="Normal (Web)"/>
    <w:basedOn w:val="1"/>
    <w:qFormat/>
    <w:uiPriority w:val="0"/>
    <w:pPr>
      <w:widowControl/>
      <w:spacing w:beforeAutospacing="1" w:afterAutospacing="1"/>
      <w:jc w:val="left"/>
    </w:pPr>
    <w:rPr>
      <w:rFonts w:ascii="宋体" w:hAnsi="宋体"/>
      <w:kern w:val="0"/>
      <w:sz w:val="24"/>
      <w:szCs w:val="20"/>
    </w:rPr>
  </w:style>
  <w:style w:type="paragraph" w:styleId="18">
    <w:name w:val="annotation subject"/>
    <w:basedOn w:val="4"/>
    <w:next w:val="4"/>
    <w:semiHidden/>
    <w:qFormat/>
    <w:uiPriority w:val="0"/>
    <w:rPr>
      <w:b/>
      <w:bCs/>
    </w:rPr>
  </w:style>
  <w:style w:type="table" w:styleId="20">
    <w:name w:val="Table Grid"/>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22"/>
    <w:rPr>
      <w:rFonts w:cs="Times New Roman"/>
      <w:b/>
      <w:bCs/>
    </w:rPr>
  </w:style>
  <w:style w:type="character" w:styleId="23">
    <w:name w:val="page number"/>
    <w:basedOn w:val="21"/>
    <w:qFormat/>
    <w:uiPriority w:val="0"/>
  </w:style>
  <w:style w:type="character" w:styleId="24">
    <w:name w:val="annotation reference"/>
    <w:semiHidden/>
    <w:qFormat/>
    <w:uiPriority w:val="0"/>
    <w:rPr>
      <w:sz w:val="21"/>
      <w:szCs w:val="21"/>
    </w:rPr>
  </w:style>
  <w:style w:type="paragraph" w:customStyle="1" w:styleId="25">
    <w:name w:val="Heading 1"/>
    <w:basedOn w:val="1"/>
    <w:next w:val="1"/>
    <w:qFormat/>
    <w:uiPriority w:val="0"/>
    <w:pPr>
      <w:keepNext/>
      <w:pageBreakBefore/>
      <w:tabs>
        <w:tab w:val="left" w:pos="1080"/>
      </w:tabs>
      <w:spacing w:before="340" w:after="330" w:line="578" w:lineRule="auto"/>
      <w:ind w:left="432" w:hanging="432"/>
      <w:jc w:val="center"/>
      <w:outlineLvl w:val="0"/>
    </w:pPr>
    <w:rPr>
      <w:rFonts w:eastAsia="黑体"/>
      <w:b/>
      <w:sz w:val="36"/>
      <w:szCs w:val="20"/>
    </w:rPr>
  </w:style>
  <w:style w:type="paragraph" w:customStyle="1" w:styleId="26">
    <w:name w:val="Heading 2"/>
    <w:basedOn w:val="1"/>
    <w:next w:val="2"/>
    <w:qFormat/>
    <w:uiPriority w:val="0"/>
    <w:pPr>
      <w:keepNext/>
      <w:keepLines/>
      <w:tabs>
        <w:tab w:val="left" w:pos="576"/>
      </w:tabs>
      <w:spacing w:before="260" w:line="415" w:lineRule="auto"/>
      <w:ind w:left="576" w:hanging="576"/>
      <w:outlineLvl w:val="1"/>
    </w:pPr>
    <w:rPr>
      <w:b/>
      <w:sz w:val="28"/>
      <w:szCs w:val="20"/>
    </w:rPr>
  </w:style>
  <w:style w:type="paragraph" w:customStyle="1" w:styleId="27">
    <w:name w:val="Heading 3"/>
    <w:basedOn w:val="1"/>
    <w:next w:val="2"/>
    <w:qFormat/>
    <w:uiPriority w:val="0"/>
    <w:pPr>
      <w:keepNext/>
      <w:keepLines/>
      <w:tabs>
        <w:tab w:val="left" w:pos="720"/>
      </w:tabs>
      <w:spacing w:before="120" w:after="120" w:line="415" w:lineRule="auto"/>
      <w:ind w:left="720" w:hanging="720"/>
      <w:outlineLvl w:val="2"/>
    </w:pPr>
    <w:rPr>
      <w:rFonts w:eastAsia="KaiTi_GB2312"/>
      <w:b/>
      <w:sz w:val="28"/>
      <w:szCs w:val="20"/>
    </w:rPr>
  </w:style>
  <w:style w:type="paragraph" w:customStyle="1" w:styleId="28">
    <w:name w:val="Heading 4"/>
    <w:basedOn w:val="1"/>
    <w:next w:val="2"/>
    <w:qFormat/>
    <w:uiPriority w:val="0"/>
    <w:pPr>
      <w:keepNext/>
      <w:keepLines/>
      <w:snapToGrid w:val="0"/>
      <w:textAlignment w:val="baseline"/>
      <w:outlineLvl w:val="3"/>
    </w:pPr>
    <w:rPr>
      <w:rFonts w:ascii="黑体" w:hAnsi="黑体" w:eastAsia="黑体"/>
      <w:b/>
      <w:kern w:val="0"/>
      <w:sz w:val="28"/>
    </w:rPr>
  </w:style>
  <w:style w:type="paragraph" w:customStyle="1" w:styleId="29">
    <w:name w:val="Heading 5"/>
    <w:basedOn w:val="1"/>
    <w:next w:val="2"/>
    <w:qFormat/>
    <w:uiPriority w:val="0"/>
    <w:pPr>
      <w:keepNext/>
      <w:keepLines/>
      <w:tabs>
        <w:tab w:val="left" w:pos="1440"/>
      </w:tabs>
      <w:spacing w:before="280" w:after="290" w:line="374" w:lineRule="auto"/>
      <w:ind w:left="1008" w:hanging="1008"/>
      <w:outlineLvl w:val="4"/>
    </w:pPr>
    <w:rPr>
      <w:b/>
      <w:sz w:val="28"/>
      <w:szCs w:val="20"/>
    </w:rPr>
  </w:style>
  <w:style w:type="paragraph" w:customStyle="1" w:styleId="30">
    <w:name w:val="Heading 6"/>
    <w:basedOn w:val="1"/>
    <w:next w:val="2"/>
    <w:qFormat/>
    <w:uiPriority w:val="0"/>
    <w:pPr>
      <w:keepNext/>
      <w:keepLines/>
      <w:tabs>
        <w:tab w:val="left" w:pos="1800"/>
      </w:tabs>
      <w:spacing w:before="240" w:after="64" w:line="319" w:lineRule="auto"/>
      <w:ind w:left="1152" w:hanging="1152"/>
      <w:outlineLvl w:val="5"/>
    </w:pPr>
    <w:rPr>
      <w:rFonts w:ascii="Arial" w:hAnsi="Arial" w:eastAsia="黑体"/>
      <w:b/>
      <w:sz w:val="24"/>
      <w:szCs w:val="20"/>
    </w:rPr>
  </w:style>
  <w:style w:type="paragraph" w:customStyle="1" w:styleId="31">
    <w:name w:val="Heading 7"/>
    <w:basedOn w:val="1"/>
    <w:next w:val="2"/>
    <w:qFormat/>
    <w:uiPriority w:val="0"/>
    <w:pPr>
      <w:keepNext/>
      <w:keepLines/>
      <w:tabs>
        <w:tab w:val="left" w:pos="1800"/>
      </w:tabs>
      <w:spacing w:before="240" w:after="64" w:line="319" w:lineRule="auto"/>
      <w:ind w:left="1296" w:hanging="1296"/>
      <w:outlineLvl w:val="6"/>
    </w:pPr>
    <w:rPr>
      <w:b/>
      <w:sz w:val="24"/>
      <w:szCs w:val="20"/>
    </w:rPr>
  </w:style>
  <w:style w:type="paragraph" w:customStyle="1" w:styleId="32">
    <w:name w:val="Heading 8"/>
    <w:basedOn w:val="1"/>
    <w:next w:val="2"/>
    <w:qFormat/>
    <w:uiPriority w:val="0"/>
    <w:pPr>
      <w:keepNext/>
      <w:keepLines/>
      <w:tabs>
        <w:tab w:val="left" w:pos="2160"/>
      </w:tabs>
      <w:spacing w:before="240" w:after="64" w:line="319" w:lineRule="auto"/>
      <w:ind w:left="1440" w:hanging="1440"/>
      <w:outlineLvl w:val="7"/>
    </w:pPr>
    <w:rPr>
      <w:rFonts w:ascii="Arial" w:hAnsi="Arial" w:eastAsia="黑体"/>
      <w:sz w:val="24"/>
      <w:szCs w:val="20"/>
    </w:rPr>
  </w:style>
  <w:style w:type="paragraph" w:customStyle="1" w:styleId="33">
    <w:name w:val="Heading 9"/>
    <w:basedOn w:val="1"/>
    <w:next w:val="2"/>
    <w:qFormat/>
    <w:uiPriority w:val="0"/>
    <w:pPr>
      <w:keepNext/>
      <w:keepLines/>
      <w:tabs>
        <w:tab w:val="left" w:pos="2520"/>
      </w:tabs>
      <w:spacing w:before="240" w:after="64" w:line="319" w:lineRule="auto"/>
      <w:ind w:left="1584" w:hanging="1584"/>
      <w:outlineLvl w:val="8"/>
    </w:pPr>
    <w:rPr>
      <w:rFonts w:ascii="Arial" w:hAnsi="Arial" w:eastAsia="黑体"/>
      <w:sz w:val="28"/>
      <w:szCs w:val="20"/>
    </w:rPr>
  </w:style>
  <w:style w:type="character" w:customStyle="1" w:styleId="34">
    <w:name w:val="Internet 链接"/>
    <w:qFormat/>
    <w:uiPriority w:val="0"/>
    <w:rPr>
      <w:color w:val="0000CC"/>
      <w:u w:val="single"/>
    </w:rPr>
  </w:style>
  <w:style w:type="character" w:customStyle="1" w:styleId="35">
    <w:name w:val="正文缩进 Char"/>
    <w:link w:val="2"/>
    <w:qFormat/>
    <w:uiPriority w:val="0"/>
    <w:rPr>
      <w:rFonts w:eastAsia="宋体"/>
      <w:kern w:val="2"/>
      <w:sz w:val="18"/>
      <w:szCs w:val="24"/>
      <w:lang w:val="en-US" w:eastAsia="zh-CN" w:bidi="ar-SA"/>
    </w:rPr>
  </w:style>
  <w:style w:type="character" w:customStyle="1" w:styleId="36">
    <w:name w:val="普通文字 Char Char"/>
    <w:qFormat/>
    <w:uiPriority w:val="0"/>
    <w:rPr>
      <w:rFonts w:ascii="宋体" w:hAnsi="宋体" w:eastAsia="宋体" w:cs="Courier New"/>
      <w:kern w:val="2"/>
      <w:sz w:val="21"/>
      <w:szCs w:val="21"/>
      <w:lang w:val="en-US" w:eastAsia="zh-CN" w:bidi="ar-SA"/>
    </w:rPr>
  </w:style>
  <w:style w:type="character" w:customStyle="1" w:styleId="37">
    <w:name w:val="Char Char1"/>
    <w:qFormat/>
    <w:uiPriority w:val="0"/>
    <w:rPr>
      <w:kern w:val="2"/>
      <w:sz w:val="21"/>
    </w:rPr>
  </w:style>
  <w:style w:type="character" w:customStyle="1" w:styleId="38">
    <w:name w:val="font91"/>
    <w:qFormat/>
    <w:uiPriority w:val="0"/>
    <w:rPr>
      <w:rFonts w:ascii="宋体" w:hAnsi="宋体" w:eastAsia="宋体" w:cs="宋体"/>
      <w:color w:val="000000"/>
      <w:sz w:val="22"/>
      <w:szCs w:val="22"/>
      <w:u w:val="none"/>
    </w:rPr>
  </w:style>
  <w:style w:type="character" w:customStyle="1" w:styleId="39">
    <w:name w:val="正文文本 Char1"/>
    <w:link w:val="5"/>
    <w:qFormat/>
    <w:uiPriority w:val="0"/>
    <w:rPr>
      <w:rFonts w:ascii="宋体" w:hAnsi="宋体" w:eastAsia="宋体" w:cs="Courier New"/>
      <w:kern w:val="2"/>
      <w:sz w:val="28"/>
      <w:szCs w:val="21"/>
      <w:lang w:val="en-US" w:eastAsia="zh-CN" w:bidi="ar-SA"/>
    </w:rPr>
  </w:style>
  <w:style w:type="character" w:customStyle="1" w:styleId="40">
    <w:name w:val="纯文本 Char1"/>
    <w:link w:val="7"/>
    <w:qFormat/>
    <w:uiPriority w:val="99"/>
    <w:rPr>
      <w:rFonts w:eastAsia="宋体"/>
      <w:kern w:val="2"/>
      <w:sz w:val="18"/>
      <w:szCs w:val="24"/>
      <w:lang w:val="en-US" w:eastAsia="zh-CN" w:bidi="ar-SA"/>
    </w:rPr>
  </w:style>
  <w:style w:type="character" w:customStyle="1" w:styleId="41">
    <w:name w:val="正文文本 2 Char"/>
    <w:link w:val="15"/>
    <w:qFormat/>
    <w:uiPriority w:val="0"/>
    <w:rPr>
      <w:rFonts w:eastAsia="宋体"/>
      <w:kern w:val="2"/>
      <w:sz w:val="21"/>
      <w:szCs w:val="24"/>
      <w:lang w:val="en-US" w:eastAsia="zh-CN" w:bidi="ar-SA"/>
    </w:rPr>
  </w:style>
  <w:style w:type="character" w:customStyle="1" w:styleId="42">
    <w:name w:val="日期 Char"/>
    <w:link w:val="8"/>
    <w:qFormat/>
    <w:locked/>
    <w:uiPriority w:val="0"/>
    <w:rPr>
      <w:rFonts w:eastAsia="宋体"/>
      <w:kern w:val="2"/>
      <w:sz w:val="21"/>
      <w:szCs w:val="24"/>
      <w:lang w:val="en-US" w:eastAsia="zh-CN" w:bidi="ar-SA"/>
    </w:rPr>
  </w:style>
  <w:style w:type="character" w:customStyle="1" w:styleId="43">
    <w:name w:val="批注框文本 Char1"/>
    <w:link w:val="10"/>
    <w:qFormat/>
    <w:uiPriority w:val="0"/>
    <w:rPr>
      <w:rFonts w:eastAsia="宋体"/>
      <w:kern w:val="2"/>
      <w:sz w:val="24"/>
      <w:lang w:val="en-US" w:eastAsia="zh-CN" w:bidi="ar-SA"/>
    </w:rPr>
  </w:style>
  <w:style w:type="character" w:customStyle="1" w:styleId="44">
    <w:name w:val="正文2 Char"/>
    <w:qFormat/>
    <w:uiPriority w:val="0"/>
    <w:rPr>
      <w:kern w:val="2"/>
      <w:sz w:val="28"/>
    </w:rPr>
  </w:style>
  <w:style w:type="character" w:customStyle="1" w:styleId="45">
    <w:name w:val="font81"/>
    <w:qFormat/>
    <w:uiPriority w:val="0"/>
    <w:rPr>
      <w:rFonts w:ascii="Times New Roman" w:hAnsi="Times New Roman" w:cs="Times New Roman"/>
      <w:color w:val="000000"/>
      <w:sz w:val="22"/>
      <w:szCs w:val="22"/>
      <w:u w:val="none"/>
      <w:vertAlign w:val="superscript"/>
    </w:rPr>
  </w:style>
  <w:style w:type="character" w:customStyle="1" w:styleId="46">
    <w:name w:val="样式1 Char"/>
    <w:link w:val="47"/>
    <w:qFormat/>
    <w:uiPriority w:val="0"/>
    <w:rPr>
      <w:rFonts w:eastAsia="KaiTi_GB2312"/>
      <w:kern w:val="2"/>
      <w:sz w:val="21"/>
      <w:lang w:val="en-US" w:eastAsia="zh-CN" w:bidi="ar-SA"/>
    </w:rPr>
  </w:style>
  <w:style w:type="paragraph" w:customStyle="1" w:styleId="47">
    <w:name w:val="TOC 1"/>
    <w:basedOn w:val="1"/>
    <w:next w:val="1"/>
    <w:link w:val="46"/>
    <w:qFormat/>
    <w:uiPriority w:val="0"/>
    <w:pPr>
      <w:tabs>
        <w:tab w:val="left" w:pos="5760"/>
      </w:tabs>
      <w:snapToGrid w:val="0"/>
      <w:jc w:val="center"/>
    </w:pPr>
    <w:rPr>
      <w:rFonts w:ascii="宋体" w:hAnsi="宋体"/>
      <w:sz w:val="24"/>
      <w:szCs w:val="20"/>
    </w:rPr>
  </w:style>
  <w:style w:type="character" w:customStyle="1" w:styleId="48">
    <w:name w:val="页眉 字符"/>
    <w:qFormat/>
    <w:uiPriority w:val="0"/>
    <w:rPr>
      <w:rFonts w:ascii="Calibri" w:hAnsi="Calibri"/>
      <w:kern w:val="2"/>
      <w:sz w:val="18"/>
      <w:szCs w:val="18"/>
    </w:rPr>
  </w:style>
  <w:style w:type="character" w:customStyle="1" w:styleId="49">
    <w:name w:val="HTML 预设格式 Char"/>
    <w:link w:val="16"/>
    <w:qFormat/>
    <w:uiPriority w:val="0"/>
    <w:rPr>
      <w:rFonts w:ascii="宋体" w:hAnsi="宋体" w:cs="宋体"/>
      <w:sz w:val="24"/>
      <w:szCs w:val="24"/>
    </w:rPr>
  </w:style>
  <w:style w:type="character" w:customStyle="1" w:styleId="50">
    <w:name w:val="font31"/>
    <w:qFormat/>
    <w:uiPriority w:val="0"/>
    <w:rPr>
      <w:rFonts w:ascii="宋体" w:hAnsi="宋体" w:eastAsia="宋体" w:cs="宋体"/>
      <w:color w:val="000000"/>
      <w:sz w:val="24"/>
      <w:szCs w:val="24"/>
      <w:u w:val="none"/>
    </w:rPr>
  </w:style>
  <w:style w:type="character" w:customStyle="1" w:styleId="51">
    <w:name w:val="font71"/>
    <w:qFormat/>
    <w:uiPriority w:val="0"/>
    <w:rPr>
      <w:rFonts w:ascii="Times New Roman" w:hAnsi="Times New Roman" w:cs="Times New Roman"/>
      <w:color w:val="000000"/>
      <w:sz w:val="22"/>
      <w:szCs w:val="22"/>
      <w:u w:val="none"/>
    </w:rPr>
  </w:style>
  <w:style w:type="character" w:customStyle="1" w:styleId="52">
    <w:name w:val="font101"/>
    <w:qFormat/>
    <w:uiPriority w:val="0"/>
    <w:rPr>
      <w:rFonts w:ascii="宋体" w:hAnsi="宋体" w:eastAsia="宋体" w:cs="宋体"/>
      <w:b/>
      <w:color w:val="000000"/>
      <w:sz w:val="32"/>
      <w:szCs w:val="32"/>
      <w:u w:val="none"/>
    </w:rPr>
  </w:style>
  <w:style w:type="character" w:customStyle="1" w:styleId="53">
    <w:name w:val="批注框文本 Char"/>
    <w:link w:val="54"/>
    <w:qFormat/>
    <w:uiPriority w:val="0"/>
    <w:rPr>
      <w:rFonts w:eastAsia="宋体"/>
      <w:kern w:val="2"/>
      <w:sz w:val="18"/>
      <w:szCs w:val="18"/>
      <w:lang w:val="en-US" w:eastAsia="zh-CN" w:bidi="ar-SA"/>
    </w:rPr>
  </w:style>
  <w:style w:type="paragraph" w:customStyle="1" w:styleId="54">
    <w:name w:val="Footer"/>
    <w:basedOn w:val="1"/>
    <w:link w:val="53"/>
    <w:qFormat/>
    <w:uiPriority w:val="99"/>
    <w:pPr>
      <w:tabs>
        <w:tab w:val="center" w:pos="4153"/>
        <w:tab w:val="right" w:pos="8306"/>
      </w:tabs>
      <w:snapToGrid w:val="0"/>
      <w:jc w:val="left"/>
    </w:pPr>
    <w:rPr>
      <w:sz w:val="18"/>
    </w:rPr>
  </w:style>
  <w:style w:type="character" w:customStyle="1" w:styleId="55">
    <w:name w:val="段落 Char Char Char Char Char Char"/>
    <w:link w:val="56"/>
    <w:qFormat/>
    <w:uiPriority w:val="0"/>
    <w:rPr>
      <w:rFonts w:eastAsia="宋体"/>
      <w:kern w:val="2"/>
      <w:sz w:val="21"/>
      <w:szCs w:val="21"/>
      <w:lang w:val="en-US" w:eastAsia="zh-CN" w:bidi="ar-SA"/>
    </w:rPr>
  </w:style>
  <w:style w:type="paragraph" w:customStyle="1" w:styleId="56">
    <w:name w:val="段落 Char Char Char Char Char"/>
    <w:basedOn w:val="7"/>
    <w:link w:val="55"/>
    <w:qFormat/>
    <w:uiPriority w:val="0"/>
    <w:pPr>
      <w:tabs>
        <w:tab w:val="left" w:pos="600"/>
        <w:tab w:val="left" w:pos="720"/>
      </w:tabs>
      <w:snapToGrid w:val="0"/>
      <w:spacing w:line="240" w:lineRule="atLeast"/>
      <w:jc w:val="center"/>
    </w:pPr>
    <w:rPr>
      <w:rFonts w:ascii="Times New Roman" w:hAnsi="Times New Roman"/>
      <w:szCs w:val="21"/>
    </w:rPr>
  </w:style>
  <w:style w:type="character" w:customStyle="1" w:styleId="57">
    <w:name w:val="font21"/>
    <w:qFormat/>
    <w:uiPriority w:val="0"/>
    <w:rPr>
      <w:rFonts w:ascii="宋体" w:hAnsi="宋体" w:eastAsia="宋体" w:cs="宋体"/>
      <w:color w:val="000000"/>
      <w:sz w:val="22"/>
      <w:szCs w:val="22"/>
      <w:u w:val="none"/>
    </w:rPr>
  </w:style>
  <w:style w:type="character" w:customStyle="1" w:styleId="58">
    <w:name w:val="正文1 Char"/>
    <w:link w:val="59"/>
    <w:qFormat/>
    <w:uiPriority w:val="0"/>
    <w:rPr>
      <w:rFonts w:ascii="KaiTi_GB2312" w:hAnsi="KaiTi_GB2312" w:eastAsia="KaiTi_GB2312"/>
      <w:b/>
      <w:kern w:val="2"/>
      <w:sz w:val="28"/>
      <w:szCs w:val="24"/>
      <w:lang w:val="en-US" w:eastAsia="zh-CN" w:bidi="ar-SA"/>
    </w:rPr>
  </w:style>
  <w:style w:type="paragraph" w:customStyle="1" w:styleId="59">
    <w:name w:val="样式1"/>
    <w:basedOn w:val="1"/>
    <w:link w:val="58"/>
    <w:qFormat/>
    <w:uiPriority w:val="0"/>
    <w:pPr>
      <w:spacing w:after="40" w:line="300" w:lineRule="atLeast"/>
      <w:jc w:val="center"/>
      <w:outlineLvl w:val="2"/>
    </w:pPr>
    <w:rPr>
      <w:rFonts w:eastAsia="KaiTi_GB2312"/>
      <w:szCs w:val="20"/>
    </w:rPr>
  </w:style>
  <w:style w:type="character" w:customStyle="1" w:styleId="60">
    <w:name w:val="表头 Char Char Char"/>
    <w:link w:val="61"/>
    <w:qFormat/>
    <w:uiPriority w:val="0"/>
    <w:rPr>
      <w:rFonts w:eastAsia="黑体"/>
      <w:kern w:val="2"/>
      <w:sz w:val="24"/>
      <w:lang w:val="en-US" w:eastAsia="zh-CN" w:bidi="ar-SA"/>
    </w:rPr>
  </w:style>
  <w:style w:type="paragraph" w:customStyle="1" w:styleId="61">
    <w:name w:val="表头 Char Char"/>
    <w:basedOn w:val="7"/>
    <w:link w:val="60"/>
    <w:qFormat/>
    <w:uiPriority w:val="0"/>
    <w:pPr>
      <w:spacing w:before="200"/>
      <w:ind w:firstLine="352"/>
    </w:pPr>
    <w:rPr>
      <w:rFonts w:ascii="Times New Roman" w:hAnsi="Times New Roman" w:eastAsia="黑体"/>
      <w:sz w:val="24"/>
    </w:rPr>
  </w:style>
  <w:style w:type="character" w:customStyle="1" w:styleId="62">
    <w:name w:val="正文修改 Char"/>
    <w:link w:val="63"/>
    <w:qFormat/>
    <w:uiPriority w:val="0"/>
    <w:rPr>
      <w:rFonts w:eastAsia="宋体"/>
      <w:sz w:val="24"/>
      <w:szCs w:val="24"/>
      <w:lang w:val="en-US" w:eastAsia="zh-CN" w:bidi="ar-SA"/>
    </w:rPr>
  </w:style>
  <w:style w:type="paragraph" w:customStyle="1" w:styleId="63">
    <w:name w:val="Header"/>
    <w:basedOn w:val="1"/>
    <w:link w:val="62"/>
    <w:qFormat/>
    <w:uiPriority w:val="0"/>
    <w:pPr>
      <w:pBdr>
        <w:bottom w:val="single" w:color="000000" w:sz="6" w:space="1"/>
      </w:pBdr>
      <w:tabs>
        <w:tab w:val="center" w:pos="4153"/>
        <w:tab w:val="right" w:pos="8306"/>
      </w:tabs>
      <w:snapToGrid w:val="0"/>
      <w:jc w:val="center"/>
    </w:pPr>
    <w:rPr>
      <w:sz w:val="18"/>
    </w:rPr>
  </w:style>
  <w:style w:type="character" w:customStyle="1" w:styleId="64">
    <w:name w:val="报告表正文 Char"/>
    <w:link w:val="65"/>
    <w:qFormat/>
    <w:uiPriority w:val="0"/>
    <w:rPr>
      <w:rFonts w:eastAsia="KaiTi_GB2312"/>
      <w:kern w:val="2"/>
      <w:sz w:val="24"/>
      <w:szCs w:val="24"/>
      <w:lang w:val="en-US" w:eastAsia="zh-CN" w:bidi="ar-SA"/>
    </w:rPr>
  </w:style>
  <w:style w:type="paragraph" w:customStyle="1" w:styleId="65">
    <w:name w:val="段落"/>
    <w:basedOn w:val="7"/>
    <w:link w:val="64"/>
    <w:qFormat/>
    <w:uiPriority w:val="0"/>
    <w:pPr>
      <w:spacing w:line="500" w:lineRule="exact"/>
      <w:ind w:firstLine="578"/>
    </w:pPr>
    <w:rPr>
      <w:rFonts w:cs="Courier New"/>
      <w:sz w:val="28"/>
      <w:szCs w:val="21"/>
    </w:rPr>
  </w:style>
  <w:style w:type="character" w:customStyle="1" w:styleId="66">
    <w:name w:val="content"/>
    <w:basedOn w:val="21"/>
    <w:qFormat/>
    <w:uiPriority w:val="0"/>
  </w:style>
  <w:style w:type="character" w:customStyle="1" w:styleId="67">
    <w:name w:val="表头 Char1"/>
    <w:qFormat/>
    <w:uiPriority w:val="0"/>
    <w:rPr>
      <w:rFonts w:ascii="黑体" w:hAnsi="黑体" w:eastAsia="黑体"/>
      <w:spacing w:val="20"/>
      <w:kern w:val="2"/>
      <w:sz w:val="24"/>
      <w:szCs w:val="24"/>
      <w:lang w:val="en-US" w:eastAsia="zh-CN" w:bidi="ar-SA"/>
    </w:rPr>
  </w:style>
  <w:style w:type="character" w:customStyle="1" w:styleId="68">
    <w:name w:val="正文首行缩进 Char"/>
    <w:link w:val="69"/>
    <w:qFormat/>
    <w:uiPriority w:val="0"/>
    <w:rPr>
      <w:kern w:val="2"/>
      <w:sz w:val="21"/>
      <w:lang w:bidi="ar-SA"/>
    </w:rPr>
  </w:style>
  <w:style w:type="paragraph" w:customStyle="1" w:styleId="69">
    <w:name w:val="正文修改"/>
    <w:basedOn w:val="1"/>
    <w:link w:val="68"/>
    <w:qFormat/>
    <w:uiPriority w:val="0"/>
    <w:pPr>
      <w:spacing w:line="360" w:lineRule="auto"/>
      <w:ind w:firstLine="480"/>
    </w:pPr>
    <w:rPr>
      <w:kern w:val="0"/>
      <w:sz w:val="24"/>
    </w:rPr>
  </w:style>
  <w:style w:type="character" w:customStyle="1" w:styleId="70">
    <w:name w:val="段落 Char Char Char"/>
    <w:qFormat/>
    <w:uiPriority w:val="0"/>
    <w:rPr>
      <w:rFonts w:ascii="宋体" w:hAnsi="宋体" w:eastAsia="宋体"/>
      <w:kern w:val="2"/>
      <w:sz w:val="28"/>
      <w:szCs w:val="28"/>
      <w:lang w:val="en-US" w:eastAsia="zh-CN" w:bidi="ar-SA"/>
    </w:rPr>
  </w:style>
  <w:style w:type="character" w:customStyle="1" w:styleId="71">
    <w:name w:val="t_tag"/>
    <w:basedOn w:val="21"/>
    <w:qFormat/>
    <w:uiPriority w:val="0"/>
  </w:style>
  <w:style w:type="character" w:customStyle="1" w:styleId="72">
    <w:name w:val="表头 Char Char Char Char Char"/>
    <w:link w:val="73"/>
    <w:qFormat/>
    <w:uiPriority w:val="0"/>
    <w:rPr>
      <w:rFonts w:ascii="黑体" w:hAnsi="黑体" w:eastAsia="黑体"/>
      <w:spacing w:val="20"/>
      <w:kern w:val="2"/>
      <w:sz w:val="24"/>
      <w:szCs w:val="24"/>
      <w:lang w:val="en-US" w:eastAsia="zh-CN" w:bidi="ar-SA"/>
    </w:rPr>
  </w:style>
  <w:style w:type="paragraph" w:customStyle="1" w:styleId="73">
    <w:name w:val="表头 Char Char Char Char"/>
    <w:basedOn w:val="1"/>
    <w:link w:val="72"/>
    <w:qFormat/>
    <w:uiPriority w:val="0"/>
    <w:pPr>
      <w:spacing w:before="200" w:line="500" w:lineRule="exact"/>
    </w:pPr>
    <w:rPr>
      <w:rFonts w:ascii="黑体" w:hAnsi="黑体" w:eastAsia="黑体"/>
      <w:spacing w:val="20"/>
      <w:sz w:val="24"/>
    </w:rPr>
  </w:style>
  <w:style w:type="character" w:customStyle="1" w:styleId="74">
    <w:name w:val="font01"/>
    <w:qFormat/>
    <w:uiPriority w:val="0"/>
    <w:rPr>
      <w:rFonts w:ascii="宋体" w:hAnsi="宋体" w:eastAsia="宋体" w:cs="宋体"/>
      <w:color w:val="000000"/>
      <w:sz w:val="24"/>
      <w:szCs w:val="24"/>
      <w:u w:val="none"/>
      <w:vertAlign w:val="superscript"/>
    </w:rPr>
  </w:style>
  <w:style w:type="character" w:customStyle="1" w:styleId="75">
    <w:name w:val="页脚 字符"/>
    <w:qFormat/>
    <w:uiPriority w:val="0"/>
    <w:rPr>
      <w:rFonts w:ascii="Calibri" w:hAnsi="Calibri"/>
      <w:kern w:val="2"/>
      <w:sz w:val="18"/>
      <w:szCs w:val="18"/>
    </w:rPr>
  </w:style>
  <w:style w:type="character" w:customStyle="1" w:styleId="76">
    <w:name w:val="纯文本 Char"/>
    <w:link w:val="77"/>
    <w:qFormat/>
    <w:uiPriority w:val="0"/>
    <w:rPr>
      <w:rFonts w:ascii="宋体" w:hAnsi="宋体" w:eastAsia="宋体"/>
      <w:kern w:val="2"/>
      <w:sz w:val="21"/>
      <w:lang w:val="en-US" w:eastAsia="zh-CN" w:bidi="ar-SA"/>
    </w:rPr>
  </w:style>
  <w:style w:type="paragraph" w:customStyle="1" w:styleId="77">
    <w:name w:val="报告表正文"/>
    <w:basedOn w:val="1"/>
    <w:link w:val="76"/>
    <w:qFormat/>
    <w:uiPriority w:val="0"/>
    <w:pPr>
      <w:spacing w:line="360" w:lineRule="auto"/>
      <w:ind w:firstLine="200"/>
    </w:pPr>
    <w:rPr>
      <w:rFonts w:eastAsia="KaiTi_GB2312"/>
      <w:sz w:val="24"/>
    </w:rPr>
  </w:style>
  <w:style w:type="character" w:customStyle="1" w:styleId="78">
    <w:name w:val="hang2"/>
    <w:qFormat/>
    <w:uiPriority w:val="0"/>
    <w:rPr>
      <w:rFonts w:ascii="??" w:hAnsi="??"/>
      <w:color w:val="000000"/>
      <w:sz w:val="18"/>
      <w:szCs w:val="18"/>
      <w:u w:val="none"/>
    </w:rPr>
  </w:style>
  <w:style w:type="character" w:customStyle="1" w:styleId="79">
    <w:name w:val="apple-style-span"/>
    <w:basedOn w:val="21"/>
    <w:qFormat/>
    <w:uiPriority w:val="0"/>
  </w:style>
  <w:style w:type="character" w:customStyle="1" w:styleId="80">
    <w:name w:val="段落 Char Char"/>
    <w:qFormat/>
    <w:uiPriority w:val="0"/>
    <w:rPr>
      <w:rFonts w:eastAsia="宋体"/>
      <w:kern w:val="2"/>
      <w:sz w:val="28"/>
      <w:lang w:val="en-US" w:eastAsia="zh-CN" w:bidi="ar-SA"/>
    </w:rPr>
  </w:style>
  <w:style w:type="character" w:customStyle="1" w:styleId="81">
    <w:name w:val="正文文本 Char"/>
    <w:link w:val="82"/>
    <w:qFormat/>
    <w:uiPriority w:val="0"/>
    <w:rPr>
      <w:rFonts w:eastAsia="宋体"/>
      <w:kern w:val="2"/>
      <w:sz w:val="21"/>
      <w:lang w:val="en-US" w:eastAsia="zh-CN" w:bidi="ar-SA"/>
    </w:rPr>
  </w:style>
  <w:style w:type="paragraph" w:customStyle="1" w:styleId="82">
    <w:name w:val="表头"/>
    <w:basedOn w:val="1"/>
    <w:link w:val="81"/>
    <w:qFormat/>
    <w:uiPriority w:val="0"/>
    <w:pPr>
      <w:spacing w:before="200" w:line="500" w:lineRule="exact"/>
    </w:pPr>
    <w:rPr>
      <w:rFonts w:ascii="黑体" w:hAnsi="黑体" w:eastAsia="黑体"/>
      <w:spacing w:val="20"/>
      <w:sz w:val="24"/>
    </w:rPr>
  </w:style>
  <w:style w:type="character" w:customStyle="1" w:styleId="83">
    <w:name w:val="正文缩进 Char1"/>
    <w:qFormat/>
    <w:locked/>
    <w:uiPriority w:val="0"/>
    <w:rPr>
      <w:rFonts w:eastAsia="宋体"/>
      <w:kern w:val="2"/>
      <w:sz w:val="21"/>
      <w:szCs w:val="24"/>
      <w:lang w:val="en-US" w:eastAsia="zh-CN" w:bidi="ar-SA"/>
    </w:rPr>
  </w:style>
  <w:style w:type="character" w:customStyle="1" w:styleId="84">
    <w:name w:val="表格内容 Char"/>
    <w:basedOn w:val="21"/>
    <w:qFormat/>
    <w:locked/>
    <w:uiPriority w:val="0"/>
    <w:rPr>
      <w:rFonts w:ascii="Arial" w:hAnsi="Arial" w:eastAsia="仿宋_GB2312"/>
      <w:sz w:val="24"/>
    </w:rPr>
  </w:style>
  <w:style w:type="character" w:customStyle="1" w:styleId="85">
    <w:name w:val="5文章(治) Char"/>
    <w:link w:val="86"/>
    <w:qFormat/>
    <w:uiPriority w:val="0"/>
    <w:rPr>
      <w:kern w:val="2"/>
      <w:sz w:val="24"/>
    </w:rPr>
  </w:style>
  <w:style w:type="paragraph" w:customStyle="1" w:styleId="86">
    <w:name w:val="5文章(治)"/>
    <w:basedOn w:val="1"/>
    <w:link w:val="85"/>
    <w:qFormat/>
    <w:uiPriority w:val="0"/>
    <w:pPr>
      <w:spacing w:line="360" w:lineRule="auto"/>
      <w:ind w:firstLine="560"/>
    </w:pPr>
    <w:rPr>
      <w:rFonts w:ascii="Calibri" w:hAnsi="Calibri"/>
      <w:sz w:val="24"/>
      <w:szCs w:val="20"/>
    </w:rPr>
  </w:style>
  <w:style w:type="character" w:customStyle="1" w:styleId="87">
    <w:name w:val="0报告正文 Char"/>
    <w:link w:val="88"/>
    <w:qFormat/>
    <w:locked/>
    <w:uiPriority w:val="0"/>
    <w:rPr>
      <w:kern w:val="2"/>
      <w:sz w:val="24"/>
      <w:szCs w:val="24"/>
    </w:rPr>
  </w:style>
  <w:style w:type="paragraph" w:customStyle="1" w:styleId="88">
    <w:name w:val="0报告正文"/>
    <w:basedOn w:val="1"/>
    <w:link w:val="87"/>
    <w:qFormat/>
    <w:uiPriority w:val="0"/>
    <w:pPr>
      <w:widowControl/>
      <w:snapToGrid w:val="0"/>
      <w:spacing w:line="360" w:lineRule="auto"/>
      <w:ind w:firstLine="480"/>
    </w:pPr>
    <w:rPr>
      <w:rFonts w:ascii="Calibri" w:hAnsi="Calibri"/>
      <w:sz w:val="24"/>
    </w:rPr>
  </w:style>
  <w:style w:type="character" w:customStyle="1" w:styleId="89">
    <w:name w:val="ListLabel 1"/>
    <w:qFormat/>
    <w:uiPriority w:val="0"/>
    <w:rPr>
      <w:kern w:val="2"/>
      <w:sz w:val="21"/>
      <w:lang w:val="en-US" w:eastAsia="zh-CN"/>
    </w:rPr>
  </w:style>
  <w:style w:type="character" w:customStyle="1" w:styleId="90">
    <w:name w:val="ListLabel 2"/>
    <w:qFormat/>
    <w:uiPriority w:val="0"/>
    <w:rPr>
      <w:kern w:val="2"/>
      <w:sz w:val="21"/>
      <w:lang w:val="en-US" w:eastAsia="zh-CN"/>
    </w:rPr>
  </w:style>
  <w:style w:type="character" w:customStyle="1" w:styleId="91">
    <w:name w:val="ListLabel 3"/>
    <w:qFormat/>
    <w:uiPriority w:val="0"/>
    <w:rPr>
      <w:rFonts w:eastAsiaTheme="majorEastAsia"/>
      <w:sz w:val="24"/>
    </w:rPr>
  </w:style>
  <w:style w:type="character" w:customStyle="1" w:styleId="92">
    <w:name w:val="ListLabel 4"/>
    <w:qFormat/>
    <w:uiPriority w:val="0"/>
    <w:rPr>
      <w:sz w:val="24"/>
    </w:rPr>
  </w:style>
  <w:style w:type="paragraph" w:customStyle="1" w:styleId="93">
    <w:name w:val="标题样式"/>
    <w:basedOn w:val="1"/>
    <w:next w:val="5"/>
    <w:qFormat/>
    <w:uiPriority w:val="0"/>
    <w:pPr>
      <w:keepNext/>
      <w:spacing w:before="240" w:after="120"/>
    </w:pPr>
    <w:rPr>
      <w:rFonts w:ascii="Liberation Sans" w:hAnsi="Liberation Sans" w:eastAsia="微软雅黑" w:cs="Arial"/>
      <w:sz w:val="28"/>
      <w:szCs w:val="28"/>
    </w:rPr>
  </w:style>
  <w:style w:type="paragraph" w:customStyle="1" w:styleId="94">
    <w:name w:val="Caption"/>
    <w:basedOn w:val="1"/>
    <w:qFormat/>
    <w:uiPriority w:val="0"/>
    <w:pPr>
      <w:suppressLineNumbers/>
      <w:spacing w:before="120" w:after="120"/>
    </w:pPr>
    <w:rPr>
      <w:rFonts w:cs="Arial"/>
      <w:i/>
      <w:iCs/>
      <w:sz w:val="24"/>
    </w:rPr>
  </w:style>
  <w:style w:type="paragraph" w:customStyle="1" w:styleId="95">
    <w:name w:val="索引"/>
    <w:basedOn w:val="1"/>
    <w:qFormat/>
    <w:uiPriority w:val="0"/>
    <w:pPr>
      <w:suppressLineNumbers/>
    </w:pPr>
    <w:rPr>
      <w:rFonts w:cs="Arial"/>
    </w:rPr>
  </w:style>
  <w:style w:type="paragraph" w:customStyle="1" w:styleId="96">
    <w:name w:val="正文1"/>
    <w:basedOn w:val="1"/>
    <w:qFormat/>
    <w:uiPriority w:val="0"/>
    <w:pPr>
      <w:ind w:firstLine="552"/>
    </w:pPr>
    <w:rPr>
      <w:rFonts w:ascii="KaiTi_GB2312" w:hAnsi="KaiTi_GB2312" w:eastAsia="KaiTi_GB2312"/>
      <w:b/>
      <w:sz w:val="28"/>
    </w:rPr>
  </w:style>
  <w:style w:type="paragraph" w:customStyle="1" w:styleId="97">
    <w:name w:val="Char Char Char Char1"/>
    <w:basedOn w:val="1"/>
    <w:qFormat/>
    <w:uiPriority w:val="0"/>
    <w:pPr>
      <w:spacing w:line="360" w:lineRule="auto"/>
      <w:ind w:firstLine="200"/>
    </w:pPr>
    <w:rPr>
      <w:rFonts w:ascii="宋体" w:hAnsi="宋体" w:cs="宋体"/>
      <w:sz w:val="24"/>
    </w:rPr>
  </w:style>
  <w:style w:type="paragraph" w:customStyle="1" w:styleId="98">
    <w:name w:val="表头 Char"/>
    <w:basedOn w:val="1"/>
    <w:qFormat/>
    <w:uiPriority w:val="0"/>
    <w:pPr>
      <w:spacing w:before="200"/>
    </w:pPr>
    <w:rPr>
      <w:rFonts w:eastAsia="黑体"/>
      <w:sz w:val="24"/>
      <w:szCs w:val="20"/>
    </w:rPr>
  </w:style>
  <w:style w:type="paragraph" w:customStyle="1" w:styleId="99">
    <w:name w:val="Char4"/>
    <w:basedOn w:val="1"/>
    <w:qFormat/>
    <w:uiPriority w:val="0"/>
    <w:pPr>
      <w:spacing w:line="360" w:lineRule="auto"/>
      <w:ind w:firstLine="200"/>
    </w:pPr>
    <w:rPr>
      <w:rFonts w:ascii="宋体" w:hAnsi="宋体"/>
      <w:sz w:val="24"/>
      <w:szCs w:val="20"/>
    </w:rPr>
  </w:style>
  <w:style w:type="paragraph" w:customStyle="1" w:styleId="100">
    <w:name w:val="居中正文"/>
    <w:basedOn w:val="1"/>
    <w:next w:val="1"/>
    <w:qFormat/>
    <w:uiPriority w:val="0"/>
    <w:pPr>
      <w:spacing w:before="120" w:line="360" w:lineRule="auto"/>
      <w:jc w:val="center"/>
      <w:textAlignment w:val="baseline"/>
    </w:pPr>
    <w:rPr>
      <w:rFonts w:ascii="宋体" w:hAnsi="宋体"/>
      <w:sz w:val="24"/>
      <w:szCs w:val="20"/>
    </w:rPr>
  </w:style>
  <w:style w:type="paragraph" w:customStyle="1" w:styleId="101">
    <w:name w:val="正文表"/>
    <w:basedOn w:val="1"/>
    <w:qFormat/>
    <w:uiPriority w:val="0"/>
    <w:pPr>
      <w:tabs>
        <w:tab w:val="left" w:pos="3777"/>
      </w:tabs>
      <w:spacing w:line="440" w:lineRule="exact"/>
      <w:ind w:firstLine="464"/>
    </w:pPr>
    <w:rPr>
      <w:spacing w:val="-4"/>
      <w:sz w:val="24"/>
    </w:rPr>
  </w:style>
  <w:style w:type="paragraph" w:customStyle="1" w:styleId="102">
    <w:name w:val="样式 居中1"/>
    <w:basedOn w:val="1"/>
    <w:qFormat/>
    <w:uiPriority w:val="0"/>
    <w:pPr>
      <w:spacing w:line="480" w:lineRule="atLeast"/>
      <w:jc w:val="center"/>
    </w:pPr>
    <w:rPr>
      <w:rFonts w:cs="宋体"/>
      <w:szCs w:val="20"/>
    </w:rPr>
  </w:style>
  <w:style w:type="paragraph" w:customStyle="1" w:styleId="103">
    <w:name w:val="样式 正文（首行缩进两字） + 五号 居中"/>
    <w:basedOn w:val="1"/>
    <w:qFormat/>
    <w:uiPriority w:val="0"/>
    <w:pPr>
      <w:jc w:val="center"/>
    </w:pPr>
    <w:rPr>
      <w:rFonts w:ascii="宋体" w:hAnsi="宋体" w:cs="宋体"/>
      <w:kern w:val="0"/>
    </w:rPr>
  </w:style>
  <w:style w:type="paragraph" w:customStyle="1" w:styleId="104">
    <w:name w:val="Char1"/>
    <w:basedOn w:val="1"/>
    <w:qFormat/>
    <w:uiPriority w:val="0"/>
    <w:pPr>
      <w:spacing w:line="360" w:lineRule="auto"/>
      <w:ind w:firstLine="200"/>
    </w:pPr>
    <w:rPr>
      <w:rFonts w:ascii="宋体" w:hAnsi="宋体" w:cs="宋体"/>
      <w:sz w:val="24"/>
    </w:rPr>
  </w:style>
  <w:style w:type="paragraph" w:customStyle="1" w:styleId="105">
    <w:name w:val="Char Char Char Char Char"/>
    <w:basedOn w:val="1"/>
    <w:qFormat/>
    <w:uiPriority w:val="0"/>
    <w:pPr>
      <w:spacing w:line="360" w:lineRule="auto"/>
      <w:ind w:firstLine="200"/>
    </w:pPr>
    <w:rPr>
      <w:rFonts w:ascii="宋体" w:hAnsi="宋体" w:cs="宋体"/>
      <w:sz w:val="24"/>
    </w:rPr>
  </w:style>
  <w:style w:type="paragraph" w:customStyle="1" w:styleId="106">
    <w:name w:val="中文报告书样式"/>
    <w:basedOn w:val="1"/>
    <w:qFormat/>
    <w:uiPriority w:val="0"/>
    <w:pPr>
      <w:spacing w:line="480" w:lineRule="atLeast"/>
      <w:ind w:firstLine="482"/>
      <w:textAlignment w:val="baseline"/>
    </w:pPr>
    <w:rPr>
      <w:sz w:val="24"/>
      <w:szCs w:val="20"/>
    </w:rPr>
  </w:style>
  <w:style w:type="paragraph" w:customStyle="1" w:styleId="107">
    <w:name w:val="xl22"/>
    <w:basedOn w:val="1"/>
    <w:qFormat/>
    <w:uiPriority w:val="0"/>
    <w:pPr>
      <w:widowControl/>
      <w:spacing w:before="100" w:after="100"/>
      <w:jc w:val="center"/>
    </w:pPr>
    <w:rPr>
      <w:kern w:val="0"/>
      <w:sz w:val="24"/>
    </w:rPr>
  </w:style>
  <w:style w:type="paragraph" w:customStyle="1" w:styleId="108">
    <w:name w:val="默认段落字体 Para Char Char Char Char"/>
    <w:basedOn w:val="1"/>
    <w:qFormat/>
    <w:uiPriority w:val="0"/>
    <w:rPr>
      <w:sz w:val="24"/>
    </w:rPr>
  </w:style>
  <w:style w:type="paragraph" w:customStyle="1" w:styleId="109">
    <w:name w:val="Char1 Char Char Char"/>
    <w:basedOn w:val="1"/>
    <w:qFormat/>
    <w:uiPriority w:val="0"/>
    <w:pPr>
      <w:spacing w:line="360" w:lineRule="auto"/>
      <w:ind w:firstLine="200"/>
    </w:pPr>
    <w:rPr>
      <w:rFonts w:ascii="宋体" w:hAnsi="宋体" w:cs="宋体"/>
      <w:sz w:val="24"/>
    </w:rPr>
  </w:style>
  <w:style w:type="paragraph" w:customStyle="1" w:styleId="110">
    <w:name w:val="段落 Char1"/>
    <w:basedOn w:val="1"/>
    <w:qFormat/>
    <w:uiPriority w:val="0"/>
    <w:pPr>
      <w:spacing w:line="500" w:lineRule="exact"/>
      <w:ind w:firstLine="578"/>
    </w:pPr>
    <w:rPr>
      <w:sz w:val="28"/>
      <w:szCs w:val="28"/>
    </w:rPr>
  </w:style>
  <w:style w:type="paragraph" w:customStyle="1" w:styleId="111">
    <w:name w:val="0"/>
    <w:basedOn w:val="1"/>
    <w:qFormat/>
    <w:uiPriority w:val="0"/>
    <w:pPr>
      <w:widowControl/>
      <w:spacing w:beforeAutospacing="1" w:afterAutospacing="1"/>
      <w:jc w:val="left"/>
    </w:pPr>
    <w:rPr>
      <w:rFonts w:ascii="宋体" w:hAnsi="宋体"/>
      <w:kern w:val="0"/>
      <w:sz w:val="24"/>
      <w:szCs w:val="20"/>
    </w:rPr>
  </w:style>
  <w:style w:type="paragraph" w:customStyle="1" w:styleId="112">
    <w:name w:val="xl26"/>
    <w:basedOn w:val="1"/>
    <w:qFormat/>
    <w:uiPriority w:val="0"/>
    <w:pPr>
      <w:widowControl/>
      <w:pBdr>
        <w:bottom w:val="single" w:color="000000" w:sz="4" w:space="0"/>
        <w:right w:val="single" w:color="000000" w:sz="4" w:space="0"/>
      </w:pBdr>
      <w:spacing w:before="100" w:after="100"/>
      <w:jc w:val="center"/>
      <w:textAlignment w:val="top"/>
    </w:pPr>
    <w:rPr>
      <w:rFonts w:ascii="宋体" w:hAnsi="宋体"/>
      <w:kern w:val="0"/>
      <w:szCs w:val="20"/>
    </w:rPr>
  </w:style>
  <w:style w:type="paragraph" w:customStyle="1" w:styleId="113">
    <w:name w:val="Char Char Char Char"/>
    <w:basedOn w:val="1"/>
    <w:qFormat/>
    <w:uiPriority w:val="0"/>
  </w:style>
  <w:style w:type="paragraph" w:customStyle="1" w:styleId="114">
    <w:name w:val="p0"/>
    <w:basedOn w:val="1"/>
    <w:qFormat/>
    <w:uiPriority w:val="0"/>
    <w:pPr>
      <w:widowControl/>
      <w:jc w:val="left"/>
    </w:pPr>
    <w:rPr>
      <w:kern w:val="0"/>
      <w:sz w:val="20"/>
      <w:szCs w:val="20"/>
    </w:rPr>
  </w:style>
  <w:style w:type="paragraph" w:customStyle="1" w:styleId="115">
    <w:name w:val="样式3"/>
    <w:basedOn w:val="3"/>
    <w:qFormat/>
    <w:uiPriority w:val="0"/>
    <w:pPr>
      <w:spacing w:before="152" w:after="160"/>
      <w:ind w:firstLine="482"/>
    </w:pPr>
    <w:rPr>
      <w:rFonts w:eastAsia="宋体"/>
      <w:sz w:val="24"/>
    </w:rPr>
  </w:style>
  <w:style w:type="paragraph" w:customStyle="1" w:styleId="116">
    <w:name w:val="Char Char Char1 Char"/>
    <w:basedOn w:val="1"/>
    <w:qFormat/>
    <w:uiPriority w:val="0"/>
    <w:pPr>
      <w:spacing w:line="360" w:lineRule="auto"/>
      <w:ind w:firstLine="200"/>
    </w:pPr>
    <w:rPr>
      <w:rFonts w:ascii="宋体" w:hAnsi="宋体" w:cs="宋体"/>
      <w:sz w:val="24"/>
    </w:rPr>
  </w:style>
  <w:style w:type="paragraph" w:customStyle="1" w:styleId="117">
    <w:name w:val="2 Char Char Char Char"/>
    <w:basedOn w:val="1"/>
    <w:qFormat/>
    <w:uiPriority w:val="0"/>
    <w:pPr>
      <w:snapToGrid w:val="0"/>
      <w:spacing w:line="360" w:lineRule="auto"/>
      <w:ind w:firstLine="529"/>
    </w:pPr>
    <w:rPr>
      <w:rFonts w:ascii="宋体" w:hAnsi="宋体"/>
      <w:b/>
    </w:rPr>
  </w:style>
  <w:style w:type="paragraph" w:customStyle="1" w:styleId="118">
    <w:name w:val="正文五"/>
    <w:basedOn w:val="1"/>
    <w:qFormat/>
    <w:uiPriority w:val="0"/>
    <w:pPr>
      <w:snapToGrid w:val="0"/>
      <w:jc w:val="center"/>
    </w:pPr>
    <w:rPr>
      <w:sz w:val="24"/>
      <w:szCs w:val="20"/>
    </w:rPr>
  </w:style>
  <w:style w:type="paragraph" w:customStyle="1" w:styleId="119">
    <w:name w:val="declear1"/>
    <w:basedOn w:val="1"/>
    <w:qFormat/>
    <w:uiPriority w:val="0"/>
    <w:pPr>
      <w:widowControl/>
      <w:spacing w:after="20" w:line="160" w:lineRule="atLeast"/>
      <w:jc w:val="left"/>
    </w:pPr>
    <w:rPr>
      <w:rFonts w:ascii="宋体" w:hAnsi="宋体" w:cs="宋体"/>
      <w:vanish/>
      <w:color w:val="999999"/>
      <w:kern w:val="0"/>
      <w:sz w:val="12"/>
      <w:szCs w:val="12"/>
    </w:rPr>
  </w:style>
  <w:style w:type="paragraph" w:customStyle="1" w:styleId="120">
    <w:name w:val="默认段落字体 Para Char"/>
    <w:basedOn w:val="1"/>
    <w:qFormat/>
    <w:uiPriority w:val="0"/>
    <w:pPr>
      <w:spacing w:line="360" w:lineRule="atLeast"/>
      <w:textAlignment w:val="baseline"/>
    </w:pPr>
  </w:style>
  <w:style w:type="paragraph" w:customStyle="1" w:styleId="121">
    <w:name w:val="正文首行缩近"/>
    <w:qFormat/>
    <w:uiPriority w:val="0"/>
    <w:pPr>
      <w:snapToGrid w:val="0"/>
      <w:spacing w:line="360" w:lineRule="auto"/>
      <w:ind w:firstLine="480"/>
      <w:jc w:val="both"/>
    </w:pPr>
    <w:rPr>
      <w:rFonts w:ascii="Times New Roman" w:hAnsi="Times New Roman" w:eastAsia="宋体" w:cs="Times New Roman"/>
      <w:sz w:val="24"/>
      <w:lang w:val="en-US" w:eastAsia="zh-CN" w:bidi="ar-SA"/>
    </w:rPr>
  </w:style>
  <w:style w:type="paragraph" w:customStyle="1" w:styleId="122">
    <w:name w:val="Char Char Char Char Char Char Char Char Char Char"/>
    <w:basedOn w:val="1"/>
    <w:qFormat/>
    <w:uiPriority w:val="0"/>
    <w:pPr>
      <w:spacing w:line="360" w:lineRule="auto"/>
      <w:ind w:firstLine="200"/>
    </w:pPr>
    <w:rPr>
      <w:rFonts w:ascii="宋体" w:hAnsi="宋体" w:cs="宋体"/>
      <w:sz w:val="24"/>
    </w:rPr>
  </w:style>
  <w:style w:type="paragraph" w:customStyle="1" w:styleId="123">
    <w:name w:val="brdrw15brsp20 tqctx4153t"/>
    <w:qFormat/>
    <w:uiPriority w:val="0"/>
    <w:pPr>
      <w:widowControl w:val="0"/>
      <w:pBdr>
        <w:bottom w:val="single" w:color="000000" w:sz="6" w:space="0"/>
      </w:pBdr>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124">
    <w:name w:val="中文报告书"/>
    <w:basedOn w:val="1"/>
    <w:qFormat/>
    <w:uiPriority w:val="0"/>
    <w:pPr>
      <w:spacing w:after="80" w:line="420" w:lineRule="atLeast"/>
      <w:jc w:val="left"/>
      <w:textAlignment w:val="baseline"/>
    </w:pPr>
    <w:rPr>
      <w:kern w:val="0"/>
      <w:sz w:val="24"/>
      <w:szCs w:val="20"/>
    </w:rPr>
  </w:style>
  <w:style w:type="paragraph" w:customStyle="1" w:styleId="125">
    <w:name w:val="结论"/>
    <w:basedOn w:val="1"/>
    <w:qFormat/>
    <w:uiPriority w:val="0"/>
    <w:pPr>
      <w:snapToGrid w:val="0"/>
      <w:spacing w:line="500" w:lineRule="atLeast"/>
      <w:ind w:firstLine="561"/>
    </w:pPr>
    <w:rPr>
      <w:rFonts w:ascii="KaiTi_GB2312" w:hAnsi="KaiTi_GB2312" w:eastAsia="KaiTi_GB2312" w:cs="宋体"/>
      <w:b/>
      <w:bCs/>
      <w:sz w:val="28"/>
      <w:szCs w:val="20"/>
    </w:rPr>
  </w:style>
  <w:style w:type="paragraph" w:customStyle="1" w:styleId="126">
    <w:name w:val="五号表格"/>
    <w:basedOn w:val="1"/>
    <w:qFormat/>
    <w:uiPriority w:val="0"/>
    <w:pPr>
      <w:jc w:val="center"/>
    </w:pPr>
  </w:style>
  <w:style w:type="paragraph" w:customStyle="1" w:styleId="127">
    <w:name w:val="Char"/>
    <w:basedOn w:val="1"/>
    <w:qFormat/>
    <w:uiPriority w:val="0"/>
    <w:pPr>
      <w:spacing w:line="360" w:lineRule="auto"/>
      <w:ind w:firstLine="200"/>
    </w:pPr>
    <w:rPr>
      <w:rFonts w:ascii="宋体" w:hAnsi="宋体" w:cs="宋体"/>
      <w:sz w:val="24"/>
    </w:rPr>
  </w:style>
  <w:style w:type="paragraph" w:customStyle="1" w:styleId="128">
    <w:name w:val="样式 结论 + 段后: 0.5 行"/>
    <w:basedOn w:val="1"/>
    <w:qFormat/>
    <w:uiPriority w:val="0"/>
    <w:pPr>
      <w:snapToGrid w:val="0"/>
      <w:spacing w:line="500" w:lineRule="atLeast"/>
      <w:ind w:firstLine="561"/>
    </w:pPr>
    <w:rPr>
      <w:rFonts w:ascii="KaiTi_GB2312" w:hAnsi="KaiTi_GB2312" w:eastAsia="KaiTi_GB2312" w:cs="宋体"/>
      <w:b/>
      <w:bCs/>
      <w:sz w:val="28"/>
      <w:szCs w:val="20"/>
    </w:rPr>
  </w:style>
  <w:style w:type="paragraph" w:customStyle="1" w:styleId="129">
    <w:name w:val="1正文段落"/>
    <w:basedOn w:val="1"/>
    <w:qFormat/>
    <w:uiPriority w:val="0"/>
    <w:pPr>
      <w:spacing w:line="360" w:lineRule="auto"/>
      <w:ind w:firstLine="480"/>
      <w:jc w:val="left"/>
    </w:pPr>
    <w:rPr>
      <w:kern w:val="0"/>
      <w:sz w:val="24"/>
    </w:rPr>
  </w:style>
  <w:style w:type="paragraph" w:customStyle="1" w:styleId="130">
    <w:name w:val="1.1.1"/>
    <w:basedOn w:val="1"/>
    <w:qFormat/>
    <w:uiPriority w:val="0"/>
    <w:rPr>
      <w:rFonts w:ascii="黑体" w:hAnsi="黑体"/>
      <w:sz w:val="24"/>
      <w:szCs w:val="20"/>
    </w:rPr>
  </w:style>
  <w:style w:type="paragraph" w:customStyle="1" w:styleId="131">
    <w:name w:val="1.表头"/>
    <w:basedOn w:val="1"/>
    <w:qFormat/>
    <w:uiPriority w:val="0"/>
    <w:pPr>
      <w:spacing w:line="440" w:lineRule="exact"/>
      <w:ind w:firstLine="360"/>
    </w:pPr>
    <w:rPr>
      <w:rFonts w:eastAsia="黑体" w:cs="宋体"/>
      <w:sz w:val="24"/>
    </w:rPr>
  </w:style>
  <w:style w:type="paragraph" w:styleId="132">
    <w:name w:val="List Paragraph"/>
    <w:basedOn w:val="1"/>
    <w:qFormat/>
    <w:uiPriority w:val="34"/>
    <w:pPr>
      <w:ind w:firstLine="420"/>
    </w:pPr>
  </w:style>
  <w:style w:type="paragraph" w:customStyle="1" w:styleId="133">
    <w:name w:val="报告表表格文字"/>
    <w:basedOn w:val="1"/>
    <w:qFormat/>
    <w:uiPriority w:val="0"/>
    <w:pPr>
      <w:snapToGrid w:val="0"/>
      <w:jc w:val="center"/>
    </w:pPr>
    <w:rPr>
      <w:color w:val="000000"/>
      <w:kern w:val="0"/>
      <w:szCs w:val="21"/>
    </w:rPr>
  </w:style>
  <w:style w:type="paragraph" w:customStyle="1" w:styleId="134">
    <w:name w:val="鸿达表格段落"/>
    <w:basedOn w:val="1"/>
    <w:qFormat/>
    <w:uiPriority w:val="0"/>
    <w:pPr>
      <w:snapToGrid w:val="0"/>
      <w:ind w:firstLine="100"/>
      <w:jc w:val="left"/>
    </w:pPr>
    <w:rPr>
      <w:rFonts w:ascii="宋体" w:hAnsi="宋体"/>
      <w:kern w:val="0"/>
    </w:rPr>
  </w:style>
  <w:style w:type="paragraph" w:customStyle="1" w:styleId="135">
    <w:name w:val="报告书表格表头"/>
    <w:basedOn w:val="1"/>
    <w:qFormat/>
    <w:uiPriority w:val="0"/>
    <w:pPr>
      <w:snapToGrid w:val="0"/>
      <w:spacing w:line="520" w:lineRule="exact"/>
      <w:ind w:firstLine="200"/>
    </w:pPr>
    <w:rPr>
      <w:rFonts w:eastAsia="黑体"/>
      <w:color w:val="000000"/>
      <w:sz w:val="24"/>
      <w:szCs w:val="22"/>
    </w:rPr>
  </w:style>
  <w:style w:type="paragraph" w:customStyle="1" w:styleId="136">
    <w:name w:val="1.正文"/>
    <w:basedOn w:val="1"/>
    <w:qFormat/>
    <w:uiPriority w:val="0"/>
    <w:pPr>
      <w:spacing w:line="520" w:lineRule="exact"/>
      <w:ind w:firstLine="200"/>
    </w:pPr>
    <w:rPr>
      <w:rFonts w:cs="宋体"/>
      <w:sz w:val="24"/>
      <w:szCs w:val="20"/>
    </w:rPr>
  </w:style>
  <w:style w:type="paragraph" w:customStyle="1" w:styleId="137">
    <w:name w:val="表格内容"/>
    <w:basedOn w:val="1"/>
    <w:qFormat/>
    <w:uiPriority w:val="0"/>
    <w:pPr>
      <w:spacing w:before="40" w:after="60" w:line="200" w:lineRule="atLeast"/>
    </w:pPr>
    <w:rPr>
      <w:rFonts w:ascii="Arial" w:hAnsi="Arial" w:eastAsia="仿宋_GB2312"/>
      <w:kern w:val="0"/>
      <w:sz w:val="24"/>
      <w:szCs w:val="20"/>
    </w:rPr>
  </w:style>
  <w:style w:type="paragraph" w:customStyle="1" w:styleId="138">
    <w:name w:val="1.1"/>
    <w:basedOn w:val="1"/>
    <w:qFormat/>
    <w:uiPriority w:val="0"/>
    <w:pPr>
      <w:spacing w:before="120" w:line="360" w:lineRule="auto"/>
      <w:ind w:firstLine="100"/>
      <w:outlineLvl w:val="1"/>
    </w:pPr>
    <w:rPr>
      <w:rFonts w:cs="宋体"/>
      <w:b/>
      <w:bCs/>
      <w:sz w:val="28"/>
      <w:szCs w:val="20"/>
    </w:rPr>
  </w:style>
  <w:style w:type="paragraph" w:customStyle="1" w:styleId="139">
    <w:name w:val="清改表格字体"/>
    <w:basedOn w:val="1"/>
    <w:qFormat/>
    <w:uiPriority w:val="0"/>
    <w:pPr>
      <w:jc w:val="center"/>
    </w:pPr>
    <w:rPr>
      <w:szCs w:val="20"/>
    </w:rPr>
  </w:style>
  <w:style w:type="paragraph" w:customStyle="1" w:styleId="140">
    <w:name w:val="框架内容"/>
    <w:basedOn w:val="1"/>
    <w:qFormat/>
    <w:uiPriority w:val="0"/>
  </w:style>
  <w:style w:type="character" w:customStyle="1" w:styleId="141">
    <w:name w:val="页眉 Char"/>
    <w:basedOn w:val="21"/>
    <w:link w:val="12"/>
    <w:uiPriority w:val="99"/>
    <w:rPr>
      <w:rFonts w:ascii="Times New Roman" w:hAnsi="Times New Roman"/>
      <w:kern w:val="2"/>
      <w:sz w:val="18"/>
      <w:szCs w:val="18"/>
    </w:rPr>
  </w:style>
  <w:style w:type="character" w:customStyle="1" w:styleId="142">
    <w:name w:val="页脚 Char"/>
    <w:basedOn w:val="21"/>
    <w:link w:val="11"/>
    <w:semiHidden/>
    <w:uiPriority w:val="99"/>
    <w:rPr>
      <w:rFonts w:ascii="Times New Roman" w:hAnsi="Times New Roman"/>
      <w:kern w:val="2"/>
      <w:sz w:val="18"/>
      <w:szCs w:val="18"/>
    </w:rPr>
  </w:style>
  <w:style w:type="paragraph" w:customStyle="1" w:styleId="143">
    <w:name w:val="B标题(2级)"/>
    <w:basedOn w:val="1"/>
    <w:uiPriority w:val="0"/>
    <w:pPr>
      <w:tabs>
        <w:tab w:val="left" w:pos="1440"/>
      </w:tabs>
      <w:spacing w:line="440" w:lineRule="exact"/>
      <w:ind w:left="1440" w:firstLine="200" w:firstLineChars="200"/>
    </w:pPr>
    <w:rPr>
      <w:sz w:val="24"/>
      <w:szCs w:val="20"/>
    </w:rPr>
  </w:style>
  <w:style w:type="paragraph" w:customStyle="1" w:styleId="144">
    <w:name w:val="鸿达表格文字"/>
    <w:basedOn w:val="1"/>
    <w:uiPriority w:val="0"/>
    <w:pPr>
      <w:contextualSpacing/>
      <w:jc w:val="center"/>
      <w:textAlignment w:val="baseline"/>
    </w:pPr>
    <w:rPr>
      <w:kern w:val="0"/>
      <w:szCs w:val="21"/>
    </w:rPr>
  </w:style>
  <w:style w:type="paragraph" w:customStyle="1" w:styleId="145">
    <w:name w:val="鸿达表头"/>
    <w:basedOn w:val="1"/>
    <w:link w:val="146"/>
    <w:qFormat/>
    <w:uiPriority w:val="0"/>
    <w:pPr>
      <w:spacing w:beforeLines="100" w:afterLines="50"/>
      <w:ind w:firstLine="100" w:firstLineChars="100"/>
    </w:pPr>
    <w:rPr>
      <w:b/>
      <w:sz w:val="24"/>
    </w:rPr>
  </w:style>
  <w:style w:type="character" w:customStyle="1" w:styleId="146">
    <w:name w:val="鸿达表头 Char"/>
    <w:basedOn w:val="21"/>
    <w:link w:val="145"/>
    <w:uiPriority w:val="0"/>
    <w:rPr>
      <w:rFonts w:ascii="Times New Roman" w:hAnsi="Times New Roman"/>
      <w:b/>
      <w:kern w:val="2"/>
      <w:sz w:val="24"/>
      <w:szCs w:val="24"/>
    </w:rPr>
  </w:style>
  <w:style w:type="paragraph" w:customStyle="1" w:styleId="147">
    <w:name w:val="鸿达表加粗"/>
    <w:basedOn w:val="1"/>
    <w:uiPriority w:val="0"/>
    <w:pPr>
      <w:jc w:val="center"/>
    </w:pPr>
    <w:rPr>
      <w:rFonts w:cs="宋体"/>
      <w:b/>
      <w:color w:val="000000"/>
      <w:szCs w:val="20"/>
    </w:rPr>
  </w:style>
  <w:style w:type="paragraph" w:customStyle="1" w:styleId="148">
    <w:name w:val="正文缩进1"/>
    <w:basedOn w:val="1"/>
    <w:qFormat/>
    <w:uiPriority w:val="0"/>
    <w:rPr>
      <w:rFonts w:ascii="Calibri" w:hAnsi="Calibri" w:eastAsia="Calibri"/>
      <w:sz w:val="28"/>
      <w:szCs w:val="20"/>
    </w:rPr>
  </w:style>
  <w:style w:type="paragraph" w:customStyle="1" w:styleId="149">
    <w:name w:val="_Style 46"/>
    <w:basedOn w:val="1"/>
    <w:qFormat/>
    <w:uiPriority w:val="0"/>
    <w:pPr>
      <w:widowControl/>
      <w:spacing w:afterLines="50" w:line="560" w:lineRule="exact"/>
      <w:jc w:val="left"/>
    </w:pPr>
    <w:rPr>
      <w:rFonts w:eastAsia="黑体"/>
      <w:kern w:val="0"/>
      <w:sz w:val="30"/>
      <w:szCs w:val="30"/>
    </w:rPr>
  </w:style>
  <w:style w:type="character" w:customStyle="1" w:styleId="150">
    <w:name w:val="【正文】 Char"/>
    <w:basedOn w:val="21"/>
    <w:link w:val="151"/>
    <w:qFormat/>
    <w:locked/>
    <w:uiPriority w:val="0"/>
    <w:rPr>
      <w:rFonts w:ascii="宋体" w:hAnsi="宋体" w:cs="宋体"/>
      <w:kern w:val="2"/>
      <w:sz w:val="24"/>
    </w:rPr>
  </w:style>
  <w:style w:type="paragraph" w:customStyle="1" w:styleId="151">
    <w:name w:val="【正文】"/>
    <w:basedOn w:val="1"/>
    <w:link w:val="150"/>
    <w:qFormat/>
    <w:uiPriority w:val="0"/>
    <w:pPr>
      <w:spacing w:line="500" w:lineRule="exact"/>
      <w:ind w:firstLine="200" w:firstLineChars="200"/>
    </w:pPr>
    <w:rPr>
      <w:rFonts w:ascii="宋体" w:hAnsi="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GIF"/><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GIF"/><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669"/>
    <customShpInfo spid="_x0000_s1670"/>
    <customShpInfo spid="_x0000_s1401"/>
    <customShpInfo spid="_x0000_s1069"/>
    <customShpInfo spid="_x0000_s1068"/>
    <customShpInfo spid="_x0000_s1067"/>
    <customShpInfo spid="_x0000_s1579"/>
    <customShpInfo spid="_x0000_s1645"/>
    <customShpInfo spid="_x0000_s1600"/>
    <customShpInfo spid="_x0000_s1644"/>
    <customShpInfo spid="_x0000_s1598"/>
    <customShpInfo spid="_x0000_s1597"/>
    <customShpInfo spid="_x0000_s1578"/>
    <customShpInfo spid="_x0000_s1601"/>
    <customShpInfo spid="_x0000_s1577"/>
    <customShpInfo spid="_x0000_s1602"/>
    <customShpInfo spid="_x0000_s1575"/>
    <customShpInfo spid="_x0000_s1599"/>
    <customShpInfo spid="_x0000_s1564"/>
    <customShpInfo spid="_x0000_s1563"/>
    <customShpInfo spid="_x0000_s1565"/>
    <customShpInfo spid="_x0000_s1566"/>
    <customShpInfo spid="_x0000_s1396"/>
    <customShpInfo spid="_x0000_s1395"/>
    <customShpInfo spid="_x0000_s1397"/>
    <customShpInfo spid="_x0000_s1398"/>
    <customShpInfo spid="_x0000_s1642"/>
    <customShpInfo spid="_x0000_s1643"/>
    <customShpInfo spid="_x0000_s1559"/>
    <customShpInfo spid="_x0000_s1561"/>
    <customShpInfo spid="_x0000_s1374"/>
    <customShpInfo spid="_x0000_s1375"/>
    <customShpInfo spid="_x0000_s1674"/>
    <customShpInfo spid="_x0000_s1679"/>
    <customShpInfo spid="_x0000_s1678"/>
    <customShpInfo spid="_x0000_s1677"/>
    <customShpInfo spid="_x0000_s1676"/>
    <customShpInfo spid="_x0000_s1675"/>
    <customShpInfo spid="_x0000_s1689"/>
    <customShpInfo spid="_x0000_s1685"/>
    <customShpInfo spid="_x0000_s1704"/>
    <customShpInfo spid="_x0000_s1688"/>
    <customShpInfo spid="_x0000_s1683"/>
    <customShpInfo spid="_x0000_s1681"/>
    <customShpInfo spid="_x0000_s1713"/>
    <customShpInfo spid="_x0000_s1712"/>
    <customShpInfo spid="_x0000_s1711"/>
    <customShpInfo spid="_x0000_s1710"/>
    <customShpInfo spid="_x0000_s1697"/>
    <customShpInfo spid="_x0000_s1696"/>
    <customShpInfo spid="_x0000_s1680"/>
    <customShpInfo spid="_x0000_s1703"/>
    <customShpInfo spid="_x0000_s1709"/>
    <customShpInfo spid="_x0000_s1708"/>
    <customShpInfo spid="_x0000_s1707"/>
    <customShpInfo spid="_x0000_s1706"/>
    <customShpInfo spid="_x0000_s1705"/>
    <customShpInfo spid="_x0000_s1702"/>
    <customShpInfo spid="_x0000_s1701"/>
    <customShpInfo spid="_x0000_s1700"/>
    <customShpInfo spid="_x0000_s1699"/>
    <customShpInfo spid="_x0000_s1698"/>
    <customShpInfo spid="_x0000_s1695"/>
    <customShpInfo spid="_x0000_s1694"/>
    <customShpInfo spid="_x0000_s1693"/>
    <customShpInfo spid="_x0000_s1682"/>
    <customShpInfo spid="_x0000_s1691"/>
    <customShpInfo spid="_x0000_s1692"/>
    <customShpInfo spid="_x0000_s1690"/>
    <customShpInfo spid="_x0000_s1687"/>
    <customShpInfo spid="_x0000_s1686"/>
    <customShpInfo spid="_x0000_s168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FF44CE-15FB-4106-A8AF-6EF5CAA2C33B}">
  <ds:schemaRefs/>
</ds:datastoreItem>
</file>

<file path=docProps/app.xml><?xml version="1.0" encoding="utf-8"?>
<Properties xmlns="http://schemas.openxmlformats.org/officeDocument/2006/extended-properties" xmlns:vt="http://schemas.openxmlformats.org/officeDocument/2006/docPropsVTypes">
  <Template>Normal</Template>
  <Company>xxshks</Company>
  <Pages>75</Pages>
  <Words>7478</Words>
  <Characters>42625</Characters>
  <Lines>355</Lines>
  <Paragraphs>100</Paragraphs>
  <TotalTime>331</TotalTime>
  <ScaleCrop>false</ScaleCrop>
  <LinksUpToDate>false</LinksUpToDate>
  <CharactersWithSpaces>50003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2020-04-28T09:46:00Z</dcterms:created>
  <dc:creator>环评4#</dc:creator>
  <cp:lastModifiedBy>未定义</cp:lastModifiedBy>
  <cp:lastPrinted>2019-05-30T01:19:00Z</cp:lastPrinted>
  <dcterms:modified xsi:type="dcterms:W3CDTF">2020-06-30T07:22:48Z</dcterms:modified>
  <dc:title>建设项目环境影响报告表</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xxshks</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2052-11.1.0.9740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