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64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u w:val="none"/>
          <w:lang w:val="en-US" w:eastAsia="zh-CN"/>
        </w:rPr>
        <w:t>附件</w:t>
      </w:r>
    </w:p>
    <w:p>
      <w:pPr>
        <w:spacing w:line="500" w:lineRule="exact"/>
        <w:ind w:firstLine="904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z w:val="44"/>
          <w:szCs w:val="44"/>
          <w:u w:val="none"/>
          <w:lang w:eastAsia="zh-CN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z w:val="44"/>
          <w:szCs w:val="44"/>
          <w:u w:val="none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z w:val="44"/>
          <w:szCs w:val="44"/>
          <w:u w:val="none"/>
          <w:lang w:eastAsia="zh-CN"/>
        </w:rPr>
        <w:t>年凤泉区教育经费执行情况统计表</w:t>
      </w:r>
      <w:bookmarkEnd w:id="0"/>
    </w:p>
    <w:tbl>
      <w:tblPr>
        <w:tblStyle w:val="4"/>
        <w:tblpPr w:leftFromText="180" w:rightFromText="180" w:vertAnchor="text" w:horzAnchor="page" w:tblpX="1361" w:tblpY="65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960"/>
        <w:gridCol w:w="2115"/>
        <w:gridCol w:w="2490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00" w:hRule="atLeast"/>
        </w:trPr>
        <w:tc>
          <w:tcPr>
            <w:tcW w:w="9400" w:type="dxa"/>
            <w:gridSpan w:val="4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表一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年一般公共预算教育经费增长情况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9" w:hRule="atLeast"/>
        </w:trPr>
        <w:tc>
          <w:tcPr>
            <w:tcW w:w="19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insoku/>
              <w:wordWrap w:val="0"/>
              <w:autoSpaceDE/>
              <w:autoSpaceDN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insoku/>
              <w:autoSpaceDE/>
              <w:autoSpaceDN w:val="0"/>
              <w:ind w:left="-870" w:leftChars="-395" w:hanging="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65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一般公共预算教育经费（万元）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一般公共预算教育经费占一般公共预算支出比例（%）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一般公共预算教育经费本年比上年增长（%）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凤泉区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11918.42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18.7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5.56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</w:tbl>
    <w:p>
      <w:pPr>
        <w:spacing w:line="500" w:lineRule="exact"/>
        <w:ind w:firstLine="664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eastAsia="仿宋" w:cs="仿宋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7" w:right="1417" w:bottom="1417" w:left="1417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2541"/>
        </w:sectPr>
      </w:pPr>
    </w:p>
    <w:tbl>
      <w:tblPr>
        <w:tblStyle w:val="4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27"/>
        <w:gridCol w:w="1257"/>
        <w:gridCol w:w="721"/>
        <w:gridCol w:w="689"/>
        <w:gridCol w:w="751"/>
        <w:gridCol w:w="764"/>
        <w:gridCol w:w="1560"/>
        <w:gridCol w:w="931"/>
        <w:gridCol w:w="449"/>
        <w:gridCol w:w="841"/>
        <w:gridCol w:w="659"/>
        <w:gridCol w:w="588"/>
        <w:gridCol w:w="762"/>
        <w:gridCol w:w="1530"/>
        <w:gridCol w:w="153"/>
        <w:gridCol w:w="1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</w:trPr>
        <w:tc>
          <w:tcPr>
            <w:tcW w:w="14054" w:type="dxa"/>
            <w:gridSpan w:val="16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表二 各级教育生均一般公共预算教育经费增长情况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</w:trPr>
        <w:tc>
          <w:tcPr>
            <w:tcW w:w="1127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kinsoku/>
              <w:autoSpaceDE/>
              <w:autoSpaceDN w:val="0"/>
              <w:ind w:right="348" w:rightChars="157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单位：元          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insoku/>
              <w:autoSpaceDE/>
              <w:autoSpaceDN w:val="0"/>
              <w:ind w:left="216" w:leftChars="-197" w:hanging="653" w:hangingChars="197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地区</w:t>
            </w:r>
          </w:p>
        </w:tc>
        <w:tc>
          <w:tcPr>
            <w:tcW w:w="4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幼儿园 </w:t>
            </w:r>
          </w:p>
        </w:tc>
        <w:tc>
          <w:tcPr>
            <w:tcW w:w="4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普通小学</w:t>
            </w:r>
          </w:p>
        </w:tc>
        <w:tc>
          <w:tcPr>
            <w:tcW w:w="4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3330"/>
              </w:tabs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普通初中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增长率（%）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增长率（%）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增长率（%）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凤泉区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6103.08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2213.60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-63.73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5883.20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6358.31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8.08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9021.52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9259.88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</w:tbl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  <w:sectPr>
          <w:pgSz w:w="16838" w:h="11906" w:orient="landscape"/>
          <w:pgMar w:top="1417" w:right="1587" w:bottom="1417" w:left="1417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2541"/>
        </w:sectPr>
      </w:pPr>
    </w:p>
    <w:tbl>
      <w:tblPr>
        <w:tblStyle w:val="4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49"/>
        <w:gridCol w:w="1200"/>
        <w:gridCol w:w="286"/>
        <w:gridCol w:w="1004"/>
        <w:gridCol w:w="346"/>
        <w:gridCol w:w="1169"/>
        <w:gridCol w:w="1290"/>
        <w:gridCol w:w="526"/>
        <w:gridCol w:w="959"/>
        <w:gridCol w:w="406"/>
        <w:gridCol w:w="1349"/>
        <w:gridCol w:w="1395"/>
        <w:gridCol w:w="436"/>
        <w:gridCol w:w="240"/>
        <w:gridCol w:w="539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14054" w:type="dxa"/>
            <w:gridSpan w:val="16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表三 各级教育生均一般公共预算教育事业费支出增长情况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insoku/>
              <w:autoSpaceDE/>
              <w:autoSpaceDN w:val="0"/>
              <w:ind w:left="-437" w:leftChars="-197" w:right="28" w:rightChars="13" w:firstLine="0" w:firstLineChars="0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单位：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地区</w:t>
            </w:r>
          </w:p>
        </w:tc>
        <w:tc>
          <w:tcPr>
            <w:tcW w:w="4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 xml:space="preserve">幼儿园 </w:t>
            </w:r>
          </w:p>
        </w:tc>
        <w:tc>
          <w:tcPr>
            <w:tcW w:w="4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普通小学</w:t>
            </w:r>
          </w:p>
        </w:tc>
        <w:tc>
          <w:tcPr>
            <w:tcW w:w="4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普通初中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增长率（%）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增长率（%）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增长率（%）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凤泉区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6103.08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2213.60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-63.73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6533.84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6548.26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9264.40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9274.62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417" w:right="1587" w:bottom="1417" w:left="1417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2541"/>
        </w:sectPr>
      </w:pPr>
    </w:p>
    <w:p>
      <w:pPr>
        <w:kinsoku/>
        <w:autoSpaceDE/>
        <w:autoSpaceDN w:val="0"/>
        <w:jc w:val="center"/>
        <w:textAlignment w:val="center"/>
        <w:rPr>
          <w:rFonts w:hint="eastAsia" w:ascii="宋体" w:hAnsi="宋体" w:eastAsia="宋体"/>
          <w:b w:val="0"/>
          <w:i w:val="0"/>
          <w:snapToGrid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/>
          <w:b w:val="0"/>
          <w:i w:val="0"/>
          <w:snapToGrid/>
          <w:color w:val="000000"/>
          <w:sz w:val="32"/>
          <w:szCs w:val="32"/>
          <w:u w:val="none"/>
          <w:lang w:eastAsia="zh-CN"/>
        </w:rPr>
        <w:t>表四 各级教育生均一般公共预算公用经费支出增长情况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                                                          单位：元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仿宋" w:hAnsi="仿宋" w:cs="仿宋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305"/>
        <w:gridCol w:w="1305"/>
        <w:gridCol w:w="1575"/>
        <w:gridCol w:w="1425"/>
        <w:gridCol w:w="1350"/>
        <w:gridCol w:w="1545"/>
        <w:gridCol w:w="1410"/>
        <w:gridCol w:w="1380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地区</w:t>
            </w:r>
          </w:p>
        </w:tc>
        <w:tc>
          <w:tcPr>
            <w:tcW w:w="4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 xml:space="preserve">幼儿园 </w:t>
            </w:r>
          </w:p>
        </w:tc>
        <w:tc>
          <w:tcPr>
            <w:tcW w:w="4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普通小学</w:t>
            </w:r>
          </w:p>
        </w:tc>
        <w:tc>
          <w:tcPr>
            <w:tcW w:w="4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普通初中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增长率（%）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增长率（%）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201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年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增长率（%）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凤泉区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2928.81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243.48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-91.69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2416.96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2418.04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0.04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1841.55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1845.69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</w:tbl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  <w:lang w:val="en-US" w:eastAsia="zh-CN"/>
        </w:rPr>
        <w:sectPr>
          <w:pgSz w:w="16838" w:h="11906" w:orient="landscape"/>
          <w:pgMar w:top="1417" w:right="1587" w:bottom="1417" w:left="1417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2541"/>
        </w:sect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ascii="仿宋" w:hAnsi="仿宋" w:eastAsia="仿宋" w:cs="仿宋"/>
          <w:color w:val="000000"/>
          <w:spacing w:val="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55657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9pt;height:0.05pt;width:438.25pt;z-index:251660288;mso-width-relative:page;mso-height-relative:page;" filled="f" stroked="t" coordsize="21600,21600" o:gfxdata="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3NitO1QAAAAYBAAAPAAAAAAAAAAEAIAAAACIAAABkcnMvZG93bnJldi54bWxQSwECFAAU&#10;AAAACACHTuJAnGRbz/QBAADmAwAADgAAAAAAAAABACAAAAAkAQAAZHJzL2Uyb0RvYy54bWxQSwUG&#10;AAAAAAYABgBZAQAAig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spacing w:line="460" w:lineRule="exact"/>
        <w:ind w:firstLine="156" w:firstLineChars="50"/>
        <w:rPr>
          <w:rFonts w:hint="eastAsia" w:ascii="仿宋_GB2312" w:eastAsia="仿宋_GB2312"/>
        </w:rPr>
      </w:pP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55657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2pt;height:0.05pt;width:438.25pt;z-index:251661312;mso-width-relative:page;mso-height-relative:page;" filled="f" stroked="t" coordsize="21600,21600" o:gfxdata="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KA9k9UAAAAGAQAADwAAAAAAAAABACAAAAAiAAAAZHJzL2Rvd25yZXYueG1sUEsBAhQA&#10;FAAAAAgAh07iQDF54I71AQAA5gMAAA4AAAAAAAAAAQAgAAAAJAEAAGRycy9lMm9Eb2MueG1sUEsF&#10;BgAAAAAGAAYAWQEAAIs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</w:rPr>
        <w:t>凤泉区教体局办公室                202</w:t>
      </w: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</w:rPr>
        <w:t>年1月</w:t>
      </w: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日印发</w:t>
      </w: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  <w:sectPr>
          <w:pgSz w:w="11906" w:h="16838"/>
          <w:pgMar w:top="1587" w:right="1417" w:bottom="1417" w:left="1417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2541"/>
        </w:sect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  <w:sectPr>
          <w:pgSz w:w="11906" w:h="16838"/>
          <w:pgMar w:top="1587" w:right="1417" w:bottom="1417" w:left="1417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2541"/>
        </w:sect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jc w:val="center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500" w:lineRule="exact"/>
        <w:rPr>
          <w:rFonts w:hint="eastAsia" w:ascii="仿宋" w:hAnsi="仿宋" w:cs="仿宋"/>
          <w:sz w:val="32"/>
          <w:szCs w:val="32"/>
        </w:rPr>
      </w:pPr>
    </w:p>
    <w:p>
      <w:pPr>
        <w:spacing w:line="520" w:lineRule="exact"/>
        <w:ind w:firstLine="664" w:firstLineChars="200"/>
        <w:rPr>
          <w:rFonts w:hint="eastAsia" w:ascii="仿宋" w:hAnsi="仿宋" w:cs="仿宋"/>
          <w:sz w:val="32"/>
          <w:szCs w:val="32"/>
        </w:rPr>
      </w:pPr>
    </w:p>
    <w:p>
      <w:pPr>
        <w:spacing w:line="460" w:lineRule="exact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ascii="仿宋" w:hAnsi="仿宋" w:eastAsia="仿宋" w:cs="仿宋"/>
          <w:color w:val="000000"/>
          <w:spacing w:val="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55657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9pt;height:0.05pt;width:438.25pt;z-index:251658240;mso-width-relative:page;mso-height-relative:page;" filled="f" stroked="t" coordsize="21600,21600" o:gfxdata="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9zYrTtUAAAAGAQAADwAAAAAAAAABACAAAAAiAAAAZHJzL2Rvd25yZXYueG1sUEsBAhQA&#10;FAAAAAgAh07iQJWPWQf1AQAA5gMAAA4AAAAAAAAAAQAgAAAAJAEAAGRycy9lMm9Eb2MueG1sUEsF&#10;BgAAAAAGAAYAWQEAAIs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spacing w:line="460" w:lineRule="exact"/>
        <w:ind w:firstLine="156" w:firstLineChars="50"/>
        <w:rPr>
          <w:rFonts w:hint="eastAsia" w:ascii="仿宋_GB2312" w:eastAsia="仿宋_GB2312"/>
        </w:rPr>
      </w:pP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556577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2pt;height:0.05pt;width:438.25pt;z-index:251659264;mso-width-relative:page;mso-height-relative:page;" filled="f" stroked="t" coordsize="21600,21600" o:gfxdata="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KA9k9UAAAAGAQAADwAAAAAAAAABACAAAAAiAAAAZHJzL2Rvd25yZXYueG1sUEsBAhQA&#10;FAAAAAgAh07iQGtClg31AQAA5gMAAA4AAAAAAAAAAQAgAAAAJAEAAGRycy9lMm9Eb2MueG1sUEsF&#10;BgAAAAAGAAYAWQEAAIs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</w:rPr>
        <w:t>凤泉区教体局办公室                 202</w:t>
      </w: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</w:rPr>
        <w:t>年1月</w:t>
      </w:r>
      <w:r>
        <w:rPr>
          <w:rFonts w:hint="eastAsia" w:ascii="仿宋_GB2312" w:hAnsi="仿宋" w:eastAsia="仿宋_GB2312" w:cs="仿宋"/>
          <w:color w:val="000000"/>
          <w:spacing w:val="10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日印发</w:t>
      </w:r>
    </w:p>
    <w:p>
      <w:pPr>
        <w:spacing w:line="520" w:lineRule="exact"/>
        <w:rPr>
          <w:rFonts w:hint="eastAsia"/>
        </w:rPr>
      </w:pPr>
    </w:p>
    <w:p/>
    <w:sectPr>
      <w:pgSz w:w="11906" w:h="16838"/>
      <w:pgMar w:top="1587" w:right="1417" w:bottom="1417" w:left="141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2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0"/>
        <w:szCs w:val="30"/>
      </w:rPr>
    </w:pPr>
    <w:r>
      <w:rPr>
        <w:rStyle w:val="6"/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 PAGE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hint="eastAsia" w:ascii="仿宋_GB2312" w:eastAsia="仿宋_GB2312"/>
        <w:sz w:val="30"/>
        <w:szCs w:val="30"/>
      </w:rPr>
      <w:t>1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6"/>
        <w:rFonts w:hint="eastAsia" w:ascii="仿宋_GB2312" w:eastAsia="仿宋_GB2312"/>
        <w:sz w:val="30"/>
        <w:szCs w:val="30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444BD"/>
    <w:rsid w:val="5BA4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2021-01-19T06:52:00Z</dcterms:created>
  <dc:creator>忘了时间有脚</dc:creator>
  <cp:lastModifiedBy>忘了时间有脚</cp:lastModifiedBy>
  <dcterms:modified xsi:type="dcterms:W3CDTF">2021-01-19T06:53:08Z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