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CC"/>
  <w:body>
    <w:p>
      <w:pPr>
        <w:adjustRightInd w:val="0"/>
        <w:snapToGrid w:val="0"/>
        <w:spacing w:line="360" w:lineRule="auto"/>
        <w:rPr>
          <w:rFonts w:eastAsia="黑体"/>
          <w:b/>
          <w:color w:val="auto"/>
          <w:sz w:val="30"/>
        </w:rPr>
      </w:pPr>
      <w:r>
        <w:rPr>
          <w:rFonts w:eastAsia="黑体"/>
          <w:b/>
          <w:color w:val="auto"/>
          <w:sz w:val="30"/>
        </w:rPr>
        <w:t>建设项目基本情况</w:t>
      </w:r>
    </w:p>
    <w:tbl>
      <w:tblPr>
        <w:tblStyle w:val="21"/>
        <w:tblW w:w="90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8"/>
        <w:gridCol w:w="1270"/>
        <w:gridCol w:w="639"/>
        <w:gridCol w:w="1210"/>
        <w:gridCol w:w="141"/>
        <w:gridCol w:w="1077"/>
        <w:gridCol w:w="341"/>
        <w:gridCol w:w="1485"/>
        <w:gridCol w:w="1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 w:hRule="atLeast"/>
          <w:jc w:val="center"/>
        </w:trPr>
        <w:tc>
          <w:tcPr>
            <w:tcW w:w="1468" w:type="dxa"/>
            <w:vAlign w:val="center"/>
          </w:tcPr>
          <w:p>
            <w:pPr>
              <w:jc w:val="center"/>
              <w:rPr>
                <w:color w:val="auto"/>
                <w:sz w:val="24"/>
              </w:rPr>
            </w:pPr>
            <w:r>
              <w:rPr>
                <w:color w:val="auto"/>
                <w:sz w:val="24"/>
              </w:rPr>
              <w:t>项目名称</w:t>
            </w:r>
          </w:p>
        </w:tc>
        <w:tc>
          <w:tcPr>
            <w:tcW w:w="7533" w:type="dxa"/>
            <w:gridSpan w:val="8"/>
            <w:vAlign w:val="center"/>
          </w:tcPr>
          <w:p>
            <w:pPr>
              <w:spacing w:line="360" w:lineRule="auto"/>
              <w:jc w:val="center"/>
              <w:rPr>
                <w:rFonts w:hint="eastAsia" w:eastAsia="宋体"/>
                <w:color w:val="auto"/>
                <w:sz w:val="24"/>
                <w:lang w:eastAsia="zh-CN"/>
              </w:rPr>
            </w:pPr>
            <w:r>
              <w:rPr>
                <w:rFonts w:hint="eastAsia"/>
                <w:color w:val="auto"/>
                <w:sz w:val="24"/>
                <w:highlight w:val="none"/>
                <w:lang w:eastAsia="zh-CN"/>
              </w:rPr>
              <w:t>新乡市凤泉区利民加油站建设项目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468" w:type="dxa"/>
            <w:vAlign w:val="center"/>
          </w:tcPr>
          <w:p>
            <w:pPr>
              <w:jc w:val="center"/>
              <w:rPr>
                <w:color w:val="auto"/>
                <w:sz w:val="24"/>
              </w:rPr>
            </w:pPr>
            <w:r>
              <w:rPr>
                <w:color w:val="auto"/>
                <w:sz w:val="24"/>
              </w:rPr>
              <w:t>建设单位</w:t>
            </w:r>
          </w:p>
        </w:tc>
        <w:tc>
          <w:tcPr>
            <w:tcW w:w="7533" w:type="dxa"/>
            <w:gridSpan w:val="8"/>
            <w:vAlign w:val="center"/>
          </w:tcPr>
          <w:p>
            <w:pPr>
              <w:spacing w:line="360" w:lineRule="auto"/>
              <w:jc w:val="center"/>
              <w:rPr>
                <w:rFonts w:hint="eastAsia" w:eastAsia="宋体"/>
                <w:color w:val="auto"/>
                <w:sz w:val="24"/>
                <w:lang w:eastAsia="zh-CN"/>
              </w:rPr>
            </w:pPr>
            <w:r>
              <w:rPr>
                <w:rFonts w:hint="eastAsia"/>
                <w:color w:val="auto"/>
                <w:sz w:val="24"/>
                <w:lang w:eastAsia="zh-CN"/>
              </w:rPr>
              <w:t>新乡市凤泉区利民加油站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468" w:type="dxa"/>
            <w:vAlign w:val="center"/>
          </w:tcPr>
          <w:p>
            <w:pPr>
              <w:jc w:val="center"/>
              <w:rPr>
                <w:color w:val="auto"/>
                <w:sz w:val="24"/>
              </w:rPr>
            </w:pPr>
            <w:r>
              <w:rPr>
                <w:color w:val="auto"/>
                <w:sz w:val="24"/>
              </w:rPr>
              <w:t>法人代表</w:t>
            </w:r>
          </w:p>
        </w:tc>
        <w:tc>
          <w:tcPr>
            <w:tcW w:w="3260" w:type="dxa"/>
            <w:gridSpan w:val="4"/>
            <w:vAlign w:val="center"/>
          </w:tcPr>
          <w:p>
            <w:pPr>
              <w:jc w:val="center"/>
              <w:rPr>
                <w:rFonts w:hint="default" w:eastAsia="宋体"/>
                <w:color w:val="auto"/>
                <w:sz w:val="24"/>
                <w:lang w:val="en-US" w:eastAsia="zh-CN"/>
              </w:rPr>
            </w:pPr>
            <w:r>
              <w:rPr>
                <w:rFonts w:hint="eastAsia"/>
                <w:color w:val="auto"/>
                <w:sz w:val="24"/>
                <w:lang w:val="en-US" w:eastAsia="zh-CN"/>
              </w:rPr>
              <w:t>余青枝410721195303300529</w:t>
            </w:r>
          </w:p>
        </w:tc>
        <w:tc>
          <w:tcPr>
            <w:tcW w:w="1418" w:type="dxa"/>
            <w:gridSpan w:val="2"/>
            <w:vAlign w:val="center"/>
          </w:tcPr>
          <w:p>
            <w:pPr>
              <w:jc w:val="center"/>
              <w:rPr>
                <w:color w:val="auto"/>
                <w:sz w:val="24"/>
              </w:rPr>
            </w:pPr>
            <w:r>
              <w:rPr>
                <w:color w:val="auto"/>
                <w:sz w:val="24"/>
              </w:rPr>
              <w:t>联系人</w:t>
            </w:r>
          </w:p>
        </w:tc>
        <w:tc>
          <w:tcPr>
            <w:tcW w:w="2855" w:type="dxa"/>
            <w:gridSpan w:val="2"/>
            <w:vAlign w:val="center"/>
          </w:tcPr>
          <w:p>
            <w:pPr>
              <w:jc w:val="center"/>
              <w:rPr>
                <w:color w:val="auto"/>
                <w:sz w:val="24"/>
              </w:rPr>
            </w:pPr>
            <w:r>
              <w:rPr>
                <w:rFonts w:hint="eastAsia"/>
                <w:color w:val="auto"/>
                <w:sz w:val="24"/>
                <w:lang w:val="en-US" w:eastAsia="zh-CN"/>
              </w:rPr>
              <w:t>余青枝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468" w:type="dxa"/>
            <w:vAlign w:val="center"/>
          </w:tcPr>
          <w:p>
            <w:pPr>
              <w:jc w:val="center"/>
              <w:rPr>
                <w:color w:val="auto"/>
                <w:sz w:val="24"/>
              </w:rPr>
            </w:pPr>
            <w:r>
              <w:rPr>
                <w:color w:val="auto"/>
                <w:sz w:val="24"/>
              </w:rPr>
              <w:t>通讯地址</w:t>
            </w:r>
          </w:p>
        </w:tc>
        <w:tc>
          <w:tcPr>
            <w:tcW w:w="7533" w:type="dxa"/>
            <w:gridSpan w:val="8"/>
            <w:vAlign w:val="center"/>
          </w:tcPr>
          <w:p>
            <w:pPr>
              <w:spacing w:line="360" w:lineRule="auto"/>
              <w:jc w:val="center"/>
              <w:rPr>
                <w:rFonts w:hint="eastAsia" w:eastAsia="宋体"/>
                <w:color w:val="auto"/>
                <w:sz w:val="24"/>
                <w:lang w:eastAsia="zh-CN"/>
              </w:rPr>
            </w:pPr>
            <w:r>
              <w:rPr>
                <w:rFonts w:hint="eastAsia"/>
                <w:color w:val="auto"/>
                <w:sz w:val="24"/>
                <w:lang w:eastAsia="zh-CN"/>
              </w:rPr>
              <w:t>新乡市凤泉区大块镇东郭村新秀路402号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468" w:type="dxa"/>
            <w:vAlign w:val="center"/>
          </w:tcPr>
          <w:p>
            <w:pPr>
              <w:jc w:val="center"/>
              <w:rPr>
                <w:color w:val="auto"/>
                <w:sz w:val="24"/>
              </w:rPr>
            </w:pPr>
            <w:r>
              <w:rPr>
                <w:color w:val="auto"/>
                <w:sz w:val="24"/>
              </w:rPr>
              <w:t>联系电话</w:t>
            </w:r>
          </w:p>
        </w:tc>
        <w:tc>
          <w:tcPr>
            <w:tcW w:w="1909" w:type="dxa"/>
            <w:gridSpan w:val="2"/>
            <w:vAlign w:val="center"/>
          </w:tcPr>
          <w:p>
            <w:pPr>
              <w:jc w:val="center"/>
              <w:rPr>
                <w:rFonts w:hint="eastAsia" w:eastAsia="宋体"/>
                <w:color w:val="auto"/>
                <w:sz w:val="24"/>
                <w:lang w:val="en-US" w:eastAsia="zh-CN"/>
              </w:rPr>
            </w:pPr>
            <w:r>
              <w:rPr>
                <w:rFonts w:hint="eastAsia"/>
                <w:color w:val="auto"/>
                <w:sz w:val="24"/>
                <w:lang w:val="en-US" w:eastAsia="zh-CN"/>
              </w:rPr>
              <w:t>13937312498</w:t>
            </w:r>
          </w:p>
        </w:tc>
        <w:tc>
          <w:tcPr>
            <w:tcW w:w="1351" w:type="dxa"/>
            <w:gridSpan w:val="2"/>
            <w:vAlign w:val="center"/>
          </w:tcPr>
          <w:p>
            <w:pPr>
              <w:jc w:val="center"/>
              <w:rPr>
                <w:color w:val="auto"/>
                <w:sz w:val="24"/>
              </w:rPr>
            </w:pPr>
            <w:r>
              <w:rPr>
                <w:color w:val="auto"/>
                <w:sz w:val="24"/>
              </w:rPr>
              <w:t>传真</w:t>
            </w:r>
          </w:p>
        </w:tc>
        <w:tc>
          <w:tcPr>
            <w:tcW w:w="1418" w:type="dxa"/>
            <w:gridSpan w:val="2"/>
            <w:vAlign w:val="center"/>
          </w:tcPr>
          <w:p>
            <w:pPr>
              <w:jc w:val="center"/>
              <w:rPr>
                <w:color w:val="auto"/>
                <w:sz w:val="24"/>
              </w:rPr>
            </w:pPr>
            <w:r>
              <w:rPr>
                <w:color w:val="auto"/>
                <w:sz w:val="24"/>
              </w:rPr>
              <w:t>/</w:t>
            </w:r>
          </w:p>
        </w:tc>
        <w:tc>
          <w:tcPr>
            <w:tcW w:w="1485" w:type="dxa"/>
            <w:vAlign w:val="center"/>
          </w:tcPr>
          <w:p>
            <w:pPr>
              <w:jc w:val="center"/>
              <w:rPr>
                <w:color w:val="auto"/>
                <w:sz w:val="24"/>
              </w:rPr>
            </w:pPr>
            <w:r>
              <w:rPr>
                <w:color w:val="auto"/>
                <w:sz w:val="24"/>
              </w:rPr>
              <w:t>邮政编码</w:t>
            </w:r>
          </w:p>
        </w:tc>
        <w:tc>
          <w:tcPr>
            <w:tcW w:w="1370" w:type="dxa"/>
            <w:vAlign w:val="center"/>
          </w:tcPr>
          <w:p>
            <w:pPr>
              <w:jc w:val="center"/>
              <w:rPr>
                <w:rFonts w:hint="default" w:eastAsia="宋体"/>
                <w:color w:val="auto"/>
                <w:sz w:val="24"/>
                <w:lang w:val="en-US" w:eastAsia="zh-CN"/>
              </w:rPr>
            </w:pPr>
            <w:r>
              <w:rPr>
                <w:color w:val="auto"/>
                <w:sz w:val="24"/>
              </w:rPr>
              <w:t>453</w:t>
            </w:r>
            <w:r>
              <w:rPr>
                <w:rFonts w:hint="eastAsia"/>
                <w:color w:val="auto"/>
                <w:sz w:val="24"/>
              </w:rPr>
              <w:t>0</w:t>
            </w:r>
            <w:r>
              <w:rPr>
                <w:rFonts w:hint="eastAsia"/>
                <w:color w:val="auto"/>
                <w:sz w:val="24"/>
                <w:lang w:val="en-US" w:eastAsia="zh-CN"/>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468" w:type="dxa"/>
            <w:vAlign w:val="center"/>
          </w:tcPr>
          <w:p>
            <w:pPr>
              <w:jc w:val="center"/>
              <w:rPr>
                <w:color w:val="auto"/>
                <w:sz w:val="24"/>
              </w:rPr>
            </w:pPr>
            <w:r>
              <w:rPr>
                <w:color w:val="auto"/>
                <w:sz w:val="24"/>
              </w:rPr>
              <w:t>建设地点</w:t>
            </w:r>
          </w:p>
        </w:tc>
        <w:tc>
          <w:tcPr>
            <w:tcW w:w="7533" w:type="dxa"/>
            <w:gridSpan w:val="8"/>
            <w:vAlign w:val="center"/>
          </w:tcPr>
          <w:p>
            <w:pPr>
              <w:spacing w:line="360" w:lineRule="auto"/>
              <w:jc w:val="center"/>
              <w:rPr>
                <w:rFonts w:hint="eastAsia" w:eastAsia="宋体"/>
                <w:color w:val="auto"/>
                <w:sz w:val="24"/>
                <w:lang w:eastAsia="zh-CN"/>
              </w:rPr>
            </w:pPr>
            <w:r>
              <w:rPr>
                <w:rFonts w:hint="eastAsia"/>
                <w:color w:val="auto"/>
                <w:sz w:val="24"/>
                <w:lang w:eastAsia="zh-CN"/>
              </w:rPr>
              <w:t>新乡市凤泉区大块镇东郭村新秀路402号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68" w:type="dxa"/>
            <w:vAlign w:val="center"/>
          </w:tcPr>
          <w:p>
            <w:pPr>
              <w:jc w:val="center"/>
              <w:rPr>
                <w:color w:val="auto"/>
                <w:sz w:val="24"/>
              </w:rPr>
            </w:pPr>
            <w:r>
              <w:rPr>
                <w:rFonts w:hint="eastAsia"/>
                <w:color w:val="auto"/>
                <w:sz w:val="24"/>
              </w:rPr>
              <w:t>立项审批</w:t>
            </w:r>
            <w:r>
              <w:rPr>
                <w:color w:val="auto"/>
                <w:sz w:val="24"/>
              </w:rPr>
              <w:t>部门</w:t>
            </w:r>
          </w:p>
        </w:tc>
        <w:tc>
          <w:tcPr>
            <w:tcW w:w="3119" w:type="dxa"/>
            <w:gridSpan w:val="3"/>
            <w:vAlign w:val="center"/>
          </w:tcPr>
          <w:p>
            <w:pPr>
              <w:jc w:val="center"/>
              <w:rPr>
                <w:rFonts w:hint="eastAsia" w:eastAsia="宋体"/>
                <w:color w:val="auto"/>
                <w:sz w:val="24"/>
                <w:lang w:eastAsia="zh-CN"/>
              </w:rPr>
            </w:pPr>
            <w:r>
              <w:rPr>
                <w:rFonts w:hint="eastAsia"/>
                <w:color w:val="auto"/>
                <w:sz w:val="24"/>
                <w:lang w:eastAsia="zh-CN"/>
              </w:rPr>
              <w:t>新乡市凤泉区发展和改革委员会</w:t>
            </w:r>
          </w:p>
        </w:tc>
        <w:tc>
          <w:tcPr>
            <w:tcW w:w="1218" w:type="dxa"/>
            <w:gridSpan w:val="2"/>
            <w:vAlign w:val="center"/>
          </w:tcPr>
          <w:p>
            <w:pPr>
              <w:jc w:val="center"/>
              <w:rPr>
                <w:rFonts w:hint="default" w:eastAsia="宋体"/>
                <w:color w:val="auto"/>
                <w:sz w:val="24"/>
                <w:lang w:val="en-US" w:eastAsia="zh-CN"/>
              </w:rPr>
            </w:pPr>
            <w:r>
              <w:rPr>
                <w:rFonts w:hint="eastAsia"/>
                <w:color w:val="auto"/>
                <w:sz w:val="24"/>
                <w:lang w:val="en-US" w:eastAsia="zh-CN"/>
              </w:rPr>
              <w:t>项目代码</w:t>
            </w:r>
          </w:p>
        </w:tc>
        <w:tc>
          <w:tcPr>
            <w:tcW w:w="3196" w:type="dxa"/>
            <w:gridSpan w:val="3"/>
            <w:vAlign w:val="center"/>
          </w:tcPr>
          <w:p>
            <w:pPr>
              <w:jc w:val="center"/>
              <w:rPr>
                <w:rFonts w:hint="default" w:eastAsia="宋体"/>
                <w:color w:val="auto"/>
                <w:sz w:val="24"/>
                <w:lang w:val="en-US" w:eastAsia="zh-CN"/>
              </w:rPr>
            </w:pPr>
            <w:r>
              <w:rPr>
                <w:rFonts w:hint="eastAsia"/>
                <w:color w:val="auto"/>
                <w:sz w:val="24"/>
                <w:lang w:eastAsia="zh-CN"/>
              </w:rPr>
              <w:t>2020-410</w:t>
            </w:r>
            <w:r>
              <w:rPr>
                <w:rFonts w:hint="eastAsia"/>
                <w:color w:val="auto"/>
                <w:sz w:val="24"/>
                <w:lang w:val="en-US" w:eastAsia="zh-CN"/>
              </w:rPr>
              <w:t>704</w:t>
            </w:r>
            <w:r>
              <w:rPr>
                <w:rFonts w:hint="eastAsia"/>
                <w:color w:val="auto"/>
                <w:sz w:val="24"/>
                <w:lang w:eastAsia="zh-CN"/>
              </w:rPr>
              <w:t>-52-03-</w:t>
            </w:r>
            <w:r>
              <w:rPr>
                <w:rFonts w:hint="eastAsia"/>
                <w:color w:val="auto"/>
                <w:sz w:val="24"/>
                <w:lang w:val="en-US" w:eastAsia="zh-CN"/>
              </w:rPr>
              <w:t>095293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468" w:type="dxa"/>
            <w:vAlign w:val="center"/>
          </w:tcPr>
          <w:p>
            <w:pPr>
              <w:jc w:val="center"/>
              <w:rPr>
                <w:color w:val="auto"/>
                <w:sz w:val="24"/>
              </w:rPr>
            </w:pPr>
            <w:r>
              <w:rPr>
                <w:color w:val="auto"/>
                <w:sz w:val="24"/>
              </w:rPr>
              <w:t>建设性质</w:t>
            </w:r>
          </w:p>
        </w:tc>
        <w:tc>
          <w:tcPr>
            <w:tcW w:w="3119" w:type="dxa"/>
            <w:gridSpan w:val="3"/>
            <w:vAlign w:val="center"/>
          </w:tcPr>
          <w:p>
            <w:pPr>
              <w:jc w:val="center"/>
              <w:rPr>
                <w:color w:val="auto"/>
                <w:sz w:val="24"/>
              </w:rPr>
            </w:pPr>
            <w:r>
              <w:rPr>
                <w:rFonts w:hint="eastAsia"/>
                <w:color w:val="auto"/>
                <w:sz w:val="24"/>
                <w:lang w:eastAsia="zh-CN"/>
              </w:rPr>
              <w:t>☑</w:t>
            </w:r>
            <w:r>
              <w:rPr>
                <w:rFonts w:hint="eastAsia"/>
                <w:color w:val="auto"/>
                <w:sz w:val="24"/>
              </w:rPr>
              <w:t>新建□改扩建</w:t>
            </w:r>
            <w:r>
              <w:rPr>
                <w:rFonts w:hint="eastAsia"/>
                <w:color w:val="auto"/>
                <w:sz w:val="24"/>
                <w:lang w:eastAsia="zh-CN"/>
              </w:rPr>
              <w:t>□</w:t>
            </w:r>
            <w:r>
              <w:rPr>
                <w:rFonts w:hint="eastAsia"/>
                <w:color w:val="auto"/>
                <w:sz w:val="24"/>
              </w:rPr>
              <w:t>技改</w:t>
            </w:r>
          </w:p>
        </w:tc>
        <w:tc>
          <w:tcPr>
            <w:tcW w:w="1218" w:type="dxa"/>
            <w:gridSpan w:val="2"/>
            <w:vAlign w:val="center"/>
          </w:tcPr>
          <w:p>
            <w:pPr>
              <w:jc w:val="center"/>
              <w:rPr>
                <w:color w:val="auto"/>
                <w:sz w:val="24"/>
              </w:rPr>
            </w:pPr>
            <w:r>
              <w:rPr>
                <w:color w:val="auto"/>
                <w:sz w:val="24"/>
              </w:rPr>
              <w:t>行业类别</w:t>
            </w:r>
          </w:p>
          <w:p>
            <w:pPr>
              <w:jc w:val="center"/>
              <w:rPr>
                <w:color w:val="auto"/>
                <w:sz w:val="24"/>
              </w:rPr>
            </w:pPr>
            <w:r>
              <w:rPr>
                <w:color w:val="auto"/>
                <w:sz w:val="24"/>
              </w:rPr>
              <w:t>及代码</w:t>
            </w:r>
          </w:p>
        </w:tc>
        <w:tc>
          <w:tcPr>
            <w:tcW w:w="3196" w:type="dxa"/>
            <w:gridSpan w:val="3"/>
            <w:vAlign w:val="center"/>
          </w:tcPr>
          <w:p>
            <w:pPr>
              <w:jc w:val="center"/>
              <w:rPr>
                <w:color w:val="auto"/>
                <w:sz w:val="24"/>
              </w:rPr>
            </w:pPr>
            <w:r>
              <w:rPr>
                <w:rFonts w:hint="eastAsia" w:cs="Times New Roman"/>
                <w:color w:val="auto"/>
                <w:sz w:val="24"/>
                <w:szCs w:val="24"/>
                <w:u w:val="none"/>
                <w:lang w:val="en-US" w:eastAsia="zh-CN"/>
              </w:rPr>
              <w:t>F5264机动车燃料零售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68" w:type="dxa"/>
            <w:vAlign w:val="center"/>
          </w:tcPr>
          <w:p>
            <w:pPr>
              <w:jc w:val="center"/>
              <w:rPr>
                <w:color w:val="auto"/>
                <w:sz w:val="24"/>
              </w:rPr>
            </w:pPr>
            <w:r>
              <w:rPr>
                <w:color w:val="auto"/>
                <w:sz w:val="24"/>
              </w:rPr>
              <w:t>占地面积</w:t>
            </w:r>
          </w:p>
          <w:p>
            <w:pPr>
              <w:jc w:val="center"/>
              <w:rPr>
                <w:color w:val="auto"/>
                <w:sz w:val="24"/>
              </w:rPr>
            </w:pPr>
            <w:r>
              <w:rPr>
                <w:color w:val="auto"/>
                <w:sz w:val="24"/>
              </w:rPr>
              <w:t>(平方米)</w:t>
            </w:r>
          </w:p>
        </w:tc>
        <w:tc>
          <w:tcPr>
            <w:tcW w:w="3119" w:type="dxa"/>
            <w:gridSpan w:val="3"/>
            <w:vAlign w:val="center"/>
          </w:tcPr>
          <w:p>
            <w:pPr>
              <w:jc w:val="center"/>
              <w:rPr>
                <w:rFonts w:hint="default" w:eastAsia="宋体"/>
                <w:color w:val="auto"/>
                <w:sz w:val="24"/>
                <w:lang w:val="en-US" w:eastAsia="zh-CN"/>
              </w:rPr>
            </w:pPr>
            <w:r>
              <w:rPr>
                <w:rFonts w:hint="eastAsia"/>
                <w:color w:val="auto"/>
                <w:sz w:val="24"/>
                <w:lang w:val="en-US" w:eastAsia="zh-CN"/>
              </w:rPr>
              <w:t>1476</w:t>
            </w:r>
          </w:p>
        </w:tc>
        <w:tc>
          <w:tcPr>
            <w:tcW w:w="1218" w:type="dxa"/>
            <w:gridSpan w:val="2"/>
            <w:vAlign w:val="center"/>
          </w:tcPr>
          <w:p>
            <w:pPr>
              <w:jc w:val="center"/>
              <w:rPr>
                <w:color w:val="auto"/>
                <w:sz w:val="24"/>
              </w:rPr>
            </w:pPr>
            <w:r>
              <w:rPr>
                <w:color w:val="auto"/>
                <w:sz w:val="24"/>
              </w:rPr>
              <w:t>绿化面积</w:t>
            </w:r>
          </w:p>
          <w:p>
            <w:pPr>
              <w:jc w:val="center"/>
              <w:rPr>
                <w:color w:val="auto"/>
                <w:sz w:val="24"/>
              </w:rPr>
            </w:pPr>
            <w:r>
              <w:rPr>
                <w:color w:val="auto"/>
                <w:sz w:val="24"/>
              </w:rPr>
              <w:t>(平方米)</w:t>
            </w:r>
          </w:p>
        </w:tc>
        <w:tc>
          <w:tcPr>
            <w:tcW w:w="3196" w:type="dxa"/>
            <w:gridSpan w:val="3"/>
            <w:vAlign w:val="center"/>
          </w:tcPr>
          <w:p>
            <w:pPr>
              <w:jc w:val="center"/>
              <w:rPr>
                <w:color w:val="auto"/>
                <w:sz w:val="24"/>
              </w:rPr>
            </w:pPr>
            <w:r>
              <w:rPr>
                <w:rFonts w:hint="eastAsia"/>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68" w:type="dxa"/>
            <w:vAlign w:val="center"/>
          </w:tcPr>
          <w:p>
            <w:pPr>
              <w:jc w:val="center"/>
              <w:rPr>
                <w:color w:val="auto"/>
                <w:sz w:val="24"/>
              </w:rPr>
            </w:pPr>
            <w:r>
              <w:rPr>
                <w:color w:val="auto"/>
                <w:sz w:val="24"/>
              </w:rPr>
              <w:t>总投资</w:t>
            </w:r>
          </w:p>
          <w:p>
            <w:pPr>
              <w:jc w:val="center"/>
              <w:rPr>
                <w:color w:val="auto"/>
                <w:sz w:val="24"/>
              </w:rPr>
            </w:pPr>
            <w:r>
              <w:rPr>
                <w:color w:val="auto"/>
                <w:sz w:val="24"/>
              </w:rPr>
              <w:t>(万元)</w:t>
            </w:r>
          </w:p>
        </w:tc>
        <w:tc>
          <w:tcPr>
            <w:tcW w:w="1270" w:type="dxa"/>
            <w:vAlign w:val="center"/>
          </w:tcPr>
          <w:p>
            <w:pPr>
              <w:jc w:val="center"/>
              <w:rPr>
                <w:rFonts w:hint="default" w:eastAsia="宋体"/>
                <w:color w:val="auto"/>
                <w:sz w:val="24"/>
                <w:lang w:val="en-US" w:eastAsia="zh-CN"/>
              </w:rPr>
            </w:pPr>
            <w:r>
              <w:rPr>
                <w:rFonts w:hint="eastAsia"/>
                <w:color w:val="auto"/>
                <w:sz w:val="24"/>
                <w:lang w:val="en-US" w:eastAsia="zh-CN"/>
              </w:rPr>
              <w:t>25</w:t>
            </w:r>
          </w:p>
        </w:tc>
        <w:tc>
          <w:tcPr>
            <w:tcW w:w="1849" w:type="dxa"/>
            <w:gridSpan w:val="2"/>
            <w:vAlign w:val="center"/>
          </w:tcPr>
          <w:p>
            <w:pPr>
              <w:jc w:val="center"/>
              <w:rPr>
                <w:color w:val="auto"/>
                <w:sz w:val="24"/>
              </w:rPr>
            </w:pPr>
            <w:r>
              <w:rPr>
                <w:color w:val="auto"/>
                <w:sz w:val="24"/>
              </w:rPr>
              <w:t>其中：环保投资(万元)</w:t>
            </w:r>
          </w:p>
        </w:tc>
        <w:tc>
          <w:tcPr>
            <w:tcW w:w="1218" w:type="dxa"/>
            <w:gridSpan w:val="2"/>
            <w:vAlign w:val="center"/>
          </w:tcPr>
          <w:p>
            <w:pPr>
              <w:jc w:val="center"/>
              <w:rPr>
                <w:rFonts w:hint="default" w:eastAsia="宋体"/>
                <w:color w:val="auto"/>
                <w:sz w:val="24"/>
                <w:lang w:val="en-US" w:eastAsia="zh-CN"/>
              </w:rPr>
            </w:pPr>
            <w:r>
              <w:rPr>
                <w:rFonts w:hint="eastAsia"/>
                <w:color w:val="auto"/>
                <w:sz w:val="24"/>
                <w:lang w:val="en-US" w:eastAsia="zh-CN"/>
              </w:rPr>
              <w:t>10.05</w:t>
            </w:r>
          </w:p>
        </w:tc>
        <w:tc>
          <w:tcPr>
            <w:tcW w:w="1826" w:type="dxa"/>
            <w:gridSpan w:val="2"/>
            <w:vAlign w:val="center"/>
          </w:tcPr>
          <w:p>
            <w:pPr>
              <w:jc w:val="center"/>
              <w:rPr>
                <w:color w:val="auto"/>
                <w:sz w:val="24"/>
              </w:rPr>
            </w:pPr>
            <w:r>
              <w:rPr>
                <w:color w:val="auto"/>
                <w:sz w:val="24"/>
              </w:rPr>
              <w:t>环保投资占总投资比例</w:t>
            </w:r>
          </w:p>
        </w:tc>
        <w:tc>
          <w:tcPr>
            <w:tcW w:w="1370" w:type="dxa"/>
            <w:vAlign w:val="center"/>
          </w:tcPr>
          <w:p>
            <w:pPr>
              <w:jc w:val="center"/>
              <w:rPr>
                <w:rFonts w:hint="default" w:eastAsia="宋体"/>
                <w:color w:val="auto"/>
                <w:sz w:val="24"/>
                <w:lang w:val="en-US" w:eastAsia="zh-CN"/>
              </w:rPr>
            </w:pPr>
            <w:r>
              <w:rPr>
                <w:rFonts w:hint="eastAsia"/>
                <w:color w:val="auto"/>
                <w:sz w:val="24"/>
                <w:lang w:val="en-US" w:eastAsia="zh-CN"/>
              </w:rPr>
              <w:t>40.2%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68" w:type="dxa"/>
            <w:vAlign w:val="center"/>
          </w:tcPr>
          <w:p>
            <w:pPr>
              <w:jc w:val="center"/>
              <w:rPr>
                <w:color w:val="auto"/>
                <w:sz w:val="24"/>
              </w:rPr>
            </w:pPr>
            <w:r>
              <w:rPr>
                <w:color w:val="auto"/>
                <w:sz w:val="24"/>
              </w:rPr>
              <w:t>评价经费</w:t>
            </w:r>
          </w:p>
          <w:p>
            <w:pPr>
              <w:jc w:val="center"/>
              <w:rPr>
                <w:color w:val="auto"/>
                <w:sz w:val="24"/>
              </w:rPr>
            </w:pPr>
            <w:r>
              <w:rPr>
                <w:color w:val="auto"/>
                <w:sz w:val="24"/>
              </w:rPr>
              <w:t>(万元)</w:t>
            </w:r>
          </w:p>
        </w:tc>
        <w:tc>
          <w:tcPr>
            <w:tcW w:w="1270" w:type="dxa"/>
            <w:vAlign w:val="center"/>
          </w:tcPr>
          <w:p>
            <w:pPr>
              <w:jc w:val="center"/>
              <w:rPr>
                <w:color w:val="auto"/>
                <w:sz w:val="24"/>
              </w:rPr>
            </w:pPr>
            <w:r>
              <w:rPr>
                <w:color w:val="auto"/>
                <w:sz w:val="24"/>
              </w:rPr>
              <w:t>/</w:t>
            </w:r>
          </w:p>
        </w:tc>
        <w:tc>
          <w:tcPr>
            <w:tcW w:w="1849" w:type="dxa"/>
            <w:gridSpan w:val="2"/>
            <w:vAlign w:val="center"/>
          </w:tcPr>
          <w:p>
            <w:pPr>
              <w:jc w:val="center"/>
              <w:rPr>
                <w:color w:val="auto"/>
                <w:sz w:val="24"/>
              </w:rPr>
            </w:pPr>
            <w:r>
              <w:rPr>
                <w:color w:val="auto"/>
                <w:sz w:val="24"/>
              </w:rPr>
              <w:t>预期投产日期</w:t>
            </w:r>
          </w:p>
        </w:tc>
        <w:tc>
          <w:tcPr>
            <w:tcW w:w="4414" w:type="dxa"/>
            <w:gridSpan w:val="5"/>
            <w:vAlign w:val="center"/>
          </w:tcPr>
          <w:p>
            <w:pPr>
              <w:jc w:val="center"/>
              <w:rPr>
                <w:rFonts w:hint="default" w:eastAsia="宋体"/>
                <w:color w:val="auto"/>
                <w:sz w:val="24"/>
                <w:lang w:val="en-US" w:eastAsia="zh-CN"/>
              </w:rPr>
            </w:pPr>
            <w:r>
              <w:rPr>
                <w:rFonts w:hint="eastAsia"/>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9001" w:type="dxa"/>
            <w:gridSpan w:val="9"/>
            <w:vAlign w:val="center"/>
          </w:tcPr>
          <w:p>
            <w:pPr>
              <w:keepNext w:val="0"/>
              <w:keepLines w:val="0"/>
              <w:pageBreakBefore w:val="0"/>
              <w:widowControl w:val="0"/>
              <w:kinsoku/>
              <w:overflowPunct/>
              <w:topLinePunct w:val="0"/>
              <w:autoSpaceDE/>
              <w:autoSpaceDN/>
              <w:bidi w:val="0"/>
              <w:adjustRightInd w:val="0"/>
              <w:snapToGrid w:val="0"/>
              <w:spacing w:line="520" w:lineRule="exact"/>
              <w:textAlignment w:val="auto"/>
              <w:rPr>
                <w:b/>
                <w:color w:val="auto"/>
                <w:sz w:val="24"/>
              </w:rPr>
            </w:pPr>
            <w:r>
              <w:rPr>
                <w:rFonts w:hint="eastAsia"/>
                <w:b/>
                <w:color w:val="auto"/>
                <w:sz w:val="24"/>
                <w:lang w:eastAsia="zh-CN"/>
              </w:rPr>
              <w:t>一、</w:t>
            </w:r>
            <w:r>
              <w:rPr>
                <w:b/>
                <w:color w:val="auto"/>
                <w:sz w:val="24"/>
              </w:rPr>
              <w:t>项目由来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sz w:val="24"/>
                <w:szCs w:val="24"/>
                <w:lang w:eastAsia="zh-CN"/>
              </w:rPr>
            </w:pPr>
            <w:r>
              <w:rPr>
                <w:rFonts w:hint="eastAsia"/>
                <w:sz w:val="24"/>
                <w:szCs w:val="24"/>
              </w:rPr>
              <w:t>成品油作为重要的基础能源，在众多的生产领域，如化工、交通运输、机械加工、制造等行业有着广泛的用途，与人民的工作和日常生活息息相关。在城市的建设发展中，加油站的建设不仅仅是满足群众的需求，也成为城市基础建设的需要，更是石油化工行业销售的闪光点。</w:t>
            </w:r>
            <w:r>
              <w:rPr>
                <w:rFonts w:hint="eastAsia"/>
                <w:color w:val="auto"/>
                <w:sz w:val="24"/>
                <w:szCs w:val="24"/>
                <w:lang w:eastAsia="zh-CN"/>
              </w:rPr>
              <w:t>新乡市凤泉区利民加油站</w:t>
            </w:r>
            <w:r>
              <w:rPr>
                <w:rFonts w:hint="eastAsia"/>
                <w:color w:val="auto"/>
                <w:sz w:val="24"/>
                <w:szCs w:val="24"/>
              </w:rPr>
              <w:t>为响应</w:t>
            </w:r>
            <w:r>
              <w:rPr>
                <w:rFonts w:hint="eastAsia"/>
                <w:color w:val="auto"/>
                <w:sz w:val="24"/>
                <w:szCs w:val="24"/>
                <w:lang w:val="en-US" w:eastAsia="zh-CN"/>
              </w:rPr>
              <w:t>市场需求，拟投资25万元 在</w:t>
            </w:r>
            <w:r>
              <w:rPr>
                <w:rFonts w:hint="eastAsia"/>
                <w:color w:val="auto"/>
                <w:sz w:val="24"/>
                <w:szCs w:val="24"/>
                <w:lang w:eastAsia="zh-CN"/>
              </w:rPr>
              <w:t>新乡市凤泉区大块镇东郭村新秀路402号</w:t>
            </w:r>
            <w:r>
              <w:rPr>
                <w:rFonts w:hint="eastAsia"/>
                <w:color w:val="auto"/>
                <w:sz w:val="24"/>
                <w:szCs w:val="24"/>
                <w:lang w:val="en-US" w:eastAsia="zh-CN"/>
              </w:rPr>
              <w:t>建设</w:t>
            </w:r>
            <w:r>
              <w:rPr>
                <w:rFonts w:hint="eastAsia"/>
                <w:color w:val="auto"/>
                <w:sz w:val="24"/>
                <w:szCs w:val="24"/>
                <w:lang w:eastAsia="zh-CN"/>
              </w:rPr>
              <w:t>新乡市凤泉区利民加油站建设项目。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sz w:val="24"/>
                <w:szCs w:val="24"/>
              </w:rPr>
            </w:pPr>
            <w:r>
              <w:rPr>
                <w:rFonts w:ascii="Times New Roman" w:hAnsi="Times New Roman" w:cs="Times New Roman"/>
                <w:color w:val="auto"/>
                <w:sz w:val="24"/>
                <w:szCs w:val="24"/>
              </w:rPr>
              <w:t>根据《中华人民共和国环境保护法》、《中华人民共和国环境影响评价法》和《建设项目环境保护管理条例》等有关规定，本</w:t>
            </w:r>
            <w:r>
              <w:rPr>
                <w:rFonts w:hint="eastAsia" w:cs="Times New Roman"/>
                <w:color w:val="auto"/>
                <w:sz w:val="24"/>
                <w:szCs w:val="24"/>
                <w:lang w:eastAsia="zh-CN"/>
              </w:rPr>
              <w:t>项目</w:t>
            </w:r>
            <w:r>
              <w:rPr>
                <w:rFonts w:ascii="Times New Roman" w:hAnsi="Times New Roman" w:cs="Times New Roman"/>
                <w:color w:val="auto"/>
                <w:sz w:val="24"/>
                <w:szCs w:val="24"/>
              </w:rPr>
              <w:t>须进行环境影响评价。</w:t>
            </w:r>
            <w:r>
              <w:rPr>
                <w:rFonts w:hint="default" w:ascii="Times New Roman" w:hAnsi="Times New Roman" w:cs="Times New Roman"/>
                <w:color w:val="000000"/>
                <w:spacing w:val="-4"/>
                <w:sz w:val="24"/>
                <w:szCs w:val="24"/>
              </w:rPr>
              <w:t>根据《建设项目环境影响评价分类管理名录》（环境保护部令第44号）以及生态环境部令第1号关于修改《建设项目环境影响评价分类管理名录》部分内容的决定的有关规定，</w:t>
            </w:r>
            <w:r>
              <w:rPr>
                <w:color w:val="000000"/>
                <w:sz w:val="24"/>
                <w:szCs w:val="24"/>
              </w:rPr>
              <w:t>本项目属于</w:t>
            </w:r>
            <w:r>
              <w:rPr>
                <w:rFonts w:hint="eastAsia" w:ascii="宋体" w:hAnsi="宋体" w:cs="宋体"/>
                <w:color w:val="000000"/>
                <w:sz w:val="24"/>
                <w:szCs w:val="24"/>
              </w:rPr>
              <w:t>“四十、社会事业与服务业”中“</w:t>
            </w:r>
            <w:r>
              <w:rPr>
                <w:color w:val="000000"/>
                <w:sz w:val="24"/>
                <w:szCs w:val="24"/>
              </w:rPr>
              <w:t>124</w:t>
            </w:r>
            <w:r>
              <w:rPr>
                <w:rFonts w:hint="eastAsia" w:ascii="宋体" w:hAnsi="宋体" w:cs="宋体"/>
                <w:color w:val="000000"/>
                <w:sz w:val="24"/>
                <w:szCs w:val="24"/>
              </w:rPr>
              <w:t>加油、加气站”</w:t>
            </w:r>
            <w:r>
              <w:rPr>
                <w:color w:val="000000"/>
                <w:sz w:val="24"/>
                <w:szCs w:val="24"/>
              </w:rPr>
              <w:t>应编制环境影响报告表。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color w:val="auto"/>
                <w:sz w:val="24"/>
                <w:szCs w:val="24"/>
              </w:rPr>
            </w:pPr>
            <w:r>
              <w:rPr>
                <w:rFonts w:hint="eastAsia"/>
                <w:color w:val="auto"/>
                <w:sz w:val="24"/>
                <w:szCs w:val="24"/>
                <w:lang w:eastAsia="zh-CN"/>
              </w:rPr>
              <w:t>受建设单位委托</w:t>
            </w:r>
            <w:r>
              <w:rPr>
                <w:color w:val="auto"/>
                <w:sz w:val="24"/>
                <w:szCs w:val="24"/>
              </w:rPr>
              <w:t>，</w:t>
            </w:r>
            <w:r>
              <w:rPr>
                <w:rFonts w:hint="eastAsia"/>
                <w:color w:val="auto"/>
                <w:sz w:val="24"/>
                <w:szCs w:val="24"/>
                <w:lang w:val="en-US" w:eastAsia="zh-CN"/>
              </w:rPr>
              <w:t>我公司承担了本项目的环境影响评价工作。接受委托后，我公司</w:t>
            </w:r>
            <w:r>
              <w:rPr>
                <w:color w:val="auto"/>
                <w:sz w:val="24"/>
                <w:szCs w:val="24"/>
              </w:rPr>
              <w:t>组织</w:t>
            </w:r>
            <w:r>
              <w:rPr>
                <w:rFonts w:hint="eastAsia"/>
                <w:color w:val="auto"/>
                <w:sz w:val="24"/>
                <w:szCs w:val="24"/>
                <w:lang w:eastAsia="zh-CN"/>
              </w:rPr>
              <w:t>有关技术</w:t>
            </w:r>
            <w:r>
              <w:rPr>
                <w:color w:val="auto"/>
                <w:sz w:val="24"/>
                <w:szCs w:val="24"/>
              </w:rPr>
              <w:t>人员</w:t>
            </w:r>
            <w:r>
              <w:rPr>
                <w:rFonts w:hint="eastAsia"/>
                <w:color w:val="auto"/>
                <w:sz w:val="24"/>
                <w:szCs w:val="24"/>
                <w:lang w:eastAsia="zh-CN"/>
              </w:rPr>
              <w:t>，在现场调查和收集有关资料的基础上，本着“科学、公正、客观”的态度，</w:t>
            </w:r>
            <w:r>
              <w:rPr>
                <w:color w:val="auto"/>
                <w:sz w:val="24"/>
                <w:szCs w:val="24"/>
              </w:rPr>
              <w:t>依据《环境影响评价技术导则》的要求编制完成了本项目的环境影响报告表。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contextualSpacing/>
              <w:textAlignment w:val="auto"/>
              <w:rPr>
                <w:color w:val="auto"/>
                <w:sz w:val="24"/>
                <w:highlight w:val="none"/>
              </w:rPr>
            </w:pPr>
            <w:r>
              <w:rPr>
                <w:color w:val="auto"/>
                <w:sz w:val="24"/>
                <w:szCs w:val="24"/>
                <w:highlight w:val="none"/>
              </w:rPr>
              <w:t>根据现场</w:t>
            </w:r>
            <w:r>
              <w:rPr>
                <w:rFonts w:hint="eastAsia"/>
                <w:color w:val="auto"/>
                <w:sz w:val="24"/>
                <w:szCs w:val="24"/>
                <w:highlight w:val="none"/>
              </w:rPr>
              <w:t>踏勘</w:t>
            </w:r>
            <w:r>
              <w:rPr>
                <w:color w:val="auto"/>
                <w:sz w:val="24"/>
                <w:szCs w:val="24"/>
                <w:highlight w:val="none"/>
              </w:rPr>
              <w:t>，</w:t>
            </w:r>
            <w:r>
              <w:rPr>
                <w:rFonts w:hint="eastAsia"/>
                <w:color w:val="auto"/>
                <w:sz w:val="24"/>
                <w:szCs w:val="24"/>
                <w:highlight w:val="none"/>
              </w:rPr>
              <w:t>本</w:t>
            </w:r>
            <w:r>
              <w:rPr>
                <w:color w:val="auto"/>
                <w:sz w:val="24"/>
                <w:szCs w:val="24"/>
                <w:highlight w:val="none"/>
              </w:rPr>
              <w:t>项目</w:t>
            </w:r>
            <w:r>
              <w:rPr>
                <w:rFonts w:hint="eastAsia"/>
                <w:color w:val="auto"/>
                <w:sz w:val="24"/>
                <w:szCs w:val="24"/>
                <w:highlight w:val="none"/>
                <w:lang w:eastAsia="zh-CN"/>
              </w:rPr>
              <w:t>地面罩棚及站房已建，设备均已安装。属于未批先建项目。新乡市凤泉区环境保护局已于</w:t>
            </w:r>
            <w:r>
              <w:rPr>
                <w:rFonts w:hint="eastAsia"/>
                <w:color w:val="auto"/>
                <w:sz w:val="24"/>
                <w:szCs w:val="24"/>
                <w:highlight w:val="none"/>
                <w:lang w:val="en-US" w:eastAsia="zh-CN"/>
              </w:rPr>
              <w:t>2020年11月26日对该项目</w:t>
            </w:r>
            <w:r>
              <w:rPr>
                <w:rFonts w:hint="eastAsia"/>
                <w:color w:val="auto"/>
                <w:sz w:val="24"/>
                <w:szCs w:val="24"/>
                <w:highlight w:val="none"/>
                <w:lang w:eastAsia="zh-CN"/>
              </w:rPr>
              <w:t>进行了处罚（处罚决定书及缴款凭证见附件</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lang w:val="en-US" w:eastAsia="zh-CN"/>
              </w:rPr>
              <w:t>处罚文号：凤环罚决字【2020】第132号</w:t>
            </w:r>
            <w:r>
              <w:rPr>
                <w:rFonts w:hint="eastAsia"/>
                <w:color w:val="auto"/>
                <w:sz w:val="24"/>
                <w:szCs w:val="24"/>
                <w:highlight w:val="none"/>
                <w:lang w:eastAsia="zh-CN"/>
              </w:rPr>
              <w:t>。</w:t>
            </w:r>
          </w:p>
          <w:p>
            <w:pPr>
              <w:keepNext w:val="0"/>
              <w:keepLines w:val="0"/>
              <w:pageBreakBefore w:val="0"/>
              <w:widowControl w:val="0"/>
              <w:kinsoku/>
              <w:overflowPunct/>
              <w:topLinePunct w:val="0"/>
              <w:autoSpaceDE/>
              <w:autoSpaceDN/>
              <w:bidi w:val="0"/>
              <w:spacing w:line="520" w:lineRule="exact"/>
              <w:textAlignment w:val="auto"/>
              <w:rPr>
                <w:b/>
                <w:color w:val="000000"/>
                <w:sz w:val="24"/>
                <w:szCs w:val="24"/>
              </w:rPr>
            </w:pPr>
            <w:r>
              <w:rPr>
                <w:rFonts w:hint="eastAsia"/>
                <w:b/>
                <w:color w:val="000000"/>
                <w:sz w:val="24"/>
                <w:szCs w:val="24"/>
              </w:rPr>
              <w:t>二、产业政策和备案的相符性分析</w:t>
            </w:r>
          </w:p>
          <w:p>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b/>
                <w:bCs w:val="0"/>
                <w:color w:val="000000"/>
                <w:sz w:val="24"/>
              </w:rPr>
            </w:pPr>
            <w:r>
              <w:rPr>
                <w:b/>
                <w:bCs w:val="0"/>
                <w:color w:val="000000"/>
                <w:sz w:val="24"/>
              </w:rPr>
              <w:t>1</w:t>
            </w:r>
            <w:r>
              <w:rPr>
                <w:rFonts w:hint="eastAsia"/>
                <w:b/>
                <w:bCs w:val="0"/>
                <w:color w:val="000000"/>
                <w:sz w:val="24"/>
              </w:rPr>
              <w:t>、与《产业结构调整指导目录》相符性分析</w:t>
            </w:r>
          </w:p>
          <w:p>
            <w:pPr>
              <w:keepNext w:val="0"/>
              <w:keepLines w:val="0"/>
              <w:pageBreakBefore w:val="0"/>
              <w:widowControl w:val="0"/>
              <w:kinsoku/>
              <w:wordWrap w:val="0"/>
              <w:overflowPunct/>
              <w:topLinePunct w:val="0"/>
              <w:autoSpaceDE/>
              <w:autoSpaceDN/>
              <w:bidi w:val="0"/>
              <w:spacing w:line="520" w:lineRule="exact"/>
              <w:ind w:firstLine="480" w:firstLineChars="200"/>
              <w:jc w:val="left"/>
              <w:textAlignment w:val="auto"/>
              <w:rPr>
                <w:color w:val="000000"/>
                <w:sz w:val="24"/>
                <w:szCs w:val="24"/>
              </w:rPr>
            </w:pPr>
            <w:r>
              <w:rPr>
                <w:rFonts w:hint="eastAsia"/>
                <w:sz w:val="24"/>
                <w:szCs w:val="24"/>
              </w:rPr>
              <w:t>经查阅</w:t>
            </w:r>
            <w:r>
              <w:rPr>
                <w:rFonts w:hint="eastAsia"/>
                <w:sz w:val="24"/>
              </w:rPr>
              <w:t>《产业结构调整指导目录（2019年本）》，本项目不属于鼓励类、限制类和淘汰类，属于允许类项目，</w:t>
            </w:r>
            <w:r>
              <w:rPr>
                <w:rFonts w:hAnsi="宋体"/>
                <w:sz w:val="24"/>
              </w:rPr>
              <w:t>项目</w:t>
            </w:r>
            <w:r>
              <w:rPr>
                <w:rFonts w:hint="eastAsia"/>
                <w:sz w:val="24"/>
              </w:rPr>
              <w:t>建设符合国家产业政策。</w:t>
            </w:r>
            <w:r>
              <w:rPr>
                <w:rFonts w:hint="eastAsia"/>
                <w:color w:val="000000"/>
                <w:sz w:val="24"/>
                <w:szCs w:val="24"/>
              </w:rPr>
              <w:t>本项目已</w:t>
            </w:r>
            <w:r>
              <w:rPr>
                <w:rFonts w:hint="eastAsia"/>
                <w:color w:val="000000"/>
                <w:sz w:val="24"/>
                <w:szCs w:val="24"/>
                <w:lang w:eastAsia="zh-CN"/>
              </w:rPr>
              <w:t>经</w:t>
            </w:r>
            <w:r>
              <w:rPr>
                <w:rFonts w:hint="eastAsia"/>
                <w:color w:val="auto"/>
                <w:sz w:val="24"/>
                <w:lang w:eastAsia="zh-CN"/>
              </w:rPr>
              <w:t>新乡市凤泉区发展和改革委员会同意</w:t>
            </w:r>
            <w:r>
              <w:rPr>
                <w:rFonts w:hint="eastAsia"/>
                <w:color w:val="000000"/>
                <w:sz w:val="24"/>
                <w:szCs w:val="24"/>
              </w:rPr>
              <w:t>备案，项目代码为：</w:t>
            </w:r>
            <w:r>
              <w:rPr>
                <w:rFonts w:hint="eastAsia"/>
                <w:color w:val="auto"/>
                <w:sz w:val="24"/>
                <w:lang w:eastAsia="zh-CN"/>
              </w:rPr>
              <w:t>2020-410</w:t>
            </w:r>
            <w:r>
              <w:rPr>
                <w:rFonts w:hint="eastAsia"/>
                <w:color w:val="auto"/>
                <w:sz w:val="24"/>
                <w:lang w:val="en-US" w:eastAsia="zh-CN"/>
              </w:rPr>
              <w:t>704</w:t>
            </w:r>
            <w:r>
              <w:rPr>
                <w:rFonts w:hint="eastAsia"/>
                <w:color w:val="auto"/>
                <w:sz w:val="24"/>
                <w:lang w:eastAsia="zh-CN"/>
              </w:rPr>
              <w:t>-52-03-</w:t>
            </w:r>
            <w:r>
              <w:rPr>
                <w:rFonts w:hint="eastAsia"/>
                <w:color w:val="auto"/>
                <w:sz w:val="24"/>
                <w:lang w:val="en-US" w:eastAsia="zh-CN"/>
              </w:rPr>
              <w:t>095293</w:t>
            </w:r>
            <w:r>
              <w:rPr>
                <w:rFonts w:hint="eastAsia"/>
                <w:color w:val="000000"/>
                <w:sz w:val="24"/>
                <w:szCs w:val="24"/>
              </w:rPr>
              <w:t>。</w:t>
            </w:r>
          </w:p>
          <w:p>
            <w:pPr>
              <w:keepNext w:val="0"/>
              <w:keepLines w:val="0"/>
              <w:pageBreakBefore w:val="0"/>
              <w:widowControl w:val="0"/>
              <w:kinsoku/>
              <w:overflowPunct/>
              <w:topLinePunct w:val="0"/>
              <w:autoSpaceDE/>
              <w:autoSpaceDN/>
              <w:bidi w:val="0"/>
              <w:spacing w:line="520" w:lineRule="exact"/>
              <w:ind w:firstLine="482" w:firstLineChars="200"/>
              <w:textAlignment w:val="auto"/>
              <w:rPr>
                <w:b/>
                <w:bCs w:val="0"/>
                <w:color w:val="000000"/>
                <w:sz w:val="24"/>
                <w:szCs w:val="24"/>
              </w:rPr>
            </w:pPr>
            <w:r>
              <w:rPr>
                <w:b/>
                <w:bCs w:val="0"/>
                <w:color w:val="000000"/>
                <w:sz w:val="24"/>
                <w:szCs w:val="24"/>
              </w:rPr>
              <w:t>2</w:t>
            </w:r>
            <w:r>
              <w:rPr>
                <w:rFonts w:hint="eastAsia"/>
                <w:b/>
                <w:bCs w:val="0"/>
                <w:color w:val="000000"/>
                <w:sz w:val="24"/>
                <w:szCs w:val="24"/>
              </w:rPr>
              <w:t>、与备案一致分析。</w:t>
            </w:r>
          </w:p>
          <w:p>
            <w:pPr>
              <w:keepNext w:val="0"/>
              <w:keepLines w:val="0"/>
              <w:pageBreakBefore w:val="0"/>
              <w:widowControl w:val="0"/>
              <w:kinsoku/>
              <w:overflowPunct/>
              <w:topLinePunct w:val="0"/>
              <w:autoSpaceDE/>
              <w:autoSpaceDN/>
              <w:bidi w:val="0"/>
              <w:spacing w:line="520" w:lineRule="exact"/>
              <w:ind w:firstLine="480" w:firstLineChars="200"/>
              <w:jc w:val="left"/>
              <w:textAlignment w:val="auto"/>
              <w:rPr>
                <w:rFonts w:hint="eastAsia"/>
                <w:color w:val="000000"/>
                <w:sz w:val="24"/>
                <w:szCs w:val="24"/>
              </w:rPr>
            </w:pPr>
            <w:r>
              <w:rPr>
                <w:rFonts w:hint="eastAsia"/>
                <w:color w:val="000000"/>
                <w:sz w:val="24"/>
                <w:szCs w:val="24"/>
              </w:rPr>
              <w:t>本项目与备案相符性分析见表1。</w:t>
            </w:r>
          </w:p>
          <w:p>
            <w:pPr>
              <w:keepNext w:val="0"/>
              <w:keepLines w:val="0"/>
              <w:pageBreakBefore w:val="0"/>
              <w:widowControl w:val="0"/>
              <w:kinsoku/>
              <w:overflowPunct/>
              <w:topLinePunct w:val="0"/>
              <w:autoSpaceDE/>
              <w:autoSpaceDN/>
              <w:bidi w:val="0"/>
              <w:spacing w:line="520" w:lineRule="exact"/>
              <w:ind w:firstLine="482" w:firstLineChars="200"/>
              <w:jc w:val="center"/>
              <w:textAlignment w:val="auto"/>
              <w:rPr>
                <w:rFonts w:hint="default" w:ascii="Times New Roman" w:hAnsi="Times New Roman" w:cs="Times New Roman" w:eastAsiaTheme="majorEastAsia"/>
                <w:b/>
                <w:bCs/>
                <w:color w:val="000000"/>
                <w:sz w:val="24"/>
                <w:szCs w:val="24"/>
                <w:lang w:val="pt-BR"/>
              </w:rPr>
            </w:pPr>
            <w:r>
              <w:rPr>
                <w:rFonts w:hint="default" w:ascii="Times New Roman" w:hAnsi="Times New Roman" w:cs="Times New Roman" w:eastAsiaTheme="majorEastAsia"/>
                <w:b/>
                <w:bCs/>
                <w:color w:val="000000"/>
                <w:sz w:val="24"/>
                <w:szCs w:val="24"/>
                <w:lang w:val="pt-BR"/>
              </w:rPr>
              <w:t>表1       本项目与备案内容一致性分析</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151"/>
              <w:gridCol w:w="2462"/>
              <w:gridCol w:w="2690"/>
              <w:gridCol w:w="205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pct"/>
                  <w:gridSpan w:val="2"/>
                  <w:tcBorders>
                    <w:top w:val="single" w:color="auto" w:sz="8" w:space="0"/>
                    <w:left w:val="nil"/>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名称</w:t>
                  </w:r>
                </w:p>
              </w:tc>
              <w:tc>
                <w:tcPr>
                  <w:tcW w:w="1401" w:type="pct"/>
                  <w:tcBorders>
                    <w:top w:val="single" w:color="auto" w:sz="8" w:space="0"/>
                    <w:left w:val="single" w:color="auto" w:sz="4" w:space="0"/>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备案情况</w:t>
                  </w:r>
                </w:p>
              </w:tc>
              <w:tc>
                <w:tcPr>
                  <w:tcW w:w="1531" w:type="pct"/>
                  <w:tcBorders>
                    <w:top w:val="single" w:color="auto" w:sz="8" w:space="0"/>
                    <w:left w:val="single" w:color="auto" w:sz="4" w:space="0"/>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实际建设内容</w:t>
                  </w:r>
                </w:p>
              </w:tc>
              <w:tc>
                <w:tcPr>
                  <w:tcW w:w="1172" w:type="pct"/>
                  <w:tcBorders>
                    <w:top w:val="single" w:color="auto" w:sz="8" w:space="0"/>
                    <w:left w:val="single" w:color="auto" w:sz="4" w:space="0"/>
                    <w:bottom w:val="single" w:color="auto" w:sz="4" w:space="0"/>
                    <w:right w:val="nil"/>
                  </w:tcBorders>
                  <w:noWrap w:val="0"/>
                  <w:vAlign w:val="center"/>
                </w:tcPr>
                <w:p>
                  <w:pPr>
                    <w:jc w:val="center"/>
                    <w:rPr>
                      <w:b/>
                      <w:color w:val="000000"/>
                      <w:sz w:val="21"/>
                      <w:szCs w:val="21"/>
                    </w:rPr>
                  </w:pPr>
                  <w:r>
                    <w:rPr>
                      <w:rFonts w:hint="eastAsia"/>
                      <w:b/>
                      <w:color w:val="000000"/>
                      <w:sz w:val="21"/>
                      <w:szCs w:val="21"/>
                    </w:rPr>
                    <w:t>相符性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pct"/>
                  <w:gridSpan w:val="2"/>
                  <w:tcBorders>
                    <w:top w:val="single" w:color="auto" w:sz="4" w:space="0"/>
                    <w:left w:val="nil"/>
                    <w:bottom w:val="single" w:color="auto" w:sz="4"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建设单位</w:t>
                  </w:r>
                </w:p>
              </w:tc>
              <w:tc>
                <w:tcPr>
                  <w:tcW w:w="140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000000"/>
                      <w:sz w:val="21"/>
                      <w:szCs w:val="24"/>
                      <w:lang w:eastAsia="zh-CN"/>
                    </w:rPr>
                  </w:pPr>
                  <w:r>
                    <w:rPr>
                      <w:rFonts w:hint="eastAsia"/>
                      <w:color w:val="000000"/>
                      <w:sz w:val="21"/>
                      <w:szCs w:val="24"/>
                      <w:lang w:eastAsia="zh-CN"/>
                    </w:rPr>
                    <w:t>新乡市凤泉区利民加油站</w:t>
                  </w:r>
                </w:p>
              </w:tc>
              <w:tc>
                <w:tcPr>
                  <w:tcW w:w="153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color w:val="000000"/>
                      <w:sz w:val="21"/>
                      <w:szCs w:val="24"/>
                      <w:lang w:eastAsia="zh-CN"/>
                    </w:rPr>
                    <w:t>新乡市凤泉区利民加油站</w:t>
                  </w:r>
                </w:p>
              </w:tc>
              <w:tc>
                <w:tcPr>
                  <w:tcW w:w="1172" w:type="pct"/>
                  <w:tcBorders>
                    <w:top w:val="single" w:color="auto" w:sz="4" w:space="0"/>
                    <w:left w:val="single" w:color="auto" w:sz="4" w:space="0"/>
                    <w:bottom w:val="single" w:color="auto" w:sz="4" w:space="0"/>
                    <w:right w:val="nil"/>
                  </w:tcBorders>
                  <w:noWrap w:val="0"/>
                  <w:vAlign w:val="center"/>
                </w:tcPr>
                <w:p>
                  <w:pPr>
                    <w:jc w:val="center"/>
                    <w:rPr>
                      <w:color w:val="000000"/>
                      <w:sz w:val="21"/>
                      <w:szCs w:val="24"/>
                    </w:rPr>
                  </w:pPr>
                  <w:r>
                    <w:rPr>
                      <w:rFonts w:hint="eastAsia"/>
                      <w:color w:val="000000"/>
                      <w:sz w:val="21"/>
                      <w:szCs w:val="24"/>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pct"/>
                  <w:gridSpan w:val="2"/>
                  <w:tcBorders>
                    <w:top w:val="single" w:color="auto" w:sz="4" w:space="0"/>
                    <w:left w:val="nil"/>
                    <w:bottom w:val="single" w:color="auto" w:sz="4"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建设地点</w:t>
                  </w:r>
                </w:p>
              </w:tc>
              <w:tc>
                <w:tcPr>
                  <w:tcW w:w="140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ascii="Times New Roman" w:hAnsi="Times New Roman" w:cs="Times New Roman"/>
                      <w:color w:val="000000"/>
                      <w:sz w:val="21"/>
                      <w:szCs w:val="24"/>
                      <w:lang w:eastAsia="zh-CN"/>
                    </w:rPr>
                    <w:t>新乡市凤泉区大块镇东郭村新秀路402号</w:t>
                  </w:r>
                </w:p>
              </w:tc>
              <w:tc>
                <w:tcPr>
                  <w:tcW w:w="153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ascii="Times New Roman" w:hAnsi="Times New Roman" w:cs="Times New Roman"/>
                      <w:color w:val="000000"/>
                      <w:sz w:val="21"/>
                      <w:szCs w:val="24"/>
                      <w:lang w:eastAsia="zh-CN"/>
                    </w:rPr>
                    <w:t>新乡市凤泉区大块镇东郭村新秀路402号</w:t>
                  </w:r>
                </w:p>
              </w:tc>
              <w:tc>
                <w:tcPr>
                  <w:tcW w:w="1172" w:type="pct"/>
                  <w:tcBorders>
                    <w:top w:val="single" w:color="auto" w:sz="4" w:space="0"/>
                    <w:left w:val="single" w:color="auto" w:sz="4" w:space="0"/>
                    <w:bottom w:val="single" w:color="auto" w:sz="4" w:space="0"/>
                    <w:right w:val="nil"/>
                  </w:tcBorders>
                  <w:noWrap w:val="0"/>
                  <w:vAlign w:val="center"/>
                </w:tcPr>
                <w:p>
                  <w:pPr>
                    <w:jc w:val="center"/>
                    <w:rPr>
                      <w:color w:val="000000"/>
                      <w:sz w:val="21"/>
                      <w:szCs w:val="24"/>
                    </w:rPr>
                  </w:pPr>
                  <w:r>
                    <w:rPr>
                      <w:rFonts w:hint="eastAsia"/>
                      <w:color w:val="000000"/>
                      <w:sz w:val="21"/>
                      <w:szCs w:val="24"/>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pct"/>
                  <w:gridSpan w:val="2"/>
                  <w:tcBorders>
                    <w:top w:val="single" w:color="auto" w:sz="4" w:space="0"/>
                    <w:left w:val="nil"/>
                    <w:bottom w:val="single" w:color="auto" w:sz="4"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总投资</w:t>
                  </w:r>
                </w:p>
              </w:tc>
              <w:tc>
                <w:tcPr>
                  <w:tcW w:w="140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color w:val="000000"/>
                      <w:sz w:val="21"/>
                      <w:szCs w:val="24"/>
                      <w:lang w:val="en-US" w:eastAsia="zh-CN"/>
                    </w:rPr>
                    <w:t>25</w:t>
                  </w:r>
                  <w:r>
                    <w:rPr>
                      <w:rFonts w:hint="eastAsia"/>
                      <w:color w:val="000000"/>
                      <w:sz w:val="21"/>
                      <w:szCs w:val="24"/>
                    </w:rPr>
                    <w:t>万元</w:t>
                  </w:r>
                </w:p>
              </w:tc>
              <w:tc>
                <w:tcPr>
                  <w:tcW w:w="153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color w:val="000000"/>
                      <w:sz w:val="21"/>
                      <w:szCs w:val="24"/>
                      <w:lang w:val="en-US" w:eastAsia="zh-CN"/>
                    </w:rPr>
                    <w:t>25</w:t>
                  </w:r>
                  <w:r>
                    <w:rPr>
                      <w:rFonts w:hint="eastAsia"/>
                      <w:color w:val="000000"/>
                      <w:sz w:val="21"/>
                      <w:szCs w:val="24"/>
                    </w:rPr>
                    <w:t>万元</w:t>
                  </w:r>
                </w:p>
              </w:tc>
              <w:tc>
                <w:tcPr>
                  <w:tcW w:w="1172" w:type="pct"/>
                  <w:tcBorders>
                    <w:top w:val="single" w:color="auto" w:sz="4" w:space="0"/>
                    <w:left w:val="single" w:color="auto" w:sz="4" w:space="0"/>
                    <w:bottom w:val="single" w:color="auto" w:sz="4" w:space="0"/>
                    <w:right w:val="nil"/>
                  </w:tcBorders>
                  <w:noWrap w:val="0"/>
                  <w:vAlign w:val="center"/>
                </w:tcPr>
                <w:p>
                  <w:pPr>
                    <w:jc w:val="center"/>
                    <w:rPr>
                      <w:color w:val="000000"/>
                      <w:sz w:val="21"/>
                      <w:szCs w:val="24"/>
                    </w:rPr>
                  </w:pPr>
                  <w:r>
                    <w:rPr>
                      <w:rFonts w:hint="eastAsia"/>
                      <w:color w:val="000000"/>
                      <w:sz w:val="21"/>
                      <w:szCs w:val="24"/>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 w:type="pct"/>
                  <w:vMerge w:val="restart"/>
                  <w:tcBorders>
                    <w:top w:val="single" w:color="auto" w:sz="4" w:space="0"/>
                    <w:left w:val="nil"/>
                    <w:bottom w:val="single" w:color="auto" w:sz="8"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建设内容</w:t>
                  </w:r>
                </w:p>
              </w:tc>
              <w:tc>
                <w:tcPr>
                  <w:tcW w:w="655" w:type="pct"/>
                  <w:tcBorders>
                    <w:top w:val="single" w:color="auto" w:sz="4" w:space="0"/>
                    <w:left w:val="single" w:color="auto" w:sz="4" w:space="0"/>
                    <w:bottom w:val="single" w:color="auto" w:sz="4"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占地面积</w:t>
                  </w:r>
                </w:p>
              </w:tc>
              <w:tc>
                <w:tcPr>
                  <w:tcW w:w="140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1"/>
                      <w:szCs w:val="24"/>
                    </w:rPr>
                  </w:pPr>
                  <w:r>
                    <w:rPr>
                      <w:rFonts w:hint="eastAsia"/>
                      <w:color w:val="000000"/>
                      <w:sz w:val="21"/>
                      <w:szCs w:val="24"/>
                      <w:lang w:val="en-US" w:eastAsia="zh-CN"/>
                    </w:rPr>
                    <w:t>1476</w:t>
                  </w:r>
                  <w:r>
                    <w:rPr>
                      <w:color w:val="000000"/>
                      <w:sz w:val="21"/>
                      <w:szCs w:val="21"/>
                      <w:lang w:val="pt-BR"/>
                    </w:rPr>
                    <w:t xml:space="preserve"> m</w:t>
                  </w:r>
                  <w:r>
                    <w:rPr>
                      <w:color w:val="000000"/>
                      <w:sz w:val="21"/>
                      <w:szCs w:val="21"/>
                      <w:vertAlign w:val="superscript"/>
                      <w:lang w:val="pt-BR"/>
                    </w:rPr>
                    <w:t>2</w:t>
                  </w:r>
                </w:p>
              </w:tc>
              <w:tc>
                <w:tcPr>
                  <w:tcW w:w="1531" w:type="pct"/>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1"/>
                      <w:szCs w:val="24"/>
                    </w:rPr>
                  </w:pPr>
                  <w:r>
                    <w:rPr>
                      <w:rFonts w:hint="eastAsia"/>
                      <w:color w:val="auto"/>
                      <w:sz w:val="21"/>
                      <w:szCs w:val="24"/>
                      <w:lang w:val="en-US" w:eastAsia="zh-CN"/>
                    </w:rPr>
                    <w:t>1476</w:t>
                  </w:r>
                  <w:r>
                    <w:rPr>
                      <w:color w:val="auto"/>
                      <w:sz w:val="21"/>
                      <w:szCs w:val="21"/>
                      <w:lang w:val="pt-BR"/>
                    </w:rPr>
                    <w:t xml:space="preserve"> m</w:t>
                  </w:r>
                  <w:r>
                    <w:rPr>
                      <w:color w:val="auto"/>
                      <w:sz w:val="21"/>
                      <w:szCs w:val="21"/>
                      <w:vertAlign w:val="superscript"/>
                      <w:lang w:val="pt-BR"/>
                    </w:rPr>
                    <w:t>2</w:t>
                  </w:r>
                </w:p>
              </w:tc>
              <w:tc>
                <w:tcPr>
                  <w:tcW w:w="1172" w:type="pct"/>
                  <w:tcBorders>
                    <w:top w:val="single" w:color="auto" w:sz="4" w:space="0"/>
                    <w:left w:val="single" w:color="auto" w:sz="4" w:space="0"/>
                    <w:bottom w:val="single" w:color="auto" w:sz="4" w:space="0"/>
                    <w:right w:val="nil"/>
                  </w:tcBorders>
                  <w:noWrap w:val="0"/>
                  <w:vAlign w:val="center"/>
                </w:tcPr>
                <w:p>
                  <w:pPr>
                    <w:jc w:val="center"/>
                    <w:rPr>
                      <w:color w:val="auto"/>
                      <w:sz w:val="21"/>
                      <w:szCs w:val="24"/>
                    </w:rPr>
                  </w:pPr>
                  <w:r>
                    <w:rPr>
                      <w:rFonts w:hint="eastAsia"/>
                      <w:color w:val="auto"/>
                      <w:sz w:val="21"/>
                      <w:szCs w:val="24"/>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1" w:type="pct"/>
                  <w:vMerge w:val="continue"/>
                  <w:tcBorders>
                    <w:top w:val="single" w:color="auto" w:sz="4" w:space="0"/>
                    <w:left w:val="nil"/>
                    <w:bottom w:val="single" w:color="auto" w:sz="8" w:space="0"/>
                    <w:right w:val="single" w:color="auto" w:sz="4" w:space="0"/>
                  </w:tcBorders>
                  <w:noWrap w:val="0"/>
                  <w:vAlign w:val="center"/>
                </w:tcPr>
                <w:p>
                  <w:pPr>
                    <w:widowControl/>
                    <w:jc w:val="left"/>
                    <w:rPr>
                      <w:b/>
                      <w:color w:val="000000"/>
                      <w:kern w:val="0"/>
                      <w:sz w:val="21"/>
                      <w:szCs w:val="21"/>
                    </w:rPr>
                  </w:pPr>
                </w:p>
              </w:tc>
              <w:tc>
                <w:tcPr>
                  <w:tcW w:w="655" w:type="pct"/>
                  <w:tcBorders>
                    <w:top w:val="single" w:color="auto" w:sz="4" w:space="0"/>
                    <w:left w:val="single" w:color="auto" w:sz="4" w:space="0"/>
                    <w:bottom w:val="single" w:color="auto" w:sz="8" w:space="0"/>
                    <w:right w:val="single" w:color="auto" w:sz="4" w:space="0"/>
                  </w:tcBorders>
                  <w:noWrap w:val="0"/>
                  <w:vAlign w:val="center"/>
                </w:tcPr>
                <w:p>
                  <w:pPr>
                    <w:jc w:val="center"/>
                    <w:rPr>
                      <w:b/>
                      <w:color w:val="000000"/>
                      <w:kern w:val="0"/>
                      <w:sz w:val="21"/>
                      <w:szCs w:val="21"/>
                    </w:rPr>
                  </w:pPr>
                  <w:r>
                    <w:rPr>
                      <w:rFonts w:hint="eastAsia"/>
                      <w:b/>
                      <w:color w:val="000000"/>
                      <w:kern w:val="0"/>
                      <w:sz w:val="21"/>
                      <w:szCs w:val="21"/>
                    </w:rPr>
                    <w:t>主要设备</w:t>
                  </w:r>
                </w:p>
              </w:tc>
              <w:tc>
                <w:tcPr>
                  <w:tcW w:w="1401" w:type="pct"/>
                  <w:tcBorders>
                    <w:top w:val="single" w:color="auto" w:sz="4" w:space="0"/>
                    <w:left w:val="single" w:color="auto" w:sz="4" w:space="0"/>
                    <w:bottom w:val="single" w:color="auto" w:sz="8" w:space="0"/>
                    <w:right w:val="single" w:color="auto" w:sz="4" w:space="0"/>
                  </w:tcBorders>
                  <w:noWrap w:val="0"/>
                  <w:vAlign w:val="center"/>
                </w:tcPr>
                <w:p>
                  <w:pPr>
                    <w:jc w:val="center"/>
                    <w:rPr>
                      <w:color w:val="000000"/>
                      <w:sz w:val="21"/>
                      <w:szCs w:val="24"/>
                    </w:rPr>
                  </w:pPr>
                  <w:r>
                    <w:rPr>
                      <w:rFonts w:hint="eastAsia"/>
                      <w:color w:val="000000"/>
                      <w:sz w:val="21"/>
                      <w:szCs w:val="24"/>
                    </w:rPr>
                    <w:t>4个</w:t>
                  </w:r>
                  <w:r>
                    <w:rPr>
                      <w:rFonts w:hint="eastAsia"/>
                      <w:color w:val="000000"/>
                      <w:sz w:val="21"/>
                      <w:szCs w:val="24"/>
                      <w:lang w:val="en-US" w:eastAsia="zh-CN"/>
                    </w:rPr>
                    <w:t>2</w:t>
                  </w:r>
                  <w:r>
                    <w:rPr>
                      <w:rFonts w:hint="eastAsia"/>
                      <w:color w:val="000000"/>
                      <w:sz w:val="21"/>
                      <w:szCs w:val="24"/>
                    </w:rPr>
                    <w:t>0m</w:t>
                  </w:r>
                  <w:r>
                    <w:rPr>
                      <w:rFonts w:hint="eastAsia"/>
                      <w:color w:val="000000"/>
                      <w:sz w:val="21"/>
                      <w:szCs w:val="24"/>
                      <w:vertAlign w:val="superscript"/>
                    </w:rPr>
                    <w:t>3</w:t>
                  </w:r>
                  <w:r>
                    <w:rPr>
                      <w:rFonts w:hint="eastAsia"/>
                      <w:color w:val="000000"/>
                      <w:sz w:val="21"/>
                      <w:szCs w:val="24"/>
                    </w:rPr>
                    <w:t>储油罐、4台双枪加油机</w:t>
                  </w:r>
                </w:p>
              </w:tc>
              <w:tc>
                <w:tcPr>
                  <w:tcW w:w="1531" w:type="pct"/>
                  <w:tcBorders>
                    <w:top w:val="single" w:color="auto" w:sz="4" w:space="0"/>
                    <w:left w:val="single" w:color="auto" w:sz="4" w:space="0"/>
                    <w:bottom w:val="single" w:color="auto" w:sz="8" w:space="0"/>
                    <w:right w:val="single" w:color="auto" w:sz="4" w:space="0"/>
                  </w:tcBorders>
                  <w:noWrap w:val="0"/>
                  <w:vAlign w:val="center"/>
                </w:tcPr>
                <w:p>
                  <w:pPr>
                    <w:jc w:val="center"/>
                    <w:rPr>
                      <w:color w:val="000000"/>
                      <w:sz w:val="21"/>
                      <w:szCs w:val="24"/>
                    </w:rPr>
                  </w:pPr>
                  <w:r>
                    <w:rPr>
                      <w:rFonts w:hint="eastAsia"/>
                      <w:color w:val="000000"/>
                      <w:sz w:val="21"/>
                      <w:szCs w:val="24"/>
                    </w:rPr>
                    <w:t>4个</w:t>
                  </w:r>
                  <w:r>
                    <w:rPr>
                      <w:rFonts w:hint="eastAsia"/>
                      <w:color w:val="000000"/>
                      <w:sz w:val="21"/>
                      <w:szCs w:val="24"/>
                      <w:lang w:val="en-US" w:eastAsia="zh-CN"/>
                    </w:rPr>
                    <w:t>2</w:t>
                  </w:r>
                  <w:r>
                    <w:rPr>
                      <w:rFonts w:hint="eastAsia"/>
                      <w:color w:val="000000"/>
                      <w:sz w:val="21"/>
                      <w:szCs w:val="24"/>
                    </w:rPr>
                    <w:t>0m</w:t>
                  </w:r>
                  <w:r>
                    <w:rPr>
                      <w:rFonts w:hint="eastAsia"/>
                      <w:color w:val="000000"/>
                      <w:sz w:val="21"/>
                      <w:szCs w:val="24"/>
                      <w:vertAlign w:val="superscript"/>
                    </w:rPr>
                    <w:t>3</w:t>
                  </w:r>
                  <w:r>
                    <w:rPr>
                      <w:rFonts w:hint="eastAsia"/>
                      <w:color w:val="000000"/>
                      <w:sz w:val="21"/>
                      <w:szCs w:val="24"/>
                    </w:rPr>
                    <w:t>储油罐</w:t>
                  </w:r>
                  <w:r>
                    <w:rPr>
                      <w:rFonts w:hint="eastAsia"/>
                      <w:color w:val="000000"/>
                      <w:sz w:val="21"/>
                      <w:szCs w:val="24"/>
                      <w:lang w:eastAsia="zh-CN"/>
                    </w:rPr>
                    <w:t>（</w:t>
                  </w:r>
                  <w:r>
                    <w:rPr>
                      <w:rFonts w:hint="eastAsia"/>
                      <w:color w:val="000000"/>
                      <w:sz w:val="21"/>
                      <w:szCs w:val="24"/>
                      <w:lang w:val="en-US" w:eastAsia="zh-CN"/>
                    </w:rPr>
                    <w:t>2个柴油储罐、2个汽油储罐</w:t>
                  </w:r>
                  <w:r>
                    <w:rPr>
                      <w:rFonts w:hint="eastAsia"/>
                      <w:color w:val="000000"/>
                      <w:sz w:val="21"/>
                      <w:szCs w:val="24"/>
                      <w:lang w:eastAsia="zh-CN"/>
                    </w:rPr>
                    <w:t>）</w:t>
                  </w:r>
                  <w:r>
                    <w:rPr>
                      <w:rFonts w:hint="eastAsia"/>
                      <w:color w:val="000000"/>
                      <w:sz w:val="21"/>
                      <w:szCs w:val="24"/>
                    </w:rPr>
                    <w:t>、4台双枪加油机</w:t>
                  </w:r>
                </w:p>
              </w:tc>
              <w:tc>
                <w:tcPr>
                  <w:tcW w:w="1172" w:type="pct"/>
                  <w:tcBorders>
                    <w:top w:val="single" w:color="auto" w:sz="4" w:space="0"/>
                    <w:left w:val="single" w:color="auto" w:sz="4" w:space="0"/>
                    <w:bottom w:val="single" w:color="auto" w:sz="8" w:space="0"/>
                    <w:right w:val="nil"/>
                  </w:tcBorders>
                  <w:noWrap w:val="0"/>
                  <w:vAlign w:val="center"/>
                </w:tcPr>
                <w:p>
                  <w:pPr>
                    <w:jc w:val="center"/>
                    <w:rPr>
                      <w:color w:val="000000"/>
                      <w:sz w:val="21"/>
                      <w:szCs w:val="24"/>
                    </w:rPr>
                  </w:pPr>
                  <w:r>
                    <w:rPr>
                      <w:rFonts w:hint="eastAsia"/>
                      <w:color w:val="auto"/>
                      <w:sz w:val="21"/>
                      <w:szCs w:val="24"/>
                    </w:rPr>
                    <w:t>一致</w:t>
                  </w:r>
                </w:p>
              </w:tc>
            </w:tr>
          </w:tbl>
          <w:p>
            <w:pPr>
              <w:keepNext w:val="0"/>
              <w:keepLines w:val="0"/>
              <w:pageBreakBefore w:val="0"/>
              <w:widowControl w:val="0"/>
              <w:kinsoku/>
              <w:wordWrap/>
              <w:overflowPunct/>
              <w:topLinePunct w:val="0"/>
              <w:autoSpaceDE/>
              <w:autoSpaceDN/>
              <w:bidi w:val="0"/>
              <w:spacing w:line="520" w:lineRule="exact"/>
              <w:textAlignment w:val="auto"/>
              <w:rPr>
                <w:rFonts w:hint="eastAsia" w:ascii="Times New Roman" w:hAnsi="Times New Roman" w:cs="Times New Roman"/>
                <w:b/>
                <w:color w:val="000000"/>
                <w:sz w:val="24"/>
                <w:szCs w:val="24"/>
              </w:rPr>
            </w:pPr>
            <w:r>
              <w:rPr>
                <w:rFonts w:hint="eastAsia" w:ascii="Times New Roman" w:hAnsi="Times New Roman" w:cs="Times New Roman"/>
                <w:b/>
                <w:color w:val="000000"/>
                <w:sz w:val="24"/>
                <w:szCs w:val="24"/>
                <w:lang w:eastAsia="zh-CN"/>
              </w:rPr>
              <w:t>三、</w:t>
            </w:r>
            <w:r>
              <w:rPr>
                <w:rFonts w:hint="eastAsia" w:ascii="Times New Roman" w:hAnsi="Times New Roman" w:cs="Times New Roman"/>
                <w:b/>
                <w:color w:val="000000"/>
                <w:sz w:val="24"/>
                <w:szCs w:val="24"/>
              </w:rPr>
              <w:t>项目</w:t>
            </w:r>
            <w:r>
              <w:rPr>
                <w:rFonts w:hint="eastAsia"/>
                <w:b/>
                <w:color w:val="000000"/>
                <w:sz w:val="24"/>
                <w:szCs w:val="24"/>
                <w:lang w:eastAsia="zh-CN"/>
              </w:rPr>
              <w:t>规划相符性分析</w:t>
            </w:r>
            <w:r>
              <w:rPr>
                <w:rFonts w:hint="eastAsia" w:ascii="Times New Roman" w:hAnsi="Times New Roman" w:cs="Times New Roman"/>
                <w:b/>
                <w:color w:val="000000"/>
                <w:sz w:val="24"/>
                <w:szCs w:val="24"/>
              </w:rPr>
              <w:t>及周围环境概况</w:t>
            </w:r>
          </w:p>
          <w:p>
            <w:pPr>
              <w:pStyle w:val="5"/>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eastAsia="宋体" w:cs="Times New Roman"/>
                <w:b/>
                <w:bCs w:val="0"/>
                <w:color w:val="auto"/>
                <w:sz w:val="24"/>
                <w:lang w:val="en-US" w:eastAsia="zh-CN"/>
              </w:rPr>
            </w:pPr>
            <w:r>
              <w:rPr>
                <w:rFonts w:hint="eastAsia" w:ascii="Times New Roman" w:hAnsi="Times New Roman" w:cs="Times New Roman"/>
                <w:b/>
                <w:bCs w:val="0"/>
                <w:color w:val="auto"/>
                <w:sz w:val="24"/>
                <w:lang w:val="en-US" w:eastAsia="zh-CN"/>
              </w:rPr>
              <w:t>1、</w:t>
            </w:r>
            <w:r>
              <w:rPr>
                <w:rFonts w:hint="eastAsia"/>
                <w:b/>
                <w:bCs w:val="0"/>
                <w:color w:val="000000"/>
                <w:sz w:val="24"/>
                <w:szCs w:val="24"/>
              </w:rPr>
              <w:t>项目</w:t>
            </w:r>
            <w:r>
              <w:rPr>
                <w:rFonts w:hint="eastAsia"/>
                <w:b/>
                <w:bCs w:val="0"/>
                <w:color w:val="000000"/>
                <w:sz w:val="24"/>
                <w:szCs w:val="24"/>
                <w:lang w:eastAsia="zh-CN"/>
              </w:rPr>
              <w:t>规划相符性分析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hAnsi="宋体" w:eastAsia="宋体"/>
                <w:b/>
                <w:bCs/>
                <w:color w:val="auto"/>
                <w:sz w:val="24"/>
                <w:lang w:val="en-US" w:eastAsia="zh-CN"/>
              </w:rPr>
            </w:pPr>
            <w:r>
              <w:rPr>
                <w:rFonts w:hint="eastAsia"/>
                <w:color w:val="000000"/>
                <w:sz w:val="24"/>
                <w:szCs w:val="24"/>
              </w:rPr>
              <w:t>本项目位于</w:t>
            </w:r>
            <w:r>
              <w:rPr>
                <w:rFonts w:hint="eastAsia"/>
                <w:color w:val="auto"/>
                <w:sz w:val="24"/>
                <w:lang w:eastAsia="zh-CN"/>
              </w:rPr>
              <w:t>新乡市凤泉区大块镇东郭村新秀路402号</w:t>
            </w:r>
            <w:r>
              <w:rPr>
                <w:rFonts w:hint="eastAsia"/>
                <w:color w:val="000000"/>
                <w:sz w:val="24"/>
                <w:szCs w:val="24"/>
              </w:rPr>
              <w:t>，根据</w:t>
            </w:r>
            <w:r>
              <w:rPr>
                <w:rFonts w:hint="eastAsia"/>
                <w:color w:val="000000"/>
                <w:sz w:val="24"/>
                <w:szCs w:val="24"/>
                <w:lang w:eastAsia="zh-CN"/>
              </w:rPr>
              <w:t>企业提供的集体土地建设用地使用证</w:t>
            </w:r>
            <w:r>
              <w:rPr>
                <w:rFonts w:hint="eastAsia"/>
                <w:color w:val="000000"/>
                <w:sz w:val="24"/>
                <w:szCs w:val="24"/>
              </w:rPr>
              <w:t>可知，该项目</w:t>
            </w:r>
            <w:r>
              <w:rPr>
                <w:rFonts w:hint="eastAsia"/>
                <w:color w:val="000000"/>
                <w:sz w:val="24"/>
                <w:szCs w:val="24"/>
                <w:lang w:eastAsia="zh-CN"/>
              </w:rPr>
              <w:t>土地类别为工业</w:t>
            </w:r>
            <w:r>
              <w:rPr>
                <w:rFonts w:hint="eastAsia"/>
                <w:color w:val="000000"/>
                <w:sz w:val="24"/>
                <w:szCs w:val="24"/>
              </w:rPr>
              <w:t>用地，</w:t>
            </w:r>
            <w:r>
              <w:rPr>
                <w:rFonts w:hint="eastAsia"/>
                <w:color w:val="000000"/>
                <w:sz w:val="24"/>
                <w:szCs w:val="24"/>
                <w:lang w:eastAsia="zh-CN"/>
              </w:rPr>
              <w:t>土地用途为建加油站；根据凤泉区土地利用总体规划（</w:t>
            </w:r>
            <w:r>
              <w:rPr>
                <w:rFonts w:hint="eastAsia"/>
                <w:color w:val="000000"/>
                <w:sz w:val="24"/>
                <w:szCs w:val="24"/>
                <w:lang w:val="en-US" w:eastAsia="zh-CN"/>
              </w:rPr>
              <w:t>2010-2020</w:t>
            </w:r>
            <w:r>
              <w:rPr>
                <w:rFonts w:hint="eastAsia"/>
                <w:color w:val="000000"/>
                <w:sz w:val="24"/>
                <w:szCs w:val="24"/>
                <w:lang w:eastAsia="zh-CN"/>
              </w:rPr>
              <w:t>）规划图可知，项目所占土地为建设用地，</w:t>
            </w:r>
            <w:r>
              <w:rPr>
                <w:rFonts w:hint="eastAsia"/>
                <w:sz w:val="24"/>
                <w:szCs w:val="24"/>
              </w:rPr>
              <w:t>因此项目用地符合国家土地</w:t>
            </w:r>
            <w:r>
              <w:rPr>
                <w:sz w:val="24"/>
                <w:szCs w:val="24"/>
              </w:rPr>
              <w:t>政策和</w:t>
            </w:r>
            <w:r>
              <w:rPr>
                <w:rFonts w:hint="eastAsia"/>
                <w:sz w:val="24"/>
                <w:szCs w:val="24"/>
              </w:rPr>
              <w:t>用地规划要求</w:t>
            </w:r>
            <w:r>
              <w:rPr>
                <w:rFonts w:hint="eastAsia"/>
                <w:sz w:val="24"/>
                <w:szCs w:val="24"/>
                <w:lang w:eastAsia="zh-CN"/>
              </w:rPr>
              <w:t>。</w:t>
            </w:r>
            <w:r>
              <w:rPr>
                <w:rFonts w:hint="eastAsia"/>
                <w:color w:val="000000"/>
                <w:sz w:val="24"/>
                <w:szCs w:val="24"/>
                <w:lang w:eastAsia="zh-CN"/>
              </w:rPr>
              <w:t>集体土地建设用地使用证见附件</w:t>
            </w:r>
            <w:r>
              <w:rPr>
                <w:rFonts w:hint="eastAsia"/>
                <w:color w:val="000000"/>
                <w:sz w:val="24"/>
                <w:szCs w:val="24"/>
                <w:lang w:val="en-US" w:eastAsia="zh-CN"/>
              </w:rPr>
              <w:t>3，</w:t>
            </w:r>
            <w:r>
              <w:rPr>
                <w:rFonts w:hint="eastAsia"/>
                <w:color w:val="000000"/>
                <w:sz w:val="24"/>
                <w:szCs w:val="24"/>
                <w:lang w:eastAsia="zh-CN"/>
              </w:rPr>
              <w:t>凤泉区土地利用总体规划（</w:t>
            </w:r>
            <w:r>
              <w:rPr>
                <w:rFonts w:hint="eastAsia"/>
                <w:color w:val="000000"/>
                <w:sz w:val="24"/>
                <w:szCs w:val="24"/>
                <w:lang w:val="en-US" w:eastAsia="zh-CN"/>
              </w:rPr>
              <w:t>2010-2020</w:t>
            </w:r>
            <w:r>
              <w:rPr>
                <w:rFonts w:hint="eastAsia"/>
                <w:color w:val="000000"/>
                <w:sz w:val="24"/>
                <w:szCs w:val="24"/>
                <w:lang w:eastAsia="zh-CN"/>
              </w:rPr>
              <w:t>）规划图见附图四。</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hAnsi="宋体" w:eastAsia="宋体"/>
                <w:b/>
                <w:bCs/>
                <w:color w:val="auto"/>
                <w:sz w:val="24"/>
                <w:lang w:val="en-US" w:eastAsia="zh-CN"/>
              </w:rPr>
            </w:pPr>
            <w:r>
              <w:rPr>
                <w:rFonts w:hint="eastAsia" w:hAnsi="宋体"/>
                <w:b/>
                <w:bCs/>
                <w:color w:val="auto"/>
                <w:sz w:val="24"/>
                <w:lang w:val="en-US" w:eastAsia="zh-CN"/>
              </w:rPr>
              <w:t>2、项目周围环境概况</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eastAsia="宋体"/>
                <w:sz w:val="24"/>
                <w:lang w:eastAsia="zh-CN"/>
              </w:rPr>
            </w:pPr>
            <w:r>
              <w:rPr>
                <w:rFonts w:hint="eastAsia"/>
                <w:sz w:val="24"/>
              </w:rPr>
              <w:t>根据现场勘察，</w:t>
            </w:r>
            <w:r>
              <w:rPr>
                <w:rFonts w:hint="eastAsia"/>
                <w:sz w:val="24"/>
                <w:lang w:eastAsia="zh-CN"/>
              </w:rPr>
              <w:t>项目北侧现状为苗圃地，西侧及西北侧均为闲置厂房，西南侧为阳光电源厂，南侧为新秀路，隔路</w:t>
            </w:r>
            <w:r>
              <w:rPr>
                <w:rFonts w:hint="eastAsia"/>
                <w:sz w:val="24"/>
                <w:lang w:val="en-US" w:eastAsia="zh-CN"/>
              </w:rPr>
              <w:t>30m</w:t>
            </w:r>
            <w:r>
              <w:rPr>
                <w:rFonts w:hint="eastAsia"/>
                <w:sz w:val="24"/>
                <w:lang w:eastAsia="zh-CN"/>
              </w:rPr>
              <w:t>为盛达科技，项目东南侧、东侧、东北侧为牧野区地界，东南侧为维修店及超市，东侧为一闲置厂房，东北侧为林地。项目地理位置图见附图一，周围环境概况图见附图二。</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b/>
                <w:bCs/>
                <w:color w:val="auto"/>
                <w:sz w:val="24"/>
              </w:rPr>
            </w:pPr>
            <w:r>
              <w:rPr>
                <w:rFonts w:hint="eastAsia" w:hAnsi="宋体"/>
                <w:b/>
                <w:bCs/>
                <w:color w:val="auto"/>
                <w:sz w:val="24"/>
                <w:lang w:val="en-US" w:eastAsia="zh-CN"/>
              </w:rPr>
              <w:t>四、</w:t>
            </w:r>
            <w:r>
              <w:rPr>
                <w:rFonts w:hAnsi="宋体"/>
                <w:b/>
                <w:bCs/>
                <w:color w:val="auto"/>
                <w:sz w:val="24"/>
              </w:rPr>
              <w:t>工程内容及规模</w:t>
            </w:r>
          </w:p>
          <w:p>
            <w:pPr>
              <w:keepNext w:val="0"/>
              <w:keepLines w:val="0"/>
              <w:pageBreakBefore w:val="0"/>
              <w:widowControl w:val="0"/>
              <w:kinsoku/>
              <w:wordWrap/>
              <w:overflowPunct/>
              <w:topLinePunct w:val="0"/>
              <w:autoSpaceDE/>
              <w:autoSpaceDN/>
              <w:bidi w:val="0"/>
              <w:spacing w:line="520" w:lineRule="exact"/>
              <w:ind w:firstLine="482" w:firstLineChars="200"/>
              <w:jc w:val="left"/>
              <w:textAlignment w:val="auto"/>
              <w:rPr>
                <w:rFonts w:hint="eastAsia"/>
                <w:b/>
                <w:color w:val="000000"/>
                <w:sz w:val="24"/>
                <w:szCs w:val="24"/>
              </w:rPr>
            </w:pPr>
            <w:r>
              <w:rPr>
                <w:b/>
                <w:color w:val="000000"/>
                <w:sz w:val="24"/>
                <w:szCs w:val="24"/>
              </w:rPr>
              <w:t>1、项目概况</w:t>
            </w:r>
          </w:p>
          <w:p>
            <w:pPr>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color w:val="000000"/>
                <w:sz w:val="24"/>
                <w:szCs w:val="24"/>
              </w:rPr>
            </w:pPr>
            <w:r>
              <w:rPr>
                <w:color w:val="000000"/>
                <w:sz w:val="24"/>
                <w:szCs w:val="24"/>
              </w:rPr>
              <w:t>本项目的基本概况见表</w:t>
            </w:r>
            <w:r>
              <w:rPr>
                <w:rFonts w:hint="eastAsia"/>
                <w:color w:val="000000"/>
                <w:sz w:val="24"/>
                <w:szCs w:val="24"/>
              </w:rPr>
              <w:t>2</w:t>
            </w:r>
            <w:r>
              <w:rPr>
                <w:color w:val="000000"/>
                <w:sz w:val="24"/>
                <w:szCs w:val="24"/>
              </w:rPr>
              <w:t>。</w:t>
            </w:r>
          </w:p>
          <w:p>
            <w:pPr>
              <w:keepNext w:val="0"/>
              <w:keepLines w:val="0"/>
              <w:pageBreakBefore w:val="0"/>
              <w:widowControl w:val="0"/>
              <w:kinsoku/>
              <w:wordWrap/>
              <w:overflowPunct/>
              <w:topLinePunct w:val="0"/>
              <w:autoSpaceDE/>
              <w:autoSpaceDN/>
              <w:bidi w:val="0"/>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表2             项目概况一览表</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915"/>
              <w:gridCol w:w="602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top w:val="single" w:color="auto" w:sz="8" w:space="0"/>
                    <w:bottom w:val="single" w:color="auto" w:sz="4" w:space="0"/>
                  </w:tcBorders>
                  <w:noWrap w:val="0"/>
                  <w:vAlign w:val="center"/>
                </w:tcPr>
                <w:p>
                  <w:pPr>
                    <w:jc w:val="center"/>
                    <w:rPr>
                      <w:b/>
                      <w:color w:val="000000"/>
                      <w:sz w:val="21"/>
                      <w:szCs w:val="21"/>
                      <w:lang w:val="pt-BR"/>
                    </w:rPr>
                  </w:pPr>
                  <w:r>
                    <w:rPr>
                      <w:b/>
                      <w:color w:val="000000"/>
                      <w:sz w:val="21"/>
                      <w:szCs w:val="21"/>
                      <w:lang w:val="pt-BR"/>
                    </w:rPr>
                    <w:t>序号</w:t>
                  </w:r>
                </w:p>
              </w:tc>
              <w:tc>
                <w:tcPr>
                  <w:tcW w:w="1090" w:type="pct"/>
                  <w:tcBorders>
                    <w:top w:val="single" w:color="auto" w:sz="8" w:space="0"/>
                    <w:bottom w:val="single" w:color="auto" w:sz="4" w:space="0"/>
                  </w:tcBorders>
                  <w:noWrap w:val="0"/>
                  <w:vAlign w:val="center"/>
                </w:tcPr>
                <w:p>
                  <w:pPr>
                    <w:jc w:val="center"/>
                    <w:rPr>
                      <w:b/>
                      <w:color w:val="000000"/>
                      <w:sz w:val="21"/>
                      <w:szCs w:val="21"/>
                      <w:lang w:val="pt-BR"/>
                    </w:rPr>
                  </w:pPr>
                  <w:r>
                    <w:rPr>
                      <w:b/>
                      <w:color w:val="000000"/>
                      <w:sz w:val="21"/>
                      <w:szCs w:val="21"/>
                      <w:lang w:val="pt-BR"/>
                    </w:rPr>
                    <w:t>项目</w:t>
                  </w:r>
                </w:p>
              </w:tc>
              <w:tc>
                <w:tcPr>
                  <w:tcW w:w="3431" w:type="pct"/>
                  <w:tcBorders>
                    <w:top w:val="single" w:color="auto" w:sz="8" w:space="0"/>
                    <w:bottom w:val="single" w:color="auto" w:sz="4" w:space="0"/>
                  </w:tcBorders>
                  <w:noWrap w:val="0"/>
                  <w:vAlign w:val="center"/>
                </w:tcPr>
                <w:p>
                  <w:pPr>
                    <w:jc w:val="center"/>
                    <w:rPr>
                      <w:b/>
                      <w:color w:val="000000"/>
                      <w:sz w:val="21"/>
                      <w:szCs w:val="21"/>
                      <w:lang w:val="pt-BR"/>
                    </w:rPr>
                  </w:pPr>
                  <w:r>
                    <w:rPr>
                      <w:b/>
                      <w:color w:val="000000"/>
                      <w:sz w:val="21"/>
                      <w:szCs w:val="21"/>
                      <w:lang w:val="pt-BR"/>
                    </w:rPr>
                    <w:t>内容</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top w:val="single" w:color="auto" w:sz="4" w:space="0"/>
                  </w:tcBorders>
                  <w:noWrap w:val="0"/>
                  <w:vAlign w:val="center"/>
                </w:tcPr>
                <w:p>
                  <w:pPr>
                    <w:jc w:val="center"/>
                    <w:rPr>
                      <w:color w:val="000000"/>
                      <w:sz w:val="21"/>
                      <w:szCs w:val="24"/>
                    </w:rPr>
                  </w:pPr>
                  <w:r>
                    <w:rPr>
                      <w:color w:val="000000"/>
                      <w:sz w:val="21"/>
                      <w:szCs w:val="24"/>
                    </w:rPr>
                    <w:t>1</w:t>
                  </w:r>
                </w:p>
              </w:tc>
              <w:tc>
                <w:tcPr>
                  <w:tcW w:w="1090" w:type="pct"/>
                  <w:tcBorders>
                    <w:top w:val="single" w:color="auto" w:sz="4" w:space="0"/>
                  </w:tcBorders>
                  <w:noWrap w:val="0"/>
                  <w:vAlign w:val="center"/>
                </w:tcPr>
                <w:p>
                  <w:pPr>
                    <w:jc w:val="center"/>
                    <w:rPr>
                      <w:color w:val="000000"/>
                      <w:sz w:val="21"/>
                      <w:szCs w:val="24"/>
                    </w:rPr>
                  </w:pPr>
                  <w:r>
                    <w:rPr>
                      <w:color w:val="000000"/>
                      <w:sz w:val="21"/>
                      <w:szCs w:val="24"/>
                    </w:rPr>
                    <w:t>项目名</w:t>
                  </w:r>
                  <w:r>
                    <w:rPr>
                      <w:rFonts w:hint="eastAsia"/>
                      <w:color w:val="000000"/>
                      <w:sz w:val="21"/>
                      <w:szCs w:val="24"/>
                    </w:rPr>
                    <w:t>称</w:t>
                  </w:r>
                </w:p>
              </w:tc>
              <w:tc>
                <w:tcPr>
                  <w:tcW w:w="3431" w:type="pct"/>
                  <w:tcBorders>
                    <w:top w:val="single" w:color="auto" w:sz="4" w:space="0"/>
                  </w:tcBorders>
                  <w:noWrap w:val="0"/>
                  <w:vAlign w:val="center"/>
                </w:tcPr>
                <w:p>
                  <w:pPr>
                    <w:jc w:val="center"/>
                    <w:rPr>
                      <w:color w:val="000000"/>
                      <w:sz w:val="21"/>
                      <w:szCs w:val="24"/>
                    </w:rPr>
                  </w:pPr>
                  <w:r>
                    <w:rPr>
                      <w:rFonts w:hint="eastAsia"/>
                      <w:color w:val="000000"/>
                      <w:sz w:val="21"/>
                      <w:szCs w:val="24"/>
                      <w:lang w:eastAsia="zh-CN"/>
                    </w:rPr>
                    <w:t>新乡市凤泉区利民加油站</w:t>
                  </w:r>
                  <w:r>
                    <w:rPr>
                      <w:rFonts w:hint="eastAsia"/>
                      <w:color w:val="000000"/>
                      <w:sz w:val="21"/>
                      <w:szCs w:val="24"/>
                    </w:rPr>
                    <w:t>建设项目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pPr>
                    <w:jc w:val="center"/>
                    <w:rPr>
                      <w:color w:val="000000"/>
                      <w:sz w:val="21"/>
                      <w:szCs w:val="24"/>
                    </w:rPr>
                  </w:pPr>
                  <w:r>
                    <w:rPr>
                      <w:color w:val="000000"/>
                      <w:sz w:val="21"/>
                      <w:szCs w:val="24"/>
                    </w:rPr>
                    <w:t>2</w:t>
                  </w:r>
                </w:p>
              </w:tc>
              <w:tc>
                <w:tcPr>
                  <w:tcW w:w="1090" w:type="pct"/>
                  <w:noWrap w:val="0"/>
                  <w:vAlign w:val="center"/>
                </w:tcPr>
                <w:p>
                  <w:pPr>
                    <w:jc w:val="center"/>
                    <w:rPr>
                      <w:color w:val="000000"/>
                      <w:sz w:val="21"/>
                      <w:szCs w:val="24"/>
                    </w:rPr>
                  </w:pPr>
                  <w:r>
                    <w:rPr>
                      <w:color w:val="000000"/>
                      <w:sz w:val="21"/>
                      <w:szCs w:val="24"/>
                    </w:rPr>
                    <w:t>建设单位</w:t>
                  </w:r>
                </w:p>
              </w:tc>
              <w:tc>
                <w:tcPr>
                  <w:tcW w:w="3431" w:type="pct"/>
                  <w:noWrap w:val="0"/>
                  <w:vAlign w:val="center"/>
                </w:tcPr>
                <w:p>
                  <w:pPr>
                    <w:jc w:val="center"/>
                    <w:rPr>
                      <w:color w:val="000000"/>
                      <w:sz w:val="21"/>
                      <w:szCs w:val="24"/>
                    </w:rPr>
                  </w:pPr>
                  <w:r>
                    <w:rPr>
                      <w:rFonts w:hint="eastAsia"/>
                      <w:color w:val="000000"/>
                      <w:sz w:val="21"/>
                      <w:szCs w:val="24"/>
                      <w:lang w:eastAsia="zh-CN"/>
                    </w:rPr>
                    <w:t>新乡市凤泉区利民加油站</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pPr>
                    <w:jc w:val="center"/>
                    <w:rPr>
                      <w:color w:val="000000"/>
                      <w:sz w:val="21"/>
                      <w:szCs w:val="24"/>
                    </w:rPr>
                  </w:pPr>
                  <w:r>
                    <w:rPr>
                      <w:color w:val="000000"/>
                      <w:sz w:val="21"/>
                      <w:szCs w:val="24"/>
                    </w:rPr>
                    <w:t>3</w:t>
                  </w:r>
                </w:p>
              </w:tc>
              <w:tc>
                <w:tcPr>
                  <w:tcW w:w="1090" w:type="pct"/>
                  <w:noWrap w:val="0"/>
                  <w:vAlign w:val="center"/>
                </w:tcPr>
                <w:p>
                  <w:pPr>
                    <w:jc w:val="center"/>
                    <w:rPr>
                      <w:color w:val="000000"/>
                      <w:sz w:val="21"/>
                      <w:szCs w:val="24"/>
                    </w:rPr>
                  </w:pPr>
                  <w:r>
                    <w:rPr>
                      <w:color w:val="000000"/>
                      <w:sz w:val="21"/>
                      <w:szCs w:val="24"/>
                    </w:rPr>
                    <w:t>产品方案</w:t>
                  </w:r>
                </w:p>
              </w:tc>
              <w:tc>
                <w:tcPr>
                  <w:tcW w:w="3431" w:type="pct"/>
                  <w:noWrap w:val="0"/>
                  <w:vAlign w:val="center"/>
                </w:tcPr>
                <w:p>
                  <w:pPr>
                    <w:jc w:val="center"/>
                    <w:rPr>
                      <w:color w:val="000000"/>
                      <w:sz w:val="21"/>
                      <w:szCs w:val="24"/>
                    </w:rPr>
                  </w:pPr>
                  <w:r>
                    <w:rPr>
                      <w:rFonts w:hint="eastAsia"/>
                      <w:color w:val="000000"/>
                      <w:sz w:val="21"/>
                      <w:szCs w:val="24"/>
                      <w:highlight w:val="none"/>
                    </w:rPr>
                    <w:t>年销售汽油</w:t>
                  </w:r>
                  <w:r>
                    <w:rPr>
                      <w:rFonts w:hint="eastAsia"/>
                      <w:color w:val="000000"/>
                      <w:sz w:val="21"/>
                      <w:szCs w:val="24"/>
                      <w:highlight w:val="none"/>
                      <w:lang w:val="en-US" w:eastAsia="zh-CN"/>
                    </w:rPr>
                    <w:t>57</w:t>
                  </w:r>
                  <w:r>
                    <w:rPr>
                      <w:rFonts w:hint="eastAsia"/>
                      <w:color w:val="000000"/>
                      <w:sz w:val="21"/>
                      <w:szCs w:val="24"/>
                      <w:highlight w:val="none"/>
                    </w:rPr>
                    <w:t>吨、柴油</w:t>
                  </w:r>
                  <w:r>
                    <w:rPr>
                      <w:rFonts w:hint="eastAsia"/>
                      <w:color w:val="000000"/>
                      <w:sz w:val="21"/>
                      <w:szCs w:val="24"/>
                      <w:highlight w:val="none"/>
                      <w:lang w:val="en-US" w:eastAsia="zh-CN"/>
                    </w:rPr>
                    <w:t>40</w:t>
                  </w:r>
                  <w:r>
                    <w:rPr>
                      <w:rFonts w:hint="eastAsia"/>
                      <w:color w:val="000000"/>
                      <w:sz w:val="21"/>
                      <w:szCs w:val="24"/>
                      <w:highlight w:val="none"/>
                    </w:rPr>
                    <w:t>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pPr>
                    <w:jc w:val="center"/>
                    <w:rPr>
                      <w:color w:val="000000"/>
                      <w:sz w:val="21"/>
                      <w:szCs w:val="24"/>
                    </w:rPr>
                  </w:pPr>
                  <w:r>
                    <w:rPr>
                      <w:color w:val="000000"/>
                      <w:sz w:val="21"/>
                      <w:szCs w:val="24"/>
                    </w:rPr>
                    <w:t>4</w:t>
                  </w:r>
                </w:p>
              </w:tc>
              <w:tc>
                <w:tcPr>
                  <w:tcW w:w="1090" w:type="pct"/>
                  <w:noWrap w:val="0"/>
                  <w:vAlign w:val="center"/>
                </w:tcPr>
                <w:p>
                  <w:pPr>
                    <w:jc w:val="center"/>
                    <w:rPr>
                      <w:color w:val="000000"/>
                      <w:sz w:val="21"/>
                      <w:szCs w:val="24"/>
                    </w:rPr>
                  </w:pPr>
                  <w:r>
                    <w:rPr>
                      <w:color w:val="000000"/>
                      <w:sz w:val="21"/>
                      <w:szCs w:val="24"/>
                    </w:rPr>
                    <w:t>项目地址</w:t>
                  </w:r>
                </w:p>
              </w:tc>
              <w:tc>
                <w:tcPr>
                  <w:tcW w:w="3431" w:type="pct"/>
                  <w:noWrap w:val="0"/>
                  <w:vAlign w:val="center"/>
                </w:tcPr>
                <w:p>
                  <w:pPr>
                    <w:jc w:val="center"/>
                    <w:rPr>
                      <w:color w:val="000000"/>
                      <w:sz w:val="21"/>
                      <w:szCs w:val="24"/>
                    </w:rPr>
                  </w:pPr>
                  <w:r>
                    <w:rPr>
                      <w:rFonts w:hint="eastAsia"/>
                      <w:color w:val="000000"/>
                      <w:sz w:val="21"/>
                      <w:szCs w:val="24"/>
                      <w:lang w:eastAsia="zh-CN"/>
                    </w:rPr>
                    <w:t>新乡市凤泉区大块镇东郭村新秀路402号</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pPr>
                    <w:jc w:val="center"/>
                    <w:rPr>
                      <w:color w:val="000000"/>
                      <w:sz w:val="21"/>
                      <w:szCs w:val="24"/>
                    </w:rPr>
                  </w:pPr>
                  <w:r>
                    <w:rPr>
                      <w:color w:val="000000"/>
                      <w:sz w:val="21"/>
                      <w:szCs w:val="24"/>
                    </w:rPr>
                    <w:t>5</w:t>
                  </w:r>
                </w:p>
              </w:tc>
              <w:tc>
                <w:tcPr>
                  <w:tcW w:w="1090" w:type="pct"/>
                  <w:noWrap w:val="0"/>
                  <w:vAlign w:val="center"/>
                </w:tcPr>
                <w:p>
                  <w:pPr>
                    <w:jc w:val="center"/>
                    <w:rPr>
                      <w:color w:val="000000"/>
                      <w:sz w:val="21"/>
                      <w:szCs w:val="24"/>
                    </w:rPr>
                  </w:pPr>
                  <w:r>
                    <w:rPr>
                      <w:color w:val="000000"/>
                      <w:sz w:val="21"/>
                      <w:szCs w:val="24"/>
                    </w:rPr>
                    <w:t>占地面积</w:t>
                  </w:r>
                </w:p>
              </w:tc>
              <w:tc>
                <w:tcPr>
                  <w:tcW w:w="3431" w:type="pct"/>
                  <w:noWrap w:val="0"/>
                  <w:vAlign w:val="center"/>
                </w:tcPr>
                <w:p>
                  <w:pPr>
                    <w:jc w:val="center"/>
                    <w:rPr>
                      <w:color w:val="000000"/>
                      <w:sz w:val="21"/>
                      <w:szCs w:val="24"/>
                    </w:rPr>
                  </w:pPr>
                  <w:r>
                    <w:rPr>
                      <w:rFonts w:hint="eastAsia"/>
                      <w:color w:val="000000"/>
                      <w:sz w:val="21"/>
                      <w:szCs w:val="24"/>
                      <w:lang w:val="en-US" w:eastAsia="zh-CN"/>
                    </w:rPr>
                    <w:t>1476</w:t>
                  </w:r>
                  <w:r>
                    <w:rPr>
                      <w:rFonts w:hint="eastAsia"/>
                      <w:color w:val="000000"/>
                      <w:sz w:val="21"/>
                      <w:szCs w:val="24"/>
                    </w:rPr>
                    <w:t>m</w:t>
                  </w:r>
                  <w:r>
                    <w:rPr>
                      <w:rFonts w:hint="eastAsia"/>
                      <w:color w:val="000000"/>
                      <w:sz w:val="21"/>
                      <w:szCs w:val="24"/>
                      <w:vertAlign w:val="superscript"/>
                    </w:rPr>
                    <w:t>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noWrap w:val="0"/>
                  <w:vAlign w:val="center"/>
                </w:tcPr>
                <w:p>
                  <w:pPr>
                    <w:jc w:val="center"/>
                    <w:rPr>
                      <w:color w:val="000000"/>
                      <w:sz w:val="21"/>
                      <w:szCs w:val="24"/>
                    </w:rPr>
                  </w:pPr>
                  <w:r>
                    <w:rPr>
                      <w:color w:val="000000"/>
                      <w:sz w:val="21"/>
                      <w:szCs w:val="24"/>
                    </w:rPr>
                    <w:t>6</w:t>
                  </w:r>
                </w:p>
              </w:tc>
              <w:tc>
                <w:tcPr>
                  <w:tcW w:w="1090" w:type="pct"/>
                  <w:noWrap w:val="0"/>
                  <w:vAlign w:val="center"/>
                </w:tcPr>
                <w:p>
                  <w:pPr>
                    <w:jc w:val="center"/>
                    <w:rPr>
                      <w:color w:val="000000"/>
                      <w:sz w:val="21"/>
                      <w:szCs w:val="24"/>
                    </w:rPr>
                  </w:pPr>
                  <w:r>
                    <w:rPr>
                      <w:color w:val="000000"/>
                      <w:sz w:val="21"/>
                      <w:szCs w:val="24"/>
                    </w:rPr>
                    <w:t>总投资（万元）</w:t>
                  </w:r>
                </w:p>
              </w:tc>
              <w:tc>
                <w:tcPr>
                  <w:tcW w:w="3431" w:type="pct"/>
                  <w:noWrap w:val="0"/>
                  <w:vAlign w:val="center"/>
                </w:tcPr>
                <w:p>
                  <w:pPr>
                    <w:jc w:val="center"/>
                    <w:rPr>
                      <w:rFonts w:hint="default" w:eastAsia="宋体"/>
                      <w:color w:val="000000"/>
                      <w:sz w:val="21"/>
                      <w:szCs w:val="24"/>
                      <w:lang w:val="en-US" w:eastAsia="zh-CN"/>
                    </w:rPr>
                  </w:pPr>
                  <w:r>
                    <w:rPr>
                      <w:rFonts w:hint="eastAsia"/>
                      <w:color w:val="000000"/>
                      <w:sz w:val="21"/>
                      <w:szCs w:val="24"/>
                      <w:lang w:val="en-US" w:eastAsia="zh-CN"/>
                    </w:rPr>
                    <w:t>25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tcBorders>
                    <w:bottom w:val="single" w:color="auto" w:sz="8" w:space="0"/>
                  </w:tcBorders>
                  <w:noWrap w:val="0"/>
                  <w:vAlign w:val="center"/>
                </w:tcPr>
                <w:p>
                  <w:pPr>
                    <w:jc w:val="center"/>
                    <w:rPr>
                      <w:color w:val="000000"/>
                      <w:sz w:val="21"/>
                      <w:szCs w:val="24"/>
                    </w:rPr>
                  </w:pPr>
                  <w:r>
                    <w:rPr>
                      <w:color w:val="000000"/>
                      <w:sz w:val="21"/>
                      <w:szCs w:val="24"/>
                    </w:rPr>
                    <w:t>7</w:t>
                  </w:r>
                </w:p>
              </w:tc>
              <w:tc>
                <w:tcPr>
                  <w:tcW w:w="1090" w:type="pct"/>
                  <w:tcBorders>
                    <w:bottom w:val="single" w:color="auto" w:sz="8" w:space="0"/>
                  </w:tcBorders>
                  <w:noWrap w:val="0"/>
                  <w:vAlign w:val="center"/>
                </w:tcPr>
                <w:p>
                  <w:pPr>
                    <w:jc w:val="center"/>
                    <w:rPr>
                      <w:color w:val="000000"/>
                      <w:sz w:val="21"/>
                      <w:szCs w:val="24"/>
                    </w:rPr>
                  </w:pPr>
                  <w:r>
                    <w:rPr>
                      <w:color w:val="000000"/>
                      <w:sz w:val="21"/>
                      <w:szCs w:val="24"/>
                    </w:rPr>
                    <w:t>定员与工作制度</w:t>
                  </w:r>
                </w:p>
              </w:tc>
              <w:tc>
                <w:tcPr>
                  <w:tcW w:w="3431" w:type="pct"/>
                  <w:tcBorders>
                    <w:bottom w:val="single" w:color="auto" w:sz="8" w:space="0"/>
                  </w:tcBorders>
                  <w:noWrap w:val="0"/>
                  <w:vAlign w:val="center"/>
                </w:tcPr>
                <w:p>
                  <w:pPr>
                    <w:jc w:val="center"/>
                    <w:rPr>
                      <w:rFonts w:hint="eastAsia"/>
                      <w:color w:val="000000"/>
                      <w:sz w:val="21"/>
                      <w:szCs w:val="24"/>
                    </w:rPr>
                  </w:pPr>
                  <w:r>
                    <w:rPr>
                      <w:color w:val="000000"/>
                      <w:sz w:val="21"/>
                      <w:szCs w:val="24"/>
                    </w:rPr>
                    <w:t>员工</w:t>
                  </w:r>
                  <w:r>
                    <w:rPr>
                      <w:rFonts w:hint="eastAsia"/>
                      <w:color w:val="000000"/>
                      <w:sz w:val="21"/>
                      <w:szCs w:val="24"/>
                      <w:lang w:val="en-US" w:eastAsia="zh-CN"/>
                    </w:rPr>
                    <w:t>9</w:t>
                  </w:r>
                  <w:r>
                    <w:rPr>
                      <w:color w:val="000000"/>
                      <w:sz w:val="21"/>
                      <w:szCs w:val="24"/>
                    </w:rPr>
                    <w:t>人，</w:t>
                  </w:r>
                  <w:r>
                    <w:rPr>
                      <w:rFonts w:hint="eastAsia"/>
                      <w:color w:val="000000"/>
                      <w:sz w:val="21"/>
                      <w:szCs w:val="24"/>
                      <w:lang w:val="en-US" w:eastAsia="zh-CN"/>
                    </w:rPr>
                    <w:t>管理人员2人，三班工作制，每班8小时</w:t>
                  </w:r>
                  <w:r>
                    <w:rPr>
                      <w:color w:val="000000"/>
                      <w:sz w:val="21"/>
                      <w:szCs w:val="24"/>
                    </w:rPr>
                    <w:t>，年工作</w:t>
                  </w:r>
                  <w:r>
                    <w:rPr>
                      <w:rFonts w:hint="eastAsia"/>
                      <w:color w:val="000000"/>
                      <w:sz w:val="21"/>
                      <w:szCs w:val="24"/>
                      <w:lang w:val="en-US" w:eastAsia="zh-CN"/>
                    </w:rPr>
                    <w:t>365</w:t>
                  </w:r>
                  <w:r>
                    <w:rPr>
                      <w:color w:val="000000"/>
                      <w:sz w:val="21"/>
                      <w:szCs w:val="24"/>
                    </w:rPr>
                    <w:t>天</w:t>
                  </w:r>
                </w:p>
              </w:tc>
            </w:tr>
          </w:tbl>
          <w:p>
            <w:pPr>
              <w:spacing w:line="100" w:lineRule="exact"/>
              <w:jc w:val="left"/>
              <w:rPr>
                <w:rFonts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b/>
                <w:color w:val="000000"/>
                <w:sz w:val="24"/>
                <w:szCs w:val="24"/>
              </w:rPr>
            </w:pPr>
            <w:r>
              <w:rPr>
                <w:rFonts w:hint="eastAsia"/>
                <w:b/>
                <w:color w:val="000000"/>
                <w:sz w:val="24"/>
                <w:szCs w:val="24"/>
              </w:rPr>
              <w:t>2、项目组成一览表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000000"/>
                <w:sz w:val="24"/>
                <w:szCs w:val="24"/>
              </w:rPr>
            </w:pPr>
            <w:r>
              <w:rPr>
                <w:rFonts w:hint="eastAsia"/>
                <w:color w:val="000000"/>
                <w:sz w:val="24"/>
                <w:szCs w:val="24"/>
              </w:rPr>
              <w:t>该项目占地面积</w:t>
            </w:r>
            <w:r>
              <w:rPr>
                <w:rFonts w:hint="eastAsia"/>
                <w:color w:val="000000"/>
                <w:sz w:val="24"/>
                <w:szCs w:val="24"/>
                <w:lang w:val="en-US" w:eastAsia="zh-CN"/>
              </w:rPr>
              <w:t>1476</w:t>
            </w:r>
            <w:r>
              <w:rPr>
                <w:rFonts w:hint="eastAsia"/>
                <w:color w:val="000000"/>
                <w:sz w:val="24"/>
                <w:szCs w:val="24"/>
              </w:rPr>
              <w:t>m</w:t>
            </w:r>
            <w:r>
              <w:rPr>
                <w:rFonts w:hint="eastAsia"/>
                <w:color w:val="000000"/>
                <w:sz w:val="24"/>
                <w:szCs w:val="24"/>
                <w:vertAlign w:val="superscript"/>
              </w:rPr>
              <w:t>2</w:t>
            </w:r>
            <w:r>
              <w:rPr>
                <w:rFonts w:hint="eastAsia"/>
                <w:color w:val="000000"/>
                <w:sz w:val="24"/>
                <w:szCs w:val="24"/>
              </w:rPr>
              <w:t>，具体见表3。</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表3               项目组成一览表</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74"/>
              <w:gridCol w:w="1098"/>
              <w:gridCol w:w="3827"/>
              <w:gridCol w:w="20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tcBorders>
                    <w:top w:val="single" w:color="auto" w:sz="8" w:space="0"/>
                    <w:bottom w:val="single" w:color="auto" w:sz="4" w:space="0"/>
                  </w:tcBorders>
                  <w:noWrap/>
                  <w:vAlign w:val="center"/>
                </w:tcPr>
                <w:p>
                  <w:pPr>
                    <w:jc w:val="center"/>
                    <w:rPr>
                      <w:b/>
                      <w:color w:val="000000"/>
                      <w:sz w:val="21"/>
                      <w:szCs w:val="21"/>
                      <w:lang w:val="pt-BR"/>
                    </w:rPr>
                  </w:pPr>
                  <w:r>
                    <w:rPr>
                      <w:b/>
                      <w:color w:val="000000"/>
                      <w:sz w:val="21"/>
                      <w:szCs w:val="21"/>
                      <w:lang w:val="pt-BR"/>
                    </w:rPr>
                    <w:t>序号</w:t>
                  </w:r>
                </w:p>
              </w:tc>
              <w:tc>
                <w:tcPr>
                  <w:tcW w:w="611" w:type="pct"/>
                  <w:tcBorders>
                    <w:top w:val="single" w:color="auto" w:sz="8" w:space="0"/>
                    <w:bottom w:val="single" w:color="auto" w:sz="4" w:space="0"/>
                  </w:tcBorders>
                  <w:noWrap w:val="0"/>
                  <w:vAlign w:val="center"/>
                </w:tcPr>
                <w:p>
                  <w:pPr>
                    <w:jc w:val="center"/>
                    <w:rPr>
                      <w:b/>
                      <w:color w:val="000000"/>
                      <w:sz w:val="21"/>
                      <w:szCs w:val="21"/>
                      <w:lang w:val="pt-BR"/>
                    </w:rPr>
                  </w:pPr>
                  <w:r>
                    <w:rPr>
                      <w:rFonts w:hint="eastAsia"/>
                      <w:b/>
                      <w:color w:val="000000"/>
                      <w:sz w:val="21"/>
                      <w:szCs w:val="21"/>
                      <w:lang w:val="pt-BR"/>
                    </w:rPr>
                    <w:t>项目</w:t>
                  </w:r>
                </w:p>
              </w:tc>
              <w:tc>
                <w:tcPr>
                  <w:tcW w:w="624" w:type="pct"/>
                  <w:tcBorders>
                    <w:top w:val="single" w:color="auto" w:sz="8" w:space="0"/>
                    <w:bottom w:val="single" w:color="auto" w:sz="4" w:space="0"/>
                  </w:tcBorders>
                  <w:noWrap w:val="0"/>
                  <w:vAlign w:val="center"/>
                </w:tcPr>
                <w:p>
                  <w:pPr>
                    <w:jc w:val="center"/>
                    <w:rPr>
                      <w:b/>
                      <w:color w:val="000000"/>
                      <w:sz w:val="21"/>
                      <w:szCs w:val="21"/>
                      <w:lang w:val="pt-BR"/>
                    </w:rPr>
                  </w:pPr>
                  <w:r>
                    <w:rPr>
                      <w:rFonts w:hint="eastAsia"/>
                      <w:b/>
                      <w:color w:val="000000"/>
                      <w:sz w:val="21"/>
                      <w:szCs w:val="21"/>
                      <w:lang w:val="pt-BR"/>
                    </w:rPr>
                    <w:t>内容</w:t>
                  </w:r>
                </w:p>
              </w:tc>
              <w:tc>
                <w:tcPr>
                  <w:tcW w:w="2178" w:type="pct"/>
                  <w:tcBorders>
                    <w:top w:val="single" w:color="auto" w:sz="8" w:space="0"/>
                    <w:bottom w:val="single" w:color="auto" w:sz="4" w:space="0"/>
                  </w:tcBorders>
                  <w:noWrap/>
                  <w:vAlign w:val="center"/>
                </w:tcPr>
                <w:p>
                  <w:pPr>
                    <w:jc w:val="center"/>
                    <w:rPr>
                      <w:b/>
                      <w:color w:val="000000"/>
                      <w:sz w:val="21"/>
                      <w:szCs w:val="21"/>
                      <w:lang w:val="pt-BR"/>
                    </w:rPr>
                  </w:pPr>
                  <w:r>
                    <w:rPr>
                      <w:rFonts w:hint="eastAsia"/>
                      <w:b/>
                      <w:color w:val="000000"/>
                      <w:sz w:val="21"/>
                      <w:szCs w:val="21"/>
                      <w:lang w:val="pt-BR"/>
                    </w:rPr>
                    <w:t>数量、规模或要求</w:t>
                  </w:r>
                </w:p>
              </w:tc>
              <w:tc>
                <w:tcPr>
                  <w:tcW w:w="1162" w:type="pct"/>
                  <w:tcBorders>
                    <w:top w:val="single" w:color="auto" w:sz="8" w:space="0"/>
                    <w:bottom w:val="single" w:color="auto" w:sz="4" w:space="0"/>
                  </w:tcBorders>
                  <w:noWrap w:val="0"/>
                  <w:vAlign w:val="center"/>
                </w:tcPr>
                <w:p>
                  <w:pPr>
                    <w:jc w:val="center"/>
                    <w:rPr>
                      <w:rFonts w:hint="eastAsia"/>
                      <w:b/>
                      <w:color w:val="000000"/>
                      <w:sz w:val="21"/>
                      <w:szCs w:val="21"/>
                      <w:lang w:val="pt-BR"/>
                    </w:rPr>
                  </w:pPr>
                  <w:r>
                    <w:rPr>
                      <w:rFonts w:hint="eastAsia"/>
                      <w:b/>
                      <w:color w:val="000000"/>
                      <w:sz w:val="21"/>
                      <w:szCs w:val="21"/>
                      <w:lang w:val="pt-BR"/>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restart"/>
                  <w:tcBorders>
                    <w:top w:val="single" w:color="auto" w:sz="4" w:space="0"/>
                  </w:tcBorders>
                  <w:noWrap/>
                  <w:vAlign w:val="center"/>
                </w:tcPr>
                <w:p>
                  <w:pPr>
                    <w:jc w:val="center"/>
                    <w:rPr>
                      <w:color w:val="000000"/>
                      <w:sz w:val="21"/>
                      <w:szCs w:val="21"/>
                      <w:lang w:val="pt-BR"/>
                    </w:rPr>
                  </w:pPr>
                  <w:r>
                    <w:rPr>
                      <w:color w:val="000000"/>
                      <w:sz w:val="21"/>
                      <w:szCs w:val="21"/>
                      <w:lang w:val="pt-BR"/>
                    </w:rPr>
                    <w:t>1</w:t>
                  </w:r>
                </w:p>
              </w:tc>
              <w:tc>
                <w:tcPr>
                  <w:tcW w:w="611" w:type="pct"/>
                  <w:vMerge w:val="restart"/>
                  <w:tcBorders>
                    <w:top w:val="single" w:color="auto" w:sz="4" w:space="0"/>
                  </w:tcBorders>
                  <w:noWrap w:val="0"/>
                  <w:vAlign w:val="center"/>
                </w:tcPr>
                <w:p>
                  <w:pPr>
                    <w:jc w:val="center"/>
                    <w:rPr>
                      <w:color w:val="000000"/>
                      <w:sz w:val="21"/>
                      <w:szCs w:val="21"/>
                      <w:lang w:val="pt-BR"/>
                    </w:rPr>
                  </w:pPr>
                  <w:r>
                    <w:rPr>
                      <w:rFonts w:hint="eastAsia"/>
                      <w:color w:val="000000"/>
                      <w:sz w:val="21"/>
                      <w:szCs w:val="21"/>
                      <w:lang w:val="pt-BR"/>
                    </w:rPr>
                    <w:t>主体工程</w:t>
                  </w:r>
                </w:p>
              </w:tc>
              <w:tc>
                <w:tcPr>
                  <w:tcW w:w="624" w:type="pct"/>
                  <w:tcBorders>
                    <w:top w:val="single" w:color="auto" w:sz="4" w:space="0"/>
                    <w:bottom w:val="single" w:color="auto" w:sz="4" w:space="0"/>
                  </w:tcBorders>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站房及辅助设施</w:t>
                  </w:r>
                </w:p>
              </w:tc>
              <w:tc>
                <w:tcPr>
                  <w:tcW w:w="2178" w:type="pct"/>
                  <w:tcBorders>
                    <w:top w:val="single" w:color="auto" w:sz="4" w:space="0"/>
                    <w:bottom w:val="single" w:color="auto" w:sz="4" w:space="0"/>
                  </w:tcBorders>
                  <w:noWrap/>
                  <w:vAlign w:val="center"/>
                </w:tcPr>
                <w:p>
                  <w:pPr>
                    <w:jc w:val="center"/>
                    <w:rPr>
                      <w:color w:val="000000"/>
                      <w:sz w:val="21"/>
                      <w:szCs w:val="21"/>
                      <w:lang w:val="pt-BR"/>
                    </w:rPr>
                  </w:pPr>
                  <w:r>
                    <w:rPr>
                      <w:rFonts w:hint="eastAsia"/>
                      <w:color w:val="000000"/>
                      <w:sz w:val="21"/>
                      <w:szCs w:val="21"/>
                      <w:lang w:val="en-US" w:eastAsia="zh-CN"/>
                    </w:rPr>
                    <w:t>占地面积为159</w:t>
                  </w:r>
                  <w:r>
                    <w:rPr>
                      <w:rFonts w:hint="eastAsia"/>
                      <w:color w:val="000000"/>
                      <w:sz w:val="21"/>
                      <w:szCs w:val="21"/>
                      <w:lang w:val="pt-BR"/>
                    </w:rPr>
                    <w:t>m</w:t>
                  </w:r>
                  <w:r>
                    <w:rPr>
                      <w:rFonts w:hint="eastAsia"/>
                      <w:color w:val="000000"/>
                      <w:sz w:val="21"/>
                      <w:szCs w:val="21"/>
                      <w:vertAlign w:val="superscript"/>
                      <w:lang w:val="pt-BR"/>
                    </w:rPr>
                    <w:t>2</w:t>
                  </w:r>
                  <w:r>
                    <w:rPr>
                      <w:rFonts w:hint="eastAsia"/>
                      <w:color w:val="000000"/>
                      <w:sz w:val="21"/>
                      <w:szCs w:val="21"/>
                      <w:lang w:val="pt-BR"/>
                    </w:rPr>
                    <w:t>，</w:t>
                  </w:r>
                  <w:r>
                    <w:rPr>
                      <w:rFonts w:hint="eastAsia"/>
                      <w:color w:val="000000"/>
                      <w:sz w:val="21"/>
                      <w:szCs w:val="21"/>
                      <w:lang w:val="en-US" w:eastAsia="zh-CN"/>
                    </w:rPr>
                    <w:t>砖混结构</w:t>
                  </w:r>
                </w:p>
              </w:tc>
              <w:tc>
                <w:tcPr>
                  <w:tcW w:w="1162" w:type="pct"/>
                  <w:tcBorders>
                    <w:top w:val="single" w:color="auto" w:sz="4" w:space="0"/>
                    <w:bottom w:val="single" w:color="auto" w:sz="4" w:space="0"/>
                  </w:tcBorders>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营业厅、值班室、办公室等</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continue"/>
                  <w:noWrap/>
                  <w:vAlign w:val="center"/>
                </w:tcPr>
                <w:p>
                  <w:pPr>
                    <w:jc w:val="center"/>
                    <w:rPr>
                      <w:color w:val="000000"/>
                      <w:sz w:val="21"/>
                      <w:szCs w:val="21"/>
                      <w:lang w:val="pt-BR"/>
                    </w:rPr>
                  </w:pPr>
                </w:p>
              </w:tc>
              <w:tc>
                <w:tcPr>
                  <w:tcW w:w="611" w:type="pct"/>
                  <w:vMerge w:val="continue"/>
                  <w:noWrap w:val="0"/>
                  <w:vAlign w:val="center"/>
                </w:tcPr>
                <w:p>
                  <w:pPr>
                    <w:jc w:val="center"/>
                    <w:rPr>
                      <w:color w:val="000000"/>
                      <w:sz w:val="21"/>
                      <w:szCs w:val="21"/>
                      <w:lang w:val="pt-BR"/>
                    </w:rPr>
                  </w:pPr>
                </w:p>
              </w:tc>
              <w:tc>
                <w:tcPr>
                  <w:tcW w:w="624" w:type="pct"/>
                  <w:tcBorders>
                    <w:top w:val="single" w:color="auto" w:sz="4" w:space="0"/>
                  </w:tcBorders>
                  <w:noWrap w:val="0"/>
                  <w:vAlign w:val="center"/>
                </w:tcPr>
                <w:p>
                  <w:pPr>
                    <w:jc w:val="center"/>
                    <w:rPr>
                      <w:rFonts w:ascii="Times New Roman" w:hAnsi="Times New Roman" w:eastAsia="宋体" w:cs="Times New Roman"/>
                      <w:color w:val="000000"/>
                      <w:kern w:val="2"/>
                      <w:sz w:val="21"/>
                      <w:szCs w:val="21"/>
                      <w:lang w:val="pt-BR" w:eastAsia="zh-CN" w:bidi="ar-SA"/>
                    </w:rPr>
                  </w:pPr>
                  <w:r>
                    <w:rPr>
                      <w:color w:val="000000"/>
                      <w:sz w:val="21"/>
                      <w:szCs w:val="21"/>
                      <w:lang w:val="pt-BR"/>
                    </w:rPr>
                    <w:t>罩棚</w:t>
                  </w:r>
                </w:p>
              </w:tc>
              <w:tc>
                <w:tcPr>
                  <w:tcW w:w="2178" w:type="pct"/>
                  <w:tcBorders>
                    <w:top w:val="single" w:color="auto" w:sz="4" w:space="0"/>
                  </w:tcBorders>
                  <w:noWrap/>
                  <w:vAlign w:val="center"/>
                </w:tcPr>
                <w:p>
                  <w:pPr>
                    <w:jc w:val="center"/>
                    <w:rPr>
                      <w:rFonts w:hint="eastAsia" w:ascii="Times New Roman" w:hAnsi="Times New Roman" w:eastAsia="宋体" w:cs="Times New Roman"/>
                      <w:color w:val="000000"/>
                      <w:kern w:val="2"/>
                      <w:sz w:val="21"/>
                      <w:szCs w:val="21"/>
                      <w:vertAlign w:val="baseline"/>
                      <w:lang w:val="pt-BR" w:eastAsia="zh-CN" w:bidi="ar-SA"/>
                    </w:rPr>
                  </w:pPr>
                  <w:r>
                    <w:rPr>
                      <w:rFonts w:hint="eastAsia"/>
                      <w:color w:val="000000"/>
                      <w:sz w:val="21"/>
                      <w:szCs w:val="21"/>
                      <w:lang w:val="en-US" w:eastAsia="zh-CN"/>
                    </w:rPr>
                    <w:t>占地面积为484</w:t>
                  </w:r>
                  <w:r>
                    <w:rPr>
                      <w:rFonts w:hint="eastAsia"/>
                      <w:color w:val="000000"/>
                      <w:sz w:val="21"/>
                      <w:szCs w:val="21"/>
                      <w:lang w:val="pt-BR"/>
                    </w:rPr>
                    <w:t xml:space="preserve"> m</w:t>
                  </w:r>
                  <w:r>
                    <w:rPr>
                      <w:rFonts w:hint="eastAsia"/>
                      <w:color w:val="000000"/>
                      <w:sz w:val="21"/>
                      <w:szCs w:val="21"/>
                      <w:vertAlign w:val="superscript"/>
                      <w:lang w:val="pt-BR"/>
                    </w:rPr>
                    <w:t>2</w:t>
                  </w:r>
                  <w:r>
                    <w:rPr>
                      <w:rFonts w:hint="eastAsia"/>
                      <w:color w:val="000000"/>
                      <w:sz w:val="21"/>
                      <w:szCs w:val="21"/>
                      <w:vertAlign w:val="baseline"/>
                      <w:lang w:val="pt-BR" w:eastAsia="zh-CN"/>
                    </w:rPr>
                    <w:t>，钢网架</w:t>
                  </w:r>
                </w:p>
              </w:tc>
              <w:tc>
                <w:tcPr>
                  <w:tcW w:w="1162" w:type="pct"/>
                  <w:tcBorders>
                    <w:top w:val="single" w:color="auto" w:sz="4" w:space="0"/>
                  </w:tcBorders>
                  <w:noWrap w:val="0"/>
                  <w:vAlign w:val="center"/>
                </w:tcPr>
                <w:p>
                  <w:pPr>
                    <w:jc w:val="center"/>
                    <w:rPr>
                      <w:rFonts w:hint="eastAsia"/>
                      <w:color w:val="000000"/>
                      <w:sz w:val="21"/>
                      <w:szCs w:val="21"/>
                      <w:lang w:val="pt-BR"/>
                    </w:rPr>
                  </w:pPr>
                  <w:r>
                    <w:rPr>
                      <w:rFonts w:hint="eastAsia"/>
                      <w:color w:val="000000"/>
                      <w:sz w:val="21"/>
                      <w:szCs w:val="21"/>
                      <w:lang w:val="pt-BR"/>
                    </w:rPr>
                    <w:t>加油区</w:t>
                  </w:r>
                </w:p>
                <w:p>
                  <w:pPr>
                    <w:jc w:val="center"/>
                    <w:rPr>
                      <w:rFonts w:hint="eastAsia" w:ascii="Times New Roman" w:hAnsi="Times New Roman" w:eastAsia="宋体" w:cs="Times New Roman"/>
                      <w:color w:val="000000"/>
                      <w:kern w:val="2"/>
                      <w:sz w:val="21"/>
                      <w:szCs w:val="21"/>
                      <w:lang w:val="pt-BR" w:eastAsia="zh-CN" w:bidi="ar-SA"/>
                    </w:rPr>
                  </w:pPr>
                  <w:r>
                    <w:rPr>
                      <w:rFonts w:hint="eastAsia"/>
                      <w:color w:val="000000"/>
                      <w:sz w:val="21"/>
                      <w:szCs w:val="21"/>
                      <w:lang w:val="pt-BR"/>
                    </w:rPr>
                    <w:t>（</w:t>
                  </w:r>
                  <w:r>
                    <w:rPr>
                      <w:rFonts w:hint="eastAsia"/>
                      <w:color w:val="000000"/>
                      <w:sz w:val="21"/>
                      <w:szCs w:val="21"/>
                      <w:lang w:val="en-US" w:eastAsia="zh-CN"/>
                    </w:rPr>
                    <w:t>2</w:t>
                  </w:r>
                  <w:r>
                    <w:rPr>
                      <w:rFonts w:hint="eastAsia"/>
                      <w:color w:val="000000"/>
                      <w:sz w:val="21"/>
                      <w:szCs w:val="21"/>
                      <w:lang w:val="pt-BR"/>
                    </w:rPr>
                    <w:t>台汽油加油机，</w:t>
                  </w:r>
                  <w:r>
                    <w:rPr>
                      <w:rFonts w:hint="eastAsia"/>
                      <w:color w:val="000000"/>
                      <w:sz w:val="21"/>
                      <w:szCs w:val="21"/>
                      <w:lang w:val="en-US" w:eastAsia="zh-CN"/>
                    </w:rPr>
                    <w:t>2</w:t>
                  </w:r>
                  <w:r>
                    <w:rPr>
                      <w:rFonts w:hint="eastAsia"/>
                      <w:color w:val="000000"/>
                      <w:sz w:val="21"/>
                      <w:szCs w:val="21"/>
                      <w:lang w:val="pt-BR"/>
                    </w:rPr>
                    <w:t>台柴油加油机）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continue"/>
                  <w:noWrap/>
                  <w:vAlign w:val="center"/>
                </w:tcPr>
                <w:p>
                  <w:pPr>
                    <w:jc w:val="center"/>
                    <w:rPr>
                      <w:color w:val="000000"/>
                      <w:sz w:val="21"/>
                      <w:szCs w:val="21"/>
                      <w:lang w:val="pt-BR"/>
                    </w:rPr>
                  </w:pPr>
                </w:p>
              </w:tc>
              <w:tc>
                <w:tcPr>
                  <w:tcW w:w="611" w:type="pct"/>
                  <w:vMerge w:val="continue"/>
                  <w:noWrap w:val="0"/>
                  <w:vAlign w:val="center"/>
                </w:tcPr>
                <w:p>
                  <w:pPr>
                    <w:jc w:val="center"/>
                    <w:rPr>
                      <w:color w:val="000000"/>
                      <w:sz w:val="21"/>
                      <w:szCs w:val="21"/>
                      <w:lang w:val="pt-BR"/>
                    </w:rPr>
                  </w:pPr>
                </w:p>
              </w:tc>
              <w:tc>
                <w:tcPr>
                  <w:tcW w:w="624" w:type="pct"/>
                  <w:tcBorders>
                    <w:top w:val="single" w:color="auto" w:sz="4" w:space="0"/>
                  </w:tcBorders>
                  <w:noWrap w:val="0"/>
                  <w:vAlign w:val="center"/>
                </w:tcPr>
                <w:p>
                  <w:pPr>
                    <w:jc w:val="both"/>
                    <w:rPr>
                      <w:rFonts w:hint="eastAsia" w:eastAsia="宋体"/>
                      <w:color w:val="000000"/>
                      <w:sz w:val="21"/>
                      <w:szCs w:val="21"/>
                      <w:lang w:val="en-US" w:eastAsia="zh-CN"/>
                    </w:rPr>
                  </w:pPr>
                  <w:r>
                    <w:rPr>
                      <w:rFonts w:hint="eastAsia"/>
                      <w:color w:val="000000"/>
                      <w:sz w:val="21"/>
                      <w:szCs w:val="21"/>
                      <w:lang w:val="en-US" w:eastAsia="zh-CN"/>
                    </w:rPr>
                    <w:t>油罐区</w:t>
                  </w:r>
                </w:p>
              </w:tc>
              <w:tc>
                <w:tcPr>
                  <w:tcW w:w="2178" w:type="pct"/>
                  <w:tcBorders>
                    <w:top w:val="single" w:color="auto" w:sz="4" w:space="0"/>
                  </w:tcBorders>
                  <w:noWrap/>
                  <w:vAlign w:val="center"/>
                </w:tcPr>
                <w:p>
                  <w:pPr>
                    <w:jc w:val="center"/>
                    <w:rPr>
                      <w:rFonts w:hint="eastAsia" w:eastAsia="宋体"/>
                      <w:color w:val="000000"/>
                      <w:sz w:val="21"/>
                      <w:szCs w:val="21"/>
                      <w:vertAlign w:val="baseline"/>
                      <w:lang w:val="en-US" w:eastAsia="zh-CN"/>
                    </w:rPr>
                  </w:pPr>
                  <w:r>
                    <w:rPr>
                      <w:rFonts w:hint="eastAsia"/>
                      <w:color w:val="000000"/>
                      <w:sz w:val="21"/>
                      <w:szCs w:val="21"/>
                      <w:lang w:val="en-US" w:eastAsia="zh-CN"/>
                    </w:rPr>
                    <w:t>占地面积为117</w:t>
                  </w:r>
                  <w:r>
                    <w:rPr>
                      <w:rFonts w:hint="eastAsia"/>
                      <w:color w:val="000000"/>
                      <w:sz w:val="21"/>
                      <w:szCs w:val="21"/>
                      <w:lang w:val="pt-BR"/>
                    </w:rPr>
                    <w:t xml:space="preserve"> m</w:t>
                  </w:r>
                  <w:r>
                    <w:rPr>
                      <w:rFonts w:hint="eastAsia"/>
                      <w:color w:val="000000"/>
                      <w:sz w:val="21"/>
                      <w:szCs w:val="21"/>
                      <w:vertAlign w:val="superscript"/>
                      <w:lang w:val="pt-BR"/>
                    </w:rPr>
                    <w:t>2</w:t>
                  </w:r>
                  <w:r>
                    <w:rPr>
                      <w:rFonts w:hint="eastAsia"/>
                      <w:color w:val="000000"/>
                      <w:sz w:val="21"/>
                      <w:szCs w:val="21"/>
                      <w:vertAlign w:val="baseline"/>
                      <w:lang w:val="pt-BR" w:eastAsia="zh-CN"/>
                    </w:rPr>
                    <w:t>，卧式钢制油罐</w:t>
                  </w:r>
                </w:p>
              </w:tc>
              <w:tc>
                <w:tcPr>
                  <w:tcW w:w="1162" w:type="pct"/>
                  <w:tcBorders>
                    <w:top w:val="single" w:color="auto" w:sz="4" w:space="0"/>
                  </w:tcBorders>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2个20</w:t>
                  </w:r>
                  <w:r>
                    <w:rPr>
                      <w:rFonts w:hint="eastAsia"/>
                      <w:color w:val="000000"/>
                      <w:sz w:val="21"/>
                      <w:szCs w:val="21"/>
                      <w:lang w:val="pt-BR"/>
                    </w:rPr>
                    <w:t>m</w:t>
                  </w:r>
                  <w:r>
                    <w:rPr>
                      <w:rFonts w:hint="eastAsia"/>
                      <w:color w:val="000000"/>
                      <w:sz w:val="21"/>
                      <w:szCs w:val="21"/>
                      <w:vertAlign w:val="superscript"/>
                      <w:lang w:val="en-US" w:eastAsia="zh-CN"/>
                    </w:rPr>
                    <w:t>3</w:t>
                  </w:r>
                  <w:r>
                    <w:rPr>
                      <w:rFonts w:hint="eastAsia"/>
                      <w:color w:val="000000"/>
                      <w:sz w:val="21"/>
                      <w:szCs w:val="21"/>
                      <w:lang w:val="en-US" w:eastAsia="zh-CN"/>
                    </w:rPr>
                    <w:t>柴油储罐，2个20</w:t>
                  </w:r>
                  <w:r>
                    <w:rPr>
                      <w:rFonts w:hint="eastAsia"/>
                      <w:color w:val="000000"/>
                      <w:sz w:val="21"/>
                      <w:szCs w:val="21"/>
                      <w:lang w:val="pt-BR"/>
                    </w:rPr>
                    <w:t>m</w:t>
                  </w:r>
                  <w:r>
                    <w:rPr>
                      <w:rFonts w:hint="eastAsia"/>
                      <w:color w:val="000000"/>
                      <w:sz w:val="21"/>
                      <w:szCs w:val="21"/>
                      <w:vertAlign w:val="superscript"/>
                      <w:lang w:val="en-US" w:eastAsia="zh-CN"/>
                    </w:rPr>
                    <w:t>3</w:t>
                  </w:r>
                  <w:r>
                    <w:rPr>
                      <w:rFonts w:hint="eastAsia"/>
                      <w:color w:val="000000"/>
                      <w:sz w:val="21"/>
                      <w:szCs w:val="21"/>
                      <w:lang w:val="en-US" w:eastAsia="zh-CN"/>
                    </w:rPr>
                    <w:t>汽油储罐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restart"/>
                  <w:noWrap/>
                  <w:vAlign w:val="center"/>
                </w:tcPr>
                <w:p>
                  <w:pPr>
                    <w:jc w:val="center"/>
                    <w:rPr>
                      <w:color w:val="000000"/>
                      <w:sz w:val="21"/>
                      <w:szCs w:val="21"/>
                      <w:lang w:val="pt-BR"/>
                    </w:rPr>
                  </w:pPr>
                  <w:r>
                    <w:rPr>
                      <w:rFonts w:hint="eastAsia"/>
                      <w:color w:val="000000"/>
                      <w:sz w:val="21"/>
                      <w:szCs w:val="21"/>
                      <w:lang w:val="pt-BR"/>
                    </w:rPr>
                    <w:t>2</w:t>
                  </w:r>
                </w:p>
              </w:tc>
              <w:tc>
                <w:tcPr>
                  <w:tcW w:w="611" w:type="pct"/>
                  <w:vMerge w:val="restart"/>
                  <w:noWrap w:val="0"/>
                  <w:vAlign w:val="center"/>
                </w:tcPr>
                <w:p>
                  <w:pPr>
                    <w:jc w:val="center"/>
                    <w:rPr>
                      <w:color w:val="000000"/>
                      <w:sz w:val="21"/>
                      <w:szCs w:val="21"/>
                      <w:lang w:val="pt-BR"/>
                    </w:rPr>
                  </w:pPr>
                  <w:r>
                    <w:rPr>
                      <w:rFonts w:hint="eastAsia"/>
                      <w:color w:val="000000"/>
                      <w:sz w:val="21"/>
                      <w:szCs w:val="21"/>
                      <w:lang w:val="pt-BR"/>
                    </w:rPr>
                    <w:t>环保工程</w:t>
                  </w:r>
                </w:p>
              </w:tc>
              <w:tc>
                <w:tcPr>
                  <w:tcW w:w="624" w:type="pct"/>
                  <w:noWrap w:val="0"/>
                  <w:vAlign w:val="center"/>
                </w:tcPr>
                <w:p>
                  <w:pPr>
                    <w:jc w:val="center"/>
                    <w:rPr>
                      <w:rFonts w:hint="eastAsia"/>
                      <w:color w:val="000000"/>
                      <w:sz w:val="21"/>
                      <w:szCs w:val="21"/>
                      <w:lang w:val="pt-BR"/>
                    </w:rPr>
                  </w:pPr>
                  <w:r>
                    <w:rPr>
                      <w:rFonts w:hint="eastAsia"/>
                      <w:color w:val="000000"/>
                      <w:sz w:val="21"/>
                      <w:szCs w:val="21"/>
                      <w:lang w:val="pt-BR"/>
                    </w:rPr>
                    <w:t>废水</w:t>
                  </w:r>
                </w:p>
              </w:tc>
              <w:tc>
                <w:tcPr>
                  <w:tcW w:w="2178" w:type="pct"/>
                  <w:noWrap/>
                  <w:vAlign w:val="center"/>
                </w:tcPr>
                <w:p>
                  <w:pPr>
                    <w:jc w:val="center"/>
                    <w:rPr>
                      <w:color w:val="000000"/>
                      <w:sz w:val="21"/>
                      <w:szCs w:val="21"/>
                    </w:rPr>
                  </w:pPr>
                  <w:r>
                    <w:rPr>
                      <w:rFonts w:hint="eastAsia"/>
                      <w:color w:val="000000"/>
                      <w:sz w:val="21"/>
                      <w:szCs w:val="21"/>
                    </w:rPr>
                    <w:t>生活污水经化粪池处理，定期清运；</w:t>
                  </w:r>
                </w:p>
                <w:p>
                  <w:pPr>
                    <w:jc w:val="center"/>
                    <w:rPr>
                      <w:rFonts w:hint="eastAsia" w:eastAsia="宋体"/>
                      <w:color w:val="000000"/>
                      <w:sz w:val="21"/>
                      <w:szCs w:val="21"/>
                      <w:lang w:val="pt-BR" w:eastAsia="zh-CN"/>
                    </w:rPr>
                  </w:pPr>
                  <w:r>
                    <w:rPr>
                      <w:rFonts w:hint="eastAsia"/>
                      <w:color w:val="000000"/>
                      <w:sz w:val="21"/>
                      <w:szCs w:val="21"/>
                    </w:rPr>
                    <w:t>洗车废水经</w:t>
                  </w:r>
                  <w:r>
                    <w:rPr>
                      <w:rFonts w:hint="eastAsia"/>
                      <w:color w:val="000000"/>
                      <w:sz w:val="21"/>
                      <w:szCs w:val="21"/>
                      <w:lang w:eastAsia="zh-CN"/>
                    </w:rPr>
                    <w:t>隔油沉淀池处理</w:t>
                  </w:r>
                  <w:r>
                    <w:rPr>
                      <w:rFonts w:hint="eastAsia"/>
                      <w:color w:val="000000"/>
                      <w:sz w:val="21"/>
                      <w:szCs w:val="21"/>
                    </w:rPr>
                    <w:t>后</w:t>
                  </w:r>
                  <w:r>
                    <w:rPr>
                      <w:rFonts w:hint="eastAsia"/>
                      <w:color w:val="000000"/>
                      <w:sz w:val="21"/>
                      <w:szCs w:val="21"/>
                      <w:lang w:eastAsia="zh-CN"/>
                    </w:rPr>
                    <w:t>循环使用</w:t>
                  </w:r>
                  <w:r>
                    <w:rPr>
                      <w:rFonts w:hint="eastAsia"/>
                      <w:color w:val="000000"/>
                      <w:sz w:val="21"/>
                      <w:szCs w:val="21"/>
                    </w:rPr>
                    <w:t>，不外排</w:t>
                  </w:r>
                  <w:r>
                    <w:rPr>
                      <w:rFonts w:hint="eastAsia"/>
                      <w:color w:val="000000"/>
                      <w:sz w:val="21"/>
                      <w:szCs w:val="21"/>
                      <w:lang w:eastAsia="zh-CN"/>
                    </w:rPr>
                    <w:t>。</w:t>
                  </w:r>
                </w:p>
              </w:tc>
              <w:tc>
                <w:tcPr>
                  <w:tcW w:w="1162" w:type="pct"/>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continue"/>
                  <w:noWrap/>
                  <w:vAlign w:val="center"/>
                </w:tcPr>
                <w:p>
                  <w:pPr>
                    <w:jc w:val="center"/>
                    <w:rPr>
                      <w:color w:val="000000"/>
                      <w:sz w:val="21"/>
                      <w:szCs w:val="21"/>
                      <w:lang w:val="pt-BR"/>
                    </w:rPr>
                  </w:pPr>
                </w:p>
              </w:tc>
              <w:tc>
                <w:tcPr>
                  <w:tcW w:w="611" w:type="pct"/>
                  <w:vMerge w:val="continue"/>
                  <w:noWrap w:val="0"/>
                  <w:vAlign w:val="center"/>
                </w:tcPr>
                <w:p>
                  <w:pPr>
                    <w:jc w:val="center"/>
                    <w:rPr>
                      <w:color w:val="000000"/>
                      <w:sz w:val="21"/>
                      <w:szCs w:val="21"/>
                      <w:lang w:val="pt-BR"/>
                    </w:rPr>
                  </w:pPr>
                </w:p>
              </w:tc>
              <w:tc>
                <w:tcPr>
                  <w:tcW w:w="624" w:type="pct"/>
                  <w:noWrap w:val="0"/>
                  <w:vAlign w:val="center"/>
                </w:tcPr>
                <w:p>
                  <w:pPr>
                    <w:jc w:val="center"/>
                    <w:rPr>
                      <w:color w:val="000000"/>
                      <w:sz w:val="21"/>
                      <w:szCs w:val="21"/>
                      <w:lang w:val="pt-BR"/>
                    </w:rPr>
                  </w:pPr>
                  <w:r>
                    <w:rPr>
                      <w:rFonts w:hint="eastAsia"/>
                      <w:color w:val="000000"/>
                      <w:sz w:val="21"/>
                      <w:szCs w:val="21"/>
                      <w:lang w:val="pt-BR"/>
                    </w:rPr>
                    <w:t>油气回收系统</w:t>
                  </w:r>
                </w:p>
              </w:tc>
              <w:tc>
                <w:tcPr>
                  <w:tcW w:w="2178" w:type="pct"/>
                  <w:noWrap/>
                  <w:vAlign w:val="center"/>
                </w:tcPr>
                <w:p>
                  <w:pPr>
                    <w:jc w:val="center"/>
                    <w:rPr>
                      <w:color w:val="000000"/>
                      <w:sz w:val="21"/>
                      <w:szCs w:val="21"/>
                      <w:lang w:val="pt-BR"/>
                    </w:rPr>
                  </w:pPr>
                  <w:r>
                    <w:rPr>
                      <w:rFonts w:hint="eastAsia"/>
                      <w:color w:val="000000"/>
                      <w:sz w:val="21"/>
                      <w:szCs w:val="21"/>
                      <w:lang w:val="pt-BR"/>
                    </w:rPr>
                    <w:t>汽油油气回收系统</w:t>
                  </w:r>
                  <w:r>
                    <w:rPr>
                      <w:rFonts w:hint="eastAsia"/>
                      <w:color w:val="000000"/>
                      <w:sz w:val="21"/>
                      <w:szCs w:val="21"/>
                      <w:lang w:val="en-US" w:eastAsia="zh-CN"/>
                    </w:rPr>
                    <w:t>3</w:t>
                  </w:r>
                  <w:r>
                    <w:rPr>
                      <w:rFonts w:hint="eastAsia"/>
                      <w:color w:val="000000"/>
                      <w:sz w:val="21"/>
                      <w:szCs w:val="21"/>
                      <w:lang w:val="pt-BR"/>
                    </w:rPr>
                    <w:t>套</w:t>
                  </w:r>
                </w:p>
              </w:tc>
              <w:tc>
                <w:tcPr>
                  <w:tcW w:w="1162" w:type="pct"/>
                  <w:noWrap w:val="0"/>
                  <w:vAlign w:val="center"/>
                </w:tcPr>
                <w:p>
                  <w:pPr>
                    <w:jc w:val="center"/>
                    <w:rPr>
                      <w:rFonts w:hint="default" w:eastAsia="宋体"/>
                      <w:color w:val="000000"/>
                      <w:sz w:val="21"/>
                      <w:szCs w:val="21"/>
                      <w:lang w:val="en-US" w:eastAsia="zh-CN"/>
                    </w:rPr>
                  </w:pPr>
                  <w:r>
                    <w:rPr>
                      <w:rFonts w:hint="eastAsia"/>
                      <w:color w:val="000000"/>
                      <w:sz w:val="21"/>
                      <w:szCs w:val="21"/>
                      <w:lang w:val="en-US" w:eastAsia="zh-CN"/>
                    </w:rPr>
                    <w:t>2套</w:t>
                  </w:r>
                  <w:r>
                    <w:rPr>
                      <w:rFonts w:hint="eastAsia"/>
                      <w:color w:val="000000"/>
                      <w:sz w:val="21"/>
                      <w:szCs w:val="21"/>
                      <w:lang w:val="pt-BR" w:eastAsia="zh-CN"/>
                    </w:rPr>
                    <w:t>加油油气回收系统，</w:t>
                  </w:r>
                  <w:r>
                    <w:rPr>
                      <w:rFonts w:hint="eastAsia"/>
                      <w:color w:val="000000"/>
                      <w:sz w:val="21"/>
                      <w:szCs w:val="21"/>
                      <w:lang w:val="en-US" w:eastAsia="zh-CN"/>
                    </w:rPr>
                    <w:t>1套卸油油气回收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restart"/>
                  <w:noWrap/>
                  <w:vAlign w:val="center"/>
                </w:tcPr>
                <w:p>
                  <w:pPr>
                    <w:jc w:val="center"/>
                    <w:rPr>
                      <w:color w:val="000000"/>
                      <w:sz w:val="21"/>
                      <w:szCs w:val="21"/>
                      <w:lang w:val="pt-BR"/>
                    </w:rPr>
                  </w:pPr>
                  <w:r>
                    <w:rPr>
                      <w:rFonts w:hint="eastAsia"/>
                      <w:color w:val="000000"/>
                      <w:sz w:val="21"/>
                      <w:szCs w:val="21"/>
                      <w:lang w:val="pt-BR"/>
                    </w:rPr>
                    <w:t>3</w:t>
                  </w:r>
                </w:p>
              </w:tc>
              <w:tc>
                <w:tcPr>
                  <w:tcW w:w="611" w:type="pct"/>
                  <w:vMerge w:val="restart"/>
                  <w:noWrap w:val="0"/>
                  <w:vAlign w:val="center"/>
                </w:tcPr>
                <w:p>
                  <w:pPr>
                    <w:jc w:val="center"/>
                    <w:rPr>
                      <w:color w:val="000000"/>
                      <w:sz w:val="21"/>
                      <w:szCs w:val="21"/>
                      <w:lang w:val="pt-BR"/>
                    </w:rPr>
                  </w:pPr>
                  <w:r>
                    <w:rPr>
                      <w:rFonts w:hint="eastAsia"/>
                      <w:color w:val="000000"/>
                      <w:sz w:val="21"/>
                      <w:szCs w:val="21"/>
                      <w:lang w:val="pt-BR"/>
                    </w:rPr>
                    <w:t>公用工程</w:t>
                  </w:r>
                </w:p>
              </w:tc>
              <w:tc>
                <w:tcPr>
                  <w:tcW w:w="624" w:type="pct"/>
                  <w:tcBorders>
                    <w:bottom w:val="single" w:color="auto" w:sz="4" w:space="0"/>
                  </w:tcBorders>
                  <w:noWrap w:val="0"/>
                  <w:vAlign w:val="center"/>
                </w:tcPr>
                <w:p>
                  <w:pPr>
                    <w:jc w:val="center"/>
                    <w:rPr>
                      <w:color w:val="000000"/>
                      <w:sz w:val="21"/>
                      <w:szCs w:val="21"/>
                      <w:highlight w:val="none"/>
                      <w:lang w:val="pt-BR"/>
                    </w:rPr>
                  </w:pPr>
                  <w:r>
                    <w:rPr>
                      <w:rFonts w:hint="eastAsia"/>
                      <w:color w:val="000000"/>
                      <w:sz w:val="21"/>
                      <w:szCs w:val="21"/>
                      <w:highlight w:val="none"/>
                      <w:lang w:val="pt-BR"/>
                    </w:rPr>
                    <w:t>水</w:t>
                  </w:r>
                </w:p>
              </w:tc>
              <w:tc>
                <w:tcPr>
                  <w:tcW w:w="2178" w:type="pct"/>
                  <w:tcBorders>
                    <w:bottom w:val="single" w:color="auto" w:sz="4" w:space="0"/>
                  </w:tcBorders>
                  <w:noWrap/>
                  <w:vAlign w:val="center"/>
                </w:tcPr>
                <w:p>
                  <w:pPr>
                    <w:jc w:val="center"/>
                    <w:rPr>
                      <w:color w:val="000000"/>
                      <w:sz w:val="21"/>
                      <w:szCs w:val="21"/>
                      <w:highlight w:val="none"/>
                      <w:lang w:val="pt-BR"/>
                    </w:rPr>
                  </w:pPr>
                  <w:r>
                    <w:rPr>
                      <w:rFonts w:hint="eastAsia"/>
                      <w:color w:val="000000"/>
                      <w:sz w:val="21"/>
                      <w:szCs w:val="21"/>
                      <w:highlight w:val="none"/>
                      <w:lang w:val="pt-BR"/>
                    </w:rPr>
                    <w:t>自备水井</w:t>
                  </w:r>
                </w:p>
              </w:tc>
              <w:tc>
                <w:tcPr>
                  <w:tcW w:w="1162" w:type="pct"/>
                  <w:tcBorders>
                    <w:bottom w:val="single" w:color="auto" w:sz="4" w:space="0"/>
                  </w:tcBorders>
                  <w:noWrap w:val="0"/>
                  <w:vAlign w:val="center"/>
                </w:tcPr>
                <w:p>
                  <w:pPr>
                    <w:jc w:val="center"/>
                    <w:rPr>
                      <w:rFonts w:hint="eastAsia"/>
                      <w:color w:val="000000"/>
                      <w:sz w:val="21"/>
                      <w:szCs w:val="21"/>
                      <w:highlight w:val="none"/>
                      <w:lang w:val="pt-BR"/>
                    </w:rPr>
                  </w:pPr>
                  <w:r>
                    <w:rPr>
                      <w:rFonts w:hint="eastAsia"/>
                      <w:color w:val="000000"/>
                      <w:sz w:val="21"/>
                      <w:szCs w:val="21"/>
                      <w:highlight w:val="none"/>
                      <w:lang w:val="pt-BR"/>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Merge w:val="continue"/>
                  <w:noWrap/>
                  <w:vAlign w:val="center"/>
                </w:tcPr>
                <w:p>
                  <w:pPr>
                    <w:jc w:val="center"/>
                    <w:rPr>
                      <w:color w:val="000000"/>
                      <w:sz w:val="21"/>
                      <w:szCs w:val="21"/>
                      <w:lang w:val="pt-BR"/>
                    </w:rPr>
                  </w:pPr>
                </w:p>
              </w:tc>
              <w:tc>
                <w:tcPr>
                  <w:tcW w:w="611" w:type="pct"/>
                  <w:vMerge w:val="continue"/>
                  <w:noWrap w:val="0"/>
                  <w:vAlign w:val="center"/>
                </w:tcPr>
                <w:p>
                  <w:pPr>
                    <w:jc w:val="center"/>
                    <w:rPr>
                      <w:color w:val="000000"/>
                      <w:sz w:val="21"/>
                      <w:szCs w:val="21"/>
                      <w:lang w:val="pt-BR"/>
                    </w:rPr>
                  </w:pPr>
                </w:p>
              </w:tc>
              <w:tc>
                <w:tcPr>
                  <w:tcW w:w="624" w:type="pct"/>
                  <w:tcBorders>
                    <w:top w:val="single" w:color="auto" w:sz="4" w:space="0"/>
                    <w:bottom w:val="single" w:color="auto" w:sz="8" w:space="0"/>
                  </w:tcBorders>
                  <w:noWrap w:val="0"/>
                  <w:vAlign w:val="center"/>
                </w:tcPr>
                <w:p>
                  <w:pPr>
                    <w:jc w:val="center"/>
                    <w:rPr>
                      <w:color w:val="000000"/>
                      <w:sz w:val="21"/>
                      <w:szCs w:val="21"/>
                      <w:lang w:val="pt-BR"/>
                    </w:rPr>
                  </w:pPr>
                  <w:r>
                    <w:rPr>
                      <w:rFonts w:hint="eastAsia"/>
                      <w:color w:val="000000"/>
                      <w:sz w:val="21"/>
                      <w:szCs w:val="21"/>
                      <w:lang w:val="pt-BR"/>
                    </w:rPr>
                    <w:t>电</w:t>
                  </w:r>
                </w:p>
              </w:tc>
              <w:tc>
                <w:tcPr>
                  <w:tcW w:w="2178" w:type="pct"/>
                  <w:tcBorders>
                    <w:top w:val="single" w:color="auto" w:sz="4" w:space="0"/>
                    <w:bottom w:val="single" w:color="auto" w:sz="8" w:space="0"/>
                  </w:tcBorders>
                  <w:noWrap/>
                  <w:vAlign w:val="center"/>
                </w:tcPr>
                <w:p>
                  <w:pPr>
                    <w:jc w:val="center"/>
                    <w:rPr>
                      <w:rFonts w:hint="eastAsia" w:eastAsia="宋体"/>
                      <w:color w:val="000000"/>
                      <w:sz w:val="21"/>
                      <w:szCs w:val="21"/>
                      <w:lang w:val="pt-BR" w:eastAsia="zh-CN"/>
                    </w:rPr>
                  </w:pPr>
                  <w:r>
                    <w:rPr>
                      <w:rFonts w:hint="eastAsia"/>
                      <w:color w:val="000000"/>
                      <w:sz w:val="21"/>
                      <w:szCs w:val="21"/>
                      <w:lang w:val="pt-BR" w:eastAsia="zh-CN"/>
                    </w:rPr>
                    <w:t>大块镇</w:t>
                  </w:r>
                  <w:r>
                    <w:rPr>
                      <w:rFonts w:hint="eastAsia"/>
                      <w:color w:val="000000"/>
                      <w:sz w:val="21"/>
                      <w:szCs w:val="21"/>
                      <w:lang w:val="pt-BR"/>
                    </w:rPr>
                    <w:t>供电</w:t>
                  </w:r>
                  <w:r>
                    <w:rPr>
                      <w:rFonts w:hint="eastAsia"/>
                      <w:color w:val="000000"/>
                      <w:sz w:val="21"/>
                      <w:szCs w:val="21"/>
                      <w:lang w:val="pt-BR" w:eastAsia="zh-CN"/>
                    </w:rPr>
                    <w:t>所供电</w:t>
                  </w:r>
                </w:p>
              </w:tc>
              <w:tc>
                <w:tcPr>
                  <w:tcW w:w="1162" w:type="pct"/>
                  <w:tcBorders>
                    <w:top w:val="single" w:color="auto" w:sz="4" w:space="0"/>
                    <w:bottom w:val="single" w:color="auto" w:sz="8" w:space="0"/>
                  </w:tcBorders>
                  <w:noWrap w:val="0"/>
                  <w:vAlign w:val="center"/>
                </w:tcPr>
                <w:p>
                  <w:pPr>
                    <w:jc w:val="center"/>
                    <w:rPr>
                      <w:rFonts w:hint="eastAsia"/>
                      <w:color w:val="000000"/>
                      <w:sz w:val="21"/>
                      <w:szCs w:val="21"/>
                      <w:lang w:val="pt-BR"/>
                    </w:rPr>
                  </w:pPr>
                  <w:r>
                    <w:rPr>
                      <w:rFonts w:hint="eastAsia"/>
                      <w:color w:val="000000"/>
                      <w:sz w:val="21"/>
                      <w:szCs w:val="21"/>
                      <w:lang w:val="pt-BR"/>
                    </w:rPr>
                    <w:t>/</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b/>
                <w:color w:val="000000"/>
                <w:sz w:val="24"/>
                <w:szCs w:val="24"/>
              </w:rPr>
            </w:pPr>
            <w:r>
              <w:rPr>
                <w:rFonts w:hint="eastAsia"/>
                <w:b/>
                <w:color w:val="000000"/>
                <w:sz w:val="24"/>
                <w:szCs w:val="24"/>
              </w:rPr>
              <w:t>3</w:t>
            </w:r>
            <w:r>
              <w:rPr>
                <w:b/>
                <w:color w:val="000000"/>
                <w:sz w:val="24"/>
                <w:szCs w:val="24"/>
              </w:rPr>
              <w:t>、</w:t>
            </w:r>
            <w:r>
              <w:rPr>
                <w:rFonts w:hint="eastAsia"/>
                <w:b/>
                <w:color w:val="000000"/>
                <w:sz w:val="24"/>
                <w:szCs w:val="24"/>
              </w:rPr>
              <w:t>主要</w:t>
            </w:r>
            <w:r>
              <w:rPr>
                <w:b/>
                <w:color w:val="000000"/>
                <w:sz w:val="24"/>
                <w:szCs w:val="24"/>
              </w:rPr>
              <w:t>生产设备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color w:val="000000"/>
                <w:sz w:val="24"/>
                <w:szCs w:val="24"/>
              </w:rPr>
            </w:pPr>
            <w:r>
              <w:rPr>
                <w:rFonts w:hint="eastAsia"/>
                <w:color w:val="000000"/>
                <w:sz w:val="24"/>
                <w:szCs w:val="24"/>
              </w:rPr>
              <w:t>本</w:t>
            </w:r>
            <w:r>
              <w:rPr>
                <w:color w:val="000000"/>
                <w:sz w:val="24"/>
                <w:szCs w:val="24"/>
              </w:rPr>
              <w:t>项目</w:t>
            </w:r>
            <w:r>
              <w:rPr>
                <w:rFonts w:hint="eastAsia"/>
                <w:color w:val="000000"/>
                <w:sz w:val="24"/>
                <w:szCs w:val="24"/>
              </w:rPr>
              <w:t>主要设备有：加油机、汽柴油储罐等。详见表4。</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表4           主要生产设备一览表</w:t>
            </w:r>
          </w:p>
          <w:tbl>
            <w:tblPr>
              <w:tblStyle w:val="21"/>
              <w:tblW w:w="5000"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40"/>
              <w:gridCol w:w="2801"/>
              <w:gridCol w:w="2305"/>
              <w:gridCol w:w="2339"/>
            </w:tblGrid>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adjustRightInd w:val="0"/>
                    <w:snapToGrid w:val="0"/>
                    <w:jc w:val="center"/>
                    <w:textAlignment w:val="baseline"/>
                    <w:rPr>
                      <w:b/>
                      <w:color w:val="000000"/>
                      <w:sz w:val="21"/>
                      <w:szCs w:val="24"/>
                    </w:rPr>
                  </w:pPr>
                  <w:r>
                    <w:rPr>
                      <w:b/>
                      <w:color w:val="000000"/>
                      <w:sz w:val="21"/>
                      <w:szCs w:val="24"/>
                    </w:rPr>
                    <w:t>序号</w:t>
                  </w:r>
                </w:p>
              </w:tc>
              <w:tc>
                <w:tcPr>
                  <w:tcW w:w="1594" w:type="pct"/>
                  <w:noWrap w:val="0"/>
                  <w:vAlign w:val="center"/>
                </w:tcPr>
                <w:p>
                  <w:pPr>
                    <w:adjustRightInd w:val="0"/>
                    <w:snapToGrid w:val="0"/>
                    <w:jc w:val="center"/>
                    <w:textAlignment w:val="baseline"/>
                    <w:rPr>
                      <w:b/>
                      <w:color w:val="000000"/>
                      <w:sz w:val="21"/>
                      <w:szCs w:val="24"/>
                    </w:rPr>
                  </w:pPr>
                  <w:r>
                    <w:rPr>
                      <w:b/>
                      <w:color w:val="000000"/>
                      <w:sz w:val="21"/>
                      <w:szCs w:val="24"/>
                    </w:rPr>
                    <w:t>设备名称</w:t>
                  </w:r>
                </w:p>
              </w:tc>
              <w:tc>
                <w:tcPr>
                  <w:tcW w:w="1311" w:type="pct"/>
                  <w:noWrap w:val="0"/>
                  <w:vAlign w:val="center"/>
                </w:tcPr>
                <w:p>
                  <w:pPr>
                    <w:adjustRightInd w:val="0"/>
                    <w:snapToGrid w:val="0"/>
                    <w:jc w:val="center"/>
                    <w:textAlignment w:val="baseline"/>
                    <w:rPr>
                      <w:b/>
                      <w:color w:val="000000"/>
                      <w:sz w:val="21"/>
                      <w:szCs w:val="24"/>
                    </w:rPr>
                  </w:pPr>
                  <w:r>
                    <w:rPr>
                      <w:b/>
                      <w:color w:val="000000"/>
                      <w:sz w:val="21"/>
                      <w:szCs w:val="24"/>
                    </w:rPr>
                    <w:t>规格</w:t>
                  </w:r>
                  <w:r>
                    <w:rPr>
                      <w:rFonts w:hint="eastAsia"/>
                      <w:b/>
                      <w:color w:val="000000"/>
                      <w:sz w:val="21"/>
                      <w:szCs w:val="24"/>
                    </w:rPr>
                    <w:t>、型号</w:t>
                  </w:r>
                </w:p>
              </w:tc>
              <w:tc>
                <w:tcPr>
                  <w:tcW w:w="1331" w:type="pct"/>
                  <w:tcBorders>
                    <w:right w:val="nil"/>
                  </w:tcBorders>
                  <w:noWrap w:val="0"/>
                  <w:vAlign w:val="center"/>
                </w:tcPr>
                <w:p>
                  <w:pPr>
                    <w:adjustRightInd w:val="0"/>
                    <w:snapToGrid w:val="0"/>
                    <w:jc w:val="center"/>
                    <w:textAlignment w:val="baseline"/>
                    <w:rPr>
                      <w:b/>
                      <w:color w:val="000000"/>
                      <w:sz w:val="21"/>
                      <w:szCs w:val="24"/>
                    </w:rPr>
                  </w:pPr>
                  <w:r>
                    <w:rPr>
                      <w:b/>
                      <w:color w:val="000000"/>
                      <w:sz w:val="21"/>
                      <w:szCs w:val="24"/>
                    </w:rPr>
                    <w:t>数量</w:t>
                  </w:r>
                  <w:r>
                    <w:rPr>
                      <w:rFonts w:hint="eastAsia"/>
                      <w:b/>
                      <w:color w:val="000000"/>
                      <w:sz w:val="21"/>
                      <w:szCs w:val="24"/>
                    </w:rPr>
                    <w:t>（单位：台）</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color w:val="000000"/>
                      <w:kern w:val="0"/>
                      <w:sz w:val="21"/>
                      <w:szCs w:val="21"/>
                    </w:rPr>
                  </w:pPr>
                  <w:r>
                    <w:rPr>
                      <w:rFonts w:hint="eastAsia"/>
                      <w:color w:val="000000"/>
                      <w:kern w:val="0"/>
                      <w:sz w:val="21"/>
                      <w:szCs w:val="21"/>
                    </w:rPr>
                    <w:t>1</w:t>
                  </w:r>
                </w:p>
              </w:tc>
              <w:tc>
                <w:tcPr>
                  <w:tcW w:w="1594" w:type="pct"/>
                  <w:noWrap w:val="0"/>
                  <w:vAlign w:val="center"/>
                </w:tcPr>
                <w:p>
                  <w:pPr>
                    <w:widowControl/>
                    <w:jc w:val="center"/>
                    <w:rPr>
                      <w:color w:val="000000"/>
                      <w:kern w:val="0"/>
                      <w:sz w:val="21"/>
                      <w:szCs w:val="21"/>
                    </w:rPr>
                  </w:pPr>
                  <w:r>
                    <w:rPr>
                      <w:rFonts w:hint="eastAsia"/>
                      <w:color w:val="000000"/>
                      <w:kern w:val="0"/>
                      <w:sz w:val="21"/>
                      <w:szCs w:val="21"/>
                    </w:rPr>
                    <w:t>双枪汽油加油机</w:t>
                  </w:r>
                </w:p>
              </w:tc>
              <w:tc>
                <w:tcPr>
                  <w:tcW w:w="1311" w:type="pct"/>
                  <w:noWrap w:val="0"/>
                  <w:vAlign w:val="center"/>
                </w:tcPr>
                <w:p>
                  <w:pPr>
                    <w:widowControl/>
                    <w:jc w:val="center"/>
                    <w:rPr>
                      <w:color w:val="000000"/>
                      <w:kern w:val="0"/>
                      <w:sz w:val="21"/>
                      <w:szCs w:val="21"/>
                    </w:rPr>
                  </w:pPr>
                  <w:r>
                    <w:rPr>
                      <w:rFonts w:hint="eastAsia"/>
                      <w:color w:val="000000"/>
                      <w:kern w:val="0"/>
                      <w:sz w:val="21"/>
                      <w:szCs w:val="21"/>
                    </w:rPr>
                    <w:t>/</w:t>
                  </w:r>
                </w:p>
              </w:tc>
              <w:tc>
                <w:tcPr>
                  <w:tcW w:w="1331" w:type="pct"/>
                  <w:tcBorders>
                    <w:right w:val="nil"/>
                  </w:tcBorders>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val="en-US" w:eastAsia="zh-CN"/>
                    </w:rPr>
                    <w:t>2</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color w:val="000000"/>
                      <w:kern w:val="0"/>
                      <w:sz w:val="21"/>
                      <w:szCs w:val="21"/>
                    </w:rPr>
                  </w:pPr>
                  <w:r>
                    <w:rPr>
                      <w:rFonts w:hint="eastAsia"/>
                      <w:color w:val="000000"/>
                      <w:kern w:val="0"/>
                      <w:sz w:val="21"/>
                      <w:szCs w:val="21"/>
                    </w:rPr>
                    <w:t>2</w:t>
                  </w:r>
                </w:p>
              </w:tc>
              <w:tc>
                <w:tcPr>
                  <w:tcW w:w="1594" w:type="pct"/>
                  <w:noWrap w:val="0"/>
                  <w:vAlign w:val="center"/>
                </w:tcPr>
                <w:p>
                  <w:pPr>
                    <w:widowControl/>
                    <w:jc w:val="center"/>
                    <w:rPr>
                      <w:rFonts w:hint="eastAsia"/>
                      <w:color w:val="000000"/>
                      <w:kern w:val="0"/>
                      <w:sz w:val="21"/>
                      <w:szCs w:val="21"/>
                    </w:rPr>
                  </w:pPr>
                  <w:r>
                    <w:rPr>
                      <w:rFonts w:hint="eastAsia"/>
                      <w:color w:val="000000"/>
                      <w:kern w:val="0"/>
                      <w:sz w:val="21"/>
                      <w:szCs w:val="21"/>
                    </w:rPr>
                    <w:t>双枪柴油加油机</w:t>
                  </w:r>
                </w:p>
              </w:tc>
              <w:tc>
                <w:tcPr>
                  <w:tcW w:w="1311" w:type="pct"/>
                  <w:noWrap w:val="0"/>
                  <w:vAlign w:val="center"/>
                </w:tcPr>
                <w:p>
                  <w:pPr>
                    <w:widowControl/>
                    <w:jc w:val="center"/>
                    <w:rPr>
                      <w:rFonts w:hint="eastAsia"/>
                      <w:color w:val="000000"/>
                      <w:kern w:val="0"/>
                      <w:sz w:val="21"/>
                      <w:szCs w:val="21"/>
                    </w:rPr>
                  </w:pPr>
                  <w:r>
                    <w:rPr>
                      <w:rFonts w:hint="eastAsia"/>
                      <w:color w:val="000000"/>
                      <w:kern w:val="0"/>
                      <w:sz w:val="21"/>
                      <w:szCs w:val="21"/>
                    </w:rPr>
                    <w:t>/</w:t>
                  </w:r>
                </w:p>
              </w:tc>
              <w:tc>
                <w:tcPr>
                  <w:tcW w:w="1331" w:type="pct"/>
                  <w:tcBorders>
                    <w:right w:val="nil"/>
                  </w:tcBorders>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val="en-US" w:eastAsia="zh-CN"/>
                    </w:rPr>
                    <w:t>2</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color w:val="000000"/>
                      <w:kern w:val="0"/>
                      <w:sz w:val="21"/>
                      <w:szCs w:val="21"/>
                    </w:rPr>
                  </w:pPr>
                  <w:r>
                    <w:rPr>
                      <w:rFonts w:hint="eastAsia"/>
                      <w:color w:val="000000"/>
                      <w:kern w:val="0"/>
                      <w:sz w:val="21"/>
                      <w:szCs w:val="21"/>
                    </w:rPr>
                    <w:t>3</w:t>
                  </w:r>
                </w:p>
              </w:tc>
              <w:tc>
                <w:tcPr>
                  <w:tcW w:w="1594" w:type="pct"/>
                  <w:noWrap w:val="0"/>
                  <w:vAlign w:val="center"/>
                </w:tcPr>
                <w:p>
                  <w:pPr>
                    <w:widowControl/>
                    <w:jc w:val="center"/>
                    <w:rPr>
                      <w:color w:val="000000"/>
                      <w:kern w:val="0"/>
                      <w:sz w:val="21"/>
                      <w:szCs w:val="21"/>
                    </w:rPr>
                  </w:pPr>
                  <w:r>
                    <w:rPr>
                      <w:rFonts w:hint="eastAsia"/>
                      <w:color w:val="000000"/>
                      <w:kern w:val="0"/>
                      <w:sz w:val="21"/>
                      <w:szCs w:val="21"/>
                      <w:lang w:eastAsia="zh-CN"/>
                    </w:rPr>
                    <w:t>卧式钢制</w:t>
                  </w:r>
                  <w:r>
                    <w:rPr>
                      <w:rFonts w:hint="eastAsia"/>
                      <w:color w:val="000000"/>
                      <w:kern w:val="0"/>
                      <w:sz w:val="21"/>
                      <w:szCs w:val="21"/>
                    </w:rPr>
                    <w:t>汽油储罐</w:t>
                  </w:r>
                </w:p>
              </w:tc>
              <w:tc>
                <w:tcPr>
                  <w:tcW w:w="1311" w:type="pct"/>
                  <w:noWrap w:val="0"/>
                  <w:vAlign w:val="center"/>
                </w:tcPr>
                <w:p>
                  <w:pPr>
                    <w:widowControl/>
                    <w:jc w:val="center"/>
                    <w:rPr>
                      <w:color w:val="000000"/>
                      <w:kern w:val="0"/>
                      <w:sz w:val="21"/>
                      <w:szCs w:val="21"/>
                    </w:rPr>
                  </w:pPr>
                  <w:r>
                    <w:rPr>
                      <w:rFonts w:hint="eastAsia"/>
                      <w:color w:val="000000"/>
                      <w:kern w:val="0"/>
                      <w:sz w:val="21"/>
                      <w:szCs w:val="21"/>
                      <w:lang w:val="en-US" w:eastAsia="zh-CN"/>
                    </w:rPr>
                    <w:t>20</w:t>
                  </w:r>
                  <w:r>
                    <w:rPr>
                      <w:rFonts w:hint="eastAsia"/>
                      <w:color w:val="000000"/>
                      <w:kern w:val="0"/>
                      <w:sz w:val="21"/>
                      <w:szCs w:val="21"/>
                    </w:rPr>
                    <w:t>m</w:t>
                  </w:r>
                  <w:r>
                    <w:rPr>
                      <w:rFonts w:hint="eastAsia"/>
                      <w:color w:val="000000"/>
                      <w:kern w:val="0"/>
                      <w:sz w:val="21"/>
                      <w:szCs w:val="21"/>
                      <w:vertAlign w:val="superscript"/>
                    </w:rPr>
                    <w:t>3</w:t>
                  </w:r>
                </w:p>
              </w:tc>
              <w:tc>
                <w:tcPr>
                  <w:tcW w:w="1331" w:type="pct"/>
                  <w:tcBorders>
                    <w:right w:val="nil"/>
                  </w:tcBorders>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val="en-US" w:eastAsia="zh-CN"/>
                    </w:rPr>
                    <w:t>2</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color w:val="000000"/>
                      <w:kern w:val="0"/>
                      <w:sz w:val="21"/>
                      <w:szCs w:val="21"/>
                    </w:rPr>
                  </w:pPr>
                  <w:r>
                    <w:rPr>
                      <w:rFonts w:hint="eastAsia"/>
                      <w:color w:val="000000"/>
                      <w:kern w:val="0"/>
                      <w:sz w:val="21"/>
                      <w:szCs w:val="21"/>
                    </w:rPr>
                    <w:t>4</w:t>
                  </w:r>
                </w:p>
              </w:tc>
              <w:tc>
                <w:tcPr>
                  <w:tcW w:w="1594" w:type="pct"/>
                  <w:noWrap w:val="0"/>
                  <w:vAlign w:val="center"/>
                </w:tcPr>
                <w:p>
                  <w:pPr>
                    <w:widowControl/>
                    <w:jc w:val="center"/>
                    <w:rPr>
                      <w:color w:val="000000"/>
                      <w:kern w:val="0"/>
                      <w:sz w:val="21"/>
                      <w:szCs w:val="21"/>
                    </w:rPr>
                  </w:pPr>
                  <w:r>
                    <w:rPr>
                      <w:rFonts w:hint="eastAsia"/>
                      <w:color w:val="000000"/>
                      <w:kern w:val="0"/>
                      <w:sz w:val="21"/>
                      <w:szCs w:val="21"/>
                      <w:lang w:eastAsia="zh-CN"/>
                    </w:rPr>
                    <w:t>卧式钢制</w:t>
                  </w:r>
                  <w:r>
                    <w:rPr>
                      <w:rFonts w:hint="eastAsia"/>
                      <w:color w:val="000000"/>
                      <w:kern w:val="0"/>
                      <w:sz w:val="21"/>
                      <w:szCs w:val="21"/>
                    </w:rPr>
                    <w:t>柴油储罐</w:t>
                  </w:r>
                </w:p>
              </w:tc>
              <w:tc>
                <w:tcPr>
                  <w:tcW w:w="1311" w:type="pct"/>
                  <w:noWrap w:val="0"/>
                  <w:vAlign w:val="center"/>
                </w:tcPr>
                <w:p>
                  <w:pPr>
                    <w:widowControl/>
                    <w:jc w:val="center"/>
                    <w:rPr>
                      <w:color w:val="000000"/>
                      <w:kern w:val="0"/>
                      <w:sz w:val="21"/>
                      <w:szCs w:val="21"/>
                    </w:rPr>
                  </w:pPr>
                  <w:r>
                    <w:rPr>
                      <w:rFonts w:hint="eastAsia"/>
                      <w:color w:val="000000"/>
                      <w:kern w:val="0"/>
                      <w:sz w:val="21"/>
                      <w:szCs w:val="21"/>
                      <w:lang w:val="en-US" w:eastAsia="zh-CN"/>
                    </w:rPr>
                    <w:t>20</w:t>
                  </w:r>
                  <w:r>
                    <w:rPr>
                      <w:rFonts w:hint="eastAsia"/>
                      <w:color w:val="000000"/>
                      <w:kern w:val="0"/>
                      <w:sz w:val="21"/>
                      <w:szCs w:val="21"/>
                    </w:rPr>
                    <w:t>m</w:t>
                  </w:r>
                  <w:r>
                    <w:rPr>
                      <w:rFonts w:hint="eastAsia"/>
                      <w:color w:val="000000"/>
                      <w:kern w:val="0"/>
                      <w:sz w:val="21"/>
                      <w:szCs w:val="21"/>
                      <w:vertAlign w:val="superscript"/>
                    </w:rPr>
                    <w:t>3</w:t>
                  </w:r>
                </w:p>
              </w:tc>
              <w:tc>
                <w:tcPr>
                  <w:tcW w:w="1331" w:type="pct"/>
                  <w:tcBorders>
                    <w:right w:val="nil"/>
                  </w:tcBorders>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val="en-US" w:eastAsia="zh-CN"/>
                    </w:rPr>
                    <w:t>2</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5</w:t>
                  </w:r>
                </w:p>
              </w:tc>
              <w:tc>
                <w:tcPr>
                  <w:tcW w:w="1594"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手提磷酸铵盐干粉灭火器</w:t>
                  </w:r>
                </w:p>
              </w:tc>
              <w:tc>
                <w:tcPr>
                  <w:tcW w:w="1311" w:type="pct"/>
                  <w:noWrap w:val="0"/>
                  <w:vAlign w:val="center"/>
                </w:tcPr>
                <w:p>
                  <w:pPr>
                    <w:widowControl/>
                    <w:jc w:val="center"/>
                    <w:rPr>
                      <w:rFonts w:hint="eastAsia"/>
                      <w:color w:val="000000"/>
                      <w:kern w:val="0"/>
                      <w:sz w:val="21"/>
                      <w:szCs w:val="21"/>
                      <w:lang w:val="en-US" w:eastAsia="zh-CN"/>
                    </w:rPr>
                  </w:pPr>
                  <w:r>
                    <w:rPr>
                      <w:rFonts w:hint="eastAsia"/>
                      <w:color w:val="000000"/>
                      <w:kern w:val="0"/>
                      <w:sz w:val="21"/>
                      <w:szCs w:val="21"/>
                      <w:lang w:val="en-US" w:eastAsia="zh-CN"/>
                    </w:rPr>
                    <w:t>MF/ABC8</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18具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6</w:t>
                  </w:r>
                </w:p>
              </w:tc>
              <w:tc>
                <w:tcPr>
                  <w:tcW w:w="1594" w:type="pct"/>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手推式干粉灭火器</w:t>
                  </w:r>
                </w:p>
              </w:tc>
              <w:tc>
                <w:tcPr>
                  <w:tcW w:w="1311" w:type="pct"/>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35kg</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1台</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7</w:t>
                  </w:r>
                </w:p>
              </w:tc>
              <w:tc>
                <w:tcPr>
                  <w:tcW w:w="1594" w:type="pct"/>
                  <w:noWrap w:val="0"/>
                  <w:vAlign w:val="center"/>
                </w:tcPr>
                <w:p>
                  <w:pPr>
                    <w:widowControl/>
                    <w:jc w:val="center"/>
                    <w:rPr>
                      <w:rFonts w:hint="default" w:eastAsia="宋体"/>
                      <w:color w:val="000000"/>
                      <w:kern w:val="0"/>
                      <w:sz w:val="21"/>
                      <w:szCs w:val="21"/>
                      <w:vertAlign w:val="baseline"/>
                      <w:lang w:val="en-US" w:eastAsia="zh-CN"/>
                    </w:rPr>
                  </w:pPr>
                  <w:r>
                    <w:rPr>
                      <w:rFonts w:hint="eastAsia"/>
                      <w:color w:val="000000"/>
                      <w:kern w:val="0"/>
                      <w:sz w:val="21"/>
                      <w:szCs w:val="21"/>
                      <w:lang w:eastAsia="zh-CN"/>
                    </w:rPr>
                    <w:t>手提式</w:t>
                  </w:r>
                  <w:r>
                    <w:rPr>
                      <w:rFonts w:hint="eastAsia"/>
                      <w:color w:val="000000"/>
                      <w:kern w:val="0"/>
                      <w:sz w:val="21"/>
                      <w:szCs w:val="21"/>
                      <w:lang w:val="en-US" w:eastAsia="zh-CN"/>
                    </w:rPr>
                    <w:t>CO</w:t>
                  </w:r>
                  <w:r>
                    <w:rPr>
                      <w:rFonts w:hint="eastAsia"/>
                      <w:color w:val="000000"/>
                      <w:kern w:val="0"/>
                      <w:sz w:val="21"/>
                      <w:szCs w:val="21"/>
                      <w:vertAlign w:val="subscript"/>
                      <w:lang w:val="en-US" w:eastAsia="zh-CN"/>
                    </w:rPr>
                    <w:t>2</w:t>
                  </w:r>
                  <w:r>
                    <w:rPr>
                      <w:rFonts w:hint="eastAsia"/>
                      <w:color w:val="000000"/>
                      <w:kern w:val="0"/>
                      <w:sz w:val="21"/>
                      <w:szCs w:val="21"/>
                      <w:lang w:val="en-US" w:eastAsia="zh-CN"/>
                    </w:rPr>
                    <w:t>灭火器</w:t>
                  </w:r>
                </w:p>
              </w:tc>
              <w:tc>
                <w:tcPr>
                  <w:tcW w:w="1311" w:type="pct"/>
                  <w:noWrap w:val="0"/>
                  <w:vAlign w:val="center"/>
                </w:tcPr>
                <w:p>
                  <w:pPr>
                    <w:widowControl/>
                    <w:jc w:val="center"/>
                    <w:rPr>
                      <w:rFonts w:hint="eastAsia"/>
                      <w:color w:val="000000"/>
                      <w:kern w:val="0"/>
                      <w:sz w:val="21"/>
                      <w:szCs w:val="21"/>
                      <w:lang w:val="en-US" w:eastAsia="zh-CN"/>
                    </w:rPr>
                  </w:pPr>
                  <w:r>
                    <w:rPr>
                      <w:rFonts w:hint="eastAsia"/>
                      <w:color w:val="000000"/>
                      <w:kern w:val="0"/>
                      <w:sz w:val="21"/>
                      <w:szCs w:val="21"/>
                      <w:lang w:val="en-US" w:eastAsia="zh-CN"/>
                    </w:rPr>
                    <w:t>5kg</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2具</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8</w:t>
                  </w:r>
                </w:p>
              </w:tc>
              <w:tc>
                <w:tcPr>
                  <w:tcW w:w="1594" w:type="pct"/>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灭火毯</w:t>
                  </w:r>
                </w:p>
              </w:tc>
              <w:tc>
                <w:tcPr>
                  <w:tcW w:w="1311"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1</w:t>
                  </w:r>
                  <w:r>
                    <w:rPr>
                      <w:rFonts w:hint="eastAsia"/>
                      <w:color w:val="000000"/>
                      <w:kern w:val="0"/>
                      <w:sz w:val="21"/>
                      <w:szCs w:val="21"/>
                    </w:rPr>
                    <w:t>m</w:t>
                  </w:r>
                  <w:r>
                    <w:rPr>
                      <w:rFonts w:hAnsi="Times New Roman" w:eastAsia="宋体" w:cs="Times New Roman"/>
                    </w:rPr>
                    <w:t>×</w:t>
                  </w:r>
                  <w:r>
                    <w:rPr>
                      <w:rFonts w:hint="eastAsia" w:hAnsi="Times New Roman" w:eastAsia="宋体" w:cs="Times New Roman"/>
                      <w:lang w:val="en-US" w:eastAsia="zh-CN"/>
                    </w:rPr>
                    <w:t>1m</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4块</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9</w:t>
                  </w:r>
                </w:p>
              </w:tc>
              <w:tc>
                <w:tcPr>
                  <w:tcW w:w="1594" w:type="pct"/>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消防锨</w:t>
                  </w:r>
                </w:p>
              </w:tc>
              <w:tc>
                <w:tcPr>
                  <w:tcW w:w="1311" w:type="pct"/>
                  <w:noWrap w:val="0"/>
                  <w:vAlign w:val="center"/>
                </w:tcPr>
                <w:p>
                  <w:pPr>
                    <w:widowControl/>
                    <w:jc w:val="center"/>
                    <w:rPr>
                      <w:rFonts w:hint="eastAsia"/>
                      <w:color w:val="000000"/>
                      <w:kern w:val="0"/>
                      <w:sz w:val="21"/>
                      <w:szCs w:val="21"/>
                      <w:lang w:val="en-US" w:eastAsia="zh-CN"/>
                    </w:rPr>
                  </w:pPr>
                  <w:r>
                    <w:rPr>
                      <w:rFonts w:hint="eastAsia"/>
                      <w:color w:val="000000"/>
                      <w:kern w:val="0"/>
                      <w:sz w:val="21"/>
                      <w:szCs w:val="21"/>
                    </w:rPr>
                    <w:t>/</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5把</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10</w:t>
                  </w:r>
                </w:p>
              </w:tc>
              <w:tc>
                <w:tcPr>
                  <w:tcW w:w="1594" w:type="pct"/>
                  <w:noWrap w:val="0"/>
                  <w:vAlign w:val="center"/>
                </w:tcPr>
                <w:p>
                  <w:pPr>
                    <w:widowControl/>
                    <w:jc w:val="center"/>
                    <w:rPr>
                      <w:rFonts w:hint="eastAsia"/>
                      <w:color w:val="000000"/>
                      <w:kern w:val="0"/>
                      <w:sz w:val="21"/>
                      <w:szCs w:val="21"/>
                      <w:lang w:eastAsia="zh-CN"/>
                    </w:rPr>
                  </w:pPr>
                  <w:r>
                    <w:rPr>
                      <w:rFonts w:hint="eastAsia"/>
                      <w:color w:val="000000"/>
                      <w:kern w:val="0"/>
                      <w:sz w:val="21"/>
                      <w:szCs w:val="21"/>
                      <w:lang w:eastAsia="zh-CN"/>
                    </w:rPr>
                    <w:t>消防桶</w:t>
                  </w:r>
                </w:p>
              </w:tc>
              <w:tc>
                <w:tcPr>
                  <w:tcW w:w="1311" w:type="pct"/>
                  <w:noWrap w:val="0"/>
                  <w:vAlign w:val="center"/>
                </w:tcPr>
                <w:p>
                  <w:pPr>
                    <w:widowControl/>
                    <w:jc w:val="center"/>
                    <w:rPr>
                      <w:rFonts w:hint="eastAsia"/>
                      <w:color w:val="000000"/>
                      <w:kern w:val="0"/>
                      <w:sz w:val="21"/>
                      <w:szCs w:val="21"/>
                      <w:lang w:val="en-US" w:eastAsia="zh-CN"/>
                    </w:rPr>
                  </w:pPr>
                  <w:r>
                    <w:rPr>
                      <w:rFonts w:hint="eastAsia"/>
                      <w:color w:val="000000"/>
                      <w:kern w:val="0"/>
                      <w:sz w:val="21"/>
                      <w:szCs w:val="21"/>
                    </w:rPr>
                    <w:t>/</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4个</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11</w:t>
                  </w:r>
                </w:p>
              </w:tc>
              <w:tc>
                <w:tcPr>
                  <w:tcW w:w="1594" w:type="pct"/>
                  <w:noWrap w:val="0"/>
                  <w:vAlign w:val="center"/>
                </w:tcPr>
                <w:p>
                  <w:pPr>
                    <w:widowControl/>
                    <w:jc w:val="center"/>
                    <w:rPr>
                      <w:rFonts w:hint="eastAsia"/>
                      <w:color w:val="000000"/>
                      <w:kern w:val="0"/>
                      <w:sz w:val="21"/>
                      <w:szCs w:val="21"/>
                      <w:lang w:eastAsia="zh-CN"/>
                    </w:rPr>
                  </w:pPr>
                  <w:r>
                    <w:rPr>
                      <w:rFonts w:hint="eastAsia"/>
                      <w:color w:val="000000"/>
                      <w:kern w:val="0"/>
                      <w:sz w:val="21"/>
                      <w:szCs w:val="21"/>
                      <w:lang w:eastAsia="zh-CN"/>
                    </w:rPr>
                    <w:t>消防沙及沙池</w:t>
                  </w:r>
                </w:p>
              </w:tc>
              <w:tc>
                <w:tcPr>
                  <w:tcW w:w="1311"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2</w:t>
                  </w:r>
                  <w:r>
                    <w:rPr>
                      <w:rFonts w:hint="eastAsia"/>
                      <w:color w:val="000000"/>
                      <w:kern w:val="0"/>
                      <w:sz w:val="21"/>
                      <w:szCs w:val="21"/>
                    </w:rPr>
                    <w:t>m</w:t>
                  </w:r>
                  <w:r>
                    <w:rPr>
                      <w:rFonts w:hint="eastAsia"/>
                      <w:color w:val="000000"/>
                      <w:kern w:val="0"/>
                      <w:sz w:val="21"/>
                      <w:szCs w:val="21"/>
                      <w:vertAlign w:val="superscript"/>
                      <w:lang w:val="en-US" w:eastAsia="zh-CN"/>
                    </w:rPr>
                    <w:t>2</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1座</w:t>
                  </w:r>
                </w:p>
              </w:tc>
            </w:tr>
            <w:tr>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62" w:type="pct"/>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12</w:t>
                  </w:r>
                </w:p>
              </w:tc>
              <w:tc>
                <w:tcPr>
                  <w:tcW w:w="1594" w:type="pct"/>
                  <w:noWrap w:val="0"/>
                  <w:vAlign w:val="center"/>
                </w:tcPr>
                <w:p>
                  <w:pPr>
                    <w:widowControl/>
                    <w:jc w:val="center"/>
                    <w:rPr>
                      <w:rFonts w:hint="eastAsia"/>
                      <w:color w:val="000000"/>
                      <w:kern w:val="0"/>
                      <w:sz w:val="21"/>
                      <w:szCs w:val="21"/>
                      <w:lang w:eastAsia="zh-CN"/>
                    </w:rPr>
                  </w:pPr>
                  <w:r>
                    <w:rPr>
                      <w:rFonts w:hint="eastAsia"/>
                      <w:color w:val="000000"/>
                      <w:kern w:val="0"/>
                      <w:sz w:val="21"/>
                      <w:szCs w:val="21"/>
                      <w:lang w:eastAsia="zh-CN"/>
                    </w:rPr>
                    <w:t>电脑及监控系统</w:t>
                  </w:r>
                </w:p>
              </w:tc>
              <w:tc>
                <w:tcPr>
                  <w:tcW w:w="1311" w:type="pct"/>
                  <w:noWrap w:val="0"/>
                  <w:vAlign w:val="center"/>
                </w:tcPr>
                <w:p>
                  <w:pPr>
                    <w:widowControl/>
                    <w:jc w:val="center"/>
                    <w:rPr>
                      <w:rFonts w:hint="eastAsia"/>
                      <w:color w:val="000000"/>
                      <w:kern w:val="0"/>
                      <w:sz w:val="21"/>
                      <w:szCs w:val="21"/>
                      <w:lang w:val="en-US" w:eastAsia="zh-CN"/>
                    </w:rPr>
                  </w:pPr>
                  <w:r>
                    <w:rPr>
                      <w:rFonts w:hint="eastAsia"/>
                      <w:color w:val="000000"/>
                      <w:kern w:val="0"/>
                      <w:sz w:val="21"/>
                      <w:szCs w:val="21"/>
                    </w:rPr>
                    <w:t>/</w:t>
                  </w:r>
                </w:p>
              </w:tc>
              <w:tc>
                <w:tcPr>
                  <w:tcW w:w="1331" w:type="pct"/>
                  <w:tcBorders>
                    <w:right w:val="nil"/>
                  </w:tcBorders>
                  <w:noWrap w:val="0"/>
                  <w:vAlign w:val="center"/>
                </w:tcPr>
                <w:p>
                  <w:pPr>
                    <w:widowControl/>
                    <w:jc w:val="center"/>
                    <w:rPr>
                      <w:rFonts w:hint="default"/>
                      <w:color w:val="000000"/>
                      <w:kern w:val="0"/>
                      <w:sz w:val="21"/>
                      <w:szCs w:val="21"/>
                      <w:lang w:val="en-US" w:eastAsia="zh-CN"/>
                    </w:rPr>
                  </w:pPr>
                  <w:r>
                    <w:rPr>
                      <w:rFonts w:hint="eastAsia"/>
                      <w:color w:val="000000"/>
                      <w:kern w:val="0"/>
                      <w:sz w:val="21"/>
                      <w:szCs w:val="21"/>
                      <w:lang w:val="en-US" w:eastAsia="zh-CN"/>
                    </w:rPr>
                    <w:t>1套</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b/>
                <w:color w:val="000000"/>
                <w:sz w:val="24"/>
                <w:szCs w:val="24"/>
                <w:lang w:val="pt-BR"/>
              </w:rPr>
            </w:pPr>
            <w:r>
              <w:rPr>
                <w:rFonts w:hint="eastAsia"/>
                <w:b/>
                <w:color w:val="000000"/>
                <w:sz w:val="24"/>
                <w:szCs w:val="24"/>
              </w:rPr>
              <w:t>4</w:t>
            </w:r>
            <w:r>
              <w:rPr>
                <w:b/>
                <w:color w:val="000000"/>
                <w:sz w:val="24"/>
                <w:szCs w:val="24"/>
              </w:rPr>
              <w:t>、原辅材料</w:t>
            </w:r>
            <w:r>
              <w:rPr>
                <w:rFonts w:hint="eastAsia"/>
                <w:b/>
                <w:color w:val="000000"/>
                <w:sz w:val="24"/>
                <w:szCs w:val="24"/>
              </w:rPr>
              <w:t>及资源能源</w:t>
            </w:r>
            <w:r>
              <w:rPr>
                <w:b/>
                <w:color w:val="000000"/>
                <w:sz w:val="24"/>
                <w:szCs w:val="24"/>
              </w:rPr>
              <w:t>消耗量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color w:val="000000"/>
                <w:sz w:val="24"/>
                <w:szCs w:val="24"/>
              </w:rPr>
            </w:pPr>
            <w:r>
              <w:rPr>
                <w:rFonts w:hint="eastAsia"/>
                <w:color w:val="000000"/>
                <w:sz w:val="24"/>
                <w:szCs w:val="24"/>
              </w:rPr>
              <w:t>本项目原辅材料及资源能源消耗量见表5。</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heme="majorEastAsia" w:hAnsiTheme="majorEastAsia" w:eastAsiaTheme="majorEastAsia" w:cs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表5              本项目原辅材料消耗量</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662"/>
              <w:gridCol w:w="2346"/>
              <w:gridCol w:w="187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pct"/>
                  <w:noWrap w:val="0"/>
                  <w:vAlign w:val="center"/>
                </w:tcPr>
                <w:p>
                  <w:pPr>
                    <w:adjustRightInd w:val="0"/>
                    <w:snapToGrid w:val="0"/>
                    <w:jc w:val="center"/>
                    <w:textAlignment w:val="baseline"/>
                    <w:rPr>
                      <w:b/>
                      <w:color w:val="000000"/>
                      <w:sz w:val="21"/>
                      <w:szCs w:val="24"/>
                    </w:rPr>
                  </w:pPr>
                  <w:r>
                    <w:rPr>
                      <w:rFonts w:hint="eastAsia"/>
                      <w:b/>
                      <w:color w:val="000000"/>
                      <w:sz w:val="21"/>
                      <w:szCs w:val="24"/>
                    </w:rPr>
                    <w:t>序号</w:t>
                  </w:r>
                </w:p>
              </w:tc>
              <w:tc>
                <w:tcPr>
                  <w:tcW w:w="1515" w:type="pct"/>
                  <w:noWrap w:val="0"/>
                  <w:vAlign w:val="center"/>
                </w:tcPr>
                <w:p>
                  <w:pPr>
                    <w:adjustRightInd w:val="0"/>
                    <w:snapToGrid w:val="0"/>
                    <w:jc w:val="center"/>
                    <w:textAlignment w:val="baseline"/>
                    <w:rPr>
                      <w:b/>
                      <w:color w:val="000000"/>
                      <w:sz w:val="21"/>
                      <w:szCs w:val="24"/>
                    </w:rPr>
                  </w:pPr>
                  <w:r>
                    <w:rPr>
                      <w:rFonts w:hint="eastAsia"/>
                      <w:b/>
                      <w:color w:val="000000"/>
                      <w:sz w:val="21"/>
                      <w:szCs w:val="24"/>
                    </w:rPr>
                    <w:t>原辅材料</w:t>
                  </w:r>
                </w:p>
              </w:tc>
              <w:tc>
                <w:tcPr>
                  <w:tcW w:w="1335" w:type="pct"/>
                  <w:noWrap w:val="0"/>
                  <w:vAlign w:val="center"/>
                </w:tcPr>
                <w:p>
                  <w:pPr>
                    <w:adjustRightInd w:val="0"/>
                    <w:snapToGrid w:val="0"/>
                    <w:jc w:val="center"/>
                    <w:textAlignment w:val="baseline"/>
                    <w:rPr>
                      <w:b/>
                      <w:color w:val="000000"/>
                      <w:sz w:val="21"/>
                      <w:szCs w:val="24"/>
                    </w:rPr>
                  </w:pPr>
                  <w:r>
                    <w:rPr>
                      <w:rFonts w:hint="eastAsia"/>
                      <w:b/>
                      <w:color w:val="000000"/>
                      <w:sz w:val="21"/>
                      <w:szCs w:val="24"/>
                    </w:rPr>
                    <w:t>年用量</w:t>
                  </w:r>
                </w:p>
              </w:tc>
              <w:tc>
                <w:tcPr>
                  <w:tcW w:w="1067" w:type="pct"/>
                  <w:noWrap w:val="0"/>
                  <w:vAlign w:val="center"/>
                </w:tcPr>
                <w:p>
                  <w:pPr>
                    <w:adjustRightInd w:val="0"/>
                    <w:snapToGrid w:val="0"/>
                    <w:jc w:val="center"/>
                    <w:textAlignment w:val="baseline"/>
                    <w:rPr>
                      <w:b/>
                      <w:color w:val="000000"/>
                      <w:sz w:val="21"/>
                      <w:szCs w:val="24"/>
                    </w:rPr>
                  </w:pPr>
                  <w:r>
                    <w:rPr>
                      <w:rFonts w:hint="eastAsia"/>
                      <w:b/>
                      <w:color w:val="000000"/>
                      <w:sz w:val="21"/>
                      <w:szCs w:val="24"/>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pct"/>
                  <w:noWrap w:val="0"/>
                  <w:vAlign w:val="center"/>
                </w:tcPr>
                <w:p>
                  <w:pPr>
                    <w:widowControl/>
                    <w:jc w:val="center"/>
                    <w:rPr>
                      <w:color w:val="000000"/>
                      <w:kern w:val="0"/>
                      <w:sz w:val="21"/>
                      <w:szCs w:val="21"/>
                    </w:rPr>
                  </w:pPr>
                  <w:r>
                    <w:rPr>
                      <w:rFonts w:hint="eastAsia"/>
                      <w:color w:val="000000"/>
                      <w:kern w:val="0"/>
                      <w:sz w:val="21"/>
                      <w:szCs w:val="21"/>
                    </w:rPr>
                    <w:t>1</w:t>
                  </w:r>
                </w:p>
              </w:tc>
              <w:tc>
                <w:tcPr>
                  <w:tcW w:w="1515" w:type="pct"/>
                  <w:noWrap w:val="0"/>
                  <w:vAlign w:val="center"/>
                </w:tcPr>
                <w:p>
                  <w:pPr>
                    <w:widowControl/>
                    <w:jc w:val="center"/>
                    <w:rPr>
                      <w:color w:val="000000"/>
                      <w:kern w:val="0"/>
                      <w:sz w:val="21"/>
                      <w:szCs w:val="21"/>
                    </w:rPr>
                  </w:pPr>
                  <w:r>
                    <w:rPr>
                      <w:rFonts w:hint="eastAsia"/>
                      <w:color w:val="000000"/>
                      <w:kern w:val="0"/>
                      <w:sz w:val="21"/>
                      <w:szCs w:val="21"/>
                    </w:rPr>
                    <w:t>成品油（柴油）</w:t>
                  </w:r>
                </w:p>
              </w:tc>
              <w:tc>
                <w:tcPr>
                  <w:tcW w:w="1335" w:type="pct"/>
                  <w:noWrap w:val="0"/>
                  <w:vAlign w:val="center"/>
                </w:tcPr>
                <w:p>
                  <w:pPr>
                    <w:widowControl/>
                    <w:jc w:val="center"/>
                    <w:rPr>
                      <w:color w:val="000000"/>
                      <w:kern w:val="0"/>
                      <w:sz w:val="21"/>
                      <w:szCs w:val="21"/>
                    </w:rPr>
                  </w:pPr>
                  <w:r>
                    <w:rPr>
                      <w:rFonts w:hint="eastAsia"/>
                      <w:color w:val="000000"/>
                      <w:kern w:val="0"/>
                      <w:sz w:val="21"/>
                      <w:szCs w:val="21"/>
                      <w:lang w:val="en-US" w:eastAsia="zh-CN"/>
                    </w:rPr>
                    <w:t>40</w:t>
                  </w:r>
                  <w:r>
                    <w:rPr>
                      <w:rFonts w:hint="eastAsia"/>
                      <w:color w:val="000000"/>
                      <w:kern w:val="0"/>
                      <w:sz w:val="21"/>
                      <w:szCs w:val="21"/>
                    </w:rPr>
                    <w:t>吨</w:t>
                  </w:r>
                </w:p>
              </w:tc>
              <w:tc>
                <w:tcPr>
                  <w:tcW w:w="1067" w:type="pct"/>
                  <w:noWrap w:val="0"/>
                  <w:vAlign w:val="center"/>
                </w:tcPr>
                <w:p>
                  <w:pPr>
                    <w:widowControl/>
                    <w:jc w:val="center"/>
                    <w:rPr>
                      <w:color w:val="000000"/>
                      <w:kern w:val="0"/>
                      <w:sz w:val="21"/>
                      <w:szCs w:val="21"/>
                    </w:rPr>
                  </w:pPr>
                  <w:r>
                    <w:rPr>
                      <w:rFonts w:hint="eastAsia"/>
                      <w:color w:val="000000"/>
                      <w:kern w:val="0"/>
                      <w:sz w:val="21"/>
                      <w:szCs w:val="21"/>
                    </w:rPr>
                    <w:t>外购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pct"/>
                  <w:noWrap w:val="0"/>
                  <w:vAlign w:val="center"/>
                </w:tcPr>
                <w:p>
                  <w:pPr>
                    <w:widowControl/>
                    <w:jc w:val="center"/>
                    <w:rPr>
                      <w:color w:val="000000"/>
                      <w:kern w:val="0"/>
                      <w:sz w:val="21"/>
                      <w:szCs w:val="21"/>
                    </w:rPr>
                  </w:pPr>
                  <w:r>
                    <w:rPr>
                      <w:rFonts w:hint="eastAsia"/>
                      <w:color w:val="000000"/>
                      <w:kern w:val="0"/>
                      <w:sz w:val="21"/>
                      <w:szCs w:val="21"/>
                    </w:rPr>
                    <w:t>2</w:t>
                  </w:r>
                </w:p>
              </w:tc>
              <w:tc>
                <w:tcPr>
                  <w:tcW w:w="1515" w:type="pct"/>
                  <w:noWrap w:val="0"/>
                  <w:vAlign w:val="center"/>
                </w:tcPr>
                <w:p>
                  <w:pPr>
                    <w:widowControl/>
                    <w:jc w:val="center"/>
                    <w:rPr>
                      <w:color w:val="000000"/>
                      <w:kern w:val="0"/>
                      <w:sz w:val="21"/>
                      <w:szCs w:val="21"/>
                    </w:rPr>
                  </w:pPr>
                  <w:r>
                    <w:rPr>
                      <w:rFonts w:hint="eastAsia"/>
                      <w:color w:val="000000"/>
                      <w:kern w:val="0"/>
                      <w:sz w:val="21"/>
                      <w:szCs w:val="21"/>
                    </w:rPr>
                    <w:t>成品油（汽油）</w:t>
                  </w:r>
                </w:p>
              </w:tc>
              <w:tc>
                <w:tcPr>
                  <w:tcW w:w="1335" w:type="pct"/>
                  <w:noWrap w:val="0"/>
                  <w:vAlign w:val="center"/>
                </w:tcPr>
                <w:p>
                  <w:pPr>
                    <w:widowControl/>
                    <w:jc w:val="center"/>
                    <w:rPr>
                      <w:color w:val="000000"/>
                      <w:kern w:val="0"/>
                      <w:sz w:val="21"/>
                      <w:szCs w:val="21"/>
                    </w:rPr>
                  </w:pPr>
                  <w:r>
                    <w:rPr>
                      <w:rFonts w:hint="eastAsia"/>
                      <w:color w:val="000000"/>
                      <w:kern w:val="0"/>
                      <w:sz w:val="21"/>
                      <w:szCs w:val="21"/>
                      <w:lang w:val="en-US" w:eastAsia="zh-CN"/>
                    </w:rPr>
                    <w:t>57</w:t>
                  </w:r>
                  <w:r>
                    <w:rPr>
                      <w:rFonts w:hint="eastAsia"/>
                      <w:color w:val="000000"/>
                      <w:kern w:val="0"/>
                      <w:sz w:val="21"/>
                      <w:szCs w:val="21"/>
                    </w:rPr>
                    <w:t>吨</w:t>
                  </w:r>
                </w:p>
              </w:tc>
              <w:tc>
                <w:tcPr>
                  <w:tcW w:w="1067" w:type="pct"/>
                  <w:noWrap w:val="0"/>
                  <w:vAlign w:val="center"/>
                </w:tcPr>
                <w:p>
                  <w:pPr>
                    <w:widowControl/>
                    <w:jc w:val="center"/>
                    <w:rPr>
                      <w:color w:val="000000"/>
                      <w:kern w:val="0"/>
                      <w:sz w:val="21"/>
                      <w:szCs w:val="21"/>
                    </w:rPr>
                  </w:pPr>
                  <w:r>
                    <w:rPr>
                      <w:rFonts w:hint="eastAsia"/>
                      <w:color w:val="000000"/>
                      <w:kern w:val="0"/>
                      <w:sz w:val="21"/>
                      <w:szCs w:val="21"/>
                    </w:rPr>
                    <w:t>外购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3</w:t>
                  </w:r>
                </w:p>
              </w:tc>
              <w:tc>
                <w:tcPr>
                  <w:tcW w:w="1515"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电</w:t>
                  </w:r>
                </w:p>
              </w:tc>
              <w:tc>
                <w:tcPr>
                  <w:tcW w:w="1335"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1200</w:t>
                  </w:r>
                  <w:r>
                    <w:rPr>
                      <w:rFonts w:hint="eastAsia" w:hAnsi="Times New Roman" w:eastAsia="宋体" w:cs="Times New Roman"/>
                    </w:rPr>
                    <w:t>kw</w:t>
                  </w:r>
                  <w:r>
                    <w:rPr>
                      <w:rFonts w:hint="eastAsia" w:ascii="宋体" w:eastAsia="宋体" w:cs="Times New Roman"/>
                    </w:rPr>
                    <w:t>·</w:t>
                  </w:r>
                  <w:r>
                    <w:rPr>
                      <w:rFonts w:hint="eastAsia" w:hAnsi="Times New Roman" w:eastAsia="宋体" w:cs="Times New Roman"/>
                    </w:rPr>
                    <w:t>h</w:t>
                  </w:r>
                </w:p>
              </w:tc>
              <w:tc>
                <w:tcPr>
                  <w:tcW w:w="1067" w:type="pct"/>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大块镇供电所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pct"/>
                  <w:noWrap w:val="0"/>
                  <w:vAlign w:val="center"/>
                </w:tcPr>
                <w:p>
                  <w:pPr>
                    <w:widowControl/>
                    <w:jc w:val="center"/>
                    <w:rPr>
                      <w:rFonts w:hint="eastAsia" w:eastAsia="宋体"/>
                      <w:color w:val="000000"/>
                      <w:kern w:val="0"/>
                      <w:sz w:val="21"/>
                      <w:szCs w:val="21"/>
                      <w:lang w:val="en-US" w:eastAsia="zh-CN"/>
                    </w:rPr>
                  </w:pPr>
                  <w:r>
                    <w:rPr>
                      <w:rFonts w:hint="eastAsia"/>
                      <w:color w:val="000000"/>
                      <w:kern w:val="0"/>
                      <w:sz w:val="21"/>
                      <w:szCs w:val="21"/>
                      <w:lang w:val="en-US" w:eastAsia="zh-CN"/>
                    </w:rPr>
                    <w:t>4</w:t>
                  </w:r>
                </w:p>
              </w:tc>
              <w:tc>
                <w:tcPr>
                  <w:tcW w:w="1515" w:type="pct"/>
                  <w:noWrap w:val="0"/>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水</w:t>
                  </w:r>
                </w:p>
              </w:tc>
              <w:tc>
                <w:tcPr>
                  <w:tcW w:w="1335" w:type="pct"/>
                  <w:noWrap w:val="0"/>
                  <w:vAlign w:val="center"/>
                </w:tcPr>
                <w:p>
                  <w:pPr>
                    <w:widowControl/>
                    <w:jc w:val="center"/>
                    <w:rPr>
                      <w:rFonts w:hint="default" w:eastAsia="宋体"/>
                      <w:color w:val="000000"/>
                      <w:kern w:val="0"/>
                      <w:sz w:val="21"/>
                      <w:szCs w:val="21"/>
                      <w:vertAlign w:val="baseline"/>
                      <w:lang w:val="en-US" w:eastAsia="zh-CN"/>
                    </w:rPr>
                  </w:pPr>
                  <w:r>
                    <w:rPr>
                      <w:rFonts w:hint="eastAsia"/>
                      <w:color w:val="000000"/>
                      <w:kern w:val="0"/>
                      <w:sz w:val="21"/>
                      <w:szCs w:val="21"/>
                      <w:lang w:val="en-US" w:eastAsia="zh-CN"/>
                    </w:rPr>
                    <w:t>251.85</w:t>
                  </w:r>
                  <w:r>
                    <w:rPr>
                      <w:rFonts w:hint="eastAsia"/>
                      <w:color w:val="000000"/>
                      <w:kern w:val="0"/>
                      <w:sz w:val="21"/>
                      <w:szCs w:val="21"/>
                    </w:rPr>
                    <w:t>m</w:t>
                  </w:r>
                  <w:r>
                    <w:rPr>
                      <w:rFonts w:hint="eastAsia"/>
                      <w:color w:val="000000"/>
                      <w:kern w:val="0"/>
                      <w:sz w:val="21"/>
                      <w:szCs w:val="21"/>
                      <w:vertAlign w:val="superscript"/>
                    </w:rPr>
                    <w:t>3</w:t>
                  </w:r>
                  <w:r>
                    <w:rPr>
                      <w:rFonts w:hint="eastAsia"/>
                      <w:color w:val="000000"/>
                      <w:kern w:val="0"/>
                      <w:sz w:val="21"/>
                      <w:szCs w:val="21"/>
                      <w:vertAlign w:val="baseline"/>
                      <w:lang w:val="en-US" w:eastAsia="zh-CN"/>
                    </w:rPr>
                    <w:t>/a</w:t>
                  </w:r>
                </w:p>
              </w:tc>
              <w:tc>
                <w:tcPr>
                  <w:tcW w:w="1067" w:type="pct"/>
                  <w:noWrap w:val="0"/>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highlight w:val="none"/>
                      <w:lang w:val="en-US" w:eastAsia="zh-CN"/>
                    </w:rPr>
                    <w:t>自备水井</w:t>
                  </w: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color w:val="000000"/>
                <w:sz w:val="24"/>
                <w:szCs w:val="24"/>
              </w:rPr>
            </w:pPr>
            <w:r>
              <w:rPr>
                <w:b/>
                <w:color w:val="000000"/>
                <w:sz w:val="24"/>
                <w:szCs w:val="24"/>
              </w:rPr>
              <w:t>柴油：</w:t>
            </w:r>
            <w:r>
              <w:rPr>
                <w:color w:val="000000"/>
                <w:sz w:val="24"/>
                <w:szCs w:val="24"/>
              </w:rPr>
              <w:t>柴油是轻质石油产品，复杂烃类(碳原子数约10～22)混合物。易燃易挥发，不溶于水，易溶于醇和其他有机溶剂。是组分复杂的混合物</w:t>
            </w:r>
            <w:r>
              <w:rPr>
                <w:rFonts w:hint="eastAsia"/>
                <w:color w:val="000000"/>
                <w:sz w:val="24"/>
                <w:szCs w:val="24"/>
              </w:rPr>
              <w:t>。</w:t>
            </w:r>
            <w:r>
              <w:rPr>
                <w:color w:val="000000"/>
                <w:sz w:val="24"/>
                <w:szCs w:val="24"/>
              </w:rPr>
              <w:t>与汽油相比，柴油能量密度高，燃油消耗率低。但是比起汽油来，柴油含更多的杂质，它燃烧时也更容易产生烟尘，造成空气污染。但柴油不像汽油般会产生有毒气体</w:t>
            </w:r>
            <w:r>
              <w:rPr>
                <w:rFonts w:hint="eastAsia"/>
                <w:color w:val="000000"/>
                <w:sz w:val="24"/>
                <w:szCs w:val="24"/>
              </w:rPr>
              <w:t>。</w:t>
            </w:r>
            <w:r>
              <w:rPr>
                <w:color w:val="000000"/>
                <w:sz w:val="24"/>
                <w:szCs w:val="24"/>
              </w:rPr>
              <w:t>沸点范围有180~370</w:t>
            </w:r>
            <w:r>
              <w:rPr>
                <w:rFonts w:hint="eastAsia"/>
                <w:color w:val="000000"/>
                <w:sz w:val="24"/>
                <w:szCs w:val="24"/>
              </w:rPr>
              <w:t>℃</w:t>
            </w:r>
            <w:r>
              <w:rPr>
                <w:color w:val="000000"/>
                <w:sz w:val="24"/>
                <w:szCs w:val="24"/>
              </w:rPr>
              <w:t>和350~410</w:t>
            </w:r>
            <w:r>
              <w:rPr>
                <w:rFonts w:hint="eastAsia"/>
                <w:color w:val="000000"/>
                <w:sz w:val="24"/>
                <w:szCs w:val="24"/>
              </w:rPr>
              <w:t>℃</w:t>
            </w:r>
            <w:r>
              <w:rPr>
                <w:color w:val="000000"/>
                <w:sz w:val="24"/>
                <w:szCs w:val="24"/>
              </w:rPr>
              <w:t>两类。前者称为轻</w:t>
            </w:r>
            <w:r>
              <w:rPr>
                <w:color w:val="000000"/>
                <w:sz w:val="24"/>
                <w:szCs w:val="24"/>
              </w:rPr>
              <w:fldChar w:fldCharType="begin"/>
            </w:r>
            <w:r>
              <w:rPr>
                <w:color w:val="000000"/>
                <w:sz w:val="24"/>
                <w:szCs w:val="24"/>
              </w:rPr>
              <w:instrText xml:space="preserve">HYPERLINK "http://baike.baidu.com/view/70396.htm" \t "_blank"</w:instrText>
            </w:r>
            <w:r>
              <w:rPr>
                <w:color w:val="000000"/>
                <w:sz w:val="24"/>
                <w:szCs w:val="24"/>
              </w:rPr>
              <w:fldChar w:fldCharType="separate"/>
            </w:r>
            <w:r>
              <w:rPr>
                <w:color w:val="000000"/>
                <w:sz w:val="24"/>
                <w:szCs w:val="24"/>
              </w:rPr>
              <w:t>柴油</w:t>
            </w:r>
            <w:r>
              <w:rPr>
                <w:color w:val="000000"/>
                <w:sz w:val="24"/>
                <w:szCs w:val="24"/>
              </w:rPr>
              <w:fldChar w:fldCharType="end"/>
            </w:r>
            <w:r>
              <w:rPr>
                <w:color w:val="000000"/>
                <w:sz w:val="24"/>
                <w:szCs w:val="24"/>
              </w:rPr>
              <w:t>，后者称为重柴油。由于高速柴油机（汽车用）比汽油机省油，柴油需求量增长速度大于汽油，一些小型汽车也改用柴油。</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color w:val="000000"/>
                <w:sz w:val="24"/>
                <w:szCs w:val="24"/>
              </w:rPr>
            </w:pPr>
            <w:r>
              <w:rPr>
                <w:b/>
                <w:color w:val="000000"/>
                <w:sz w:val="24"/>
                <w:szCs w:val="24"/>
              </w:rPr>
              <w:t>汽油：</w:t>
            </w:r>
            <w:r>
              <w:rPr>
                <w:color w:val="000000"/>
                <w:sz w:val="24"/>
                <w:szCs w:val="24"/>
              </w:rPr>
              <w:t>主要成分为C</w:t>
            </w:r>
            <w:r>
              <w:rPr>
                <w:color w:val="000000"/>
                <w:sz w:val="24"/>
                <w:szCs w:val="24"/>
                <w:vertAlign w:val="subscript"/>
              </w:rPr>
              <w:t>5</w:t>
            </w:r>
            <w:r>
              <w:rPr>
                <w:color w:val="000000"/>
                <w:sz w:val="24"/>
                <w:szCs w:val="24"/>
              </w:rPr>
              <w:t>～C</w:t>
            </w:r>
            <w:r>
              <w:rPr>
                <w:color w:val="000000"/>
                <w:sz w:val="24"/>
                <w:szCs w:val="24"/>
                <w:vertAlign w:val="subscript"/>
              </w:rPr>
              <w:t>12</w:t>
            </w:r>
            <w:r>
              <w:rPr>
                <w:color w:val="000000"/>
                <w:sz w:val="24"/>
                <w:szCs w:val="24"/>
              </w:rPr>
              <w:t>脂肪烃和环烷烃类，以及一定量芳香烃，具有较高的辛烷值（抗爆震燃烧性能），常温下为无色至淡黄色的易流动液体，很难溶解于水，易燃</w:t>
            </w:r>
            <w:r>
              <w:rPr>
                <w:rFonts w:hint="eastAsia"/>
                <w:color w:val="000000"/>
                <w:sz w:val="24"/>
                <w:szCs w:val="24"/>
              </w:rPr>
              <w:t>，馏程为</w:t>
            </w:r>
            <w:r>
              <w:rPr>
                <w:color w:val="000000"/>
                <w:sz w:val="24"/>
                <w:szCs w:val="24"/>
              </w:rPr>
              <w:t>30℃至205℃</w:t>
            </w:r>
            <w:r>
              <w:rPr>
                <w:rFonts w:hint="eastAsia"/>
                <w:color w:val="000000"/>
                <w:sz w:val="24"/>
                <w:szCs w:val="24"/>
              </w:rPr>
              <w:t>。</w:t>
            </w:r>
            <w:r>
              <w:rPr>
                <w:color w:val="000000"/>
                <w:sz w:val="24"/>
                <w:szCs w:val="24"/>
              </w:rPr>
              <w:t>汽油重要的特性为蒸发性、抗爆性、安定性、安全性和腐蚀性</w:t>
            </w:r>
            <w:r>
              <w:rPr>
                <w:rFonts w:hint="eastAsia"/>
                <w:color w:val="000000"/>
                <w:sz w:val="24"/>
                <w:szCs w:val="24"/>
                <w:lang w:eastAsia="zh-CN"/>
              </w:rPr>
              <w:t>，</w:t>
            </w:r>
            <w:r>
              <w:rPr>
                <w:color w:val="000000"/>
                <w:sz w:val="24"/>
                <w:szCs w:val="24"/>
              </w:rPr>
              <w:t>属低毒类。汽油的密度为0.70~0.78克/</w:t>
            </w:r>
            <w:r>
              <w:rPr>
                <w:color w:val="000000"/>
                <w:sz w:val="24"/>
                <w:szCs w:val="24"/>
              </w:rPr>
              <w:fldChar w:fldCharType="begin"/>
            </w:r>
            <w:r>
              <w:rPr>
                <w:color w:val="000000"/>
                <w:sz w:val="24"/>
                <w:szCs w:val="24"/>
              </w:rPr>
              <w:instrText xml:space="preserve">HYPERLINK "http://baike.baidu.com/view/947589.htm" \t "_blank"</w:instrText>
            </w:r>
            <w:r>
              <w:rPr>
                <w:color w:val="000000"/>
                <w:sz w:val="24"/>
                <w:szCs w:val="24"/>
              </w:rPr>
              <w:fldChar w:fldCharType="separate"/>
            </w:r>
            <w:r>
              <w:rPr>
                <w:color w:val="000000"/>
                <w:sz w:val="24"/>
                <w:szCs w:val="24"/>
              </w:rPr>
              <w:t>立方厘米</w:t>
            </w:r>
            <w:r>
              <w:rPr>
                <w:color w:val="000000"/>
                <w:sz w:val="24"/>
                <w:szCs w:val="24"/>
              </w:rPr>
              <w:fldChar w:fldCharType="end"/>
            </w:r>
            <w:r>
              <w:rPr>
                <w:color w:val="000000"/>
                <w:sz w:val="24"/>
                <w:szCs w:val="24"/>
              </w:rPr>
              <w:t>，商品汽油按该油在汽缸中燃烧时抗爆震燃烧性能的优劣区分，标记为辛烷值70、80、90或更高。标号逾大，性能逾好，主要用作汽车、摩托车、</w:t>
            </w:r>
            <w:r>
              <w:rPr>
                <w:color w:val="000000"/>
                <w:sz w:val="24"/>
                <w:szCs w:val="24"/>
              </w:rPr>
              <w:fldChar w:fldCharType="begin"/>
            </w:r>
            <w:r>
              <w:rPr>
                <w:color w:val="000000"/>
                <w:sz w:val="24"/>
                <w:szCs w:val="24"/>
              </w:rPr>
              <w:instrText xml:space="preserve">HYPERLINK "http://baike.baidu.com/view/758269.htm" \t "_blank"</w:instrText>
            </w:r>
            <w:r>
              <w:rPr>
                <w:color w:val="000000"/>
                <w:sz w:val="24"/>
                <w:szCs w:val="24"/>
              </w:rPr>
              <w:fldChar w:fldCharType="separate"/>
            </w:r>
            <w:r>
              <w:rPr>
                <w:color w:val="000000"/>
                <w:sz w:val="24"/>
                <w:szCs w:val="24"/>
              </w:rPr>
              <w:t>快艇</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 xml:space="preserve">HYPERLINK "http://baike.baidu.com/view/35341.htm" \t "_blank"</w:instrText>
            </w:r>
            <w:r>
              <w:rPr>
                <w:color w:val="000000"/>
                <w:sz w:val="24"/>
                <w:szCs w:val="24"/>
              </w:rPr>
              <w:fldChar w:fldCharType="separate"/>
            </w:r>
            <w:r>
              <w:rPr>
                <w:color w:val="000000"/>
                <w:sz w:val="24"/>
                <w:szCs w:val="24"/>
              </w:rPr>
              <w:t>直升飞机</w:t>
            </w:r>
            <w:r>
              <w:rPr>
                <w:color w:val="000000"/>
                <w:sz w:val="24"/>
                <w:szCs w:val="24"/>
              </w:rPr>
              <w:fldChar w:fldCharType="end"/>
            </w:r>
            <w:r>
              <w:rPr>
                <w:color w:val="000000"/>
                <w:sz w:val="24"/>
                <w:szCs w:val="24"/>
              </w:rPr>
              <w:t>、农林用飞机的燃料。</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color w:val="000000"/>
                <w:sz w:val="24"/>
                <w:szCs w:val="24"/>
              </w:rPr>
            </w:pPr>
            <w:r>
              <w:rPr>
                <w:rFonts w:hint="eastAsia"/>
                <w:b/>
                <w:color w:val="000000"/>
                <w:sz w:val="24"/>
                <w:szCs w:val="24"/>
                <w:lang w:val="en-US" w:eastAsia="zh-CN"/>
              </w:rPr>
              <w:t>5、</w:t>
            </w:r>
            <w:r>
              <w:rPr>
                <w:rFonts w:hint="eastAsia"/>
                <w:b/>
                <w:color w:val="000000"/>
                <w:sz w:val="24"/>
                <w:szCs w:val="24"/>
              </w:rPr>
              <w:t>项目等级划分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sz w:val="24"/>
                <w:szCs w:val="24"/>
              </w:rPr>
            </w:pPr>
            <w:r>
              <w:rPr>
                <w:rFonts w:hint="eastAsia"/>
                <w:sz w:val="24"/>
                <w:szCs w:val="24"/>
              </w:rPr>
              <w:t>本项目新建4个储油罐，其中2座汽油罐</w:t>
            </w:r>
            <w:r>
              <w:rPr>
                <w:rFonts w:hint="eastAsia"/>
                <w:sz w:val="24"/>
                <w:szCs w:val="24"/>
                <w:lang w:eastAsia="zh-CN"/>
              </w:rPr>
              <w:t>、</w:t>
            </w:r>
            <w:r>
              <w:rPr>
                <w:rFonts w:hint="eastAsia"/>
                <w:sz w:val="24"/>
                <w:szCs w:val="24"/>
                <w:lang w:val="en-US" w:eastAsia="zh-CN"/>
              </w:rPr>
              <w:t>2</w:t>
            </w:r>
            <w:r>
              <w:rPr>
                <w:rFonts w:hint="eastAsia"/>
                <w:sz w:val="24"/>
                <w:szCs w:val="24"/>
              </w:rPr>
              <w:t>座柴油罐，每个油罐20m</w:t>
            </w:r>
            <w:r>
              <w:rPr>
                <w:rFonts w:hint="eastAsia"/>
                <w:sz w:val="24"/>
                <w:szCs w:val="24"/>
                <w:vertAlign w:val="superscript"/>
              </w:rPr>
              <w:t>3</w:t>
            </w:r>
            <w:r>
              <w:rPr>
                <w:rFonts w:hint="eastAsia"/>
                <w:sz w:val="24"/>
                <w:szCs w:val="24"/>
              </w:rPr>
              <w:t>，依据《汽车加油加气站设计与施工规范》（GB50156-2012）加油加气站等级划分，本项目总</w:t>
            </w:r>
            <w:r>
              <w:rPr>
                <w:sz w:val="24"/>
                <w:szCs w:val="24"/>
              </w:rPr>
              <w:t>容积</w:t>
            </w:r>
            <w:r>
              <w:rPr>
                <w:rFonts w:hint="eastAsia"/>
                <w:sz w:val="24"/>
                <w:szCs w:val="24"/>
              </w:rPr>
              <w:t>折算</w:t>
            </w:r>
            <w:r>
              <w:rPr>
                <w:sz w:val="24"/>
                <w:szCs w:val="24"/>
              </w:rPr>
              <w:t>为</w:t>
            </w:r>
            <w:r>
              <w:rPr>
                <w:rFonts w:hint="eastAsia"/>
                <w:sz w:val="24"/>
                <w:szCs w:val="24"/>
                <w:lang w:val="en-US" w:eastAsia="zh-CN"/>
              </w:rPr>
              <w:t>6</w:t>
            </w:r>
            <w:r>
              <w:rPr>
                <w:rFonts w:hint="eastAsia"/>
                <w:sz w:val="24"/>
                <w:szCs w:val="24"/>
              </w:rPr>
              <w:t>0</w:t>
            </w:r>
            <w:r>
              <w:rPr>
                <w:sz w:val="24"/>
                <w:szCs w:val="24"/>
              </w:rPr>
              <w:t>m</w:t>
            </w:r>
            <w:r>
              <w:rPr>
                <w:sz w:val="24"/>
                <w:szCs w:val="24"/>
                <w:vertAlign w:val="superscript"/>
              </w:rPr>
              <w:t>3</w:t>
            </w:r>
            <w:r>
              <w:rPr>
                <w:rFonts w:hint="eastAsia"/>
                <w:sz w:val="24"/>
                <w:szCs w:val="24"/>
              </w:rPr>
              <w:t>，</w:t>
            </w:r>
            <w:r>
              <w:rPr>
                <w:sz w:val="24"/>
                <w:szCs w:val="24"/>
              </w:rPr>
              <w:t>划分</w:t>
            </w:r>
            <w:r>
              <w:rPr>
                <w:rFonts w:hint="eastAsia"/>
                <w:sz w:val="24"/>
                <w:szCs w:val="24"/>
              </w:rPr>
              <w:t>为三级加油站。划分见下表。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en-US" w:eastAsia="zh-CN"/>
              </w:rPr>
            </w:pPr>
            <w:r>
              <w:rPr>
                <w:rFonts w:hint="eastAsia" w:ascii="Times New Roman" w:hAnsi="Times New Roman" w:cs="Times New Roman" w:eastAsiaTheme="majorEastAsia"/>
                <w:b/>
                <w:bCs/>
                <w:color w:val="000000"/>
                <w:sz w:val="24"/>
                <w:szCs w:val="24"/>
                <w:lang w:val="en-US" w:eastAsia="zh-CN"/>
              </w:rPr>
              <w:t>表6         项目加油站等级划分表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2783"/>
              <w:gridCol w:w="35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99" w:type="dxa"/>
                  <w:vMerge w:val="restart"/>
                  <w:noWrap w:val="0"/>
                  <w:vAlign w:val="center"/>
                </w:tcPr>
                <w:p>
                  <w:pPr>
                    <w:pStyle w:val="147"/>
                    <w:spacing w:line="300" w:lineRule="exact"/>
                    <w:rPr>
                      <w:rFonts w:hAnsi="Times New Roman" w:eastAsia="宋体" w:cs="Times New Roman"/>
                      <w:b/>
                      <w:bCs/>
                    </w:rPr>
                  </w:pPr>
                  <w:r>
                    <w:rPr>
                      <w:rFonts w:hint="eastAsia" w:hAnsi="Times New Roman" w:eastAsia="宋体" w:cs="Times New Roman"/>
                      <w:b/>
                      <w:bCs/>
                    </w:rPr>
                    <w:t>级别</w:t>
                  </w:r>
                </w:p>
              </w:tc>
              <w:tc>
                <w:tcPr>
                  <w:tcW w:w="6794" w:type="dxa"/>
                  <w:gridSpan w:val="2"/>
                  <w:noWrap w:val="0"/>
                  <w:vAlign w:val="center"/>
                </w:tcPr>
                <w:p>
                  <w:pPr>
                    <w:pStyle w:val="147"/>
                    <w:spacing w:line="300" w:lineRule="exact"/>
                    <w:rPr>
                      <w:rFonts w:hint="eastAsia" w:hAnsi="Times New Roman" w:eastAsia="宋体" w:cs="Times New Roman"/>
                      <w:b/>
                      <w:bCs/>
                    </w:rPr>
                  </w:pPr>
                  <w:r>
                    <w:rPr>
                      <w:rFonts w:hint="eastAsia" w:hAnsi="Times New Roman" w:eastAsia="宋体" w:cs="Times New Roman"/>
                      <w:b/>
                      <w:bCs/>
                    </w:rPr>
                    <w:t>油罐容积（m</w:t>
                  </w:r>
                  <w:r>
                    <w:rPr>
                      <w:rFonts w:hint="eastAsia" w:hAnsi="Times New Roman" w:eastAsia="宋体" w:cs="Times New Roman"/>
                      <w:b/>
                      <w:bCs/>
                      <w:vertAlign w:val="superscript"/>
                    </w:rPr>
                    <w:t>3</w:t>
                  </w:r>
                  <w:r>
                    <w:rPr>
                      <w:rFonts w:hint="eastAsia" w:hAnsi="Times New Roman" w:eastAsia="宋体" w:cs="Times New Roman"/>
                      <w:b/>
                      <w:bCs/>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99" w:type="dxa"/>
                  <w:vMerge w:val="continue"/>
                  <w:noWrap w:val="0"/>
                  <w:vAlign w:val="center"/>
                </w:tcPr>
                <w:p>
                  <w:pPr>
                    <w:pStyle w:val="147"/>
                    <w:spacing w:line="300" w:lineRule="exact"/>
                    <w:rPr>
                      <w:rFonts w:hAnsi="Times New Roman" w:eastAsia="宋体" w:cs="Times New Roman"/>
                      <w:b/>
                      <w:bCs/>
                    </w:rPr>
                  </w:pPr>
                </w:p>
              </w:tc>
              <w:tc>
                <w:tcPr>
                  <w:tcW w:w="2974" w:type="dxa"/>
                  <w:noWrap w:val="0"/>
                  <w:vAlign w:val="center"/>
                </w:tcPr>
                <w:p>
                  <w:pPr>
                    <w:pStyle w:val="147"/>
                    <w:spacing w:line="300" w:lineRule="exact"/>
                    <w:rPr>
                      <w:rFonts w:hint="eastAsia" w:hAnsi="Times New Roman" w:eastAsia="宋体" w:cs="Times New Roman"/>
                      <w:b/>
                      <w:bCs/>
                    </w:rPr>
                  </w:pPr>
                  <w:r>
                    <w:rPr>
                      <w:rFonts w:hint="eastAsia" w:hAnsi="Times New Roman" w:eastAsia="宋体" w:cs="Times New Roman"/>
                      <w:b/>
                      <w:bCs/>
                    </w:rPr>
                    <w:t>总容积</w:t>
                  </w:r>
                </w:p>
              </w:tc>
              <w:tc>
                <w:tcPr>
                  <w:tcW w:w="3820" w:type="dxa"/>
                  <w:noWrap w:val="0"/>
                  <w:vAlign w:val="center"/>
                </w:tcPr>
                <w:p>
                  <w:pPr>
                    <w:pStyle w:val="147"/>
                    <w:spacing w:line="300" w:lineRule="exact"/>
                    <w:rPr>
                      <w:rFonts w:hint="eastAsia" w:hAnsi="Times New Roman" w:eastAsia="宋体" w:cs="Times New Roman"/>
                      <w:b/>
                      <w:bCs/>
                    </w:rPr>
                  </w:pPr>
                  <w:r>
                    <w:rPr>
                      <w:rFonts w:hint="eastAsia" w:hAnsi="Times New Roman" w:eastAsia="宋体" w:cs="Times New Roman"/>
                      <w:b/>
                      <w:bCs/>
                    </w:rPr>
                    <w:t>单罐容积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99" w:type="dxa"/>
                  <w:noWrap w:val="0"/>
                  <w:vAlign w:val="center"/>
                </w:tcPr>
                <w:p>
                  <w:pPr>
                    <w:pStyle w:val="147"/>
                    <w:spacing w:line="300" w:lineRule="exact"/>
                    <w:rPr>
                      <w:rFonts w:hAnsi="Times New Roman" w:eastAsia="宋体" w:cs="Times New Roman"/>
                    </w:rPr>
                  </w:pPr>
                  <w:r>
                    <w:rPr>
                      <w:rFonts w:hint="eastAsia" w:hAnsi="Times New Roman" w:eastAsia="宋体" w:cs="Times New Roman"/>
                    </w:rPr>
                    <w:t>一级</w:t>
                  </w:r>
                </w:p>
              </w:tc>
              <w:tc>
                <w:tcPr>
                  <w:tcW w:w="2974" w:type="dxa"/>
                  <w:noWrap w:val="0"/>
                  <w:vAlign w:val="center"/>
                </w:tcPr>
                <w:p>
                  <w:pPr>
                    <w:pStyle w:val="147"/>
                    <w:spacing w:line="300" w:lineRule="exact"/>
                    <w:rPr>
                      <w:rFonts w:hint="eastAsia" w:hAnsi="Times New Roman" w:eastAsia="宋体" w:cs="Times New Roman"/>
                    </w:rPr>
                  </w:pPr>
                  <w:r>
                    <w:rPr>
                      <w:rFonts w:hint="eastAsia" w:hAnsi="Times New Roman" w:eastAsia="宋体" w:cs="Times New Roman"/>
                    </w:rPr>
                    <w:t>150&lt;V</w:t>
                  </w:r>
                  <w:r>
                    <w:rPr>
                      <w:rFonts w:hAnsi="Times New Roman" w:eastAsia="宋体" w:cs="Times New Roman"/>
                    </w:rPr>
                    <w:t>≤</w:t>
                  </w:r>
                  <w:r>
                    <w:rPr>
                      <w:rFonts w:hint="eastAsia" w:hAnsi="Times New Roman" w:eastAsia="宋体" w:cs="Times New Roman"/>
                    </w:rPr>
                    <w:t>210</w:t>
                  </w:r>
                </w:p>
              </w:tc>
              <w:tc>
                <w:tcPr>
                  <w:tcW w:w="3820" w:type="dxa"/>
                  <w:noWrap w:val="0"/>
                  <w:vAlign w:val="center"/>
                </w:tcPr>
                <w:p>
                  <w:pPr>
                    <w:pStyle w:val="147"/>
                    <w:spacing w:line="300" w:lineRule="exact"/>
                    <w:rPr>
                      <w:rFonts w:hint="eastAsia" w:hAnsi="Times New Roman" w:eastAsia="宋体" w:cs="Times New Roman"/>
                    </w:rPr>
                  </w:pPr>
                  <w:r>
                    <w:rPr>
                      <w:rFonts w:hAnsi="Times New Roman" w:eastAsia="宋体" w:cs="Times New Roman"/>
                    </w:rPr>
                    <w:t>≤</w:t>
                  </w:r>
                  <w:r>
                    <w:rPr>
                      <w:rFonts w:hint="eastAsia" w:hAnsi="Times New Roman" w:eastAsia="宋体" w:cs="Times New Roma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99" w:type="dxa"/>
                  <w:noWrap w:val="0"/>
                  <w:vAlign w:val="center"/>
                </w:tcPr>
                <w:p>
                  <w:pPr>
                    <w:pStyle w:val="147"/>
                    <w:spacing w:line="300" w:lineRule="exact"/>
                    <w:rPr>
                      <w:rFonts w:hAnsi="Times New Roman" w:eastAsia="宋体" w:cs="Times New Roman"/>
                    </w:rPr>
                  </w:pPr>
                  <w:r>
                    <w:rPr>
                      <w:rFonts w:hint="eastAsia" w:hAnsi="Times New Roman" w:eastAsia="宋体" w:cs="Times New Roman"/>
                    </w:rPr>
                    <w:t>二级</w:t>
                  </w:r>
                </w:p>
              </w:tc>
              <w:tc>
                <w:tcPr>
                  <w:tcW w:w="2974" w:type="dxa"/>
                  <w:noWrap w:val="0"/>
                  <w:vAlign w:val="center"/>
                </w:tcPr>
                <w:p>
                  <w:pPr>
                    <w:pStyle w:val="147"/>
                    <w:spacing w:line="300" w:lineRule="exact"/>
                    <w:rPr>
                      <w:rFonts w:hint="eastAsia" w:hAnsi="Times New Roman" w:eastAsia="宋体" w:cs="Times New Roman"/>
                    </w:rPr>
                  </w:pPr>
                  <w:r>
                    <w:rPr>
                      <w:rFonts w:hint="eastAsia" w:hAnsi="Times New Roman" w:eastAsia="宋体" w:cs="Times New Roman"/>
                    </w:rPr>
                    <w:t>90&lt;V</w:t>
                  </w:r>
                  <w:r>
                    <w:rPr>
                      <w:rFonts w:hAnsi="Times New Roman" w:eastAsia="宋体" w:cs="Times New Roman"/>
                    </w:rPr>
                    <w:t>≤</w:t>
                  </w:r>
                  <w:r>
                    <w:rPr>
                      <w:rFonts w:hint="eastAsia" w:hAnsi="Times New Roman" w:eastAsia="宋体" w:cs="Times New Roman"/>
                    </w:rPr>
                    <w:t>150</w:t>
                  </w:r>
                </w:p>
              </w:tc>
              <w:tc>
                <w:tcPr>
                  <w:tcW w:w="3820" w:type="dxa"/>
                  <w:noWrap w:val="0"/>
                  <w:vAlign w:val="center"/>
                </w:tcPr>
                <w:p>
                  <w:pPr>
                    <w:pStyle w:val="147"/>
                    <w:spacing w:line="300" w:lineRule="exact"/>
                    <w:rPr>
                      <w:rFonts w:hint="eastAsia" w:hAnsi="Times New Roman" w:eastAsia="宋体" w:cs="Times New Roman"/>
                    </w:rPr>
                  </w:pPr>
                  <w:r>
                    <w:rPr>
                      <w:rFonts w:hAnsi="Times New Roman" w:eastAsia="宋体" w:cs="Times New Roman"/>
                    </w:rPr>
                    <w:t>≤</w:t>
                  </w:r>
                  <w:r>
                    <w:rPr>
                      <w:rFonts w:hint="eastAsia" w:hAnsi="Times New Roman" w:eastAsia="宋体" w:cs="Times New Roman"/>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99" w:type="dxa"/>
                  <w:noWrap w:val="0"/>
                  <w:vAlign w:val="center"/>
                </w:tcPr>
                <w:p>
                  <w:pPr>
                    <w:pStyle w:val="147"/>
                    <w:spacing w:line="300" w:lineRule="exact"/>
                    <w:rPr>
                      <w:rFonts w:hAnsi="Times New Roman" w:eastAsia="宋体" w:cs="Times New Roman"/>
                    </w:rPr>
                  </w:pPr>
                  <w:r>
                    <w:rPr>
                      <w:rFonts w:hint="eastAsia" w:hAnsi="Times New Roman" w:eastAsia="宋体" w:cs="Times New Roman"/>
                    </w:rPr>
                    <w:t>三级</w:t>
                  </w:r>
                </w:p>
              </w:tc>
              <w:tc>
                <w:tcPr>
                  <w:tcW w:w="2974" w:type="dxa"/>
                  <w:noWrap w:val="0"/>
                  <w:vAlign w:val="center"/>
                </w:tcPr>
                <w:p>
                  <w:pPr>
                    <w:pStyle w:val="147"/>
                    <w:spacing w:line="300" w:lineRule="exact"/>
                    <w:rPr>
                      <w:rFonts w:hint="eastAsia" w:hAnsi="Times New Roman" w:eastAsia="宋体" w:cs="Times New Roman"/>
                    </w:rPr>
                  </w:pPr>
                  <w:r>
                    <w:rPr>
                      <w:rFonts w:hAnsi="Times New Roman" w:eastAsia="宋体" w:cs="Times New Roman"/>
                    </w:rPr>
                    <w:t>≤</w:t>
                  </w:r>
                  <w:r>
                    <w:rPr>
                      <w:rFonts w:hint="eastAsia" w:hAnsi="Times New Roman" w:eastAsia="宋体" w:cs="Times New Roman"/>
                    </w:rPr>
                    <w:t>90</w:t>
                  </w:r>
                </w:p>
              </w:tc>
              <w:tc>
                <w:tcPr>
                  <w:tcW w:w="3820" w:type="dxa"/>
                  <w:noWrap w:val="0"/>
                  <w:vAlign w:val="center"/>
                </w:tcPr>
                <w:p>
                  <w:pPr>
                    <w:pStyle w:val="147"/>
                    <w:spacing w:line="300" w:lineRule="exact"/>
                    <w:rPr>
                      <w:rFonts w:hint="eastAsia" w:hAnsi="Times New Roman" w:eastAsia="宋体" w:cs="Times New Roman"/>
                    </w:rPr>
                  </w:pPr>
                  <w:r>
                    <w:rPr>
                      <w:rFonts w:hint="eastAsia" w:hAnsi="Times New Roman" w:eastAsia="宋体" w:cs="Times New Roman"/>
                    </w:rPr>
                    <w:t>汽油罐</w:t>
                  </w:r>
                  <w:r>
                    <w:rPr>
                      <w:rFonts w:hAnsi="Times New Roman" w:eastAsia="宋体" w:cs="Times New Roman"/>
                    </w:rPr>
                    <w:t>≤</w:t>
                  </w:r>
                  <w:r>
                    <w:rPr>
                      <w:rFonts w:hint="eastAsia" w:hAnsi="Times New Roman" w:eastAsia="宋体" w:cs="Times New Roman"/>
                    </w:rPr>
                    <w:t>30，柴油罐</w:t>
                  </w:r>
                  <w:r>
                    <w:rPr>
                      <w:rFonts w:hAnsi="Times New Roman" w:eastAsia="宋体" w:cs="Times New Roman"/>
                    </w:rPr>
                    <w:t>≤</w:t>
                  </w:r>
                  <w:r>
                    <w:rPr>
                      <w:rFonts w:hint="eastAsia" w:hAnsi="Times New Roman" w:eastAsia="宋体" w:cs="Times New Roman"/>
                    </w:rPr>
                    <w:t>50</w:t>
                  </w:r>
                </w:p>
              </w:tc>
            </w:tr>
          </w:tbl>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sz w:val="24"/>
                <w:szCs w:val="24"/>
              </w:rPr>
            </w:pPr>
            <w:r>
              <w:rPr>
                <w:rFonts w:hint="eastAsia"/>
                <w:sz w:val="24"/>
                <w:szCs w:val="24"/>
              </w:rPr>
              <w:t>注：柴油罐容积可折半计入油罐总容积。</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b/>
                <w:color w:val="000000"/>
                <w:sz w:val="24"/>
                <w:szCs w:val="24"/>
                <w:lang w:val="en-US" w:eastAsia="zh-CN"/>
              </w:rPr>
            </w:pPr>
            <w:r>
              <w:rPr>
                <w:rFonts w:hint="eastAsia"/>
                <w:b/>
                <w:color w:val="000000"/>
                <w:sz w:val="24"/>
                <w:szCs w:val="24"/>
                <w:lang w:val="en-US" w:eastAsia="zh-CN"/>
              </w:rPr>
              <w:t>6、安全距离</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rPr>
              <w:t>根据《汽车加油加气站设计与施工规范》（GB50156-2012）（2014 年局部修订版），项目站区内各设施与站外构筑物的安全距离一览表见表7 和表8；站内各设施间防火距离一览表见表9。</w:t>
            </w:r>
          </w:p>
          <w:p>
            <w:pPr>
              <w:pStyle w:val="5"/>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hAnsi="黑体"/>
                <w:b/>
                <w:sz w:val="24"/>
                <w:szCs w:val="24"/>
                <w:lang w:val="en-US" w:eastAsia="zh-CN"/>
              </w:rPr>
            </w:pPr>
            <w:r>
              <w:rPr>
                <w:rFonts w:hint="default" w:hAnsi="黑体"/>
                <w:b/>
                <w:sz w:val="24"/>
                <w:szCs w:val="24"/>
                <w:lang w:val="en-US" w:eastAsia="zh-CN"/>
              </w:rPr>
              <w:t>表 7</w:t>
            </w:r>
            <w:r>
              <w:rPr>
                <w:rFonts w:hint="default" w:hAnsi="黑体"/>
                <w:b/>
                <w:sz w:val="24"/>
                <w:szCs w:val="24"/>
                <w:lang w:val="en-US" w:eastAsia="zh-CN"/>
              </w:rPr>
              <w:tab/>
            </w:r>
            <w:r>
              <w:rPr>
                <w:rFonts w:hint="default" w:hAnsi="黑体"/>
                <w:b/>
                <w:sz w:val="24"/>
                <w:szCs w:val="24"/>
                <w:lang w:val="en-US" w:eastAsia="zh-CN"/>
              </w:rPr>
              <w:t xml:space="preserve"> 本项目的汽油设备与站外建（构）筑物的安全距离（m）</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9"/>
              <w:gridCol w:w="133"/>
              <w:gridCol w:w="1457"/>
              <w:gridCol w:w="664"/>
              <w:gridCol w:w="661"/>
              <w:gridCol w:w="662"/>
              <w:gridCol w:w="793"/>
              <w:gridCol w:w="756"/>
              <w:gridCol w:w="965"/>
              <w:gridCol w:w="627"/>
              <w:gridCol w:w="690"/>
              <w:gridCol w:w="6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309" w:type="pct"/>
                  <w:gridSpan w:val="3"/>
                  <w:vMerge w:val="restar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级别项目</w:t>
                  </w:r>
                </w:p>
              </w:tc>
              <w:tc>
                <w:tcPr>
                  <w:tcW w:w="1131"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汽油埋地油罐</w:t>
                  </w:r>
                </w:p>
              </w:tc>
              <w:tc>
                <w:tcPr>
                  <w:tcW w:w="1430"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通气管管口</w:t>
                  </w:r>
                </w:p>
              </w:tc>
              <w:tc>
                <w:tcPr>
                  <w:tcW w:w="1129"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汽油加油机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vMerge w:val="continue"/>
                  <w:noWrap w:val="0"/>
                  <w:vAlign w:val="center"/>
                </w:tcPr>
                <w:p>
                  <w:pPr>
                    <w:jc w:val="center"/>
                    <w:rPr>
                      <w:rFonts w:hint="default" w:ascii="Times New Roman" w:hAnsi="Times New Roman" w:eastAsia="宋体" w:cs="Times New Roman"/>
                      <w:b/>
                      <w:bCs/>
                      <w:sz w:val="21"/>
                      <w:szCs w:val="21"/>
                      <w:u w:val="none"/>
                    </w:rPr>
                  </w:pPr>
                </w:p>
              </w:tc>
              <w:tc>
                <w:tcPr>
                  <w:tcW w:w="378"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376"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377"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c>
                <w:tcPr>
                  <w:tcW w:w="451"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430"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549"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c>
                <w:tcPr>
                  <w:tcW w:w="357"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393"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379"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pacing w:val="-11"/>
                      <w:sz w:val="21"/>
                      <w:szCs w:val="21"/>
                      <w:u w:val="none"/>
                    </w:rPr>
                    <w:t>重要公共建筑</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明火或散发火花地点</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restart"/>
                  <w:noWrap w:val="0"/>
                  <w:vAlign w:val="center"/>
                </w:tcPr>
                <w:p>
                  <w:pPr>
                    <w:pStyle w:val="128"/>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民用建筑物保护类</w:t>
                  </w:r>
                  <w:r>
                    <w:rPr>
                      <w:rFonts w:hint="default" w:ascii="Times New Roman" w:hAnsi="Times New Roman" w:eastAsia="宋体" w:cs="Times New Roman"/>
                      <w:b w:val="0"/>
                      <w:bCs w:val="0"/>
                      <w:w w:val="99"/>
                      <w:sz w:val="21"/>
                      <w:szCs w:val="21"/>
                      <w:u w:val="none"/>
                    </w:rPr>
                    <w:t xml:space="preserve"> </w:t>
                  </w:r>
                  <w:r>
                    <w:rPr>
                      <w:rFonts w:hint="default" w:ascii="Times New Roman" w:hAnsi="Times New Roman" w:eastAsia="宋体" w:cs="Times New Roman"/>
                      <w:b w:val="0"/>
                      <w:bCs w:val="0"/>
                      <w:sz w:val="21"/>
                      <w:szCs w:val="21"/>
                      <w:u w:val="none"/>
                    </w:rPr>
                    <w:t>别</w:t>
                  </w: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一类保护物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11</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11</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11</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二类保护物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8.5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8.5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8.5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三类保护物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w w:val="99"/>
                      <w:sz w:val="21"/>
                      <w:szCs w:val="21"/>
                      <w:u w:val="none"/>
                    </w:rPr>
                    <w:t>7</w:t>
                  </w:r>
                </w:p>
              </w:tc>
              <w:tc>
                <w:tcPr>
                  <w:tcW w:w="376" w:type="pct"/>
                  <w:noWrap w:val="0"/>
                  <w:vAlign w:val="center"/>
                </w:tcPr>
                <w:p>
                  <w:pPr>
                    <w:pStyle w:val="128"/>
                    <w:jc w:val="center"/>
                    <w:rPr>
                      <w:rFonts w:hint="default" w:ascii="Times New Roman" w:hAnsi="Times New Roman" w:eastAsia="宋体" w:cs="Times New Roman"/>
                      <w:b w:val="0"/>
                      <w:bCs w:val="0"/>
                      <w:w w:val="99"/>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w w:val="99"/>
                      <w:sz w:val="21"/>
                      <w:szCs w:val="21"/>
                      <w:u w:val="none"/>
                    </w:rPr>
                  </w:pPr>
                  <w:r>
                    <w:rPr>
                      <w:rFonts w:hint="default" w:ascii="Times New Roman" w:hAnsi="Times New Roman" w:eastAsia="宋体" w:cs="Times New Roman"/>
                      <w:b w:val="0"/>
                      <w:bCs w:val="0"/>
                      <w:w w:val="99"/>
                      <w:sz w:val="21"/>
                      <w:szCs w:val="21"/>
                      <w:u w:val="none"/>
                    </w:rPr>
                    <w:t>7</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7</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甲、乙类物品生产厂房、库房和甲、乙类液体储罐</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丙、丁、戊类物品生产厂房、库房和丙类液体 储罐以及容积不大于50m</w:t>
                  </w:r>
                  <w:r>
                    <w:rPr>
                      <w:rFonts w:hint="default" w:ascii="Times New Roman" w:hAnsi="Times New Roman" w:eastAsia="宋体" w:cs="Times New Roman"/>
                      <w:b w:val="0"/>
                      <w:bCs w:val="0"/>
                      <w:sz w:val="21"/>
                      <w:szCs w:val="21"/>
                      <w:u w:val="none"/>
                      <w:vertAlign w:val="superscript"/>
                    </w:rPr>
                    <w:t>3</w:t>
                  </w:r>
                  <w:r>
                    <w:rPr>
                      <w:rFonts w:hint="default" w:ascii="Times New Roman" w:hAnsi="Times New Roman" w:eastAsia="宋体" w:cs="Times New Roman"/>
                      <w:b w:val="0"/>
                      <w:bCs w:val="0"/>
                      <w:sz w:val="21"/>
                      <w:szCs w:val="21"/>
                      <w:u w:val="none"/>
                    </w:rPr>
                    <w:t>的埋地甲、乙类液体储罐</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34.5</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37.0</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18.1</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室外变配电站</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12.5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铁路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04" w:type="pct"/>
                  <w:vMerge w:val="restar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城市道路</w:t>
                  </w:r>
                </w:p>
              </w:tc>
              <w:tc>
                <w:tcPr>
                  <w:tcW w:w="905" w:type="pct"/>
                  <w:gridSpan w:val="2"/>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快速路、主干路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22</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33.8</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12.0</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04" w:type="pct"/>
                  <w:vMerge w:val="continue"/>
                  <w:noWrap w:val="0"/>
                  <w:vAlign w:val="center"/>
                </w:tcPr>
                <w:p>
                  <w:pPr>
                    <w:jc w:val="center"/>
                    <w:rPr>
                      <w:rFonts w:hint="default" w:ascii="Times New Roman" w:hAnsi="Times New Roman" w:eastAsia="宋体" w:cs="Times New Roman"/>
                      <w:b w:val="0"/>
                      <w:bCs w:val="0"/>
                      <w:sz w:val="21"/>
                      <w:szCs w:val="21"/>
                      <w:u w:val="none"/>
                    </w:rPr>
                  </w:pPr>
                </w:p>
              </w:tc>
              <w:tc>
                <w:tcPr>
                  <w:tcW w:w="905" w:type="pct"/>
                  <w:gridSpan w:val="2"/>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次干路、支路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7.0</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6.6</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24.7</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架空通信线和通信发射塔</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20</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31.8</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10</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80" w:type="pct"/>
                  <w:gridSpan w:val="2"/>
                  <w:vMerge w:val="restar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架空电力线路</w:t>
                  </w: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无绝缘层</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25.8</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34.9</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23.8</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有绝缘层</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 xml:space="preserve"> 5</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1"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430"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54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bl>
          <w:p>
            <w:pPr>
              <w:pStyle w:val="5"/>
              <w:widowControl/>
              <w:spacing w:line="500" w:lineRule="exact"/>
              <w:jc w:val="center"/>
              <w:rPr>
                <w:rFonts w:hint="default" w:hAnsi="黑体"/>
                <w:b/>
                <w:sz w:val="24"/>
                <w:szCs w:val="24"/>
                <w:lang w:val="en-US" w:eastAsia="zh-CN"/>
              </w:rPr>
            </w:pPr>
            <w:r>
              <w:rPr>
                <w:rFonts w:hint="default" w:hAnsi="黑体"/>
                <w:b/>
                <w:sz w:val="24"/>
                <w:szCs w:val="24"/>
                <w:lang w:val="en-US" w:eastAsia="zh-CN"/>
              </w:rPr>
              <w:t>表 8</w:t>
            </w:r>
            <w:r>
              <w:rPr>
                <w:rFonts w:hint="default" w:hAnsi="黑体"/>
                <w:b/>
                <w:sz w:val="24"/>
                <w:szCs w:val="24"/>
                <w:lang w:val="en-US" w:eastAsia="zh-CN"/>
              </w:rPr>
              <w:tab/>
            </w:r>
            <w:r>
              <w:rPr>
                <w:rFonts w:hint="default" w:hAnsi="黑体"/>
                <w:b/>
                <w:sz w:val="24"/>
                <w:szCs w:val="24"/>
                <w:lang w:val="en-US" w:eastAsia="zh-CN"/>
              </w:rPr>
              <w:t xml:space="preserve"> 本项目的柴油设备与站外建（构）筑物的安全距离（m）</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09"/>
              <w:gridCol w:w="133"/>
              <w:gridCol w:w="1457"/>
              <w:gridCol w:w="664"/>
              <w:gridCol w:w="662"/>
              <w:gridCol w:w="794"/>
              <w:gridCol w:w="660"/>
              <w:gridCol w:w="926"/>
              <w:gridCol w:w="794"/>
              <w:gridCol w:w="627"/>
              <w:gridCol w:w="690"/>
              <w:gridCol w:w="6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309" w:type="pct"/>
                  <w:gridSpan w:val="3"/>
                  <w:vMerge w:val="restart"/>
                  <w:noWrap w:val="0"/>
                  <w:vAlign w:val="center"/>
                </w:tcPr>
                <w:p>
                  <w:pPr>
                    <w:pStyle w:val="128"/>
                    <w:jc w:val="center"/>
                    <w:rPr>
                      <w:rFonts w:hint="default" w:ascii="Times New Roman" w:hAnsi="Times New Roman" w:eastAsia="宋体" w:cs="Times New Roman"/>
                      <w:b/>
                      <w:bCs/>
                      <w:sz w:val="21"/>
                      <w:szCs w:val="21"/>
                      <w:u w:val="none"/>
                    </w:rPr>
                  </w:pPr>
                  <w:r>
                    <w:rPr>
                      <w:rFonts w:hint="eastAsia" w:ascii="Times New Roman" w:hAnsi="Times New Roman" w:eastAsia="宋体" w:cs="Times New Roman"/>
                      <w:b/>
                      <w:bCs/>
                      <w:sz w:val="21"/>
                      <w:szCs w:val="21"/>
                      <w:u w:val="none"/>
                      <w:lang w:val="en-US" w:eastAsia="zh-CN"/>
                    </w:rPr>
                    <w:t xml:space="preserve">               </w:t>
                  </w:r>
                  <w:r>
                    <w:rPr>
                      <w:rFonts w:hint="default" w:ascii="Times New Roman" w:hAnsi="Times New Roman" w:eastAsia="宋体" w:cs="Times New Roman"/>
                      <w:b/>
                      <w:bCs/>
                      <w:sz w:val="21"/>
                      <w:szCs w:val="21"/>
                      <w:u w:val="none"/>
                    </w:rPr>
                    <w:t>级别</w:t>
                  </w:r>
                </w:p>
                <w:p>
                  <w:pPr>
                    <w:pStyle w:val="128"/>
                    <w:jc w:val="both"/>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项目</w:t>
                  </w:r>
                </w:p>
              </w:tc>
              <w:tc>
                <w:tcPr>
                  <w:tcW w:w="1206"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柴油埋地油罐</w:t>
                  </w:r>
                </w:p>
              </w:tc>
              <w:tc>
                <w:tcPr>
                  <w:tcW w:w="1355"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通气管管口</w:t>
                  </w:r>
                </w:p>
              </w:tc>
              <w:tc>
                <w:tcPr>
                  <w:tcW w:w="1129" w:type="pct"/>
                  <w:gridSpan w:val="3"/>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柴油加油机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vMerge w:val="continue"/>
                  <w:noWrap w:val="0"/>
                  <w:vAlign w:val="center"/>
                </w:tcPr>
                <w:p>
                  <w:pPr>
                    <w:jc w:val="center"/>
                    <w:rPr>
                      <w:rFonts w:hint="default" w:ascii="Times New Roman" w:hAnsi="Times New Roman" w:eastAsia="宋体" w:cs="Times New Roman"/>
                      <w:b/>
                      <w:bCs/>
                      <w:sz w:val="21"/>
                      <w:szCs w:val="21"/>
                      <w:u w:val="none"/>
                    </w:rPr>
                  </w:pPr>
                </w:p>
              </w:tc>
              <w:tc>
                <w:tcPr>
                  <w:tcW w:w="378"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377"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452"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c>
                <w:tcPr>
                  <w:tcW w:w="376"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527"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452"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c>
                <w:tcPr>
                  <w:tcW w:w="357"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标准</w:t>
                  </w:r>
                </w:p>
              </w:tc>
              <w:tc>
                <w:tcPr>
                  <w:tcW w:w="393"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实际</w:t>
                  </w:r>
                </w:p>
              </w:tc>
              <w:tc>
                <w:tcPr>
                  <w:tcW w:w="379" w:type="pct"/>
                  <w:noWrap w:val="0"/>
                  <w:vAlign w:val="center"/>
                </w:tcPr>
                <w:p>
                  <w:pPr>
                    <w:pStyle w:val="128"/>
                    <w:jc w:val="center"/>
                    <w:rPr>
                      <w:rFonts w:hint="default" w:ascii="Times New Roman" w:hAnsi="Times New Roman" w:eastAsia="宋体" w:cs="Times New Roman"/>
                      <w:b/>
                      <w:bCs/>
                      <w:sz w:val="21"/>
                      <w:szCs w:val="21"/>
                      <w:u w:val="none"/>
                    </w:rPr>
                  </w:pPr>
                  <w:r>
                    <w:rPr>
                      <w:rFonts w:hint="default" w:ascii="Times New Roman" w:hAnsi="Times New Roman" w:eastAsia="宋体" w:cs="Times New Roman"/>
                      <w:b/>
                      <w:bCs/>
                      <w:sz w:val="21"/>
                      <w:szCs w:val="21"/>
                      <w:u w:val="none"/>
                    </w:rPr>
                    <w:t>结论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pacing w:val="-11"/>
                      <w:sz w:val="21"/>
                      <w:szCs w:val="21"/>
                      <w:u w:val="none"/>
                    </w:rPr>
                    <w:t>重要公共建筑</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25</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25</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25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明火或散发火花地点</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10</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restart"/>
                  <w:noWrap w:val="0"/>
                  <w:vAlign w:val="center"/>
                </w:tcPr>
                <w:p>
                  <w:pPr>
                    <w:pStyle w:val="128"/>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民用建筑物保护类</w:t>
                  </w:r>
                  <w:r>
                    <w:rPr>
                      <w:rFonts w:hint="default" w:ascii="Times New Roman" w:hAnsi="Times New Roman" w:eastAsia="宋体" w:cs="Times New Roman"/>
                      <w:b w:val="0"/>
                      <w:bCs w:val="0"/>
                      <w:w w:val="99"/>
                      <w:sz w:val="21"/>
                      <w:szCs w:val="21"/>
                      <w:u w:val="none"/>
                    </w:rPr>
                    <w:t xml:space="preserve"> </w:t>
                  </w:r>
                  <w:r>
                    <w:rPr>
                      <w:rFonts w:hint="default" w:ascii="Times New Roman" w:hAnsi="Times New Roman" w:eastAsia="宋体" w:cs="Times New Roman"/>
                      <w:b w:val="0"/>
                      <w:bCs w:val="0"/>
                      <w:sz w:val="21"/>
                      <w:szCs w:val="21"/>
                      <w:u w:val="none"/>
                    </w:rPr>
                    <w:t>别</w:t>
                  </w: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一类保护物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二类保护物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三类保护物</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w w:val="99"/>
                      <w:sz w:val="21"/>
                      <w:szCs w:val="21"/>
                      <w:u w:val="none"/>
                    </w:rPr>
                    <w:t>6</w:t>
                  </w:r>
                </w:p>
              </w:tc>
              <w:tc>
                <w:tcPr>
                  <w:tcW w:w="377" w:type="pct"/>
                  <w:noWrap w:val="0"/>
                  <w:vAlign w:val="center"/>
                </w:tcPr>
                <w:p>
                  <w:pPr>
                    <w:pStyle w:val="128"/>
                    <w:jc w:val="center"/>
                    <w:rPr>
                      <w:rFonts w:hint="eastAsia" w:ascii="Times New Roman" w:hAnsi="Times New Roman" w:eastAsia="宋体" w:cs="Times New Roman"/>
                      <w:b w:val="0"/>
                      <w:bCs w:val="0"/>
                      <w:w w:val="99"/>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w w:val="99"/>
                      <w:sz w:val="21"/>
                      <w:szCs w:val="21"/>
                      <w:u w:val="none"/>
                    </w:rPr>
                  </w:pPr>
                  <w:r>
                    <w:rPr>
                      <w:rFonts w:hint="default" w:ascii="Times New Roman" w:hAnsi="Times New Roman" w:eastAsia="宋体" w:cs="Times New Roman"/>
                      <w:b w:val="0"/>
                      <w:bCs w:val="0"/>
                      <w:w w:val="99"/>
                      <w:sz w:val="21"/>
                      <w:szCs w:val="21"/>
                      <w:u w:val="none"/>
                    </w:rPr>
                    <w:t>6</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甲、乙类物品生产厂房、库房和甲、乙类液体储罐</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527" w:type="pct"/>
                  <w:noWrap w:val="0"/>
                  <w:vAlign w:val="center"/>
                </w:tcPr>
                <w:p>
                  <w:pPr>
                    <w:pStyle w:val="128"/>
                    <w:jc w:val="center"/>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丙、丁、戊类物品生产厂房、库房和丙类液体 储罐以及容积不大于50m</w:t>
                  </w:r>
                  <w:r>
                    <w:rPr>
                      <w:rFonts w:hint="default" w:ascii="Times New Roman" w:hAnsi="Times New Roman" w:eastAsia="宋体" w:cs="Times New Roman"/>
                      <w:b w:val="0"/>
                      <w:bCs w:val="0"/>
                      <w:sz w:val="21"/>
                      <w:szCs w:val="21"/>
                      <w:u w:val="none"/>
                      <w:vertAlign w:val="superscript"/>
                    </w:rPr>
                    <w:t>3</w:t>
                  </w:r>
                  <w:r>
                    <w:rPr>
                      <w:rFonts w:hint="default" w:ascii="Times New Roman" w:hAnsi="Times New Roman" w:eastAsia="宋体" w:cs="Times New Roman"/>
                      <w:b w:val="0"/>
                      <w:bCs w:val="0"/>
                      <w:sz w:val="21"/>
                      <w:szCs w:val="21"/>
                      <w:u w:val="none"/>
                    </w:rPr>
                    <w:t>的埋地甲、乙类液体储罐</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38</w:t>
                  </w:r>
                </w:p>
              </w:tc>
              <w:tc>
                <w:tcPr>
                  <w:tcW w:w="452"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default" w:ascii="Times New Roman" w:hAnsi="Times New Roman" w:eastAsia="宋体" w:cs="Times New Roman"/>
                      <w:b w:val="0"/>
                      <w:bCs w:val="0"/>
                      <w:sz w:val="21"/>
                      <w:szCs w:val="21"/>
                      <w:u w:val="none"/>
                    </w:rPr>
                    <w:t>合格</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37.5</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9</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23.7</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室外变配电站</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12.5</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12.5</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12.5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铁路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15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04" w:type="pct"/>
                  <w:vMerge w:val="restar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城市道路</w:t>
                  </w:r>
                </w:p>
              </w:tc>
              <w:tc>
                <w:tcPr>
                  <w:tcW w:w="905" w:type="pct"/>
                  <w:gridSpan w:val="2"/>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快速路、主干路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22</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33.8</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12</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04" w:type="pct"/>
                  <w:vMerge w:val="continue"/>
                  <w:noWrap w:val="0"/>
                  <w:vAlign w:val="center"/>
                </w:tcPr>
                <w:p>
                  <w:pPr>
                    <w:jc w:val="center"/>
                    <w:rPr>
                      <w:rFonts w:hint="default" w:ascii="Times New Roman" w:hAnsi="Times New Roman" w:eastAsia="宋体" w:cs="Times New Roman"/>
                      <w:b w:val="0"/>
                      <w:bCs w:val="0"/>
                      <w:sz w:val="21"/>
                      <w:szCs w:val="21"/>
                      <w:u w:val="none"/>
                    </w:rPr>
                  </w:pPr>
                </w:p>
              </w:tc>
              <w:tc>
                <w:tcPr>
                  <w:tcW w:w="905" w:type="pct"/>
                  <w:gridSpan w:val="2"/>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次干路、支路</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3.5</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5.9</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3</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19.1</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1309" w:type="pct"/>
                  <w:gridSpan w:val="3"/>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架空通信线和通信发射塔</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20</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31.8</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10</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restar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架空电力线路</w:t>
                  </w: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无绝缘层</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37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23.7</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34.8</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6.5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30.4</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合格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jc w:val="center"/>
              </w:trPr>
              <w:tc>
                <w:tcPr>
                  <w:tcW w:w="480" w:type="pct"/>
                  <w:gridSpan w:val="2"/>
                  <w:vMerge w:val="continue"/>
                  <w:noWrap w:val="0"/>
                  <w:vAlign w:val="center"/>
                </w:tcPr>
                <w:p>
                  <w:pPr>
                    <w:jc w:val="center"/>
                    <w:rPr>
                      <w:rFonts w:hint="default" w:ascii="Times New Roman" w:hAnsi="Times New Roman" w:eastAsia="宋体" w:cs="Times New Roman"/>
                      <w:b w:val="0"/>
                      <w:bCs w:val="0"/>
                      <w:sz w:val="21"/>
                      <w:szCs w:val="21"/>
                      <w:u w:val="none"/>
                    </w:rPr>
                  </w:pPr>
                </w:p>
              </w:tc>
              <w:tc>
                <w:tcPr>
                  <w:tcW w:w="82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有绝缘层</w:t>
                  </w:r>
                </w:p>
              </w:tc>
              <w:tc>
                <w:tcPr>
                  <w:tcW w:w="378"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 xml:space="preserve"> 5</w:t>
                  </w:r>
                </w:p>
              </w:tc>
              <w:tc>
                <w:tcPr>
                  <w:tcW w:w="377" w:type="pct"/>
                  <w:noWrap w:val="0"/>
                  <w:vAlign w:val="center"/>
                </w:tcPr>
                <w:p>
                  <w:pPr>
                    <w:pStyle w:val="128"/>
                    <w:jc w:val="center"/>
                    <w:rPr>
                      <w:rFonts w:hint="eastAsia" w:ascii="Times New Roman" w:hAnsi="Times New Roman" w:eastAsia="宋体" w:cs="Times New Roman"/>
                      <w:b w:val="0"/>
                      <w:bCs w:val="0"/>
                      <w:sz w:val="21"/>
                      <w:szCs w:val="21"/>
                      <w:u w:val="none"/>
                      <w:lang w:eastAsia="zh-CN"/>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6"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52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452"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57"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5</w:t>
                  </w:r>
                </w:p>
              </w:tc>
              <w:tc>
                <w:tcPr>
                  <w:tcW w:w="393"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c>
                <w:tcPr>
                  <w:tcW w:w="379" w:type="pct"/>
                  <w:noWrap w:val="0"/>
                  <w:vAlign w:val="center"/>
                </w:tcPr>
                <w:p>
                  <w:pPr>
                    <w:pStyle w:val="128"/>
                    <w:jc w:val="center"/>
                    <w:rPr>
                      <w:rFonts w:hint="default" w:ascii="Times New Roman" w:hAnsi="Times New Roman" w:eastAsia="宋体" w:cs="Times New Roman"/>
                      <w:b w:val="0"/>
                      <w:bCs w:val="0"/>
                      <w:sz w:val="21"/>
                      <w:szCs w:val="21"/>
                      <w:u w:val="none"/>
                    </w:rPr>
                  </w:pPr>
                  <w:r>
                    <w:rPr>
                      <w:rFonts w:hint="eastAsia" w:ascii="Times New Roman" w:hAnsi="Times New Roman" w:eastAsia="宋体" w:cs="Times New Roman"/>
                      <w:b w:val="0"/>
                      <w:bCs w:val="0"/>
                      <w:sz w:val="21"/>
                      <w:szCs w:val="21"/>
                      <w:u w:val="none"/>
                      <w:lang w:eastAsia="zh-CN"/>
                    </w:rPr>
                    <w:t>—</w:t>
                  </w:r>
                </w:p>
              </w:tc>
            </w:tr>
          </w:tbl>
          <w:p>
            <w:pPr>
              <w:pStyle w:val="5"/>
              <w:widowControl/>
              <w:spacing w:line="500" w:lineRule="exact"/>
              <w:jc w:val="center"/>
              <w:rPr>
                <w:rFonts w:hint="default" w:hAnsi="黑体"/>
                <w:b/>
                <w:sz w:val="24"/>
                <w:szCs w:val="24"/>
                <w:lang w:val="en-US" w:eastAsia="zh-CN"/>
              </w:rPr>
            </w:pPr>
            <w:r>
              <w:rPr>
                <w:rFonts w:hint="default" w:hAnsi="黑体"/>
                <w:b/>
                <w:sz w:val="24"/>
                <w:szCs w:val="24"/>
                <w:lang w:val="en-US" w:eastAsia="zh-CN"/>
              </w:rPr>
              <w:t>表 9   站内设施之间的防火距离与标准防火距离对照表</w:t>
            </w:r>
            <w:r>
              <w:rPr>
                <w:rFonts w:hint="default" w:hAnsi="黑体"/>
                <w:b/>
                <w:sz w:val="24"/>
                <w:szCs w:val="24"/>
                <w:lang w:val="en-US" w:eastAsia="zh-CN"/>
              </w:rPr>
              <w:tab/>
            </w:r>
            <w:r>
              <w:rPr>
                <w:rFonts w:hint="default" w:hAnsi="黑体"/>
                <w:b/>
                <w:sz w:val="24"/>
                <w:szCs w:val="24"/>
                <w:lang w:val="en-US" w:eastAsia="zh-CN"/>
              </w:rPr>
              <w:t>（单位：m）</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01"/>
              <w:gridCol w:w="3073"/>
              <w:gridCol w:w="1375"/>
              <w:gridCol w:w="1438"/>
              <w:gridCol w:w="12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restart"/>
                  <w:noWrap w:val="0"/>
                  <w:vAlign w:val="center"/>
                </w:tcPr>
                <w:p>
                  <w:pPr>
                    <w:pStyle w:val="147"/>
                    <w:spacing w:line="300" w:lineRule="exact"/>
                    <w:rPr>
                      <w:rFonts w:hint="default" w:ascii="Times New Roman" w:hAnsi="Times New Roman" w:eastAsia="宋体" w:cs="Times New Roman"/>
                      <w:b/>
                      <w:bCs/>
                      <w:u w:val="none"/>
                    </w:rPr>
                  </w:pPr>
                  <w:r>
                    <w:rPr>
                      <w:rFonts w:hint="default" w:ascii="Times New Roman" w:hAnsi="Times New Roman" w:eastAsia="宋体" w:cs="Times New Roman"/>
                      <w:b/>
                      <w:bCs/>
                      <w:u w:val="none"/>
                    </w:rPr>
                    <w:t>项目</w:t>
                  </w:r>
                </w:p>
              </w:tc>
              <w:tc>
                <w:tcPr>
                  <w:tcW w:w="3073" w:type="dxa"/>
                  <w:vMerge w:val="restart"/>
                  <w:noWrap w:val="0"/>
                  <w:vAlign w:val="center"/>
                </w:tcPr>
                <w:p>
                  <w:pPr>
                    <w:pStyle w:val="147"/>
                    <w:spacing w:line="300" w:lineRule="exact"/>
                    <w:rPr>
                      <w:rFonts w:hint="default" w:ascii="Times New Roman" w:hAnsi="Times New Roman" w:eastAsia="宋体" w:cs="Times New Roman"/>
                      <w:b/>
                      <w:bCs/>
                      <w:u w:val="none"/>
                    </w:rPr>
                  </w:pPr>
                  <w:r>
                    <w:rPr>
                      <w:rFonts w:hint="default" w:ascii="Times New Roman" w:hAnsi="Times New Roman" w:eastAsia="宋体" w:cs="Times New Roman"/>
                      <w:b/>
                      <w:bCs/>
                      <w:u w:val="none"/>
                    </w:rPr>
                    <w:t>设施名称</w:t>
                  </w:r>
                </w:p>
              </w:tc>
              <w:tc>
                <w:tcPr>
                  <w:tcW w:w="4080" w:type="dxa"/>
                  <w:gridSpan w:val="3"/>
                  <w:noWrap w:val="0"/>
                  <w:vAlign w:val="center"/>
                </w:tcPr>
                <w:p>
                  <w:pPr>
                    <w:pStyle w:val="147"/>
                    <w:spacing w:line="300" w:lineRule="exact"/>
                    <w:rPr>
                      <w:rFonts w:hint="default" w:ascii="Times New Roman" w:hAnsi="Times New Roman" w:eastAsia="宋体" w:cs="Times New Roman"/>
                      <w:b/>
                      <w:bCs/>
                      <w:u w:val="none"/>
                    </w:rPr>
                  </w:pPr>
                  <w:r>
                    <w:rPr>
                      <w:rFonts w:hint="default" w:ascii="Times New Roman" w:hAnsi="Times New Roman" w:eastAsia="宋体" w:cs="Times New Roman"/>
                      <w:b/>
                      <w:bCs/>
                      <w:u w:val="none"/>
                    </w:rPr>
                    <w:t>防火距离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continue"/>
                  <w:noWrap w:val="0"/>
                  <w:vAlign w:val="center"/>
                </w:tcPr>
                <w:p>
                  <w:pPr>
                    <w:pStyle w:val="147"/>
                    <w:spacing w:line="300" w:lineRule="exact"/>
                    <w:rPr>
                      <w:rFonts w:hint="default" w:ascii="Times New Roman" w:hAnsi="Times New Roman" w:eastAsia="宋体" w:cs="Times New Roman"/>
                      <w:b/>
                      <w:bCs/>
                      <w:u w:val="none"/>
                    </w:rPr>
                  </w:pPr>
                </w:p>
              </w:tc>
              <w:tc>
                <w:tcPr>
                  <w:tcW w:w="3073" w:type="dxa"/>
                  <w:vMerge w:val="continue"/>
                  <w:noWrap w:val="0"/>
                  <w:vAlign w:val="center"/>
                </w:tcPr>
                <w:p>
                  <w:pPr>
                    <w:pStyle w:val="147"/>
                    <w:spacing w:line="300" w:lineRule="exact"/>
                    <w:rPr>
                      <w:rFonts w:hint="default" w:ascii="Times New Roman" w:hAnsi="Times New Roman" w:eastAsia="宋体" w:cs="Times New Roman"/>
                      <w:b/>
                      <w:bCs/>
                      <w:u w:val="none"/>
                    </w:rPr>
                  </w:pPr>
                </w:p>
              </w:tc>
              <w:tc>
                <w:tcPr>
                  <w:tcW w:w="1375" w:type="dxa"/>
                  <w:noWrap w:val="0"/>
                  <w:vAlign w:val="center"/>
                </w:tcPr>
                <w:p>
                  <w:pPr>
                    <w:pStyle w:val="147"/>
                    <w:spacing w:line="300" w:lineRule="exact"/>
                    <w:rPr>
                      <w:rFonts w:hint="default" w:ascii="Times New Roman" w:hAnsi="Times New Roman" w:eastAsia="宋体" w:cs="Times New Roman"/>
                      <w:b/>
                      <w:bCs/>
                      <w:u w:val="none"/>
                    </w:rPr>
                  </w:pPr>
                  <w:r>
                    <w:rPr>
                      <w:rFonts w:hint="default" w:ascii="Times New Roman" w:hAnsi="Times New Roman" w:eastAsia="宋体" w:cs="Times New Roman"/>
                      <w:b/>
                      <w:bCs/>
                      <w:u w:val="none"/>
                    </w:rPr>
                    <w:t>标准</w:t>
                  </w:r>
                </w:p>
              </w:tc>
              <w:tc>
                <w:tcPr>
                  <w:tcW w:w="1438" w:type="dxa"/>
                  <w:noWrap w:val="0"/>
                  <w:vAlign w:val="center"/>
                </w:tcPr>
                <w:p>
                  <w:pPr>
                    <w:pStyle w:val="147"/>
                    <w:spacing w:line="300" w:lineRule="exact"/>
                    <w:rPr>
                      <w:rFonts w:hint="default" w:ascii="Times New Roman" w:hAnsi="Times New Roman" w:eastAsia="宋体" w:cs="Times New Roman"/>
                      <w:b/>
                      <w:bCs/>
                      <w:u w:val="none"/>
                    </w:rPr>
                  </w:pPr>
                  <w:r>
                    <w:rPr>
                      <w:rFonts w:hint="default" w:ascii="Times New Roman" w:hAnsi="Times New Roman" w:eastAsia="宋体" w:cs="Times New Roman"/>
                      <w:b/>
                      <w:bCs/>
                      <w:u w:val="none"/>
                    </w:rPr>
                    <w:t>实测</w:t>
                  </w:r>
                </w:p>
              </w:tc>
              <w:tc>
                <w:tcPr>
                  <w:tcW w:w="1267" w:type="dxa"/>
                  <w:noWrap w:val="0"/>
                  <w:vAlign w:val="center"/>
                </w:tcPr>
                <w:p>
                  <w:pPr>
                    <w:pStyle w:val="147"/>
                    <w:spacing w:line="300" w:lineRule="exact"/>
                    <w:rPr>
                      <w:rFonts w:hint="eastAsia" w:ascii="Times New Roman" w:hAnsi="Times New Roman" w:eastAsia="宋体" w:cs="Times New Roman"/>
                      <w:b/>
                      <w:bCs/>
                      <w:u w:val="none"/>
                      <w:lang w:eastAsia="zh-CN"/>
                    </w:rPr>
                  </w:pPr>
                  <w:r>
                    <w:rPr>
                      <w:rFonts w:hint="eastAsia" w:ascii="Times New Roman" w:hAnsi="Times New Roman" w:eastAsia="宋体" w:cs="Times New Roman"/>
                      <w:b/>
                      <w:bCs/>
                      <w:u w:val="none"/>
                      <w:lang w:eastAsia="zh-CN"/>
                    </w:rPr>
                    <w:t>是否符合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埋地油罐</w:t>
                  </w:r>
                </w:p>
              </w:tc>
              <w:tc>
                <w:tcPr>
                  <w:tcW w:w="80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汽油</w:t>
                  </w:r>
                </w:p>
              </w:tc>
              <w:tc>
                <w:tcPr>
                  <w:tcW w:w="3073"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柴油罐</w:t>
                  </w:r>
                </w:p>
              </w:tc>
              <w:tc>
                <w:tcPr>
                  <w:tcW w:w="1375"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0.5</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1.0</w:t>
                  </w:r>
                </w:p>
              </w:tc>
              <w:tc>
                <w:tcPr>
                  <w:tcW w:w="1267" w:type="dxa"/>
                  <w:noWrap w:val="0"/>
                  <w:vAlign w:val="center"/>
                </w:tcPr>
                <w:p>
                  <w:pPr>
                    <w:pStyle w:val="147"/>
                    <w:spacing w:line="300" w:lineRule="exact"/>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4</w:t>
                  </w:r>
                </w:p>
              </w:tc>
              <w:tc>
                <w:tcPr>
                  <w:tcW w:w="1438"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eastAsia" w:hAnsi="Times New Roman" w:eastAsia="宋体" w:cs="Times New Roman"/>
                      <w:b w:val="0"/>
                      <w:bCs w:val="0"/>
                      <w:color w:val="000000"/>
                      <w:kern w:val="2"/>
                      <w:sz w:val="21"/>
                      <w:szCs w:val="21"/>
                      <w:u w:val="none"/>
                      <w:lang w:val="en-US" w:eastAsia="zh-CN" w:bidi="ar-SA"/>
                    </w:rPr>
                    <w:t>5.5</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燃煤锅炉房</w:t>
                  </w:r>
                  <w:r>
                    <w:rPr>
                      <w:rFonts w:hint="eastAsia" w:ascii="Times New Roman" w:hAnsi="Times New Roman" w:eastAsia="宋体" w:cs="Times New Roman"/>
                      <w:b w:val="0"/>
                      <w:bCs w:val="0"/>
                      <w:u w:val="none"/>
                      <w:lang w:eastAsia="zh-CN"/>
                    </w:rPr>
                    <w:t>、</w:t>
                  </w:r>
                  <w:r>
                    <w:rPr>
                      <w:rFonts w:hint="default" w:ascii="Times New Roman" w:hAnsi="Times New Roman" w:eastAsia="宋体" w:cs="Times New Roman"/>
                      <w:b w:val="0"/>
                      <w:bCs w:val="0"/>
                      <w:u w:val="none"/>
                    </w:rPr>
                    <w:t>燃煤厨房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18.5</w:t>
                  </w:r>
                </w:p>
              </w:tc>
              <w:tc>
                <w:tcPr>
                  <w:tcW w:w="1438"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highlight w:val="none"/>
                      <w:u w:val="none"/>
                    </w:rPr>
                  </w:pPr>
                  <w:r>
                    <w:rPr>
                      <w:rFonts w:hint="default" w:ascii="Times New Roman" w:hAnsi="Times New Roman" w:eastAsia="宋体" w:cs="Times New Roman"/>
                      <w:b w:val="0"/>
                      <w:bCs w:val="0"/>
                      <w:highlight w:val="none"/>
                      <w:u w:val="none"/>
                    </w:rPr>
                    <w:t>燃气（油）设备房间</w:t>
                  </w:r>
                </w:p>
              </w:tc>
              <w:tc>
                <w:tcPr>
                  <w:tcW w:w="1375" w:type="dxa"/>
                  <w:noWrap w:val="0"/>
                  <w:vAlign w:val="center"/>
                </w:tcPr>
                <w:p>
                  <w:pPr>
                    <w:pStyle w:val="147"/>
                    <w:spacing w:line="300" w:lineRule="exact"/>
                    <w:rPr>
                      <w:rFonts w:hint="default" w:ascii="Times New Roman" w:hAnsi="Times New Roman" w:eastAsia="宋体" w:cs="Times New Roman"/>
                      <w:b w:val="0"/>
                      <w:bCs w:val="0"/>
                      <w:highlight w:val="none"/>
                      <w:u w:val="none"/>
                    </w:rPr>
                  </w:pPr>
                  <w:r>
                    <w:rPr>
                      <w:rFonts w:hint="default" w:ascii="Times New Roman" w:hAnsi="Times New Roman" w:eastAsia="宋体" w:cs="Times New Roman"/>
                      <w:b w:val="0"/>
                      <w:bCs w:val="0"/>
                      <w:highlight w:val="none"/>
                      <w:u w:val="none"/>
                    </w:rPr>
                    <w:t>8</w:t>
                  </w:r>
                </w:p>
              </w:tc>
              <w:tc>
                <w:tcPr>
                  <w:tcW w:w="1438" w:type="dxa"/>
                  <w:noWrap w:val="0"/>
                  <w:vAlign w:val="center"/>
                </w:tcPr>
                <w:p>
                  <w:pPr>
                    <w:pStyle w:val="147"/>
                    <w:spacing w:line="300" w:lineRule="exact"/>
                    <w:rPr>
                      <w:rFonts w:hint="default" w:ascii="Times New Roman" w:hAnsi="Times New Roman" w:eastAsia="宋体" w:cs="Times New Roman"/>
                      <w:b w:val="0"/>
                      <w:bCs w:val="0"/>
                      <w:highlight w:val="none"/>
                      <w:u w:val="none"/>
                      <w:lang w:val="en-US" w:eastAsia="zh-CN"/>
                    </w:rPr>
                  </w:pPr>
                  <w:r>
                    <w:rPr>
                      <w:rFonts w:hint="eastAsia" w:ascii="Times New Roman" w:hAnsi="Times New Roman" w:eastAsia="宋体" w:cs="Times New Roman"/>
                      <w:b w:val="0"/>
                      <w:bCs w:val="0"/>
                      <w:highlight w:val="none"/>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站区</w:t>
                  </w:r>
                  <w:r>
                    <w:rPr>
                      <w:rFonts w:hint="default" w:ascii="Times New Roman" w:hAnsi="Times New Roman" w:eastAsia="宋体" w:cs="Times New Roman"/>
                      <w:b w:val="0"/>
                      <w:bCs w:val="0"/>
                      <w:u w:val="none"/>
                    </w:rPr>
                    <w:t>围墙</w:t>
                  </w:r>
                  <w:r>
                    <w:rPr>
                      <w:rFonts w:hint="eastAsia" w:ascii="Times New Roman" w:hAnsi="Times New Roman" w:eastAsia="宋体" w:cs="Times New Roman"/>
                      <w:b w:val="0"/>
                      <w:bCs w:val="0"/>
                      <w:u w:val="none"/>
                      <w:lang w:eastAsia="zh-CN"/>
                    </w:rPr>
                    <w:t>（北侧）</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3</w:t>
                  </w:r>
                </w:p>
              </w:tc>
              <w:tc>
                <w:tcPr>
                  <w:tcW w:w="1438" w:type="dxa"/>
                  <w:noWrap w:val="0"/>
                  <w:vAlign w:val="center"/>
                </w:tcPr>
                <w:p>
                  <w:pPr>
                    <w:pStyle w:val="147"/>
                    <w:spacing w:line="300" w:lineRule="exact"/>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3</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柴油</w:t>
                  </w:r>
                </w:p>
              </w:tc>
              <w:tc>
                <w:tcPr>
                  <w:tcW w:w="3073"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汽油罐</w:t>
                  </w:r>
                </w:p>
              </w:tc>
              <w:tc>
                <w:tcPr>
                  <w:tcW w:w="1375"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0.5</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1.0</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3</w:t>
                  </w:r>
                </w:p>
              </w:tc>
              <w:tc>
                <w:tcPr>
                  <w:tcW w:w="1438"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eastAsia" w:hAnsi="Times New Roman" w:eastAsia="宋体" w:cs="Times New Roman"/>
                      <w:b w:val="0"/>
                      <w:bCs w:val="0"/>
                      <w:color w:val="000000"/>
                      <w:kern w:val="2"/>
                      <w:sz w:val="21"/>
                      <w:szCs w:val="21"/>
                      <w:u w:val="none"/>
                      <w:lang w:val="en-US" w:eastAsia="zh-CN" w:bidi="ar-SA"/>
                    </w:rPr>
                    <w:t>9.0</w:t>
                  </w:r>
                </w:p>
              </w:tc>
              <w:tc>
                <w:tcPr>
                  <w:tcW w:w="1267"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燃煤锅炉房、燃煤厨房</w:t>
                  </w:r>
                </w:p>
              </w:tc>
              <w:tc>
                <w:tcPr>
                  <w:tcW w:w="1375"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u w:val="none"/>
                    </w:rPr>
                    <w:t>13</w:t>
                  </w:r>
                </w:p>
              </w:tc>
              <w:tc>
                <w:tcPr>
                  <w:tcW w:w="1438"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highlight w:val="none"/>
                      <w:u w:val="none"/>
                    </w:rPr>
                  </w:pPr>
                  <w:r>
                    <w:rPr>
                      <w:rFonts w:hint="default" w:ascii="Times New Roman" w:hAnsi="Times New Roman" w:eastAsia="宋体" w:cs="Times New Roman"/>
                      <w:b w:val="0"/>
                      <w:bCs w:val="0"/>
                      <w:highlight w:val="none"/>
                      <w:u w:val="none"/>
                    </w:rPr>
                    <w:t>燃气（油）设备房间</w:t>
                  </w:r>
                </w:p>
              </w:tc>
              <w:tc>
                <w:tcPr>
                  <w:tcW w:w="1375" w:type="dxa"/>
                  <w:noWrap w:val="0"/>
                  <w:vAlign w:val="center"/>
                </w:tcPr>
                <w:p>
                  <w:pPr>
                    <w:pStyle w:val="147"/>
                    <w:spacing w:line="300" w:lineRule="exact"/>
                    <w:rPr>
                      <w:rFonts w:hint="default" w:ascii="Times New Roman" w:hAnsi="Times New Roman" w:eastAsia="宋体" w:cs="Times New Roman"/>
                      <w:b w:val="0"/>
                      <w:bCs w:val="0"/>
                      <w:highlight w:val="none"/>
                      <w:u w:val="none"/>
                    </w:rPr>
                  </w:pPr>
                  <w:r>
                    <w:rPr>
                      <w:rFonts w:hint="default" w:ascii="Times New Roman" w:hAnsi="Times New Roman" w:eastAsia="宋体" w:cs="Times New Roman"/>
                      <w:b w:val="0"/>
                      <w:bCs w:val="0"/>
                      <w:highlight w:val="none"/>
                      <w:u w:val="none"/>
                    </w:rPr>
                    <w:t>6</w:t>
                  </w:r>
                </w:p>
              </w:tc>
              <w:tc>
                <w:tcPr>
                  <w:tcW w:w="1438" w:type="dxa"/>
                  <w:noWrap w:val="0"/>
                  <w:vAlign w:val="center"/>
                </w:tcPr>
                <w:p>
                  <w:pPr>
                    <w:pStyle w:val="147"/>
                    <w:spacing w:line="300" w:lineRule="exact"/>
                    <w:rPr>
                      <w:rFonts w:hint="default" w:ascii="Times New Roman" w:hAnsi="Times New Roman" w:eastAsia="宋体" w:cs="Times New Roman"/>
                      <w:b w:val="0"/>
                      <w:bCs w:val="0"/>
                      <w:highlight w:val="none"/>
                      <w:u w:val="none"/>
                      <w:lang w:val="en-US" w:eastAsia="zh-CN"/>
                    </w:rPr>
                  </w:pPr>
                  <w:r>
                    <w:rPr>
                      <w:rFonts w:hint="eastAsia" w:ascii="Times New Roman" w:hAnsi="Times New Roman" w:eastAsia="宋体" w:cs="Times New Roman"/>
                      <w:b w:val="0"/>
                      <w:bCs w:val="0"/>
                      <w:highlight w:val="none"/>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站区</w:t>
                  </w:r>
                  <w:r>
                    <w:rPr>
                      <w:rFonts w:hint="default" w:ascii="Times New Roman" w:hAnsi="Times New Roman" w:eastAsia="宋体" w:cs="Times New Roman"/>
                      <w:b w:val="0"/>
                      <w:bCs w:val="0"/>
                      <w:u w:val="none"/>
                    </w:rPr>
                    <w:t>围墙</w:t>
                  </w:r>
                  <w:r>
                    <w:rPr>
                      <w:rFonts w:hint="eastAsia" w:ascii="Times New Roman" w:hAnsi="Times New Roman" w:eastAsia="宋体" w:cs="Times New Roman"/>
                      <w:b w:val="0"/>
                      <w:bCs w:val="0"/>
                      <w:u w:val="none"/>
                      <w:lang w:eastAsia="zh-CN"/>
                    </w:rPr>
                    <w:t>（北侧）</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2</w:t>
                  </w:r>
                </w:p>
              </w:tc>
              <w:tc>
                <w:tcPr>
                  <w:tcW w:w="1438" w:type="dxa"/>
                  <w:noWrap w:val="0"/>
                  <w:vAlign w:val="center"/>
                </w:tcPr>
                <w:p>
                  <w:pPr>
                    <w:pStyle w:val="147"/>
                    <w:spacing w:line="300" w:lineRule="exact"/>
                    <w:rPr>
                      <w:rFonts w:hint="eastAsia"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3</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通气管管口</w:t>
                  </w:r>
                </w:p>
              </w:tc>
              <w:tc>
                <w:tcPr>
                  <w:tcW w:w="80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汽油</w:t>
                  </w: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4</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7.9</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燃煤锅炉房、燃煤厨房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18.5</w:t>
                  </w:r>
                </w:p>
              </w:tc>
              <w:tc>
                <w:tcPr>
                  <w:tcW w:w="1438"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燃气（油）设备房间</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8</w:t>
                  </w:r>
                </w:p>
              </w:tc>
              <w:tc>
                <w:tcPr>
                  <w:tcW w:w="1438"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密闭卸油点</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3</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10.8</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站区</w:t>
                  </w:r>
                  <w:r>
                    <w:rPr>
                      <w:rFonts w:hint="default" w:ascii="Times New Roman" w:hAnsi="Times New Roman" w:eastAsia="宋体" w:cs="Times New Roman"/>
                      <w:b w:val="0"/>
                      <w:bCs w:val="0"/>
                      <w:u w:val="none"/>
                    </w:rPr>
                    <w:t>围墙</w:t>
                  </w:r>
                  <w:r>
                    <w:rPr>
                      <w:rFonts w:hint="eastAsia" w:ascii="Times New Roman" w:hAnsi="Times New Roman" w:eastAsia="宋体" w:cs="Times New Roman"/>
                      <w:b w:val="0"/>
                      <w:bCs w:val="0"/>
                      <w:u w:val="none"/>
                      <w:lang w:eastAsia="zh-CN"/>
                    </w:rPr>
                    <w:t>（北侧</w:t>
                  </w:r>
                  <w:r>
                    <w:rPr>
                      <w:rFonts w:hint="eastAsia" w:hAnsi="Times New Roman" w:eastAsia="宋体" w:cs="Times New Roman"/>
                      <w:b w:val="0"/>
                      <w:bCs w:val="0"/>
                      <w:u w:val="none"/>
                      <w:lang w:eastAsia="zh-CN"/>
                    </w:rPr>
                    <w:t>）</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3</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3.0</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柴油</w:t>
                  </w: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3.5</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8.0</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燃煤锅炉房、燃煤厨房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13</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燃气（油）设备房间</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6</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密闭卸油点</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2</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10.9</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3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801" w:type="dxa"/>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站区</w:t>
                  </w:r>
                  <w:r>
                    <w:rPr>
                      <w:rFonts w:hint="default" w:ascii="Times New Roman" w:hAnsi="Times New Roman" w:eastAsia="宋体" w:cs="Times New Roman"/>
                      <w:b w:val="0"/>
                      <w:bCs w:val="0"/>
                      <w:u w:val="none"/>
                    </w:rPr>
                    <w:t>围墙</w:t>
                  </w:r>
                  <w:r>
                    <w:rPr>
                      <w:rFonts w:hint="eastAsia" w:ascii="Times New Roman" w:hAnsi="Times New Roman" w:eastAsia="宋体" w:cs="Times New Roman"/>
                      <w:b w:val="0"/>
                      <w:bCs w:val="0"/>
                      <w:u w:val="none"/>
                      <w:lang w:eastAsia="zh-CN"/>
                    </w:rPr>
                    <w:t>（北侧）</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2</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3.0</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密闭卸油点</w:t>
                  </w: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5</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5.0</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燃煤锅炉房、燃煤厨房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15</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default" w:ascii="Times New Roman" w:hAnsi="Times New Roman" w:eastAsia="宋体" w:cs="Times New Roman"/>
                      <w:b w:val="0"/>
                      <w:bCs w:val="0"/>
                      <w:u w:val="none"/>
                    </w:rPr>
                    <w:t>燃气（油）</w:t>
                  </w:r>
                  <w:r>
                    <w:rPr>
                      <w:rFonts w:hint="eastAsia" w:ascii="Times New Roman" w:hAnsi="Times New Roman" w:eastAsia="宋体" w:cs="Times New Roman"/>
                      <w:b w:val="0"/>
                      <w:bCs w:val="0"/>
                      <w:u w:val="none"/>
                      <w:lang w:eastAsia="zh-CN"/>
                    </w:rPr>
                    <w:t>设备房间</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8</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restart"/>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加油机</w:t>
                  </w: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站房</w:t>
                  </w:r>
                </w:p>
              </w:tc>
              <w:tc>
                <w:tcPr>
                  <w:tcW w:w="1375"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5</w:t>
                  </w:r>
                </w:p>
              </w:tc>
              <w:tc>
                <w:tcPr>
                  <w:tcW w:w="1438" w:type="dxa"/>
                  <w:noWrap w:val="0"/>
                  <w:vAlign w:val="center"/>
                </w:tcPr>
                <w:p>
                  <w:pPr>
                    <w:pStyle w:val="147"/>
                    <w:spacing w:line="300" w:lineRule="exact"/>
                    <w:rPr>
                      <w:rFonts w:hint="default" w:ascii="Times New Roman" w:hAnsi="Times New Roman" w:eastAsia="宋体" w:cs="Times New Roman"/>
                      <w:b w:val="0"/>
                      <w:bCs w:val="0"/>
                      <w:u w:val="none"/>
                      <w:lang w:val="en-US" w:eastAsia="zh-CN"/>
                    </w:rPr>
                  </w:pPr>
                  <w:r>
                    <w:rPr>
                      <w:rFonts w:hint="eastAsia" w:ascii="Times New Roman" w:hAnsi="Times New Roman" w:eastAsia="宋体" w:cs="Times New Roman"/>
                      <w:b w:val="0"/>
                      <w:bCs w:val="0"/>
                      <w:u w:val="none"/>
                      <w:lang w:val="en-US" w:eastAsia="zh-CN"/>
                    </w:rPr>
                    <w:t>5.5</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燃煤锅炉房、燃煤厨房</w:t>
                  </w:r>
                </w:p>
              </w:tc>
              <w:tc>
                <w:tcPr>
                  <w:tcW w:w="1375"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default" w:ascii="Times New Roman" w:hAnsi="Times New Roman" w:eastAsia="宋体" w:cs="Times New Roman"/>
                      <w:b w:val="0"/>
                      <w:bCs w:val="0"/>
                      <w:u w:val="none"/>
                    </w:rPr>
                    <w:t>15</w:t>
                  </w:r>
                  <w:r>
                    <w:rPr>
                      <w:rFonts w:hint="eastAsia" w:ascii="Times New Roman" w:hAnsi="Times New Roman" w:eastAsia="宋体" w:cs="Times New Roman"/>
                      <w:b w:val="0"/>
                      <w:bCs w:val="0"/>
                      <w:u w:val="none"/>
                      <w:lang w:eastAsia="zh-CN"/>
                    </w:rPr>
                    <w:t>（</w:t>
                  </w:r>
                  <w:r>
                    <w:rPr>
                      <w:rFonts w:hint="eastAsia" w:ascii="Times New Roman" w:hAnsi="Times New Roman" w:eastAsia="宋体" w:cs="Times New Roman"/>
                      <w:b w:val="0"/>
                      <w:bCs w:val="0"/>
                      <w:u w:val="none"/>
                      <w:lang w:val="en-US" w:eastAsia="zh-CN"/>
                    </w:rPr>
                    <w:t>10</w:t>
                  </w:r>
                  <w:r>
                    <w:rPr>
                      <w:rFonts w:hint="eastAsia" w:ascii="Times New Roman" w:hAnsi="Times New Roman" w:eastAsia="宋体" w:cs="Times New Roman"/>
                      <w:b w:val="0"/>
                      <w:bCs w:val="0"/>
                      <w:u w:val="none"/>
                      <w:lang w:eastAsia="zh-CN"/>
                    </w:rPr>
                    <w:t>）</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32" w:type="dxa"/>
                  <w:gridSpan w:val="2"/>
                  <w:vMerge w:val="continue"/>
                  <w:noWrap w:val="0"/>
                  <w:vAlign w:val="center"/>
                </w:tcPr>
                <w:p>
                  <w:pPr>
                    <w:pStyle w:val="147"/>
                    <w:spacing w:line="300" w:lineRule="exact"/>
                    <w:rPr>
                      <w:rFonts w:hint="default" w:ascii="Times New Roman" w:hAnsi="Times New Roman" w:eastAsia="宋体" w:cs="Times New Roman"/>
                      <w:b w:val="0"/>
                      <w:bCs w:val="0"/>
                      <w:u w:val="none"/>
                    </w:rPr>
                  </w:pPr>
                </w:p>
              </w:tc>
              <w:tc>
                <w:tcPr>
                  <w:tcW w:w="3073" w:type="dxa"/>
                  <w:noWrap w:val="0"/>
                  <w:vAlign w:val="center"/>
                </w:tcPr>
                <w:p>
                  <w:pPr>
                    <w:pStyle w:val="147"/>
                    <w:spacing w:line="300" w:lineRule="exact"/>
                    <w:rPr>
                      <w:rFonts w:hint="default" w:ascii="Times New Roman" w:hAnsi="Times New Roman" w:eastAsia="宋体" w:cs="Times New Roman"/>
                      <w:b w:val="0"/>
                      <w:bCs w:val="0"/>
                      <w:u w:val="none"/>
                    </w:rPr>
                  </w:pPr>
                  <w:r>
                    <w:rPr>
                      <w:rFonts w:hint="default" w:ascii="Times New Roman" w:hAnsi="Times New Roman" w:eastAsia="宋体" w:cs="Times New Roman"/>
                      <w:b w:val="0"/>
                      <w:bCs w:val="0"/>
                      <w:u w:val="none"/>
                    </w:rPr>
                    <w:t>燃气（油）</w:t>
                  </w:r>
                  <w:r>
                    <w:rPr>
                      <w:rFonts w:hint="eastAsia" w:ascii="Times New Roman" w:hAnsi="Times New Roman" w:eastAsia="宋体" w:cs="Times New Roman"/>
                      <w:b w:val="0"/>
                      <w:bCs w:val="0"/>
                      <w:u w:val="none"/>
                      <w:lang w:eastAsia="zh-CN"/>
                    </w:rPr>
                    <w:t>设备房间</w:t>
                  </w:r>
                </w:p>
              </w:tc>
              <w:tc>
                <w:tcPr>
                  <w:tcW w:w="1375" w:type="dxa"/>
                  <w:noWrap w:val="0"/>
                  <w:vAlign w:val="center"/>
                </w:tcPr>
                <w:p>
                  <w:pPr>
                    <w:pStyle w:val="147"/>
                    <w:spacing w:line="300" w:lineRule="exact"/>
                    <w:rPr>
                      <w:rFonts w:hint="eastAsia" w:ascii="Times New Roman" w:hAnsi="Times New Roman" w:eastAsia="宋体" w:cs="Times New Roman"/>
                      <w:b w:val="0"/>
                      <w:bCs w:val="0"/>
                      <w:u w:val="none"/>
                      <w:lang w:eastAsia="zh-CN"/>
                    </w:rPr>
                  </w:pPr>
                  <w:r>
                    <w:rPr>
                      <w:rFonts w:hint="default" w:ascii="Times New Roman" w:hAnsi="Times New Roman" w:eastAsia="宋体" w:cs="Times New Roman"/>
                      <w:b w:val="0"/>
                      <w:bCs w:val="0"/>
                      <w:u w:val="none"/>
                    </w:rPr>
                    <w:t>8</w:t>
                  </w:r>
                  <w:r>
                    <w:rPr>
                      <w:rFonts w:hint="eastAsia" w:ascii="Times New Roman" w:hAnsi="Times New Roman" w:eastAsia="宋体" w:cs="Times New Roman"/>
                      <w:b w:val="0"/>
                      <w:bCs w:val="0"/>
                      <w:u w:val="none"/>
                      <w:lang w:eastAsia="zh-CN"/>
                    </w:rPr>
                    <w:t>（</w:t>
                  </w:r>
                  <w:r>
                    <w:rPr>
                      <w:rFonts w:hint="eastAsia" w:ascii="Times New Roman" w:hAnsi="Times New Roman" w:eastAsia="宋体" w:cs="Times New Roman"/>
                      <w:b w:val="0"/>
                      <w:bCs w:val="0"/>
                      <w:u w:val="none"/>
                      <w:lang w:val="en-US" w:eastAsia="zh-CN"/>
                    </w:rPr>
                    <w:t>6</w:t>
                  </w:r>
                  <w:r>
                    <w:rPr>
                      <w:rFonts w:hint="eastAsia" w:ascii="Times New Roman" w:hAnsi="Times New Roman" w:eastAsia="宋体" w:cs="Times New Roman"/>
                      <w:b w:val="0"/>
                      <w:bCs w:val="0"/>
                      <w:u w:val="none"/>
                      <w:lang w:eastAsia="zh-CN"/>
                    </w:rPr>
                    <w:t>）</w:t>
                  </w:r>
                </w:p>
              </w:tc>
              <w:tc>
                <w:tcPr>
                  <w:tcW w:w="1438"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c>
                <w:tcPr>
                  <w:tcW w:w="1267" w:type="dxa"/>
                  <w:noWrap w:val="0"/>
                  <w:vAlign w:val="center"/>
                </w:tcPr>
                <w:p>
                  <w:pPr>
                    <w:pStyle w:val="147"/>
                    <w:spacing w:line="300" w:lineRule="exact"/>
                    <w:rPr>
                      <w:rFonts w:hint="default" w:ascii="Times New Roman" w:hAnsi="Times New Roman" w:eastAsia="宋体" w:cs="Times New Roman"/>
                      <w:b w:val="0"/>
                      <w:bCs w:val="0"/>
                      <w:u w:val="none"/>
                    </w:rPr>
                  </w:pPr>
                  <w:r>
                    <w:rPr>
                      <w:rFonts w:hint="eastAsia" w:ascii="Times New Roman" w:hAnsi="Times New Roman" w:eastAsia="宋体" w:cs="Times New Roman"/>
                      <w:b w:val="0"/>
                      <w:bCs w:val="0"/>
                      <w:u w:val="none"/>
                      <w:lang w:eastAsia="zh-CN"/>
                    </w:rPr>
                    <w:t>—</w:t>
                  </w:r>
                </w:p>
              </w:tc>
            </w:tr>
          </w:tbl>
          <w:p>
            <w:pPr>
              <w:spacing w:line="500" w:lineRule="exact"/>
              <w:ind w:firstLine="480" w:firstLineChars="200"/>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rPr>
              <w:t>注：“-”为该项目不涉及。</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rPr>
              <w:t>本项目设置卸油和加油油气回收系统（汽油），根据现场调查，油罐、通气管管口、加油机100m 范围内无重要公共建筑物。项目站区内汽油设备、柴油设备与站外建（构）筑物的距离和站内设施的距离均能够满足《汽车加油加气站设计与施工规范》（GB50156-2012）（2014 年局部修订版）关于站内汽油设备、柴油设备与站外建（构）筑物的安全间距和站内设备的防火间距的要求。</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jc w:val="both"/>
              <w:textAlignment w:val="auto"/>
              <w:rPr>
                <w:rFonts w:hint="eastAsia" w:ascii="Times New Roman" w:hAnsi="Times New Roman" w:eastAsia="宋体" w:cs="Times New Roman"/>
                <w:b w:val="0"/>
                <w:bCs w:val="0"/>
                <w:kern w:val="2"/>
                <w:sz w:val="24"/>
                <w:szCs w:val="24"/>
                <w:u w:val="none"/>
                <w:lang w:val="en-US" w:eastAsia="zh-CN" w:bidi="ar-SA"/>
              </w:rPr>
            </w:pPr>
            <w:r>
              <w:rPr>
                <w:rFonts w:hint="eastAsia" w:ascii="Times New Roman" w:hAnsi="Times New Roman" w:eastAsia="宋体" w:cs="Times New Roman"/>
                <w:b w:val="0"/>
                <w:bCs w:val="0"/>
                <w:kern w:val="2"/>
                <w:sz w:val="24"/>
                <w:szCs w:val="24"/>
                <w:u w:val="none"/>
                <w:lang w:val="en-US" w:eastAsia="zh-CN" w:bidi="ar-SA"/>
              </w:rPr>
              <w:t>新乡市凤泉区利民加油</w:t>
            </w:r>
            <w:r>
              <w:rPr>
                <w:rFonts w:hint="eastAsia" w:ascii="Times New Roman" w:hAnsi="Times New Roman" w:cs="Times New Roman"/>
                <w:b w:val="0"/>
                <w:bCs w:val="0"/>
                <w:kern w:val="2"/>
                <w:sz w:val="24"/>
                <w:szCs w:val="24"/>
                <w:u w:val="none"/>
                <w:lang w:val="en-US" w:eastAsia="zh-CN" w:bidi="ar-SA"/>
              </w:rPr>
              <w:t>于</w:t>
            </w:r>
            <w:r>
              <w:rPr>
                <w:rFonts w:hint="eastAsia" w:ascii="Times New Roman" w:hAnsi="Times New Roman" w:eastAsia="宋体" w:cs="Times New Roman"/>
                <w:b w:val="0"/>
                <w:bCs w:val="0"/>
                <w:kern w:val="2"/>
                <w:sz w:val="24"/>
                <w:szCs w:val="24"/>
                <w:u w:val="none"/>
                <w:lang w:val="en-US" w:eastAsia="zh-CN" w:bidi="ar-SA"/>
              </w:rPr>
              <w:t>2015年5月</w:t>
            </w:r>
            <w:r>
              <w:rPr>
                <w:rFonts w:hint="eastAsia" w:ascii="Times New Roman" w:hAnsi="Times New Roman" w:cs="Times New Roman"/>
                <w:b w:val="0"/>
                <w:bCs w:val="0"/>
                <w:kern w:val="2"/>
                <w:sz w:val="24"/>
                <w:szCs w:val="24"/>
                <w:u w:val="none"/>
                <w:lang w:val="en-US" w:eastAsia="zh-CN" w:bidi="ar-SA"/>
              </w:rPr>
              <w:t>编制了危险化学品经营单位建设项目安全设计审查申请资料，文中</w:t>
            </w:r>
            <w:r>
              <w:rPr>
                <w:rFonts w:hint="eastAsia" w:ascii="Times New Roman" w:hAnsi="Times New Roman" w:eastAsia="宋体" w:cs="Times New Roman"/>
                <w:b w:val="0"/>
                <w:bCs w:val="0"/>
                <w:kern w:val="2"/>
                <w:sz w:val="24"/>
                <w:szCs w:val="24"/>
                <w:u w:val="none"/>
                <w:lang w:val="en-US" w:eastAsia="zh-CN" w:bidi="ar-SA"/>
              </w:rPr>
              <w:t>安全设施设计专篇</w:t>
            </w:r>
            <w:r>
              <w:rPr>
                <w:rFonts w:hint="eastAsia" w:ascii="Times New Roman" w:hAnsi="Times New Roman" w:cs="Times New Roman"/>
                <w:b w:val="0"/>
                <w:bCs w:val="0"/>
                <w:kern w:val="2"/>
                <w:sz w:val="24"/>
                <w:szCs w:val="24"/>
                <w:u w:val="none"/>
                <w:lang w:val="en-US" w:eastAsia="zh-CN" w:bidi="ar-SA"/>
              </w:rPr>
              <w:t>由</w:t>
            </w:r>
            <w:r>
              <w:rPr>
                <w:rFonts w:hint="eastAsia" w:ascii="Times New Roman" w:hAnsi="Times New Roman" w:eastAsia="宋体" w:cs="Times New Roman"/>
                <w:b w:val="0"/>
                <w:bCs w:val="0"/>
                <w:kern w:val="2"/>
                <w:sz w:val="24"/>
                <w:szCs w:val="24"/>
                <w:u w:val="none"/>
                <w:lang w:val="en-US" w:eastAsia="zh-CN" w:bidi="ar-SA"/>
              </w:rPr>
              <w:t>郑州开普工程技术有限公司</w:t>
            </w:r>
            <w:r>
              <w:rPr>
                <w:rFonts w:hint="eastAsia" w:ascii="Times New Roman" w:hAnsi="Times New Roman" w:cs="Times New Roman"/>
                <w:b w:val="0"/>
                <w:bCs w:val="0"/>
                <w:kern w:val="2"/>
                <w:sz w:val="24"/>
                <w:szCs w:val="24"/>
                <w:u w:val="none"/>
                <w:lang w:val="en-US" w:eastAsia="zh-CN" w:bidi="ar-SA"/>
              </w:rPr>
              <w:t>负责</w:t>
            </w:r>
            <w:r>
              <w:rPr>
                <w:rFonts w:hint="eastAsia" w:ascii="Times New Roman" w:hAnsi="Times New Roman" w:eastAsia="宋体" w:cs="Times New Roman"/>
                <w:b w:val="0"/>
                <w:bCs w:val="0"/>
                <w:kern w:val="2"/>
                <w:sz w:val="24"/>
                <w:szCs w:val="24"/>
                <w:u w:val="none"/>
                <w:lang w:val="en-US" w:eastAsia="zh-CN" w:bidi="ar-SA"/>
              </w:rPr>
              <w:t>编制，</w:t>
            </w:r>
            <w:r>
              <w:rPr>
                <w:rFonts w:hint="eastAsia" w:ascii="Times New Roman" w:hAnsi="Times New Roman" w:cs="Times New Roman"/>
                <w:b w:val="0"/>
                <w:bCs w:val="0"/>
                <w:kern w:val="2"/>
                <w:sz w:val="24"/>
                <w:szCs w:val="24"/>
                <w:u w:val="none"/>
                <w:lang w:val="en-US" w:eastAsia="zh-CN" w:bidi="ar-SA"/>
              </w:rPr>
              <w:t>根据文件总结可知该加油站的站内设施之间以及站内设备与站外构筑物之间的安全距离均达标。此外</w:t>
            </w:r>
            <w:r>
              <w:rPr>
                <w:rFonts w:hint="eastAsia" w:ascii="Times New Roman" w:hAnsi="Times New Roman" w:eastAsia="宋体" w:cs="Times New Roman"/>
                <w:b w:val="0"/>
                <w:bCs w:val="0"/>
                <w:kern w:val="2"/>
                <w:sz w:val="24"/>
                <w:szCs w:val="24"/>
                <w:u w:val="none"/>
                <w:lang w:val="en-US" w:eastAsia="zh-CN" w:bidi="ar-SA"/>
              </w:rPr>
              <w:t>为保障加油站正式投产后能做到安全运行，该站已建立健全了必要的安全管理制度。建设单位于2019年6月获得了危险化学品经营许可证（见附件7）。</w:t>
            </w:r>
          </w:p>
          <w:p>
            <w:pPr>
              <w:keepNext w:val="0"/>
              <w:keepLines w:val="0"/>
              <w:pageBreakBefore w:val="0"/>
              <w:widowControl w:val="0"/>
              <w:kinsoku/>
              <w:wordWrap/>
              <w:overflowPunct/>
              <w:topLinePunct w:val="0"/>
              <w:autoSpaceDE/>
              <w:autoSpaceDN/>
              <w:bidi w:val="0"/>
              <w:snapToGrid w:val="0"/>
              <w:spacing w:line="520" w:lineRule="exact"/>
              <w:ind w:firstLine="482" w:firstLineChars="200"/>
              <w:textAlignment w:val="auto"/>
              <w:rPr>
                <w:rFonts w:ascii="黑体" w:hAnsi="黑体" w:eastAsia="黑体"/>
                <w:color w:val="000000"/>
                <w:sz w:val="24"/>
                <w:szCs w:val="24"/>
              </w:rPr>
            </w:pPr>
            <w:r>
              <w:rPr>
                <w:rFonts w:hint="eastAsia"/>
                <w:b/>
                <w:color w:val="000000"/>
                <w:sz w:val="24"/>
                <w:szCs w:val="24"/>
                <w:lang w:eastAsia="zh-CN"/>
              </w:rPr>
              <w:t>五</w:t>
            </w:r>
            <w:r>
              <w:rPr>
                <w:rFonts w:hint="eastAsia"/>
                <w:b/>
                <w:color w:val="000000"/>
                <w:sz w:val="24"/>
                <w:szCs w:val="24"/>
              </w:rPr>
              <w:t>、相关政策相符性分析</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color w:val="000000"/>
                <w:sz w:val="24"/>
                <w:szCs w:val="24"/>
              </w:rPr>
            </w:pPr>
            <w:r>
              <w:rPr>
                <w:rFonts w:hint="eastAsia"/>
                <w:b/>
                <w:color w:val="000000"/>
                <w:sz w:val="24"/>
                <w:szCs w:val="24"/>
              </w:rPr>
              <w:t>1</w:t>
            </w:r>
            <w:r>
              <w:rPr>
                <w:b/>
                <w:color w:val="000000"/>
                <w:sz w:val="24"/>
                <w:szCs w:val="24"/>
              </w:rPr>
              <w:t>、与新环[2015]342号文对比分析</w:t>
            </w:r>
          </w:p>
          <w:p>
            <w:pPr>
              <w:keepNext w:val="0"/>
              <w:keepLines w:val="0"/>
              <w:pageBreakBefore w:val="0"/>
              <w:widowControl w:val="0"/>
              <w:kinsoku/>
              <w:wordWrap/>
              <w:overflowPunct/>
              <w:topLinePunct w:val="0"/>
              <w:autoSpaceDE/>
              <w:autoSpaceDN/>
              <w:bidi w:val="0"/>
              <w:spacing w:line="520" w:lineRule="exact"/>
              <w:ind w:firstLine="480" w:firstLineChars="200"/>
              <w:jc w:val="left"/>
              <w:textAlignment w:val="auto"/>
              <w:rPr>
                <w:rFonts w:hint="eastAsia"/>
                <w:b/>
                <w:color w:val="auto"/>
                <w:sz w:val="24"/>
                <w:szCs w:val="24"/>
                <w:lang w:val="en-US" w:eastAsia="zh-CN"/>
              </w:rPr>
            </w:pPr>
            <w:r>
              <w:rPr>
                <w:rFonts w:hint="eastAsia"/>
                <w:color w:val="000000"/>
                <w:sz w:val="24"/>
                <w:szCs w:val="24"/>
              </w:rPr>
              <w:t>本项目</w:t>
            </w:r>
            <w:r>
              <w:rPr>
                <w:color w:val="000000"/>
                <w:sz w:val="24"/>
                <w:szCs w:val="24"/>
              </w:rPr>
              <w:t>与《新乡市环境保护局关于印发深化建设项目环境影响评价审批制度改革实施细则的通知》新环[2015]342号（以下简称《通知》）对照分析见表</w:t>
            </w:r>
            <w:r>
              <w:rPr>
                <w:rFonts w:hint="eastAsia"/>
                <w:color w:val="000000"/>
                <w:sz w:val="24"/>
                <w:szCs w:val="24"/>
                <w:lang w:val="en-US" w:eastAsia="zh-CN"/>
              </w:rPr>
              <w:t>10</w:t>
            </w:r>
            <w:r>
              <w:rPr>
                <w:color w:val="000000"/>
                <w:sz w:val="24"/>
                <w:szCs w:val="24"/>
              </w:rPr>
              <w:t>。</w:t>
            </w:r>
          </w:p>
          <w:p>
            <w:pPr>
              <w:keepNext w:val="0"/>
              <w:keepLines w:val="0"/>
              <w:pageBreakBefore w:val="0"/>
              <w:widowControl w:val="0"/>
              <w:kinsoku/>
              <w:wordWrap/>
              <w:overflowPunct/>
              <w:topLinePunct w:val="0"/>
              <w:autoSpaceDE/>
              <w:autoSpaceDN/>
              <w:bidi w:val="0"/>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w:t>
            </w:r>
            <w:r>
              <w:rPr>
                <w:rFonts w:hint="eastAsia" w:ascii="Times New Roman" w:hAnsi="Times New Roman" w:cs="Times New Roman" w:eastAsiaTheme="majorEastAsia"/>
                <w:b/>
                <w:bCs/>
                <w:color w:val="000000"/>
                <w:sz w:val="24"/>
                <w:szCs w:val="24"/>
                <w:lang w:val="en-US" w:eastAsia="zh-CN"/>
              </w:rPr>
              <w:t>10</w:t>
            </w:r>
            <w:r>
              <w:rPr>
                <w:rFonts w:hint="eastAsia" w:ascii="Times New Roman" w:hAnsi="Times New Roman" w:cs="Times New Roman" w:eastAsiaTheme="majorEastAsia"/>
                <w:b/>
                <w:bCs/>
                <w:color w:val="000000"/>
                <w:sz w:val="24"/>
                <w:szCs w:val="24"/>
                <w:lang w:val="pt-BR"/>
              </w:rPr>
              <w:t xml:space="preserve">        与《通知》对比分析一览表</w:t>
            </w:r>
          </w:p>
          <w:tbl>
            <w:tblPr>
              <w:tblStyle w:val="21"/>
              <w:tblW w:w="491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197"/>
              <w:gridCol w:w="2714"/>
              <w:gridCol w:w="2441"/>
              <w:gridCol w:w="120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2266" w:type="pct"/>
                  <w:gridSpan w:val="2"/>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与本项目相关条文</w:t>
                  </w:r>
                </w:p>
              </w:tc>
              <w:tc>
                <w:tcPr>
                  <w:tcW w:w="1414" w:type="pct"/>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本项目情况</w:t>
                  </w:r>
                </w:p>
              </w:tc>
              <w:tc>
                <w:tcPr>
                  <w:tcW w:w="697" w:type="pct"/>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对比结果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restart"/>
                  <w:noWrap w:val="0"/>
                  <w:vAlign w:val="center"/>
                </w:tcPr>
                <w:p>
                  <w:pPr>
                    <w:jc w:val="center"/>
                    <w:rPr>
                      <w:color w:val="000000"/>
                      <w:sz w:val="21"/>
                      <w:szCs w:val="21"/>
                    </w:rPr>
                  </w:pPr>
                  <w:r>
                    <w:rPr>
                      <w:rFonts w:hint="eastAsia"/>
                      <w:bCs/>
                      <w:color w:val="000000"/>
                      <w:sz w:val="21"/>
                      <w:szCs w:val="21"/>
                    </w:rPr>
                    <w:t>新乡市主体功能区分</w:t>
                  </w:r>
                </w:p>
              </w:tc>
              <w:tc>
                <w:tcPr>
                  <w:tcW w:w="2266" w:type="pct"/>
                  <w:gridSpan w:val="2"/>
                  <w:noWrap w:val="0"/>
                  <w:vAlign w:val="center"/>
                </w:tcPr>
                <w:p>
                  <w:pPr>
                    <w:jc w:val="center"/>
                    <w:rPr>
                      <w:color w:val="000000"/>
                      <w:sz w:val="21"/>
                      <w:szCs w:val="21"/>
                    </w:rPr>
                  </w:pPr>
                  <w:r>
                    <w:rPr>
                      <w:rFonts w:hint="eastAsia"/>
                      <w:bCs/>
                      <w:color w:val="000000"/>
                      <w:sz w:val="21"/>
                      <w:szCs w:val="21"/>
                    </w:rPr>
                    <w:t>城市人居功能区：新乡市市区（含平原城乡一体示范区）、县城建成区、规划区中以居住、商贸、文教科研为主的区域。</w:t>
                  </w:r>
                </w:p>
              </w:tc>
              <w:tc>
                <w:tcPr>
                  <w:tcW w:w="1414" w:type="pct"/>
                  <w:vMerge w:val="restart"/>
                  <w:noWrap w:val="0"/>
                  <w:vAlign w:val="center"/>
                </w:tcPr>
                <w:p>
                  <w:pPr>
                    <w:jc w:val="center"/>
                    <w:rPr>
                      <w:color w:val="000000"/>
                      <w:sz w:val="21"/>
                      <w:szCs w:val="21"/>
                    </w:rPr>
                  </w:pPr>
                  <w:r>
                    <w:rPr>
                      <w:rFonts w:hint="eastAsia"/>
                      <w:bCs/>
                      <w:color w:val="000000"/>
                      <w:sz w:val="21"/>
                      <w:szCs w:val="21"/>
                      <w:lang w:eastAsia="zh-CN"/>
                    </w:rPr>
                    <w:t>本项目位于新乡市凤泉区大块镇东郭村新秀路402号</w:t>
                  </w:r>
                </w:p>
              </w:tc>
              <w:tc>
                <w:tcPr>
                  <w:tcW w:w="697" w:type="pct"/>
                  <w:noWrap w:val="0"/>
                  <w:vAlign w:val="center"/>
                </w:tcPr>
                <w:p>
                  <w:pPr>
                    <w:jc w:val="center"/>
                    <w:rPr>
                      <w:bCs/>
                      <w:color w:val="000000"/>
                      <w:sz w:val="21"/>
                      <w:szCs w:val="21"/>
                    </w:rPr>
                  </w:pPr>
                  <w:r>
                    <w:rPr>
                      <w:rFonts w:hint="eastAsia"/>
                      <w:bCs/>
                      <w:color w:val="000000"/>
                      <w:sz w:val="21"/>
                      <w:szCs w:val="21"/>
                    </w:rP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color w:val="000000"/>
                      <w:sz w:val="21"/>
                      <w:szCs w:val="21"/>
                    </w:rPr>
                  </w:pPr>
                </w:p>
              </w:tc>
              <w:tc>
                <w:tcPr>
                  <w:tcW w:w="2266" w:type="pct"/>
                  <w:gridSpan w:val="2"/>
                  <w:noWrap w:val="0"/>
                  <w:vAlign w:val="center"/>
                </w:tcPr>
                <w:p>
                  <w:pPr>
                    <w:jc w:val="center"/>
                    <w:rPr>
                      <w:color w:val="000000"/>
                      <w:sz w:val="21"/>
                      <w:szCs w:val="21"/>
                    </w:rPr>
                  </w:pPr>
                  <w:r>
                    <w:rPr>
                      <w:rFonts w:hint="eastAsia"/>
                      <w:bCs/>
                      <w:color w:val="000000"/>
                      <w:sz w:val="21"/>
                      <w:szCs w:val="21"/>
                    </w:rPr>
                    <w:t>工业准入优先区：我市范围内的省级产业集聚区、市级人民政府规范设立的专业园区。</w:t>
                  </w:r>
                </w:p>
              </w:tc>
              <w:tc>
                <w:tcPr>
                  <w:tcW w:w="1414" w:type="pct"/>
                  <w:vMerge w:val="continue"/>
                  <w:noWrap w:val="0"/>
                  <w:vAlign w:val="center"/>
                </w:tcPr>
                <w:p>
                  <w:pPr>
                    <w:jc w:val="center"/>
                    <w:rPr>
                      <w:color w:val="000000"/>
                      <w:sz w:val="21"/>
                      <w:szCs w:val="21"/>
                    </w:rPr>
                  </w:pPr>
                </w:p>
              </w:tc>
              <w:tc>
                <w:tcPr>
                  <w:tcW w:w="697" w:type="pct"/>
                  <w:noWrap w:val="0"/>
                  <w:vAlign w:val="center"/>
                </w:tcPr>
                <w:p>
                  <w:pPr>
                    <w:jc w:val="center"/>
                    <w:rPr>
                      <w:bCs/>
                      <w:color w:val="000000"/>
                      <w:sz w:val="21"/>
                      <w:szCs w:val="21"/>
                    </w:rPr>
                  </w:pPr>
                  <w:r>
                    <w:rPr>
                      <w:rFonts w:hint="eastAsia"/>
                      <w:bCs/>
                      <w:color w:val="000000"/>
                      <w:sz w:val="21"/>
                      <w:szCs w:val="21"/>
                    </w:rP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color w:val="000000"/>
                      <w:sz w:val="21"/>
                      <w:szCs w:val="21"/>
                    </w:rPr>
                  </w:pPr>
                </w:p>
              </w:tc>
              <w:tc>
                <w:tcPr>
                  <w:tcW w:w="2266" w:type="pct"/>
                  <w:gridSpan w:val="2"/>
                  <w:noWrap w:val="0"/>
                  <w:vAlign w:val="center"/>
                </w:tcPr>
                <w:p>
                  <w:pPr>
                    <w:jc w:val="center"/>
                    <w:rPr>
                      <w:color w:val="000000"/>
                      <w:sz w:val="21"/>
                      <w:szCs w:val="21"/>
                    </w:rPr>
                  </w:pPr>
                  <w:r>
                    <w:rPr>
                      <w:rFonts w:hint="eastAsia"/>
                      <w:bCs/>
                      <w:color w:val="000000"/>
                      <w:sz w:val="21"/>
                      <w:szCs w:val="21"/>
                    </w:rPr>
                    <w:t>农产品主产区：辉县市、获嘉县、原阳县、延津县、封丘县。（不含产业集聚区、专业园区和县城建成区以及规划区中以居住、商贸、文教科研为主的区域）</w:t>
                  </w:r>
                </w:p>
              </w:tc>
              <w:tc>
                <w:tcPr>
                  <w:tcW w:w="1414" w:type="pct"/>
                  <w:vMerge w:val="continue"/>
                  <w:noWrap w:val="0"/>
                  <w:vAlign w:val="center"/>
                </w:tcPr>
                <w:p>
                  <w:pPr>
                    <w:jc w:val="center"/>
                    <w:rPr>
                      <w:color w:val="000000"/>
                      <w:sz w:val="21"/>
                      <w:szCs w:val="21"/>
                    </w:rPr>
                  </w:pPr>
                </w:p>
              </w:tc>
              <w:tc>
                <w:tcPr>
                  <w:tcW w:w="697" w:type="pct"/>
                  <w:noWrap w:val="0"/>
                  <w:vAlign w:val="center"/>
                </w:tcPr>
                <w:p>
                  <w:pPr>
                    <w:jc w:val="center"/>
                    <w:rPr>
                      <w:bCs/>
                      <w:color w:val="000000"/>
                      <w:sz w:val="21"/>
                      <w:szCs w:val="21"/>
                    </w:rPr>
                  </w:pPr>
                  <w:r>
                    <w:rPr>
                      <w:rFonts w:hint="eastAsia"/>
                      <w:bCs/>
                      <w:color w:val="000000"/>
                      <w:sz w:val="21"/>
                      <w:szCs w:val="21"/>
                      <w:lang w:eastAsia="zh-CN"/>
                    </w:rPr>
                    <w:t>不</w:t>
                  </w:r>
                  <w:r>
                    <w:rPr>
                      <w:rFonts w:hint="eastAsia"/>
                      <w:bCs/>
                      <w:color w:val="000000"/>
                      <w:sz w:val="21"/>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restart"/>
                  <w:noWrap w:val="0"/>
                  <w:vAlign w:val="center"/>
                </w:tcPr>
                <w:p>
                  <w:pPr>
                    <w:jc w:val="center"/>
                    <w:rPr>
                      <w:color w:val="000000"/>
                      <w:sz w:val="21"/>
                      <w:szCs w:val="21"/>
                      <w:highlight w:val="none"/>
                    </w:rPr>
                  </w:pPr>
                  <w:r>
                    <w:rPr>
                      <w:rFonts w:hint="eastAsia"/>
                      <w:bCs/>
                      <w:color w:val="000000"/>
                      <w:sz w:val="21"/>
                      <w:szCs w:val="21"/>
                      <w:highlight w:val="none"/>
                    </w:rPr>
                    <w:t>集中水源地保护区</w:t>
                  </w:r>
                </w:p>
              </w:tc>
              <w:tc>
                <w:tcPr>
                  <w:tcW w:w="693"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新乡市凤泉水厂地下水饮用水源保护区(共8眼井)</w:t>
                  </w:r>
                </w:p>
              </w:tc>
              <w:tc>
                <w:tcPr>
                  <w:tcW w:w="1572" w:type="pct"/>
                  <w:noWrap w:val="0"/>
                  <w:vAlign w:val="center"/>
                </w:tcPr>
                <w:p>
                  <w:pPr>
                    <w:jc w:val="center"/>
                    <w:rPr>
                      <w:color w:val="auto"/>
                      <w:sz w:val="21"/>
                      <w:szCs w:val="21"/>
                      <w:highlight w:val="none"/>
                    </w:rPr>
                  </w:pPr>
                  <w:r>
                    <w:rPr>
                      <w:color w:val="auto"/>
                      <w:sz w:val="21"/>
                      <w:szCs w:val="21"/>
                      <w:highlight w:val="none"/>
                    </w:rPr>
                    <w:t>一级保护区为以水厂东、西两院的院墙为界向外10米以及输水管线两侧10米的区域</w:t>
                  </w:r>
                </w:p>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二级保护区为东以团结路为界，其他三面以水厂院墙为界，向外100米的区域</w:t>
                  </w:r>
                </w:p>
              </w:tc>
              <w:tc>
                <w:tcPr>
                  <w:tcW w:w="1414"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项目距凤泉水厂地下水饮用水源二级保护区边界的距离为</w:t>
                  </w:r>
                  <w:r>
                    <w:rPr>
                      <w:rFonts w:hint="eastAsia"/>
                      <w:color w:val="auto"/>
                      <w:sz w:val="21"/>
                      <w:szCs w:val="21"/>
                      <w:highlight w:val="none"/>
                      <w:lang w:val="en-US" w:eastAsia="zh-CN"/>
                    </w:rPr>
                    <w:t>8163</w:t>
                  </w:r>
                  <w:r>
                    <w:rPr>
                      <w:color w:val="auto"/>
                      <w:sz w:val="21"/>
                      <w:szCs w:val="21"/>
                      <w:highlight w:val="none"/>
                    </w:rPr>
                    <w:t>m</w:t>
                  </w:r>
                </w:p>
              </w:tc>
              <w:tc>
                <w:tcPr>
                  <w:tcW w:w="697" w:type="pct"/>
                  <w:vMerge w:val="restar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不在保护区范围内</w:t>
                  </w:r>
                </w:p>
                <w:p>
                  <w:pPr>
                    <w:jc w:val="center"/>
                    <w:rPr>
                      <w:bCs/>
                      <w:color w:val="000000"/>
                      <w:sz w:val="21"/>
                      <w:szCs w:val="21"/>
                      <w:highlight w:val="none"/>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rFonts w:hint="eastAsia"/>
                      <w:bCs/>
                      <w:color w:val="000000"/>
                      <w:sz w:val="21"/>
                      <w:szCs w:val="21"/>
                      <w:highlight w:val="none"/>
                    </w:rPr>
                  </w:pPr>
                </w:p>
              </w:tc>
              <w:tc>
                <w:tcPr>
                  <w:tcW w:w="693"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南水北调中线工程（孟庄镇段）</w:t>
                  </w:r>
                </w:p>
              </w:tc>
              <w:tc>
                <w:tcPr>
                  <w:tcW w:w="1572" w:type="pct"/>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项目所在区段为南水北调孟庄镇段HZ</w:t>
                  </w:r>
                  <w:r>
                    <w:rPr>
                      <w:rFonts w:hint="eastAsia"/>
                      <w:color w:val="auto"/>
                      <w:sz w:val="21"/>
                      <w:szCs w:val="21"/>
                      <w:highlight w:val="none"/>
                      <w:lang w:val="en-US" w:eastAsia="zh-CN"/>
                    </w:rPr>
                    <w:t>114</w:t>
                  </w:r>
                  <w:r>
                    <w:rPr>
                      <w:color w:val="auto"/>
                      <w:sz w:val="21"/>
                      <w:szCs w:val="21"/>
                      <w:highlight w:val="none"/>
                    </w:rPr>
                    <w:t>+</w:t>
                  </w:r>
                  <w:r>
                    <w:rPr>
                      <w:rFonts w:hint="eastAsia"/>
                      <w:color w:val="auto"/>
                      <w:sz w:val="21"/>
                      <w:szCs w:val="21"/>
                      <w:highlight w:val="none"/>
                      <w:lang w:val="en-US" w:eastAsia="zh-CN"/>
                    </w:rPr>
                    <w:t>000</w:t>
                  </w:r>
                  <w:r>
                    <w:rPr>
                      <w:color w:val="auto"/>
                      <w:sz w:val="21"/>
                      <w:szCs w:val="21"/>
                      <w:highlight w:val="none"/>
                    </w:rPr>
                    <w:t>~HZ</w:t>
                  </w:r>
                  <w:r>
                    <w:rPr>
                      <w:rFonts w:hint="eastAsia"/>
                      <w:color w:val="auto"/>
                      <w:sz w:val="21"/>
                      <w:szCs w:val="21"/>
                      <w:highlight w:val="none"/>
                      <w:lang w:val="en-US" w:eastAsia="zh-CN"/>
                    </w:rPr>
                    <w:t>115</w:t>
                  </w:r>
                  <w:r>
                    <w:rPr>
                      <w:color w:val="auto"/>
                      <w:sz w:val="21"/>
                      <w:szCs w:val="21"/>
                      <w:highlight w:val="none"/>
                    </w:rPr>
                    <w:t>+</w:t>
                  </w:r>
                  <w:r>
                    <w:rPr>
                      <w:rFonts w:hint="eastAsia"/>
                      <w:color w:val="auto"/>
                      <w:sz w:val="21"/>
                      <w:szCs w:val="21"/>
                      <w:highlight w:val="none"/>
                      <w:lang w:val="en-US" w:eastAsia="zh-CN"/>
                    </w:rPr>
                    <w:t>511.1</w:t>
                  </w:r>
                  <w:r>
                    <w:rPr>
                      <w:color w:val="auto"/>
                      <w:sz w:val="21"/>
                      <w:szCs w:val="21"/>
                      <w:highlight w:val="none"/>
                    </w:rPr>
                    <w:t>段，一级保护区宽度50m，二级保护区宽度</w:t>
                  </w:r>
                  <w:r>
                    <w:rPr>
                      <w:rFonts w:hint="eastAsia"/>
                      <w:color w:val="auto"/>
                      <w:sz w:val="21"/>
                      <w:szCs w:val="21"/>
                      <w:highlight w:val="none"/>
                      <w:lang w:val="en-US" w:eastAsia="zh-CN"/>
                    </w:rPr>
                    <w:t>1000</w:t>
                  </w:r>
                  <w:r>
                    <w:rPr>
                      <w:color w:val="auto"/>
                      <w:sz w:val="21"/>
                      <w:szCs w:val="21"/>
                      <w:highlight w:val="none"/>
                    </w:rPr>
                    <w:t>m</w:t>
                  </w:r>
                </w:p>
              </w:tc>
              <w:tc>
                <w:tcPr>
                  <w:tcW w:w="1414"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项目选址距二级保护区边界距离为</w:t>
                  </w:r>
                  <w:r>
                    <w:rPr>
                      <w:rFonts w:hint="eastAsia"/>
                      <w:color w:val="auto"/>
                      <w:sz w:val="21"/>
                      <w:szCs w:val="21"/>
                      <w:highlight w:val="none"/>
                      <w:lang w:val="en-US" w:eastAsia="zh-CN"/>
                    </w:rPr>
                    <w:t>7748</w:t>
                  </w:r>
                  <w:r>
                    <w:rPr>
                      <w:color w:val="auto"/>
                      <w:sz w:val="21"/>
                      <w:szCs w:val="21"/>
                      <w:highlight w:val="none"/>
                    </w:rPr>
                    <w:t>m，项目不在此水源地保护区范围内</w:t>
                  </w:r>
                </w:p>
              </w:tc>
              <w:tc>
                <w:tcPr>
                  <w:tcW w:w="697" w:type="pct"/>
                  <w:vMerge w:val="continue"/>
                  <w:noWrap w:val="0"/>
                  <w:vAlign w:val="center"/>
                </w:tcPr>
                <w:p>
                  <w:pPr>
                    <w:jc w:val="center"/>
                    <w:rPr>
                      <w:rFonts w:hint="eastAsia"/>
                      <w:bCs/>
                      <w:color w:val="000000"/>
                      <w:sz w:val="21"/>
                      <w:szCs w:val="21"/>
                      <w:highlight w:val="none"/>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rFonts w:hint="eastAsia"/>
                      <w:bCs/>
                      <w:color w:val="000000"/>
                      <w:sz w:val="21"/>
                      <w:szCs w:val="21"/>
                      <w:highlight w:val="none"/>
                    </w:rPr>
                  </w:pPr>
                </w:p>
              </w:tc>
              <w:tc>
                <w:tcPr>
                  <w:tcW w:w="693"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孟庄地下水源保护区(共14眼井)</w:t>
                  </w:r>
                </w:p>
              </w:tc>
              <w:tc>
                <w:tcPr>
                  <w:tcW w:w="1572" w:type="pct"/>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一级保护区：取省229省道以南，水井外围150米区域</w:t>
                  </w:r>
                </w:p>
              </w:tc>
              <w:tc>
                <w:tcPr>
                  <w:tcW w:w="1414" w:type="pct"/>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项目距孟庄镇孟庄村地下饮用水</w:t>
                  </w:r>
                  <w:r>
                    <w:rPr>
                      <w:rFonts w:hint="eastAsia"/>
                      <w:color w:val="auto"/>
                      <w:sz w:val="21"/>
                      <w:szCs w:val="21"/>
                      <w:highlight w:val="none"/>
                      <w:lang w:eastAsia="zh-CN"/>
                    </w:rPr>
                    <w:t>一</w:t>
                  </w:r>
                  <w:r>
                    <w:rPr>
                      <w:color w:val="auto"/>
                      <w:sz w:val="21"/>
                      <w:szCs w:val="21"/>
                      <w:highlight w:val="none"/>
                    </w:rPr>
                    <w:t>级保护区边界距离为</w:t>
                  </w:r>
                  <w:r>
                    <w:rPr>
                      <w:rFonts w:hint="eastAsia"/>
                      <w:color w:val="auto"/>
                      <w:sz w:val="21"/>
                      <w:szCs w:val="21"/>
                      <w:highlight w:val="none"/>
                      <w:lang w:val="en-US" w:eastAsia="zh-CN"/>
                    </w:rPr>
                    <w:t>7200</w:t>
                  </w:r>
                  <w:r>
                    <w:rPr>
                      <w:color w:val="auto"/>
                      <w:sz w:val="21"/>
                      <w:szCs w:val="21"/>
                      <w:highlight w:val="none"/>
                    </w:rPr>
                    <w:t>m</w:t>
                  </w:r>
                </w:p>
              </w:tc>
              <w:tc>
                <w:tcPr>
                  <w:tcW w:w="697" w:type="pct"/>
                  <w:vMerge w:val="continue"/>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restart"/>
                  <w:noWrap w:val="0"/>
                  <w:vAlign w:val="center"/>
                </w:tcPr>
                <w:p>
                  <w:pPr>
                    <w:jc w:val="center"/>
                    <w:rPr>
                      <w:color w:val="000000"/>
                      <w:sz w:val="21"/>
                      <w:szCs w:val="21"/>
                    </w:rPr>
                  </w:pPr>
                  <w:r>
                    <w:rPr>
                      <w:rFonts w:hint="eastAsia"/>
                      <w:bCs/>
                      <w:color w:val="000000"/>
                      <w:sz w:val="21"/>
                      <w:szCs w:val="21"/>
                    </w:rPr>
                    <w:t>污染防治（控）重点单元</w:t>
                  </w:r>
                </w:p>
              </w:tc>
              <w:tc>
                <w:tcPr>
                  <w:tcW w:w="693" w:type="pct"/>
                  <w:noWrap w:val="0"/>
                  <w:vAlign w:val="center"/>
                </w:tcPr>
                <w:p>
                  <w:pPr>
                    <w:jc w:val="center"/>
                    <w:rPr>
                      <w:color w:val="000000"/>
                      <w:sz w:val="21"/>
                      <w:szCs w:val="21"/>
                    </w:rPr>
                  </w:pPr>
                  <w:r>
                    <w:rPr>
                      <w:rFonts w:hint="eastAsia"/>
                      <w:color w:val="000000"/>
                      <w:sz w:val="21"/>
                      <w:szCs w:val="21"/>
                    </w:rPr>
                    <w:t>水污染</w:t>
                  </w:r>
                </w:p>
              </w:tc>
              <w:tc>
                <w:tcPr>
                  <w:tcW w:w="1572" w:type="pct"/>
                  <w:noWrap w:val="0"/>
                  <w:vAlign w:val="center"/>
                </w:tcPr>
                <w:p>
                  <w:pPr>
                    <w:jc w:val="center"/>
                    <w:rPr>
                      <w:bCs/>
                      <w:color w:val="000000"/>
                      <w:sz w:val="21"/>
                      <w:szCs w:val="21"/>
                    </w:rPr>
                  </w:pPr>
                  <w:r>
                    <w:rPr>
                      <w:rFonts w:hint="eastAsia"/>
                      <w:bCs/>
                      <w:color w:val="000000"/>
                      <w:sz w:val="21"/>
                      <w:szCs w:val="21"/>
                    </w:rPr>
                    <w:t>卫河流域：新乡市区、新乡县、卫辉市、辉县市、获嘉县</w:t>
                  </w:r>
                </w:p>
              </w:tc>
              <w:tc>
                <w:tcPr>
                  <w:tcW w:w="1414" w:type="pct"/>
                  <w:vMerge w:val="restart"/>
                  <w:noWrap w:val="0"/>
                  <w:vAlign w:val="center"/>
                </w:tcPr>
                <w:p>
                  <w:pPr>
                    <w:jc w:val="center"/>
                    <w:rPr>
                      <w:bCs/>
                      <w:color w:val="000000"/>
                      <w:sz w:val="21"/>
                      <w:szCs w:val="21"/>
                    </w:rPr>
                  </w:pPr>
                  <w:r>
                    <w:rPr>
                      <w:rFonts w:hint="eastAsia"/>
                      <w:bCs/>
                      <w:color w:val="000000"/>
                      <w:sz w:val="21"/>
                      <w:szCs w:val="21"/>
                      <w:lang w:eastAsia="zh-CN"/>
                    </w:rPr>
                    <w:t>本项目位于新乡市凤泉区大块镇东郭村新秀路402号</w:t>
                  </w:r>
                </w:p>
              </w:tc>
              <w:tc>
                <w:tcPr>
                  <w:tcW w:w="697" w:type="pct"/>
                  <w:noWrap w:val="0"/>
                  <w:vAlign w:val="center"/>
                </w:tcPr>
                <w:p>
                  <w:pPr>
                    <w:jc w:val="center"/>
                    <w:rPr>
                      <w:bCs/>
                      <w:color w:val="000000"/>
                      <w:sz w:val="21"/>
                      <w:szCs w:val="21"/>
                    </w:rPr>
                  </w:pPr>
                  <w:r>
                    <w:rPr>
                      <w:rFonts w:hint="eastAsia"/>
                      <w:bCs/>
                      <w:color w:val="000000"/>
                      <w:sz w:val="21"/>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color w:val="000000"/>
                      <w:sz w:val="21"/>
                      <w:szCs w:val="21"/>
                    </w:rPr>
                  </w:pPr>
                </w:p>
              </w:tc>
              <w:tc>
                <w:tcPr>
                  <w:tcW w:w="693" w:type="pct"/>
                  <w:noWrap w:val="0"/>
                  <w:vAlign w:val="center"/>
                </w:tcPr>
                <w:p>
                  <w:pPr>
                    <w:jc w:val="center"/>
                    <w:rPr>
                      <w:bCs/>
                      <w:color w:val="000000"/>
                      <w:sz w:val="21"/>
                      <w:szCs w:val="21"/>
                    </w:rPr>
                  </w:pPr>
                  <w:r>
                    <w:rPr>
                      <w:rFonts w:hint="eastAsia"/>
                      <w:bCs/>
                      <w:color w:val="000000"/>
                      <w:sz w:val="21"/>
                      <w:szCs w:val="21"/>
                    </w:rPr>
                    <w:t>大气污染</w:t>
                  </w:r>
                </w:p>
              </w:tc>
              <w:tc>
                <w:tcPr>
                  <w:tcW w:w="1572" w:type="pct"/>
                  <w:noWrap w:val="0"/>
                  <w:vAlign w:val="center"/>
                </w:tcPr>
                <w:p>
                  <w:pPr>
                    <w:jc w:val="center"/>
                    <w:rPr>
                      <w:bCs/>
                      <w:color w:val="000000"/>
                      <w:sz w:val="21"/>
                      <w:szCs w:val="21"/>
                    </w:rPr>
                  </w:pPr>
                  <w:r>
                    <w:rPr>
                      <w:rFonts w:hint="eastAsia"/>
                      <w:bCs/>
                      <w:color w:val="000000"/>
                      <w:sz w:val="21"/>
                      <w:szCs w:val="21"/>
                    </w:rPr>
                    <w:t>新乡市域全部</w:t>
                  </w:r>
                </w:p>
              </w:tc>
              <w:tc>
                <w:tcPr>
                  <w:tcW w:w="1414" w:type="pct"/>
                  <w:vMerge w:val="continue"/>
                  <w:noWrap w:val="0"/>
                  <w:vAlign w:val="center"/>
                </w:tcPr>
                <w:p>
                  <w:pPr>
                    <w:jc w:val="center"/>
                    <w:rPr>
                      <w:bCs/>
                      <w:color w:val="000000"/>
                      <w:sz w:val="21"/>
                      <w:szCs w:val="21"/>
                    </w:rPr>
                  </w:pPr>
                </w:p>
              </w:tc>
              <w:tc>
                <w:tcPr>
                  <w:tcW w:w="697" w:type="pct"/>
                  <w:noWrap w:val="0"/>
                  <w:vAlign w:val="center"/>
                </w:tcPr>
                <w:p>
                  <w:pPr>
                    <w:jc w:val="center"/>
                    <w:rPr>
                      <w:bCs/>
                      <w:color w:val="000000"/>
                      <w:sz w:val="21"/>
                      <w:szCs w:val="21"/>
                    </w:rPr>
                  </w:pPr>
                  <w:r>
                    <w:rPr>
                      <w:rFonts w:hint="eastAsia"/>
                      <w:bCs/>
                      <w:color w:val="000000"/>
                      <w:sz w:val="21"/>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vMerge w:val="continue"/>
                  <w:noWrap w:val="0"/>
                  <w:vAlign w:val="center"/>
                </w:tcPr>
                <w:p>
                  <w:pPr>
                    <w:jc w:val="center"/>
                    <w:rPr>
                      <w:color w:val="000000"/>
                      <w:sz w:val="21"/>
                      <w:szCs w:val="21"/>
                    </w:rPr>
                  </w:pPr>
                </w:p>
              </w:tc>
              <w:tc>
                <w:tcPr>
                  <w:tcW w:w="693" w:type="pct"/>
                  <w:noWrap w:val="0"/>
                  <w:vAlign w:val="center"/>
                </w:tcPr>
                <w:p>
                  <w:pPr>
                    <w:jc w:val="center"/>
                    <w:rPr>
                      <w:bCs/>
                      <w:color w:val="000000"/>
                      <w:sz w:val="21"/>
                      <w:szCs w:val="21"/>
                    </w:rPr>
                  </w:pPr>
                  <w:r>
                    <w:rPr>
                      <w:rFonts w:hint="eastAsia"/>
                      <w:bCs/>
                      <w:color w:val="000000"/>
                      <w:sz w:val="21"/>
                      <w:szCs w:val="21"/>
                    </w:rPr>
                    <w:t>重金属</w:t>
                  </w:r>
                </w:p>
                <w:p>
                  <w:pPr>
                    <w:jc w:val="center"/>
                    <w:rPr>
                      <w:bCs/>
                      <w:color w:val="000000"/>
                      <w:sz w:val="21"/>
                      <w:szCs w:val="21"/>
                    </w:rPr>
                  </w:pPr>
                  <w:r>
                    <w:rPr>
                      <w:rFonts w:hint="eastAsia"/>
                      <w:bCs/>
                      <w:color w:val="000000"/>
                      <w:sz w:val="21"/>
                      <w:szCs w:val="21"/>
                    </w:rPr>
                    <w:t>污染</w:t>
                  </w:r>
                </w:p>
              </w:tc>
              <w:tc>
                <w:tcPr>
                  <w:tcW w:w="1572" w:type="pct"/>
                  <w:noWrap w:val="0"/>
                  <w:vAlign w:val="center"/>
                </w:tcPr>
                <w:p>
                  <w:pPr>
                    <w:jc w:val="center"/>
                    <w:rPr>
                      <w:bCs/>
                      <w:color w:val="000000"/>
                      <w:sz w:val="21"/>
                      <w:szCs w:val="21"/>
                    </w:rPr>
                  </w:pPr>
                  <w:r>
                    <w:rPr>
                      <w:rFonts w:hint="eastAsia"/>
                      <w:bCs/>
                      <w:color w:val="000000"/>
                      <w:sz w:val="21"/>
                      <w:szCs w:val="21"/>
                    </w:rPr>
                    <w:t>新乡县、凤泉区</w:t>
                  </w:r>
                </w:p>
                <w:p>
                  <w:pPr>
                    <w:jc w:val="center"/>
                    <w:rPr>
                      <w:bCs/>
                      <w:color w:val="000000"/>
                      <w:sz w:val="21"/>
                      <w:szCs w:val="21"/>
                    </w:rPr>
                  </w:pPr>
                  <w:r>
                    <w:rPr>
                      <w:rFonts w:hint="eastAsia"/>
                      <w:bCs/>
                      <w:color w:val="000000"/>
                      <w:sz w:val="21"/>
                      <w:szCs w:val="21"/>
                    </w:rPr>
                    <w:t>（铅镉污染控制区）</w:t>
                  </w:r>
                </w:p>
              </w:tc>
              <w:tc>
                <w:tcPr>
                  <w:tcW w:w="1414" w:type="pct"/>
                  <w:vMerge w:val="continue"/>
                  <w:noWrap w:val="0"/>
                  <w:vAlign w:val="center"/>
                </w:tcPr>
                <w:p>
                  <w:pPr>
                    <w:jc w:val="center"/>
                    <w:rPr>
                      <w:bCs/>
                      <w:color w:val="000000"/>
                      <w:sz w:val="21"/>
                      <w:szCs w:val="21"/>
                    </w:rPr>
                  </w:pPr>
                </w:p>
              </w:tc>
              <w:tc>
                <w:tcPr>
                  <w:tcW w:w="697" w:type="pct"/>
                  <w:noWrap w:val="0"/>
                  <w:vAlign w:val="center"/>
                </w:tcPr>
                <w:p>
                  <w:pPr>
                    <w:jc w:val="center"/>
                    <w:rPr>
                      <w:bCs/>
                      <w:color w:val="000000"/>
                      <w:sz w:val="21"/>
                      <w:szCs w:val="21"/>
                    </w:rPr>
                  </w:pPr>
                  <w:r>
                    <w:rPr>
                      <w:rFonts w:hint="eastAsia"/>
                      <w:bCs/>
                      <w:color w:val="000000"/>
                      <w:sz w:val="21"/>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20" w:type="pct"/>
                  <w:noWrap w:val="0"/>
                  <w:vAlign w:val="center"/>
                </w:tcPr>
                <w:p>
                  <w:pPr>
                    <w:jc w:val="center"/>
                    <w:rPr>
                      <w:bCs/>
                      <w:color w:val="000000"/>
                      <w:sz w:val="21"/>
                      <w:szCs w:val="21"/>
                      <w:highlight w:val="none"/>
                    </w:rPr>
                  </w:pPr>
                  <w:r>
                    <w:rPr>
                      <w:rFonts w:hint="eastAsia"/>
                      <w:bCs/>
                      <w:color w:val="000000"/>
                      <w:sz w:val="21"/>
                      <w:szCs w:val="21"/>
                      <w:highlight w:val="none"/>
                    </w:rPr>
                    <w:t>工业项目</w:t>
                  </w:r>
                </w:p>
                <w:p>
                  <w:pPr>
                    <w:jc w:val="center"/>
                    <w:rPr>
                      <w:color w:val="000000"/>
                      <w:sz w:val="21"/>
                      <w:szCs w:val="21"/>
                      <w:highlight w:val="none"/>
                    </w:rPr>
                  </w:pPr>
                  <w:r>
                    <w:rPr>
                      <w:rFonts w:hint="eastAsia"/>
                      <w:bCs/>
                      <w:color w:val="000000"/>
                      <w:sz w:val="21"/>
                      <w:szCs w:val="21"/>
                      <w:highlight w:val="none"/>
                    </w:rPr>
                    <w:t>分类</w:t>
                  </w:r>
                </w:p>
              </w:tc>
              <w:tc>
                <w:tcPr>
                  <w:tcW w:w="2266" w:type="pct"/>
                  <w:gridSpan w:val="2"/>
                  <w:noWrap w:val="0"/>
                  <w:vAlign w:val="center"/>
                </w:tcPr>
                <w:p>
                  <w:pPr>
                    <w:jc w:val="center"/>
                    <w:rPr>
                      <w:bCs/>
                      <w:color w:val="000000"/>
                      <w:sz w:val="21"/>
                      <w:szCs w:val="21"/>
                      <w:highlight w:val="none"/>
                    </w:rPr>
                  </w:pPr>
                  <w:r>
                    <w:rPr>
                      <w:bCs/>
                      <w:color w:val="000000"/>
                      <w:sz w:val="21"/>
                      <w:szCs w:val="21"/>
                      <w:highlight w:val="none"/>
                    </w:rPr>
                    <w:t>工业项目分类清单</w:t>
                  </w:r>
                  <w:r>
                    <w:rPr>
                      <w:rFonts w:hint="eastAsia"/>
                      <w:bCs/>
                      <w:color w:val="000000"/>
                      <w:sz w:val="21"/>
                      <w:szCs w:val="21"/>
                      <w:highlight w:val="none"/>
                    </w:rPr>
                    <w:t>主要指工业项目，不包括水利、农林牧渔、地址勘察、交通运输及仓储、城市基础设施及房地产、生态保护与环境治理、核与辐射等项目</w:t>
                  </w:r>
                </w:p>
              </w:tc>
              <w:tc>
                <w:tcPr>
                  <w:tcW w:w="1414" w:type="pct"/>
                  <w:noWrap w:val="0"/>
                  <w:vAlign w:val="center"/>
                </w:tcPr>
                <w:p>
                  <w:pPr>
                    <w:jc w:val="center"/>
                    <w:rPr>
                      <w:bCs/>
                      <w:color w:val="000000"/>
                      <w:sz w:val="21"/>
                      <w:szCs w:val="21"/>
                      <w:highlight w:val="none"/>
                    </w:rPr>
                  </w:pPr>
                  <w:r>
                    <w:rPr>
                      <w:rFonts w:hint="eastAsia"/>
                      <w:bCs/>
                      <w:color w:val="000000"/>
                      <w:sz w:val="21"/>
                      <w:szCs w:val="21"/>
                      <w:highlight w:val="none"/>
                    </w:rPr>
                    <w:t>本项目为加油站建设项目，属于社会事业与服务业。</w:t>
                  </w:r>
                </w:p>
              </w:tc>
              <w:tc>
                <w:tcPr>
                  <w:tcW w:w="697" w:type="pct"/>
                  <w:noWrap w:val="0"/>
                  <w:vAlign w:val="center"/>
                </w:tcPr>
                <w:p>
                  <w:pPr>
                    <w:jc w:val="center"/>
                    <w:rPr>
                      <w:color w:val="000000"/>
                      <w:sz w:val="21"/>
                      <w:szCs w:val="21"/>
                      <w:highlight w:val="none"/>
                    </w:rPr>
                  </w:pPr>
                  <w:r>
                    <w:rPr>
                      <w:rFonts w:hint="eastAsia"/>
                      <w:color w:val="000000"/>
                      <w:sz w:val="21"/>
                      <w:szCs w:val="21"/>
                      <w:highlight w:val="none"/>
                    </w:rPr>
                    <w:t>不属于工业项目</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rPr>
            </w:pPr>
            <w:r>
              <w:rPr>
                <w:bCs/>
                <w:color w:val="auto"/>
                <w:sz w:val="24"/>
                <w:szCs w:val="24"/>
              </w:rPr>
              <w:t>由表</w:t>
            </w:r>
            <w:r>
              <w:rPr>
                <w:rFonts w:hint="eastAsia"/>
                <w:bCs/>
                <w:color w:val="auto"/>
                <w:sz w:val="24"/>
                <w:szCs w:val="24"/>
                <w:lang w:val="en-US" w:eastAsia="zh-CN"/>
              </w:rPr>
              <w:t>10</w:t>
            </w:r>
            <w:r>
              <w:rPr>
                <w:bCs/>
                <w:color w:val="auto"/>
                <w:sz w:val="24"/>
                <w:szCs w:val="24"/>
              </w:rPr>
              <w:t>可知，</w:t>
            </w:r>
            <w:r>
              <w:rPr>
                <w:color w:val="auto"/>
                <w:sz w:val="24"/>
              </w:rPr>
              <w:t>本项目不属于《通知》内划定的工业准入优先区、城市人居功能区、农产品主产区和禁止开发区，</w:t>
            </w:r>
            <w:r>
              <w:rPr>
                <w:color w:val="auto"/>
                <w:sz w:val="24"/>
                <w:szCs w:val="24"/>
              </w:rPr>
              <w:t>根据《通知》第四条“相关说明”第3条“本实施细则所列4种类型分区尚未涵盖的区域，参照农产品主产区的环境准入政策执行”的规定，</w:t>
            </w:r>
            <w:r>
              <w:rPr>
                <w:color w:val="auto"/>
                <w:sz w:val="24"/>
              </w:rPr>
              <w:t>本项目参照农产品主产区的环境准入政策要求执行，相符性分析见表</w:t>
            </w:r>
            <w:r>
              <w:rPr>
                <w:rFonts w:hint="eastAsia"/>
                <w:color w:val="auto"/>
                <w:sz w:val="24"/>
                <w:lang w:val="en-US" w:eastAsia="zh-CN"/>
              </w:rPr>
              <w:t>11</w:t>
            </w:r>
            <w:r>
              <w:rPr>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eastAsiaTheme="majorEastAsia"/>
                <w:b/>
                <w:bCs/>
                <w:color w:val="000000"/>
                <w:sz w:val="24"/>
                <w:szCs w:val="24"/>
                <w:lang w:val="pt-BR"/>
              </w:rPr>
            </w:pPr>
            <w:r>
              <w:rPr>
                <w:rFonts w:hint="eastAsia" w:ascii="Times New Roman" w:hAnsi="Times New Roman" w:cs="Times New Roman" w:eastAsiaTheme="majorEastAsia"/>
                <w:b/>
                <w:bCs/>
                <w:color w:val="000000"/>
                <w:sz w:val="24"/>
                <w:szCs w:val="24"/>
                <w:lang w:val="pt-BR"/>
              </w:rPr>
              <w:t>表</w:t>
            </w:r>
            <w:r>
              <w:rPr>
                <w:rFonts w:hint="eastAsia" w:ascii="Times New Roman" w:hAnsi="Times New Roman" w:cs="Times New Roman" w:eastAsiaTheme="majorEastAsia"/>
                <w:b/>
                <w:bCs/>
                <w:color w:val="000000"/>
                <w:sz w:val="24"/>
                <w:szCs w:val="24"/>
                <w:lang w:val="en-US" w:eastAsia="zh-CN"/>
              </w:rPr>
              <w:t>11</w:t>
            </w:r>
            <w:r>
              <w:rPr>
                <w:rFonts w:hint="eastAsia" w:ascii="Times New Roman" w:hAnsi="Times New Roman" w:cs="Times New Roman" w:eastAsiaTheme="majorEastAsia"/>
                <w:b/>
                <w:bCs/>
                <w:color w:val="000000"/>
                <w:sz w:val="24"/>
                <w:szCs w:val="24"/>
                <w:lang w:val="pt-BR"/>
              </w:rPr>
              <w:t xml:space="preserve">            与农产品主产区环境准入政策要求相符性分析</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3"/>
              <w:gridCol w:w="5053"/>
              <w:gridCol w:w="2105"/>
              <w:gridCol w:w="75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97" w:type="pct"/>
                  <w:noWrap w:val="0"/>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b/>
                      <w:color w:val="000000"/>
                      <w:sz w:val="21"/>
                      <w:szCs w:val="21"/>
                    </w:rPr>
                  </w:pPr>
                  <w:r>
                    <w:rPr>
                      <w:rFonts w:hint="eastAsia"/>
                      <w:b/>
                      <w:color w:val="000000"/>
                      <w:sz w:val="21"/>
                      <w:szCs w:val="21"/>
                    </w:rPr>
                    <w:t>类别</w:t>
                  </w:r>
                </w:p>
              </w:tc>
              <w:tc>
                <w:tcPr>
                  <w:tcW w:w="2876" w:type="pct"/>
                  <w:noWrap w:val="0"/>
                  <w:vAlign w:val="center"/>
                </w:tcPr>
                <w:p>
                  <w:pPr>
                    <w:keepNext w:val="0"/>
                    <w:keepLines w:val="0"/>
                    <w:pageBreakBefore w:val="0"/>
                    <w:widowControl/>
                    <w:kinsoku/>
                    <w:wordWrap/>
                    <w:overflowPunct/>
                    <w:topLinePunct w:val="0"/>
                    <w:autoSpaceDE/>
                    <w:autoSpaceDN/>
                    <w:bidi w:val="0"/>
                    <w:snapToGrid w:val="0"/>
                    <w:jc w:val="center"/>
                    <w:rPr>
                      <w:rFonts w:hint="eastAsia" w:cs="宋体"/>
                      <w:color w:val="000000"/>
                      <w:kern w:val="0"/>
                      <w:sz w:val="21"/>
                      <w:szCs w:val="21"/>
                    </w:rPr>
                  </w:pPr>
                  <w:r>
                    <w:rPr>
                      <w:rFonts w:cs="宋体"/>
                      <w:b/>
                      <w:bCs/>
                      <w:color w:val="000000"/>
                      <w:kern w:val="0"/>
                      <w:sz w:val="21"/>
                      <w:szCs w:val="21"/>
                    </w:rPr>
                    <w:t>环境准入政策</w:t>
                  </w:r>
                </w:p>
              </w:tc>
              <w:tc>
                <w:tcPr>
                  <w:tcW w:w="1198" w:type="pct"/>
                  <w:noWrap w:val="0"/>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b/>
                      <w:color w:val="000000"/>
                      <w:sz w:val="21"/>
                      <w:szCs w:val="21"/>
                    </w:rPr>
                  </w:pPr>
                  <w:r>
                    <w:rPr>
                      <w:rFonts w:hint="eastAsia"/>
                      <w:b/>
                      <w:color w:val="000000"/>
                      <w:sz w:val="21"/>
                      <w:szCs w:val="21"/>
                    </w:rPr>
                    <w:t>本项目情况</w:t>
                  </w:r>
                </w:p>
              </w:tc>
              <w:tc>
                <w:tcPr>
                  <w:tcW w:w="429" w:type="pct"/>
                  <w:noWrap w:val="0"/>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b/>
                      <w:color w:val="000000"/>
                      <w:sz w:val="21"/>
                      <w:szCs w:val="21"/>
                    </w:rPr>
                  </w:pPr>
                  <w:r>
                    <w:rPr>
                      <w:rFonts w:hint="eastAsia"/>
                      <w:b/>
                      <w:color w:val="000000"/>
                      <w:sz w:val="21"/>
                      <w:szCs w:val="21"/>
                    </w:rPr>
                    <w:t>对比结果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7" w:type="pct"/>
                  <w:noWrap w:val="0"/>
                  <w:vAlign w:val="center"/>
                </w:tcPr>
                <w:p>
                  <w:pPr>
                    <w:keepNext w:val="0"/>
                    <w:keepLines w:val="0"/>
                    <w:pageBreakBefore w:val="0"/>
                    <w:kinsoku/>
                    <w:wordWrap/>
                    <w:overflowPunct/>
                    <w:topLinePunct w:val="0"/>
                    <w:autoSpaceDE/>
                    <w:autoSpaceDN/>
                    <w:bidi w:val="0"/>
                    <w:snapToGrid w:val="0"/>
                    <w:rPr>
                      <w:rFonts w:hint="eastAsia"/>
                      <w:color w:val="000000"/>
                      <w:sz w:val="21"/>
                      <w:szCs w:val="21"/>
                    </w:rPr>
                  </w:pPr>
                  <w:r>
                    <w:rPr>
                      <w:rFonts w:hint="eastAsia"/>
                      <w:color w:val="000000"/>
                      <w:sz w:val="21"/>
                      <w:szCs w:val="21"/>
                    </w:rPr>
                    <w:t>农产品</w:t>
                  </w:r>
                </w:p>
                <w:p>
                  <w:pPr>
                    <w:keepNext w:val="0"/>
                    <w:keepLines w:val="0"/>
                    <w:pageBreakBefore w:val="0"/>
                    <w:kinsoku/>
                    <w:wordWrap/>
                    <w:overflowPunct/>
                    <w:topLinePunct w:val="0"/>
                    <w:autoSpaceDE/>
                    <w:autoSpaceDN/>
                    <w:bidi w:val="0"/>
                    <w:snapToGrid w:val="0"/>
                    <w:rPr>
                      <w:rFonts w:hint="eastAsia"/>
                      <w:color w:val="000000"/>
                      <w:sz w:val="21"/>
                      <w:szCs w:val="21"/>
                    </w:rPr>
                  </w:pPr>
                  <w:r>
                    <w:rPr>
                      <w:rFonts w:hint="eastAsia"/>
                      <w:color w:val="000000"/>
                      <w:sz w:val="21"/>
                      <w:szCs w:val="21"/>
                    </w:rPr>
                    <w:t>主产区</w:t>
                  </w:r>
                </w:p>
              </w:tc>
              <w:tc>
                <w:tcPr>
                  <w:tcW w:w="2876" w:type="pct"/>
                  <w:noWrap w:val="0"/>
                  <w:vAlign w:val="center"/>
                </w:tcPr>
                <w:p>
                  <w:pPr>
                    <w:keepNext w:val="0"/>
                    <w:keepLines w:val="0"/>
                    <w:pageBreakBefore w:val="0"/>
                    <w:kinsoku/>
                    <w:wordWrap/>
                    <w:overflowPunct/>
                    <w:topLinePunct w:val="0"/>
                    <w:autoSpaceDE/>
                    <w:autoSpaceDN/>
                    <w:bidi w:val="0"/>
                    <w:snapToGrid w:val="0"/>
                    <w:rPr>
                      <w:rFonts w:hint="eastAsia"/>
                      <w:color w:val="000000"/>
                      <w:sz w:val="21"/>
                      <w:szCs w:val="21"/>
                    </w:rPr>
                  </w:pPr>
                  <w:r>
                    <w:rPr>
                      <w:rFonts w:hint="eastAsia"/>
                      <w:color w:val="000000"/>
                      <w:sz w:val="21"/>
                      <w:szCs w:val="21"/>
                    </w:rPr>
                    <w:t>1.简化部分审批程序。依据环保部《建设项目环境影响评价分类管理名录》规定，对填报环境影响登记表的项目，除畜禽养殖场、养殖小区、肉禽类加工、水产品加工、粪便处理、部分餐饮场所以及核与辐射项目外，环评文件由审批制改为备案制，即报即受理，2个工作日内办结；对编制环境影响报告表的农副产品加工项目，简化审批程序，即报即受理。</w:t>
                  </w:r>
                </w:p>
                <w:p>
                  <w:pPr>
                    <w:keepNext w:val="0"/>
                    <w:keepLines w:val="0"/>
                    <w:pageBreakBefore w:val="0"/>
                    <w:kinsoku/>
                    <w:wordWrap/>
                    <w:overflowPunct/>
                    <w:topLinePunct w:val="0"/>
                    <w:autoSpaceDE/>
                    <w:autoSpaceDN/>
                    <w:bidi w:val="0"/>
                    <w:snapToGrid w:val="0"/>
                    <w:rPr>
                      <w:rFonts w:hint="eastAsia"/>
                      <w:color w:val="000000"/>
                      <w:sz w:val="21"/>
                      <w:szCs w:val="21"/>
                    </w:rPr>
                  </w:pPr>
                  <w:r>
                    <w:rPr>
                      <w:rFonts w:hint="eastAsia"/>
                      <w:color w:val="000000"/>
                      <w:sz w:val="21"/>
                      <w:szCs w:val="21"/>
                    </w:rPr>
                    <w:t>2.严控重污染项目。不予审批《工业项目分类清单》中三类工业的新建项目和涉及重金属、持久性有机污染物排放等影响粮食生产安全的二类工业新建项目（矿产资源点状开发项目和符合省、市重大产业布局的项目除外）。</w:t>
                  </w:r>
                </w:p>
                <w:p>
                  <w:pPr>
                    <w:keepNext w:val="0"/>
                    <w:keepLines w:val="0"/>
                    <w:pageBreakBefore w:val="0"/>
                    <w:kinsoku/>
                    <w:wordWrap/>
                    <w:overflowPunct/>
                    <w:topLinePunct w:val="0"/>
                    <w:autoSpaceDE/>
                    <w:autoSpaceDN/>
                    <w:bidi w:val="0"/>
                    <w:snapToGrid w:val="0"/>
                    <w:rPr>
                      <w:rFonts w:hint="eastAsia"/>
                      <w:color w:val="000000"/>
                      <w:sz w:val="21"/>
                      <w:szCs w:val="21"/>
                    </w:rPr>
                  </w:pPr>
                  <w:r>
                    <w:rPr>
                      <w:rFonts w:hint="eastAsia"/>
                      <w:color w:val="000000"/>
                      <w:sz w:val="21"/>
                      <w:szCs w:val="21"/>
                    </w:rPr>
                    <w:t>3.严控部分区域重污染项目。在《水污染防治重点单元》区域内不予审批屠宰、酿造、含发酵工艺的粮食加工等废水排放量大且废水无法进入集中式污水处理厂处理的项目。</w:t>
                  </w:r>
                </w:p>
              </w:tc>
              <w:tc>
                <w:tcPr>
                  <w:tcW w:w="1198" w:type="pct"/>
                  <w:noWrap w:val="0"/>
                  <w:vAlign w:val="center"/>
                </w:tcPr>
                <w:p>
                  <w:pPr>
                    <w:keepNext w:val="0"/>
                    <w:keepLines w:val="0"/>
                    <w:pageBreakBefore w:val="0"/>
                    <w:kinsoku/>
                    <w:wordWrap/>
                    <w:overflowPunct/>
                    <w:topLinePunct w:val="0"/>
                    <w:autoSpaceDE/>
                    <w:autoSpaceDN/>
                    <w:bidi w:val="0"/>
                    <w:adjustRightInd w:val="0"/>
                    <w:snapToGrid w:val="0"/>
                    <w:textAlignment w:val="baseline"/>
                    <w:rPr>
                      <w:rFonts w:hint="eastAsia"/>
                      <w:color w:val="000000"/>
                      <w:sz w:val="21"/>
                      <w:szCs w:val="21"/>
                    </w:rPr>
                  </w:pPr>
                  <w:r>
                    <w:rPr>
                      <w:rFonts w:hint="eastAsia"/>
                      <w:color w:val="000000"/>
                      <w:sz w:val="21"/>
                      <w:szCs w:val="21"/>
                    </w:rPr>
                    <w:t>（1）本项目应编制报告表。</w:t>
                  </w:r>
                </w:p>
                <w:p>
                  <w:pPr>
                    <w:keepNext w:val="0"/>
                    <w:keepLines w:val="0"/>
                    <w:pageBreakBefore w:val="0"/>
                    <w:kinsoku/>
                    <w:wordWrap/>
                    <w:overflowPunct/>
                    <w:topLinePunct w:val="0"/>
                    <w:autoSpaceDE/>
                    <w:autoSpaceDN/>
                    <w:bidi w:val="0"/>
                    <w:adjustRightInd w:val="0"/>
                    <w:snapToGrid w:val="0"/>
                    <w:textAlignment w:val="baseline"/>
                    <w:rPr>
                      <w:rFonts w:hint="eastAsia"/>
                      <w:color w:val="000000"/>
                      <w:sz w:val="21"/>
                      <w:szCs w:val="21"/>
                    </w:rPr>
                  </w:pPr>
                  <w:r>
                    <w:rPr>
                      <w:rFonts w:hint="eastAsia"/>
                      <w:color w:val="000000"/>
                      <w:sz w:val="21"/>
                      <w:szCs w:val="21"/>
                    </w:rPr>
                    <w:t>（2）本项目为加油站建设项目，不属于工业项目，也不属于重污染项目。</w:t>
                  </w:r>
                </w:p>
                <w:p>
                  <w:pPr>
                    <w:keepNext w:val="0"/>
                    <w:keepLines w:val="0"/>
                    <w:pageBreakBefore w:val="0"/>
                    <w:kinsoku/>
                    <w:wordWrap/>
                    <w:overflowPunct/>
                    <w:topLinePunct w:val="0"/>
                    <w:autoSpaceDE/>
                    <w:autoSpaceDN/>
                    <w:bidi w:val="0"/>
                    <w:adjustRightInd w:val="0"/>
                    <w:snapToGrid w:val="0"/>
                    <w:textAlignment w:val="baseline"/>
                    <w:rPr>
                      <w:rFonts w:hint="eastAsia"/>
                      <w:color w:val="000000"/>
                      <w:sz w:val="21"/>
                      <w:szCs w:val="21"/>
                    </w:rPr>
                  </w:pPr>
                  <w:r>
                    <w:rPr>
                      <w:rFonts w:hint="eastAsia"/>
                      <w:color w:val="000000"/>
                      <w:sz w:val="21"/>
                      <w:szCs w:val="21"/>
                    </w:rPr>
                    <w:t>（3）</w:t>
                  </w:r>
                  <w:r>
                    <w:rPr>
                      <w:rFonts w:hint="eastAsia" w:cs="宋体"/>
                      <w:color w:val="000000"/>
                      <w:kern w:val="0"/>
                      <w:sz w:val="21"/>
                      <w:szCs w:val="21"/>
                    </w:rPr>
                    <w:t>项目不属于重污染项目，在《水污染防治重点单元》区域内，</w:t>
                  </w:r>
                  <w:r>
                    <w:rPr>
                      <w:rFonts w:hint="eastAsia" w:cs="宋体"/>
                      <w:color w:val="000000"/>
                      <w:kern w:val="0"/>
                      <w:sz w:val="21"/>
                      <w:szCs w:val="21"/>
                      <w:lang w:eastAsia="zh-CN"/>
                    </w:rPr>
                    <w:t>但</w:t>
                  </w:r>
                  <w:r>
                    <w:rPr>
                      <w:rFonts w:hint="eastAsia" w:cs="宋体"/>
                      <w:color w:val="000000"/>
                      <w:kern w:val="0"/>
                      <w:sz w:val="21"/>
                      <w:szCs w:val="21"/>
                    </w:rPr>
                    <w:t>不属于不予审批的屠宰、酿造、含发酵工艺的粮食加工等废水排放量大的项目。</w:t>
                  </w:r>
                </w:p>
              </w:tc>
              <w:tc>
                <w:tcPr>
                  <w:tcW w:w="429" w:type="pct"/>
                  <w:noWrap w:val="0"/>
                  <w:vAlign w:val="center"/>
                </w:tcPr>
                <w:p>
                  <w:pPr>
                    <w:keepNext w:val="0"/>
                    <w:keepLines w:val="0"/>
                    <w:pageBreakBefore w:val="0"/>
                    <w:kinsoku/>
                    <w:wordWrap/>
                    <w:overflowPunct/>
                    <w:topLinePunct w:val="0"/>
                    <w:autoSpaceDE/>
                    <w:autoSpaceDN/>
                    <w:bidi w:val="0"/>
                    <w:adjustRightInd w:val="0"/>
                    <w:snapToGrid w:val="0"/>
                    <w:jc w:val="center"/>
                    <w:textAlignment w:val="baseline"/>
                    <w:rPr>
                      <w:rFonts w:hint="eastAsia"/>
                      <w:color w:val="000000"/>
                      <w:sz w:val="21"/>
                      <w:szCs w:val="21"/>
                    </w:rPr>
                  </w:pPr>
                  <w:r>
                    <w:rPr>
                      <w:rFonts w:hint="eastAsia"/>
                      <w:color w:val="000000"/>
                      <w:sz w:val="21"/>
                      <w:szCs w:val="21"/>
                    </w:rPr>
                    <w:t>符合环境准入条件。</w:t>
                  </w:r>
                </w:p>
              </w:tc>
            </w:tr>
          </w:tbl>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spacing w:line="20" w:lineRule="exact"/>
              <w:ind w:firstLine="480" w:firstLineChars="200"/>
              <w:rPr>
                <w:rFonts w:hint="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sz w:val="24"/>
                <w:szCs w:val="24"/>
              </w:rPr>
            </w:pPr>
            <w:r>
              <w:rPr>
                <w:color w:val="000000"/>
                <w:sz w:val="24"/>
                <w:szCs w:val="24"/>
              </w:rPr>
              <w:t>由</w:t>
            </w:r>
            <w:r>
              <w:rPr>
                <w:rFonts w:hint="eastAsia"/>
                <w:color w:val="000000"/>
                <w:sz w:val="24"/>
                <w:szCs w:val="24"/>
              </w:rPr>
              <w:t>上</w:t>
            </w:r>
            <w:r>
              <w:rPr>
                <w:color w:val="000000"/>
                <w:sz w:val="24"/>
                <w:szCs w:val="24"/>
              </w:rPr>
              <w:t>表可知，本项目不属于《通知》中所列不予审批的项目，符合审批条件</w:t>
            </w:r>
            <w:r>
              <w:rPr>
                <w:rFonts w:hint="eastAsia"/>
                <w:color w:val="000000"/>
                <w:sz w:val="24"/>
                <w:szCs w:val="24"/>
              </w:rPr>
              <w:t>。</w:t>
            </w:r>
          </w:p>
          <w:p>
            <w:pPr>
              <w:pStyle w:val="60"/>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b/>
                <w:color w:val="auto"/>
                <w:sz w:val="24"/>
              </w:rPr>
            </w:pPr>
            <w:r>
              <w:rPr>
                <w:rFonts w:hint="eastAsia"/>
                <w:b/>
                <w:color w:val="auto"/>
                <w:sz w:val="24"/>
                <w:lang w:val="en-US" w:eastAsia="zh-CN"/>
              </w:rPr>
              <w:t>2</w:t>
            </w:r>
            <w:r>
              <w:rPr>
                <w:rFonts w:hint="eastAsia"/>
                <w:b/>
                <w:color w:val="auto"/>
                <w:sz w:val="24"/>
              </w:rPr>
              <w:t>、与《新乡市环境污染防治攻坚战三年行动计划实施方案（2018-2020年）》相符性分析</w:t>
            </w:r>
          </w:p>
          <w:p>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bCs/>
                <w:color w:val="auto"/>
                <w:sz w:val="24"/>
              </w:rPr>
            </w:pPr>
            <w:r>
              <w:rPr>
                <w:rFonts w:hint="eastAsia"/>
                <w:bCs/>
                <w:color w:val="auto"/>
                <w:sz w:val="24"/>
              </w:rPr>
              <w:t>与《新乡市环境污染防治攻坚战三年行动实施方案（2018-2020年）》（以下简称</w:t>
            </w:r>
            <w:r>
              <w:rPr>
                <w:rFonts w:hint="eastAsia" w:hAnsi="黑体" w:eastAsia="黑体"/>
                <w:color w:val="auto"/>
                <w:sz w:val="24"/>
              </w:rPr>
              <w:t>《</w:t>
            </w:r>
            <w:r>
              <w:rPr>
                <w:rFonts w:hint="eastAsia"/>
                <w:bCs/>
                <w:color w:val="auto"/>
                <w:sz w:val="24"/>
              </w:rPr>
              <w:t>新乡市三年行动实施方案（2018-2020年）</w:t>
            </w:r>
            <w:r>
              <w:rPr>
                <w:rFonts w:hint="eastAsia" w:hAnsi="黑体" w:eastAsia="黑体"/>
                <w:color w:val="auto"/>
                <w:sz w:val="24"/>
              </w:rPr>
              <w:t>》</w:t>
            </w:r>
            <w:r>
              <w:rPr>
                <w:rFonts w:hint="eastAsia"/>
                <w:bCs/>
                <w:color w:val="auto"/>
                <w:sz w:val="24"/>
              </w:rPr>
              <w:t>）的对照分析见下表</w:t>
            </w:r>
            <w:r>
              <w:rPr>
                <w:rFonts w:hint="eastAsia"/>
                <w:bCs/>
                <w:color w:val="auto"/>
                <w:sz w:val="24"/>
                <w:lang w:val="en-US" w:eastAsia="zh-CN"/>
              </w:rPr>
              <w:t>12</w:t>
            </w:r>
            <w:r>
              <w:rPr>
                <w:rFonts w:hint="eastAsia"/>
                <w:bCs/>
                <w:color w:val="auto"/>
                <w:sz w:val="24"/>
              </w:rPr>
              <w:t>。</w:t>
            </w:r>
          </w:p>
          <w:p>
            <w:pPr>
              <w:pStyle w:val="60"/>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表</w:t>
            </w:r>
            <w:r>
              <w:rPr>
                <w:rFonts w:hint="eastAsia" w:cs="Times New Roman" w:eastAsiaTheme="minorEastAsia"/>
                <w:b/>
                <w:bCs/>
                <w:color w:val="auto"/>
                <w:sz w:val="24"/>
                <w:lang w:val="en-US" w:eastAsia="zh-CN"/>
              </w:rPr>
              <w:t>12</w:t>
            </w:r>
            <w:r>
              <w:rPr>
                <w:rFonts w:hint="default" w:ascii="Times New Roman" w:hAnsi="Times New Roman" w:cs="Times New Roman" w:eastAsiaTheme="minorEastAsia"/>
                <w:b/>
                <w:bCs/>
                <w:color w:val="auto"/>
                <w:sz w:val="24"/>
                <w:lang w:val="en-US" w:eastAsia="zh-CN"/>
              </w:rPr>
              <w:t xml:space="preserve">  </w:t>
            </w:r>
            <w:r>
              <w:rPr>
                <w:rFonts w:hint="default" w:ascii="Times New Roman" w:hAnsi="Times New Roman" w:cs="Times New Roman" w:eastAsiaTheme="minorEastAsia"/>
                <w:b/>
                <w:bCs/>
                <w:color w:val="auto"/>
                <w:sz w:val="24"/>
              </w:rPr>
              <w:t>本项目与《新乡市三年行动计划实施方案》对比分析一览表</w:t>
            </w:r>
          </w:p>
          <w:tbl>
            <w:tblPr>
              <w:tblStyle w:val="21"/>
              <w:tblW w:w="873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111"/>
              <w:gridCol w:w="2134"/>
              <w:gridCol w:w="10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djustRightInd w:val="0"/>
                    <w:snapToGrid w:val="0"/>
                    <w:spacing w:line="360" w:lineRule="exact"/>
                    <w:jc w:val="center"/>
                    <w:rPr>
                      <w:b/>
                      <w:bCs/>
                      <w:color w:val="auto"/>
                      <w:szCs w:val="21"/>
                    </w:rPr>
                  </w:pPr>
                  <w:r>
                    <w:rPr>
                      <w:rFonts w:hint="eastAsia"/>
                      <w:b/>
                      <w:bCs/>
                      <w:color w:val="auto"/>
                      <w:szCs w:val="21"/>
                    </w:rPr>
                    <w:t>类别</w:t>
                  </w:r>
                </w:p>
              </w:tc>
              <w:tc>
                <w:tcPr>
                  <w:tcW w:w="4111" w:type="dxa"/>
                  <w:vAlign w:val="center"/>
                </w:tcPr>
                <w:p>
                  <w:pPr>
                    <w:adjustRightInd w:val="0"/>
                    <w:snapToGrid w:val="0"/>
                    <w:spacing w:line="360" w:lineRule="exact"/>
                    <w:jc w:val="center"/>
                    <w:rPr>
                      <w:b/>
                      <w:bCs/>
                      <w:color w:val="auto"/>
                      <w:szCs w:val="21"/>
                    </w:rPr>
                  </w:pPr>
                  <w:r>
                    <w:rPr>
                      <w:rFonts w:hint="eastAsia"/>
                      <w:b/>
                      <w:bCs/>
                      <w:color w:val="auto"/>
                      <w:szCs w:val="21"/>
                    </w:rPr>
                    <w:t>内容</w:t>
                  </w:r>
                </w:p>
              </w:tc>
              <w:tc>
                <w:tcPr>
                  <w:tcW w:w="2134" w:type="dxa"/>
                  <w:vAlign w:val="center"/>
                </w:tcPr>
                <w:p>
                  <w:pPr>
                    <w:adjustRightInd w:val="0"/>
                    <w:snapToGrid w:val="0"/>
                    <w:spacing w:line="360" w:lineRule="exact"/>
                    <w:jc w:val="center"/>
                    <w:rPr>
                      <w:b/>
                      <w:bCs/>
                      <w:color w:val="auto"/>
                      <w:szCs w:val="21"/>
                    </w:rPr>
                  </w:pPr>
                  <w:r>
                    <w:rPr>
                      <w:b/>
                      <w:bCs/>
                      <w:color w:val="auto"/>
                      <w:szCs w:val="21"/>
                    </w:rPr>
                    <w:t>本项目情况</w:t>
                  </w:r>
                </w:p>
              </w:tc>
              <w:tc>
                <w:tcPr>
                  <w:tcW w:w="1067" w:type="dxa"/>
                  <w:vAlign w:val="center"/>
                </w:tcPr>
                <w:p>
                  <w:pPr>
                    <w:adjustRightInd w:val="0"/>
                    <w:snapToGrid w:val="0"/>
                    <w:spacing w:line="360" w:lineRule="exact"/>
                    <w:jc w:val="center"/>
                    <w:rPr>
                      <w:b/>
                      <w:bCs/>
                      <w:color w:val="auto"/>
                      <w:szCs w:val="21"/>
                    </w:rPr>
                  </w:pPr>
                  <w:r>
                    <w:rPr>
                      <w:b/>
                      <w:bCs/>
                      <w:color w:val="auto"/>
                      <w:szCs w:val="21"/>
                    </w:rPr>
                    <w:t>对比结果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rPr>
                      <w:color w:val="auto"/>
                      <w:szCs w:val="21"/>
                    </w:rPr>
                  </w:pPr>
                  <w:r>
                    <w:rPr>
                      <w:bCs/>
                      <w:color w:val="auto"/>
                      <w:sz w:val="21"/>
                      <w:szCs w:val="21"/>
                    </w:rPr>
                    <w:t>24.严格实施施工扬尘管理</w:t>
                  </w:r>
                </w:p>
              </w:tc>
              <w:tc>
                <w:tcPr>
                  <w:tcW w:w="4111" w:type="dxa"/>
                  <w:vAlign w:val="center"/>
                </w:tcPr>
                <w:p>
                  <w:pPr>
                    <w:rPr>
                      <w:color w:val="auto"/>
                      <w:szCs w:val="21"/>
                    </w:rPr>
                  </w:pPr>
                  <w:r>
                    <w:rPr>
                      <w:bCs/>
                      <w:color w:val="auto"/>
                      <w:sz w:val="21"/>
                      <w:szCs w:val="21"/>
                    </w:rPr>
                    <w:t>积极推行绿色施工，建立健全施工扬尘常态化长效管理机制，建设单位要将防治扬尘污染费用列入工程造价，在加装视频监控、管理人员到位、经报备批准后方可开工。严格落实新建和在建建筑、市政、拆除、公路、水利等各类工地周边围挡、物料堆放覆盖、土方开挖湿法作业、路面硬化、出入车辆清洗、渣土车辆密闭运输“六个百分百”，城市规划区内建筑工地禁止现场搅拌混凝土、禁止现场配制砂浆“两个禁止”。5000 平方米及以上土石方建筑工地全部安装在线监测和视频监控，并与主管部门联网。重点做好工地出口两侧各100米路面的“三包”（包干净、包秩序、包美化），推行“以克论净”的保洁标准，确保扬尘不出院、车辆不带泥。</w:t>
                  </w:r>
                </w:p>
              </w:tc>
              <w:tc>
                <w:tcPr>
                  <w:tcW w:w="2134" w:type="dxa"/>
                  <w:vAlign w:val="center"/>
                </w:tcPr>
                <w:p>
                  <w:pPr>
                    <w:adjustRightInd w:val="0"/>
                    <w:snapToGrid w:val="0"/>
                    <w:jc w:val="center"/>
                    <w:rPr>
                      <w:rFonts w:hint="default" w:eastAsia="宋体"/>
                      <w:bCs/>
                      <w:color w:val="auto"/>
                      <w:sz w:val="21"/>
                      <w:szCs w:val="21"/>
                      <w:lang w:val="en-US" w:eastAsia="zh-CN"/>
                    </w:rPr>
                  </w:pPr>
                  <w:r>
                    <w:rPr>
                      <w:bCs/>
                      <w:color w:val="auto"/>
                      <w:sz w:val="21"/>
                      <w:szCs w:val="21"/>
                    </w:rPr>
                    <w:t>本项目占地</w:t>
                  </w:r>
                  <w:r>
                    <w:rPr>
                      <w:rFonts w:hint="eastAsia"/>
                      <w:bCs/>
                      <w:color w:val="auto"/>
                      <w:sz w:val="21"/>
                      <w:szCs w:val="21"/>
                      <w:lang w:val="en-US" w:eastAsia="zh-CN"/>
                    </w:rPr>
                    <w:t>1476</w:t>
                  </w:r>
                  <w:r>
                    <w:rPr>
                      <w:bCs/>
                      <w:color w:val="auto"/>
                      <w:sz w:val="21"/>
                      <w:szCs w:val="21"/>
                    </w:rPr>
                    <w:t>平方米。</w:t>
                  </w:r>
                  <w:r>
                    <w:rPr>
                      <w:rFonts w:hint="eastAsia"/>
                      <w:bCs/>
                      <w:color w:val="auto"/>
                      <w:sz w:val="21"/>
                      <w:szCs w:val="21"/>
                      <w:lang w:val="en-US" w:eastAsia="zh-CN"/>
                    </w:rPr>
                    <w:t>2015年已建成，如后期因治理设施等不到位需施工的，</w:t>
                  </w:r>
                </w:p>
                <w:p>
                  <w:pPr>
                    <w:adjustRightInd w:val="0"/>
                    <w:snapToGrid w:val="0"/>
                    <w:jc w:val="center"/>
                    <w:rPr>
                      <w:color w:val="auto"/>
                      <w:szCs w:val="21"/>
                    </w:rPr>
                  </w:pPr>
                  <w:r>
                    <w:rPr>
                      <w:bCs/>
                      <w:color w:val="auto"/>
                      <w:sz w:val="21"/>
                      <w:szCs w:val="21"/>
                    </w:rPr>
                    <w:t>评价</w:t>
                  </w:r>
                  <w:r>
                    <w:rPr>
                      <w:rFonts w:hint="eastAsia"/>
                      <w:bCs/>
                      <w:color w:val="auto"/>
                      <w:sz w:val="21"/>
                      <w:szCs w:val="21"/>
                      <w:lang w:eastAsia="zh-CN"/>
                    </w:rPr>
                    <w:t>建议</w:t>
                  </w:r>
                  <w:r>
                    <w:rPr>
                      <w:bCs/>
                      <w:color w:val="auto"/>
                      <w:sz w:val="21"/>
                      <w:szCs w:val="21"/>
                    </w:rPr>
                    <w:t>项目施工过程做到“六个百分百”、“两个禁止”，同时做到工地出口两侧各100米路面的“三包”（包干净、包秩序、包美化）。</w:t>
                  </w:r>
                </w:p>
              </w:tc>
              <w:tc>
                <w:tcPr>
                  <w:tcW w:w="1067" w:type="dxa"/>
                  <w:vAlign w:val="center"/>
                </w:tcPr>
                <w:p>
                  <w:pPr>
                    <w:adjustRightInd w:val="0"/>
                    <w:snapToGrid w:val="0"/>
                    <w:jc w:val="center"/>
                    <w:rPr>
                      <w:color w:val="auto"/>
                      <w:szCs w:val="21"/>
                    </w:rPr>
                  </w:pPr>
                  <w:r>
                    <w:rPr>
                      <w:bCs/>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pPr>
                    <w:autoSpaceDE w:val="0"/>
                    <w:autoSpaceDN w:val="0"/>
                    <w:adjustRightInd w:val="0"/>
                    <w:snapToGrid w:val="0"/>
                    <w:jc w:val="center"/>
                    <w:textAlignment w:val="baseline"/>
                    <w:rPr>
                      <w:rFonts w:hint="eastAsia"/>
                      <w:color w:val="auto"/>
                      <w:szCs w:val="21"/>
                    </w:rPr>
                  </w:pPr>
                  <w:r>
                    <w:rPr>
                      <w:rFonts w:hint="eastAsia"/>
                      <w:color w:val="auto"/>
                      <w:kern w:val="0"/>
                      <w:sz w:val="21"/>
                      <w:szCs w:val="21"/>
                    </w:rPr>
                    <w:t>37.加强油品质量升级与监管</w:t>
                  </w:r>
                </w:p>
              </w:tc>
              <w:tc>
                <w:tcPr>
                  <w:tcW w:w="4111" w:type="dxa"/>
                  <w:vAlign w:val="center"/>
                </w:tcPr>
                <w:p>
                  <w:pPr>
                    <w:autoSpaceDE w:val="0"/>
                    <w:autoSpaceDN w:val="0"/>
                    <w:adjustRightInd w:val="0"/>
                    <w:snapToGrid w:val="0"/>
                    <w:textAlignment w:val="baseline"/>
                    <w:rPr>
                      <w:rFonts w:hint="eastAsia"/>
                      <w:color w:val="auto"/>
                      <w:szCs w:val="21"/>
                    </w:rPr>
                  </w:pPr>
                  <w:r>
                    <w:rPr>
                      <w:bCs/>
                      <w:color w:val="auto"/>
                      <w:sz w:val="21"/>
                      <w:szCs w:val="21"/>
                    </w:rPr>
                    <w:t>全面完成车用油品质量提升。2019年1月1日起，全面供应符合国六标准的车用汽柴油，停止销售低于国六标准的汽柴油</w:t>
                  </w:r>
                  <w:r>
                    <w:rPr>
                      <w:rFonts w:hint="eastAsia"/>
                      <w:bCs/>
                      <w:color w:val="auto"/>
                      <w:sz w:val="21"/>
                      <w:szCs w:val="21"/>
                    </w:rPr>
                    <w:t>，</w:t>
                  </w:r>
                  <w:r>
                    <w:rPr>
                      <w:bCs/>
                      <w:color w:val="auto"/>
                      <w:sz w:val="21"/>
                      <w:szCs w:val="21"/>
                    </w:rPr>
                    <w:t>实现车用柴油</w:t>
                  </w:r>
                  <w:r>
                    <w:rPr>
                      <w:rFonts w:hint="eastAsia"/>
                      <w:bCs/>
                      <w:color w:val="auto"/>
                      <w:sz w:val="21"/>
                      <w:szCs w:val="21"/>
                    </w:rPr>
                    <w:t>、</w:t>
                  </w:r>
                  <w:r>
                    <w:rPr>
                      <w:bCs/>
                      <w:color w:val="auto"/>
                      <w:sz w:val="21"/>
                      <w:szCs w:val="21"/>
                    </w:rPr>
                    <w:t>部分船舶用油</w:t>
                  </w:r>
                  <w:r>
                    <w:rPr>
                      <w:rFonts w:hint="eastAsia"/>
                      <w:bCs/>
                      <w:color w:val="auto"/>
                      <w:sz w:val="21"/>
                      <w:szCs w:val="21"/>
                    </w:rPr>
                    <w:t>“三油并轨”。研究销售前在车用汽柴油中加入符合环保要求的燃油清净增效剂。（市商务局、发改委牵头，市工商局、质监局，中石化新乡分公司、中石油新乡销售分公司参与，各县（市、区）人民政府、管委会负责落实）</w:t>
                  </w:r>
                </w:p>
              </w:tc>
              <w:tc>
                <w:tcPr>
                  <w:tcW w:w="2134" w:type="dxa"/>
                  <w:vAlign w:val="center"/>
                </w:tcPr>
                <w:p>
                  <w:pPr>
                    <w:autoSpaceDE w:val="0"/>
                    <w:autoSpaceDN w:val="0"/>
                    <w:adjustRightInd w:val="0"/>
                    <w:snapToGrid w:val="0"/>
                    <w:jc w:val="center"/>
                    <w:textAlignment w:val="baseline"/>
                    <w:rPr>
                      <w:rFonts w:hint="eastAsia"/>
                      <w:color w:val="auto"/>
                      <w:szCs w:val="21"/>
                    </w:rPr>
                  </w:pPr>
                  <w:r>
                    <w:rPr>
                      <w:bCs/>
                      <w:color w:val="auto"/>
                      <w:sz w:val="21"/>
                      <w:szCs w:val="21"/>
                    </w:rPr>
                    <w:t>项目销售的汽柴油符合国六标准。</w:t>
                  </w:r>
                </w:p>
              </w:tc>
              <w:tc>
                <w:tcPr>
                  <w:tcW w:w="1067" w:type="dxa"/>
                  <w:vAlign w:val="center"/>
                </w:tcPr>
                <w:p>
                  <w:pPr>
                    <w:autoSpaceDE w:val="0"/>
                    <w:autoSpaceDN w:val="0"/>
                    <w:adjustRightInd w:val="0"/>
                    <w:snapToGrid w:val="0"/>
                    <w:spacing w:line="360" w:lineRule="exact"/>
                    <w:jc w:val="center"/>
                    <w:textAlignment w:val="baseline"/>
                    <w:rPr>
                      <w:rFonts w:hint="eastAsia"/>
                      <w:color w:val="auto"/>
                      <w:szCs w:val="21"/>
                    </w:rPr>
                  </w:pPr>
                  <w:r>
                    <w:rPr>
                      <w:color w:val="auto"/>
                      <w:kern w:val="0"/>
                      <w:sz w:val="21"/>
                      <w:szCs w:val="21"/>
                    </w:rPr>
                    <w:t>符合</w:t>
                  </w:r>
                </w:p>
              </w:tc>
            </w:tr>
          </w:tbl>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color w:val="000000"/>
                <w:sz w:val="24"/>
                <w:szCs w:val="24"/>
                <w:highlight w:val="none"/>
              </w:rPr>
            </w:pPr>
            <w:r>
              <w:rPr>
                <w:rFonts w:hint="eastAsia"/>
                <w:color w:val="000000"/>
                <w:sz w:val="24"/>
                <w:szCs w:val="24"/>
                <w:highlight w:val="none"/>
              </w:rPr>
              <w:t>由上表可知，本项目符合《新乡市三年行动方案》中的要求。</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2" w:firstLineChars="200"/>
              <w:textAlignment w:val="auto"/>
              <w:rPr>
                <w:rFonts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3</w:t>
            </w:r>
            <w:r>
              <w:rPr>
                <w:rFonts w:hint="eastAsia" w:ascii="Times New Roman" w:hAnsi="Times New Roman" w:cs="Times New Roman"/>
                <w:b/>
                <w:bCs/>
                <w:color w:val="auto"/>
                <w:sz w:val="24"/>
                <w:szCs w:val="24"/>
                <w:highlight w:val="none"/>
              </w:rPr>
              <w:t>、与《“十三五”挥发性有机物污染防治工作方案》（以下简称《工作方案》）的对比分析</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企业应严格按照《工作方案》的相关要求执行</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13</w:t>
            </w:r>
            <w:r>
              <w:rPr>
                <w:rFonts w:hint="default" w:ascii="Times New Roman" w:hAnsi="Times New Roman" w:cs="Times New Roman" w:eastAsiaTheme="minorEastAsia"/>
                <w:b/>
                <w:bCs/>
                <w:color w:val="auto"/>
                <w:sz w:val="24"/>
                <w:szCs w:val="24"/>
                <w:highlight w:val="none"/>
                <w:lang w:val="en-US" w:eastAsia="zh-CN"/>
              </w:rPr>
              <w:t xml:space="preserve">  </w:t>
            </w:r>
            <w:r>
              <w:rPr>
                <w:rFonts w:hint="default" w:ascii="Times New Roman" w:hAnsi="Times New Roman" w:cs="Times New Roman" w:eastAsiaTheme="minorEastAsia"/>
                <w:b/>
                <w:bCs/>
                <w:color w:val="auto"/>
                <w:sz w:val="24"/>
                <w:szCs w:val="24"/>
                <w:highlight w:val="none"/>
              </w:rPr>
              <w:t>本项目与《工作方案》对比分析</w:t>
            </w:r>
          </w:p>
          <w:tbl>
            <w:tblPr>
              <w:tblStyle w:val="21"/>
              <w:tblW w:w="862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980"/>
              <w:gridCol w:w="1499"/>
              <w:gridCol w:w="11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vAlign w:val="center"/>
                </w:tcPr>
                <w:p>
                  <w:pPr>
                    <w:adjustRightInd w:val="0"/>
                    <w:snapToGrid w:val="0"/>
                    <w:jc w:val="center"/>
                    <w:rPr>
                      <w:rFonts w:ascii="Times New Roman" w:hAnsi="Times New Roman" w:cs="Times New Roman"/>
                      <w:b/>
                      <w:bCs/>
                      <w:color w:val="auto"/>
                      <w:szCs w:val="21"/>
                    </w:rPr>
                  </w:pPr>
                  <w:r>
                    <w:rPr>
                      <w:rFonts w:hint="eastAsia" w:ascii="Times New Roman" w:hAnsi="Times New Roman" w:cs="Times New Roman"/>
                      <w:b/>
                      <w:bCs/>
                      <w:color w:val="auto"/>
                      <w:szCs w:val="21"/>
                    </w:rPr>
                    <w:t>序号</w:t>
                  </w:r>
                </w:p>
              </w:tc>
              <w:tc>
                <w:tcPr>
                  <w:tcW w:w="4980" w:type="dxa"/>
                  <w:vAlign w:val="center"/>
                </w:tcPr>
                <w:p>
                  <w:pPr>
                    <w:adjustRightInd w:val="0"/>
                    <w:snapToGrid w:val="0"/>
                    <w:jc w:val="center"/>
                    <w:rPr>
                      <w:rFonts w:ascii="Times New Roman" w:hAnsi="Times New Roman" w:cs="Times New Roman"/>
                      <w:b/>
                      <w:bCs/>
                      <w:color w:val="auto"/>
                      <w:szCs w:val="21"/>
                    </w:rPr>
                  </w:pPr>
                  <w:r>
                    <w:rPr>
                      <w:rFonts w:hint="eastAsia" w:ascii="Times New Roman" w:hAnsi="Times New Roman" w:cs="Times New Roman"/>
                      <w:b/>
                      <w:bCs/>
                      <w:color w:val="auto"/>
                      <w:szCs w:val="21"/>
                    </w:rPr>
                    <w:t>有关要求</w:t>
                  </w:r>
                </w:p>
              </w:tc>
              <w:tc>
                <w:tcPr>
                  <w:tcW w:w="1499" w:type="dxa"/>
                  <w:vAlign w:val="center"/>
                </w:tcPr>
                <w:p>
                  <w:pPr>
                    <w:adjustRightInd w:val="0"/>
                    <w:snapToGrid w:val="0"/>
                    <w:jc w:val="center"/>
                    <w:rPr>
                      <w:rFonts w:ascii="Times New Roman" w:hAnsi="Times New Roman" w:cs="Times New Roman"/>
                      <w:b/>
                      <w:bCs/>
                      <w:color w:val="auto"/>
                      <w:szCs w:val="21"/>
                    </w:rPr>
                  </w:pPr>
                  <w:r>
                    <w:rPr>
                      <w:rFonts w:hint="eastAsia" w:ascii="Times New Roman" w:hAnsi="Times New Roman" w:cs="Times New Roman"/>
                      <w:b/>
                      <w:bCs/>
                      <w:color w:val="auto"/>
                      <w:szCs w:val="21"/>
                    </w:rPr>
                    <w:t>企业建设情况</w:t>
                  </w:r>
                </w:p>
              </w:tc>
              <w:tc>
                <w:tcPr>
                  <w:tcW w:w="1119" w:type="dxa"/>
                  <w:vAlign w:val="center"/>
                </w:tcPr>
                <w:p>
                  <w:pPr>
                    <w:adjustRightInd w:val="0"/>
                    <w:snapToGrid w:val="0"/>
                    <w:jc w:val="center"/>
                    <w:rPr>
                      <w:rFonts w:ascii="Times New Roman" w:hAnsi="Times New Roman" w:cs="Times New Roman"/>
                      <w:b/>
                      <w:bCs/>
                      <w:color w:val="auto"/>
                      <w:szCs w:val="21"/>
                    </w:rPr>
                  </w:pPr>
                  <w:r>
                    <w:rPr>
                      <w:rFonts w:hint="eastAsia" w:ascii="Times New Roman" w:hAnsi="Times New Roman" w:cs="Times New Roman"/>
                      <w:b/>
                      <w:bCs/>
                      <w:color w:val="auto"/>
                      <w:szCs w:val="21"/>
                    </w:rPr>
                    <w:t>对比结论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031" w:type="dxa"/>
                  <w:vAlign w:val="center"/>
                </w:tcPr>
                <w:p>
                  <w:pPr>
                    <w:rPr>
                      <w:rFonts w:ascii="Times New Roman" w:hAnsi="Times New Roman" w:cs="Times New Roman"/>
                      <w:color w:val="auto"/>
                      <w:szCs w:val="21"/>
                    </w:rPr>
                  </w:pPr>
                  <w:r>
                    <w:rPr>
                      <w:bCs/>
                      <w:color w:val="auto"/>
                      <w:sz w:val="21"/>
                      <w:szCs w:val="21"/>
                    </w:rPr>
                    <w:t>（三）.深入推进交通源</w:t>
                  </w:r>
                  <w:r>
                    <w:rPr>
                      <w:rFonts w:hint="eastAsia"/>
                      <w:bCs/>
                      <w:color w:val="auto"/>
                      <w:sz w:val="21"/>
                      <w:szCs w:val="21"/>
                    </w:rPr>
                    <w:t>VOCs污染防治</w:t>
                  </w:r>
                </w:p>
              </w:tc>
              <w:tc>
                <w:tcPr>
                  <w:tcW w:w="4980" w:type="dxa"/>
                  <w:vAlign w:val="center"/>
                </w:tcPr>
                <w:p>
                  <w:pPr>
                    <w:rPr>
                      <w:rFonts w:ascii="Times New Roman" w:hAnsi="Times New Roman" w:cs="Times New Roman"/>
                      <w:color w:val="auto"/>
                      <w:szCs w:val="21"/>
                    </w:rPr>
                  </w:pPr>
                  <w:r>
                    <w:rPr>
                      <w:rFonts w:hint="eastAsia"/>
                      <w:bCs/>
                      <w:color w:val="auto"/>
                      <w:sz w:val="21"/>
                      <w:szCs w:val="21"/>
                    </w:rPr>
                    <w:t>2、加强汽油储运销油气排放控制。减少油品周转次数。严格按照排放标准要求，加快完成加油站、储油库、油罐车油气回收治理工作，重点地区全面推进行政区域内所有加油站油气回收治理。建设油气回收自动监测系统平台，储油库和年销售汽油量大于 5000 吨的加油站加快安装油气回收自动监测设备。制定加油站、储油库油气回收自动监测系统技术规范，企业要加强对油气回收系统外观检测和仪器检测，确保油气回收系统正常运转。</w:t>
                  </w:r>
                </w:p>
              </w:tc>
              <w:tc>
                <w:tcPr>
                  <w:tcW w:w="1499" w:type="dxa"/>
                  <w:vAlign w:val="center"/>
                </w:tcPr>
                <w:p>
                  <w:pPr>
                    <w:adjustRightInd w:val="0"/>
                    <w:snapToGrid w:val="0"/>
                    <w:rPr>
                      <w:rFonts w:hint="eastAsia" w:eastAsia="宋体"/>
                      <w:color w:val="auto"/>
                      <w:lang w:eastAsia="zh-CN"/>
                    </w:rPr>
                  </w:pPr>
                  <w:r>
                    <w:rPr>
                      <w:bCs/>
                      <w:color w:val="auto"/>
                      <w:sz w:val="21"/>
                      <w:szCs w:val="21"/>
                    </w:rPr>
                    <w:t>本项目汽油加油和卸油均有油气回收系统且年销售汽油量为</w:t>
                  </w:r>
                  <w:r>
                    <w:rPr>
                      <w:rFonts w:hint="eastAsia"/>
                      <w:bCs/>
                      <w:color w:val="auto"/>
                      <w:sz w:val="21"/>
                      <w:szCs w:val="21"/>
                      <w:lang w:val="en-US" w:eastAsia="zh-CN"/>
                    </w:rPr>
                    <w:t>57</w:t>
                  </w:r>
                  <w:r>
                    <w:rPr>
                      <w:rFonts w:hint="eastAsia"/>
                      <w:bCs/>
                      <w:color w:val="auto"/>
                      <w:sz w:val="21"/>
                      <w:szCs w:val="21"/>
                    </w:rPr>
                    <w:t>吨</w:t>
                  </w:r>
                  <w:r>
                    <w:rPr>
                      <w:rFonts w:hint="eastAsia"/>
                      <w:bCs/>
                      <w:color w:val="auto"/>
                      <w:sz w:val="21"/>
                      <w:szCs w:val="21"/>
                      <w:lang w:eastAsia="zh-CN"/>
                    </w:rPr>
                    <w:t>，评价建议企业根据当地环保主</w:t>
                  </w:r>
                  <w:r>
                    <w:rPr>
                      <w:rFonts w:hint="eastAsia"/>
                      <w:bCs/>
                      <w:color w:val="auto"/>
                      <w:sz w:val="21"/>
                      <w:szCs w:val="21"/>
                      <w:highlight w:val="none"/>
                      <w:lang w:eastAsia="zh-CN"/>
                    </w:rPr>
                    <w:t>管部门要求，确需安装的安装油气回收自动监测系统</w:t>
                  </w:r>
                </w:p>
              </w:tc>
              <w:tc>
                <w:tcPr>
                  <w:tcW w:w="1119" w:type="dxa"/>
                  <w:vAlign w:val="center"/>
                </w:tcPr>
                <w:p>
                  <w:pPr>
                    <w:adjustRightInd w:val="0"/>
                    <w:snapToGrid w:val="0"/>
                    <w:jc w:val="center"/>
                    <w:rPr>
                      <w:rFonts w:ascii="Times New Roman" w:hAnsi="Times New Roman" w:cs="Times New Roman"/>
                      <w:color w:val="auto"/>
                      <w:szCs w:val="21"/>
                    </w:rPr>
                  </w:pPr>
                  <w:r>
                    <w:rPr>
                      <w:bCs/>
                      <w:color w:val="auto"/>
                      <w:sz w:val="21"/>
                      <w:szCs w:val="21"/>
                    </w:rPr>
                    <w:t>符合</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由上表可知，本项目符合《“十三五”挥发性有机物污染防治工作方案》相关要求。</w:t>
            </w:r>
            <w:r>
              <w:rPr>
                <w:rFonts w:ascii="Times New Roman" w:hAnsi="Times New Roman"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b/>
                <w:color w:val="000000"/>
                <w:sz w:val="24"/>
                <w:szCs w:val="24"/>
              </w:rPr>
            </w:pPr>
            <w:r>
              <w:rPr>
                <w:rFonts w:hint="eastAsia"/>
                <w:b/>
                <w:color w:val="000000"/>
                <w:sz w:val="24"/>
                <w:szCs w:val="24"/>
              </w:rPr>
              <w:t>4、与《京津冀及周边地区</w:t>
            </w:r>
            <w:r>
              <w:rPr>
                <w:b/>
                <w:color w:val="000000"/>
                <w:sz w:val="24"/>
                <w:szCs w:val="24"/>
              </w:rPr>
              <w:t>2019-2020</w:t>
            </w:r>
            <w:r>
              <w:rPr>
                <w:rFonts w:hint="eastAsia"/>
                <w:b/>
                <w:color w:val="000000"/>
                <w:sz w:val="24"/>
                <w:szCs w:val="24"/>
              </w:rPr>
              <w:t>年秋冬季大气污染综合治理攻坚行动方案》（环大气</w:t>
            </w:r>
            <w:r>
              <w:rPr>
                <w:b/>
                <w:color w:val="000000"/>
                <w:sz w:val="24"/>
                <w:szCs w:val="24"/>
              </w:rPr>
              <w:t>[2019]88</w:t>
            </w:r>
            <w:r>
              <w:rPr>
                <w:rFonts w:hint="eastAsia"/>
                <w:b/>
                <w:color w:val="000000"/>
                <w:sz w:val="24"/>
                <w:szCs w:val="24"/>
              </w:rPr>
              <w:t>号）（简称《京津冀</w:t>
            </w:r>
            <w:r>
              <w:rPr>
                <w:b/>
                <w:color w:val="000000"/>
                <w:sz w:val="24"/>
                <w:szCs w:val="24"/>
              </w:rPr>
              <w:t>2019-2020</w:t>
            </w:r>
            <w:r>
              <w:rPr>
                <w:rFonts w:hint="eastAsia"/>
                <w:b/>
                <w:color w:val="000000"/>
                <w:sz w:val="24"/>
                <w:szCs w:val="24"/>
              </w:rPr>
              <w:t>秋冬季攻坚方案》）对比分析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000000"/>
                <w:sz w:val="24"/>
                <w:szCs w:val="24"/>
              </w:rPr>
            </w:pPr>
            <w:r>
              <w:rPr>
                <w:rFonts w:hint="eastAsia"/>
                <w:color w:val="000000"/>
                <w:sz w:val="24"/>
                <w:szCs w:val="24"/>
              </w:rPr>
              <w:t>本项目与《京津冀及周边地区</w:t>
            </w:r>
            <w:r>
              <w:rPr>
                <w:color w:val="000000"/>
                <w:sz w:val="24"/>
                <w:szCs w:val="24"/>
              </w:rPr>
              <w:t>2019-2020</w:t>
            </w:r>
            <w:r>
              <w:rPr>
                <w:rFonts w:hint="eastAsia"/>
                <w:color w:val="000000"/>
                <w:sz w:val="24"/>
                <w:szCs w:val="24"/>
              </w:rPr>
              <w:t>年秋冬季大气污染综合治理攻坚行动方案》对照分析见表</w:t>
            </w:r>
            <w:r>
              <w:rPr>
                <w:rFonts w:hint="eastAsia"/>
                <w:color w:val="000000"/>
                <w:sz w:val="24"/>
                <w:szCs w:val="24"/>
                <w:lang w:val="en-US" w:eastAsia="zh-CN"/>
              </w:rPr>
              <w:t>14</w:t>
            </w:r>
            <w:r>
              <w:rPr>
                <w:rFonts w:hint="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color w:val="auto"/>
                <w:sz w:val="24"/>
                <w:szCs w:val="24"/>
                <w:lang w:val="pt-BR"/>
              </w:rPr>
            </w:pPr>
            <w:r>
              <w:rPr>
                <w:rFonts w:hint="default" w:ascii="Times New Roman" w:hAnsi="Times New Roman" w:cs="Times New Roman" w:eastAsiaTheme="minorEastAsia"/>
                <w:b/>
                <w:bCs/>
                <w:color w:val="auto"/>
                <w:sz w:val="24"/>
                <w:szCs w:val="24"/>
                <w:lang w:val="pt-BR"/>
              </w:rPr>
              <w:t>表</w:t>
            </w:r>
            <w:r>
              <w:rPr>
                <w:rFonts w:hint="eastAsia" w:ascii="Times New Roman" w:hAnsi="Times New Roman" w:cs="Times New Roman" w:eastAsiaTheme="minorEastAsia"/>
                <w:b/>
                <w:bCs/>
                <w:color w:val="auto"/>
                <w:sz w:val="24"/>
                <w:szCs w:val="24"/>
                <w:lang w:val="en-US" w:eastAsia="zh-CN"/>
              </w:rPr>
              <w:t>14</w:t>
            </w:r>
            <w:r>
              <w:rPr>
                <w:rFonts w:hint="default" w:ascii="Times New Roman" w:hAnsi="Times New Roman" w:cs="Times New Roman" w:eastAsiaTheme="minorEastAsia"/>
                <w:b/>
                <w:bCs/>
                <w:color w:val="auto"/>
                <w:sz w:val="24"/>
                <w:szCs w:val="24"/>
                <w:lang w:val="pt-BR"/>
              </w:rPr>
              <w:t xml:space="preserve">        与《</w:t>
            </w:r>
            <w:r>
              <w:rPr>
                <w:rFonts w:hint="default" w:ascii="Times New Roman" w:hAnsi="Times New Roman" w:cs="Times New Roman" w:eastAsiaTheme="minorEastAsia"/>
                <w:b/>
                <w:bCs/>
                <w:color w:val="auto"/>
                <w:sz w:val="24"/>
                <w:szCs w:val="24"/>
              </w:rPr>
              <w:t>京津冀2019-2020</w:t>
            </w:r>
            <w:r>
              <w:rPr>
                <w:rFonts w:hint="default" w:ascii="Times New Roman" w:hAnsi="Times New Roman" w:cs="Times New Roman" w:eastAsiaTheme="minorEastAsia"/>
                <w:b/>
                <w:bCs/>
                <w:color w:val="auto"/>
                <w:sz w:val="24"/>
                <w:szCs w:val="24"/>
                <w:lang w:val="pt-BR"/>
              </w:rPr>
              <w:t>秋冬季攻坚方案》对比分析</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7"/>
              <w:gridCol w:w="5394"/>
              <w:gridCol w:w="1662"/>
              <w:gridCol w:w="75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6" w:type="pct"/>
                  <w:gridSpan w:val="2"/>
                  <w:tcBorders>
                    <w:top w:val="single" w:color="auto" w:sz="8" w:space="0"/>
                    <w:left w:val="nil"/>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与本项目相关条文</w:t>
                  </w:r>
                </w:p>
              </w:tc>
              <w:tc>
                <w:tcPr>
                  <w:tcW w:w="946" w:type="pct"/>
                  <w:tcBorders>
                    <w:top w:val="single" w:color="auto" w:sz="8" w:space="0"/>
                    <w:left w:val="single" w:color="auto" w:sz="4" w:space="0"/>
                    <w:bottom w:val="single" w:color="auto" w:sz="4" w:space="0"/>
                    <w:right w:val="single" w:color="auto" w:sz="4" w:space="0"/>
                  </w:tcBorders>
                  <w:noWrap w:val="0"/>
                  <w:vAlign w:val="center"/>
                </w:tcPr>
                <w:p>
                  <w:pPr>
                    <w:jc w:val="center"/>
                    <w:rPr>
                      <w:b/>
                      <w:color w:val="000000"/>
                      <w:sz w:val="21"/>
                      <w:szCs w:val="21"/>
                    </w:rPr>
                  </w:pPr>
                  <w:r>
                    <w:rPr>
                      <w:rFonts w:hint="eastAsia"/>
                      <w:b/>
                      <w:color w:val="000000"/>
                      <w:sz w:val="21"/>
                      <w:szCs w:val="21"/>
                    </w:rPr>
                    <w:t>本项目情况</w:t>
                  </w:r>
                </w:p>
              </w:tc>
              <w:tc>
                <w:tcPr>
                  <w:tcW w:w="428" w:type="pct"/>
                  <w:tcBorders>
                    <w:top w:val="single" w:color="auto" w:sz="8" w:space="0"/>
                    <w:left w:val="single" w:color="auto" w:sz="4" w:space="0"/>
                    <w:bottom w:val="single" w:color="auto" w:sz="4" w:space="0"/>
                    <w:right w:val="nil"/>
                  </w:tcBorders>
                  <w:noWrap w:val="0"/>
                  <w:vAlign w:val="center"/>
                </w:tcPr>
                <w:p>
                  <w:pPr>
                    <w:jc w:val="center"/>
                    <w:rPr>
                      <w:b/>
                      <w:color w:val="000000"/>
                      <w:sz w:val="21"/>
                      <w:szCs w:val="21"/>
                    </w:rPr>
                  </w:pPr>
                  <w:r>
                    <w:rPr>
                      <w:rFonts w:hint="eastAsia"/>
                      <w:b/>
                      <w:color w:val="000000"/>
                      <w:sz w:val="21"/>
                      <w:szCs w:val="21"/>
                    </w:rPr>
                    <w:t>对比结果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op w:val="single" w:color="auto" w:sz="4" w:space="0"/>
                    <w:left w:val="nil"/>
                    <w:bottom w:val="single" w:color="auto" w:sz="4" w:space="0"/>
                    <w:right w:val="single" w:color="auto" w:sz="4" w:space="0"/>
                  </w:tcBorders>
                  <w:noWrap w:val="0"/>
                  <w:vAlign w:val="center"/>
                </w:tcPr>
                <w:p>
                  <w:pPr>
                    <w:jc w:val="center"/>
                    <w:rPr>
                      <w:color w:val="000000"/>
                      <w:sz w:val="21"/>
                      <w:szCs w:val="21"/>
                    </w:rPr>
                  </w:pPr>
                  <w:r>
                    <w:rPr>
                      <w:rFonts w:hint="eastAsia"/>
                      <w:color w:val="000000"/>
                      <w:sz w:val="21"/>
                      <w:szCs w:val="21"/>
                    </w:rPr>
                    <w:t>实施范围</w:t>
                  </w:r>
                </w:p>
              </w:tc>
              <w:tc>
                <w:tcPr>
                  <w:tcW w:w="3070" w:type="pct"/>
                  <w:tcBorders>
                    <w:top w:val="single" w:color="auto" w:sz="4" w:space="0"/>
                    <w:left w:val="nil"/>
                    <w:bottom w:val="single" w:color="auto" w:sz="4" w:space="0"/>
                    <w:right w:val="single" w:color="auto" w:sz="4" w:space="0"/>
                  </w:tcBorders>
                  <w:noWrap w:val="0"/>
                  <w:vAlign w:val="center"/>
                </w:tcPr>
                <w:p>
                  <w:pPr>
                    <w:ind w:firstLine="210"/>
                    <w:jc w:val="left"/>
                    <w:rPr>
                      <w:color w:val="000000"/>
                      <w:sz w:val="21"/>
                      <w:szCs w:val="21"/>
                    </w:rPr>
                  </w:pPr>
                  <w:r>
                    <w:rPr>
                      <w:rFonts w:hint="eastAsia"/>
                      <w:color w:val="000000"/>
                      <w:sz w:val="21"/>
                      <w:szCs w:val="21"/>
                    </w:rPr>
                    <w:t>京津冀及周边地区，包含北京市，天津市，河北省石家庄、唐山、邯郸、邢台、保定、沧州、廊坊、衡水市以及雄安新区，山西省太原、阳泉、长治、晋城市，山东省济南、淄博、济宁、德州、聊城、滨州、菏泽市，河南省郑州、开封、安阳、鹤壁、新乡、焦作、濮阳市（以下简称</w:t>
                  </w:r>
                  <w:r>
                    <w:rPr>
                      <w:color w:val="000000"/>
                      <w:sz w:val="21"/>
                      <w:szCs w:val="21"/>
                    </w:rPr>
                    <w:t>“2+26”</w:t>
                  </w:r>
                  <w:r>
                    <w:rPr>
                      <w:rFonts w:hint="eastAsia"/>
                      <w:color w:val="000000"/>
                      <w:sz w:val="21"/>
                      <w:szCs w:val="21"/>
                    </w:rPr>
                    <w:t>城市，含河北省定州、辛集市，河南省济源市）。</w:t>
                  </w:r>
                </w:p>
              </w:tc>
              <w:tc>
                <w:tcPr>
                  <w:tcW w:w="946" w:type="pct"/>
                  <w:tcBorders>
                    <w:top w:val="single" w:color="auto" w:sz="4" w:space="0"/>
                    <w:left w:val="single" w:color="auto" w:sz="4" w:space="0"/>
                    <w:bottom w:val="single" w:color="auto" w:sz="4" w:space="0"/>
                    <w:right w:val="single" w:color="auto" w:sz="4" w:space="0"/>
                  </w:tcBorders>
                  <w:noWrap w:val="0"/>
                  <w:vAlign w:val="center"/>
                </w:tcPr>
                <w:p>
                  <w:pPr>
                    <w:ind w:firstLine="210"/>
                    <w:jc w:val="left"/>
                    <w:rPr>
                      <w:color w:val="000000"/>
                      <w:sz w:val="21"/>
                      <w:szCs w:val="21"/>
                    </w:rPr>
                  </w:pPr>
                  <w:r>
                    <w:rPr>
                      <w:rFonts w:hint="eastAsia"/>
                      <w:bCs/>
                      <w:color w:val="000000"/>
                      <w:sz w:val="21"/>
                      <w:szCs w:val="21"/>
                      <w:lang w:eastAsia="zh-CN"/>
                    </w:rPr>
                    <w:t>本项目位于新乡市凤泉区大块镇东郭村新秀路402号</w:t>
                  </w:r>
                </w:p>
              </w:tc>
              <w:tc>
                <w:tcPr>
                  <w:tcW w:w="428" w:type="pct"/>
                  <w:tcBorders>
                    <w:top w:val="single" w:color="auto" w:sz="4" w:space="0"/>
                    <w:left w:val="single" w:color="auto" w:sz="4" w:space="0"/>
                    <w:bottom w:val="single" w:color="auto" w:sz="4" w:space="0"/>
                    <w:right w:val="nil"/>
                  </w:tcBorders>
                  <w:noWrap w:val="0"/>
                  <w:vAlign w:val="center"/>
                </w:tcPr>
                <w:p>
                  <w:pPr>
                    <w:jc w:val="center"/>
                    <w:rPr>
                      <w:color w:val="000000"/>
                      <w:sz w:val="21"/>
                      <w:szCs w:val="21"/>
                    </w:rPr>
                  </w:pPr>
                  <w:r>
                    <w:rPr>
                      <w:rFonts w:hint="eastAsia"/>
                      <w:color w:val="000000"/>
                      <w:sz w:val="21"/>
                      <w:szCs w:val="21"/>
                    </w:rPr>
                    <w:t>符合</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6" w:type="pct"/>
                  <w:tcBorders>
                    <w:top w:val="single" w:color="auto" w:sz="4" w:space="0"/>
                    <w:left w:val="nil"/>
                    <w:bottom w:val="single" w:color="auto" w:sz="8" w:space="0"/>
                    <w:right w:val="single" w:color="auto" w:sz="4" w:space="0"/>
                  </w:tcBorders>
                  <w:noWrap w:val="0"/>
                  <w:vAlign w:val="center"/>
                </w:tcPr>
                <w:p>
                  <w:pPr>
                    <w:jc w:val="center"/>
                    <w:rPr>
                      <w:color w:val="000000"/>
                      <w:sz w:val="21"/>
                      <w:szCs w:val="21"/>
                    </w:rPr>
                  </w:pPr>
                  <w:r>
                    <w:rPr>
                      <w:rFonts w:hint="eastAsia"/>
                      <w:color w:val="000000"/>
                      <w:sz w:val="21"/>
                      <w:szCs w:val="21"/>
                    </w:rPr>
                    <w:t>16.开展油品质量检查专项行动</w:t>
                  </w:r>
                </w:p>
              </w:tc>
              <w:tc>
                <w:tcPr>
                  <w:tcW w:w="3070" w:type="pct"/>
                  <w:tcBorders>
                    <w:top w:val="single" w:color="auto" w:sz="4" w:space="0"/>
                    <w:left w:val="nil"/>
                    <w:bottom w:val="single" w:color="auto" w:sz="8" w:space="0"/>
                    <w:right w:val="single" w:color="auto" w:sz="4" w:space="0"/>
                  </w:tcBorders>
                  <w:noWrap w:val="0"/>
                  <w:vAlign w:val="center"/>
                </w:tcPr>
                <w:p>
                  <w:pPr>
                    <w:ind w:firstLine="210"/>
                    <w:jc w:val="left"/>
                    <w:rPr>
                      <w:color w:val="000000"/>
                      <w:sz w:val="21"/>
                      <w:szCs w:val="21"/>
                    </w:rPr>
                  </w:pPr>
                  <w:r>
                    <w:rPr>
                      <w:color w:val="000000"/>
                      <w:sz w:val="21"/>
                      <w:szCs w:val="21"/>
                    </w:rPr>
                    <w:t>2019</w:t>
                  </w:r>
                  <w:r>
                    <w:rPr>
                      <w:rFonts w:hint="eastAsia"/>
                      <w:color w:val="000000"/>
                      <w:sz w:val="21"/>
                      <w:szCs w:val="21"/>
                    </w:rPr>
                    <w:t>年</w:t>
                  </w:r>
                  <w:r>
                    <w:rPr>
                      <w:color w:val="000000"/>
                      <w:sz w:val="21"/>
                      <w:szCs w:val="21"/>
                    </w:rPr>
                    <w:t>10</w:t>
                  </w:r>
                  <w:r>
                    <w:rPr>
                      <w:rFonts w:hint="eastAsia"/>
                      <w:color w:val="000000"/>
                      <w:sz w:val="21"/>
                      <w:szCs w:val="21"/>
                    </w:rPr>
                    <w:t>月底前，各地要以物流基地、货运车辆停车场和休息区、油品运输车、施工工地等为重点，集中打击和清理取缔黑加油站点、流动加油车，对不达标的油品追踪溯源，查处劣质油品存储销售集散地和生产加工企业，对有关涉案人员依法追究相关法律责任。炼油企业较多的省份应对油品生产加工企业开展全面排查，对各地在打击黑加油站点和流动加油车专项行动中发现问题线索的油品生产加工企业进行突击检查，从源头杜绝假劣油品。</w:t>
                  </w:r>
                </w:p>
              </w:tc>
              <w:tc>
                <w:tcPr>
                  <w:tcW w:w="946" w:type="pct"/>
                  <w:tcBorders>
                    <w:top w:val="single" w:color="auto" w:sz="4" w:space="0"/>
                    <w:left w:val="single" w:color="auto" w:sz="4" w:space="0"/>
                    <w:bottom w:val="single" w:color="auto" w:sz="8" w:space="0"/>
                    <w:right w:val="single" w:color="auto" w:sz="4" w:space="0"/>
                  </w:tcBorders>
                  <w:noWrap w:val="0"/>
                  <w:vAlign w:val="center"/>
                </w:tcPr>
                <w:p>
                  <w:pPr>
                    <w:ind w:firstLine="210"/>
                    <w:jc w:val="left"/>
                    <w:rPr>
                      <w:color w:val="000000"/>
                      <w:sz w:val="21"/>
                      <w:szCs w:val="21"/>
                    </w:rPr>
                  </w:pPr>
                  <w:r>
                    <w:rPr>
                      <w:color w:val="000000"/>
                      <w:sz w:val="21"/>
                      <w:szCs w:val="21"/>
                    </w:rPr>
                    <w:t>企业在营运期严格按照攻坚方案中相关要求执行</w:t>
                  </w:r>
                  <w:r>
                    <w:rPr>
                      <w:rFonts w:hint="eastAsia"/>
                      <w:color w:val="000000"/>
                      <w:sz w:val="21"/>
                      <w:szCs w:val="21"/>
                    </w:rPr>
                    <w:t>。</w:t>
                  </w:r>
                </w:p>
              </w:tc>
              <w:tc>
                <w:tcPr>
                  <w:tcW w:w="428" w:type="pct"/>
                  <w:tcBorders>
                    <w:top w:val="single" w:color="auto" w:sz="4" w:space="0"/>
                    <w:left w:val="single" w:color="auto" w:sz="4" w:space="0"/>
                    <w:bottom w:val="single" w:color="auto" w:sz="8" w:space="0"/>
                    <w:right w:val="nil"/>
                  </w:tcBorders>
                  <w:noWrap w:val="0"/>
                  <w:vAlign w:val="center"/>
                </w:tcPr>
                <w:p>
                  <w:pPr>
                    <w:jc w:val="center"/>
                    <w:rPr>
                      <w:color w:val="000000"/>
                      <w:sz w:val="21"/>
                      <w:szCs w:val="21"/>
                    </w:rPr>
                  </w:pPr>
                  <w:r>
                    <w:rPr>
                      <w:rFonts w:hint="eastAsia"/>
                      <w:color w:val="000000"/>
                      <w:sz w:val="21"/>
                      <w:szCs w:val="21"/>
                    </w:rPr>
                    <w:t>/</w:t>
                  </w:r>
                </w:p>
              </w:tc>
            </w:tr>
          </w:tbl>
          <w:p>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default" w:ascii="Times New Roman" w:hAnsi="Times New Roman" w:cs="Times New Roman"/>
                <w:b/>
                <w:color w:val="auto"/>
                <w:sz w:val="24"/>
                <w:highlight w:val="yellow"/>
                <w:lang w:val="en-US" w:eastAsia="zh-CN"/>
              </w:rPr>
            </w:pPr>
            <w:r>
              <w:rPr>
                <w:rFonts w:hint="eastAsia"/>
                <w:color w:val="000000"/>
                <w:sz w:val="24"/>
                <w:szCs w:val="24"/>
              </w:rPr>
              <w:t>由上表可知，本项目符合《</w:t>
            </w:r>
            <w:r>
              <w:rPr>
                <w:color w:val="000000"/>
                <w:sz w:val="24"/>
                <w:szCs w:val="24"/>
              </w:rPr>
              <w:t>2018-2019</w:t>
            </w:r>
            <w:r>
              <w:rPr>
                <w:rFonts w:hint="eastAsia"/>
                <w:color w:val="000000"/>
                <w:sz w:val="24"/>
                <w:szCs w:val="24"/>
              </w:rPr>
              <w:t>秋冬季攻坚方案》相关要求。</w:t>
            </w:r>
          </w:p>
          <w:p>
            <w:pPr>
              <w:pStyle w:val="6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textAlignment w:val="auto"/>
              <w:rPr>
                <w:rFonts w:hint="default" w:ascii="Times New Roman" w:hAnsi="Times New Roman"/>
                <w:b/>
                <w:color w:val="auto"/>
                <w:sz w:val="24"/>
                <w:highlight w:val="none"/>
                <w:lang w:val="en-US"/>
              </w:rPr>
            </w:pPr>
            <w:r>
              <w:rPr>
                <w:rFonts w:hint="eastAsia" w:cs="Times New Roman"/>
                <w:b/>
                <w:color w:val="auto"/>
                <w:sz w:val="24"/>
                <w:highlight w:val="none"/>
                <w:lang w:val="en-US" w:eastAsia="zh-CN"/>
              </w:rPr>
              <w:t>5</w:t>
            </w:r>
            <w:r>
              <w:rPr>
                <w:rFonts w:hint="eastAsia" w:ascii="Times New Roman" w:hAnsi="Times New Roman" w:cs="Times New Roman"/>
                <w:b/>
                <w:color w:val="auto"/>
                <w:sz w:val="24"/>
                <w:highlight w:val="none"/>
                <w:lang w:val="en-US" w:eastAsia="zh-CN"/>
              </w:rPr>
              <w:t>、与《新乡市生态环境局关于部署安装工业企业用电量监控系统的通知》新环</w:t>
            </w:r>
            <w:r>
              <w:rPr>
                <w:rFonts w:hint="default" w:ascii="Times New Roman" w:hAnsi="Times New Roman" w:cs="Times New Roman"/>
                <w:b/>
                <w:color w:val="auto"/>
                <w:sz w:val="24"/>
                <w:highlight w:val="none"/>
                <w:lang w:val="en-US" w:eastAsia="zh-CN"/>
              </w:rPr>
              <w:t>[2019]154</w:t>
            </w:r>
            <w:r>
              <w:rPr>
                <w:rFonts w:hint="eastAsia" w:ascii="Times New Roman" w:hAnsi="Times New Roman" w:cs="Times New Roman"/>
                <w:b/>
                <w:color w:val="auto"/>
                <w:sz w:val="24"/>
                <w:highlight w:val="none"/>
                <w:lang w:val="en-US" w:eastAsia="zh-CN"/>
              </w:rPr>
              <w:t>号文的对照分析。</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表</w:t>
            </w:r>
            <w:r>
              <w:rPr>
                <w:rFonts w:hint="eastAsia" w:cs="Times New Roman" w:eastAsiaTheme="minorEastAsia"/>
                <w:b/>
                <w:bCs/>
                <w:color w:val="auto"/>
                <w:sz w:val="24"/>
                <w:lang w:val="en-US" w:eastAsia="zh-CN"/>
              </w:rPr>
              <w:t>15</w:t>
            </w:r>
            <w:r>
              <w:rPr>
                <w:rFonts w:hint="default" w:ascii="Times New Roman" w:hAnsi="Times New Roman" w:cs="Times New Roman" w:eastAsiaTheme="minorEastAsia"/>
                <w:b/>
                <w:bCs/>
                <w:color w:val="auto"/>
                <w:sz w:val="24"/>
                <w:lang w:val="en-US" w:eastAsia="zh-CN"/>
              </w:rPr>
              <w:t xml:space="preserve">  与新环[2019]154号文的对照分析</w:t>
            </w:r>
          </w:p>
          <w:tbl>
            <w:tblPr>
              <w:tblStyle w:val="21"/>
              <w:tblW w:w="88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4"/>
              <w:gridCol w:w="4444"/>
              <w:gridCol w:w="2328"/>
              <w:gridCol w:w="8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194"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lang w:val="en-US"/>
                    </w:rPr>
                  </w:pPr>
                  <w:r>
                    <w:rPr>
                      <w:rFonts w:hint="eastAsia" w:ascii="Times New Roman" w:hAnsi="Times New Roman" w:cs="Times New Roman"/>
                      <w:b/>
                      <w:bCs/>
                      <w:color w:val="auto"/>
                      <w:szCs w:val="21"/>
                      <w:lang w:val="en-US" w:eastAsia="zh-CN"/>
                    </w:rPr>
                    <w:t>主要任务</w:t>
                  </w:r>
                </w:p>
              </w:tc>
              <w:tc>
                <w:tcPr>
                  <w:tcW w:w="4444"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lang w:val="en-US"/>
                    </w:rPr>
                  </w:pPr>
                  <w:r>
                    <w:rPr>
                      <w:rFonts w:hint="eastAsia" w:ascii="Times New Roman" w:hAnsi="Times New Roman" w:cs="Times New Roman"/>
                      <w:b/>
                      <w:bCs/>
                      <w:color w:val="auto"/>
                      <w:szCs w:val="21"/>
                      <w:lang w:val="en-US" w:eastAsia="zh-CN"/>
                    </w:rPr>
                    <w:t>与本项目相关条文</w:t>
                  </w:r>
                </w:p>
              </w:tc>
              <w:tc>
                <w:tcPr>
                  <w:tcW w:w="2328"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lang w:val="en-US"/>
                    </w:rPr>
                  </w:pPr>
                  <w:r>
                    <w:rPr>
                      <w:rFonts w:hint="eastAsia" w:ascii="Times New Roman" w:hAnsi="Times New Roman" w:cs="Times New Roman"/>
                      <w:b/>
                      <w:bCs/>
                      <w:color w:val="auto"/>
                      <w:szCs w:val="21"/>
                      <w:lang w:val="en-US" w:eastAsia="zh-CN"/>
                    </w:rPr>
                    <w:t>本项目情况</w:t>
                  </w:r>
                </w:p>
              </w:tc>
              <w:tc>
                <w:tcPr>
                  <w:tcW w:w="878"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lang w:val="en-US"/>
                    </w:rPr>
                  </w:pPr>
                  <w:r>
                    <w:rPr>
                      <w:rFonts w:hint="eastAsia" w:ascii="Times New Roman" w:hAnsi="Times New Roman" w:cs="Times New Roman"/>
                      <w:b/>
                      <w:bCs/>
                      <w:color w:val="auto"/>
                      <w:szCs w:val="21"/>
                      <w:lang w:val="en-US" w:eastAsia="zh-CN"/>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94"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安装范围</w:t>
                  </w:r>
                </w:p>
              </w:tc>
              <w:tc>
                <w:tcPr>
                  <w:tcW w:w="4444"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所有排污企业的总用电控制位置、主要生产设施和污染治理设施必须安装用电量监控系统终端。</w:t>
                  </w:r>
                </w:p>
              </w:tc>
              <w:tc>
                <w:tcPr>
                  <w:tcW w:w="2328"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lang w:val="en-US" w:eastAsia="zh-CN"/>
                    </w:rPr>
                    <w:t>本项目严格按照</w:t>
                  </w:r>
                  <w:r>
                    <w:rPr>
                      <w:rFonts w:hint="eastAsia" w:cs="Times New Roman"/>
                      <w:color w:val="auto"/>
                      <w:szCs w:val="21"/>
                      <w:lang w:val="en-US" w:eastAsia="zh-CN"/>
                    </w:rPr>
                    <w:t>文件</w:t>
                  </w:r>
                  <w:r>
                    <w:rPr>
                      <w:rFonts w:hint="eastAsia" w:ascii="Times New Roman" w:hAnsi="Times New Roman" w:cs="Times New Roman"/>
                      <w:color w:val="auto"/>
                      <w:szCs w:val="21"/>
                      <w:lang w:val="en-US" w:eastAsia="zh-CN"/>
                    </w:rPr>
                    <w:t>要求安装用电量监控系统终端。</w:t>
                  </w:r>
                </w:p>
              </w:tc>
              <w:tc>
                <w:tcPr>
                  <w:tcW w:w="878" w:type="dxa"/>
                  <w:tcBorders>
                    <w:tl2br w:val="nil"/>
                    <w:tr2bl w:val="nil"/>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cs="Times New Roman"/>
                      <w:color w:val="auto"/>
                      <w:szCs w:val="21"/>
                      <w:lang w:val="en-US" w:eastAsia="zh-CN"/>
                    </w:rPr>
                    <w:t>相符</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contextualSpacing/>
              <w:textAlignment w:val="auto"/>
              <w:rPr>
                <w:bCs/>
                <w:color w:val="auto"/>
                <w:sz w:val="24"/>
              </w:rPr>
            </w:pPr>
            <w:r>
              <w:rPr>
                <w:rFonts w:hint="eastAsia"/>
                <w:color w:val="auto"/>
                <w:sz w:val="24"/>
                <w:lang w:val="en-US" w:eastAsia="zh-CN"/>
              </w:rPr>
              <w:t>由上表可知，本项目符合《新乡市生态环境局关于部署安装工业企业用电量监控系统的通知》新环</w:t>
            </w:r>
            <w:r>
              <w:rPr>
                <w:rFonts w:hint="default"/>
                <w:color w:val="auto"/>
                <w:sz w:val="24"/>
                <w:lang w:val="en-US" w:eastAsia="zh-CN"/>
              </w:rPr>
              <w:t>[2019]154</w:t>
            </w:r>
            <w:r>
              <w:rPr>
                <w:rFonts w:hint="eastAsia"/>
                <w:color w:val="auto"/>
                <w:sz w:val="24"/>
                <w:lang w:val="en-US" w:eastAsia="zh-CN"/>
              </w:rPr>
              <w:t>号文的相关要求。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9001" w:type="dxa"/>
            <w:gridSpan w:val="9"/>
            <w:tcBorders>
              <w:bottom w:val="single" w:color="auto" w:sz="4" w:space="0"/>
            </w:tcBorders>
            <w:vAlign w:val="center"/>
          </w:tcPr>
          <w:p>
            <w:pPr>
              <w:pStyle w:val="60"/>
              <w:keepLines w:val="0"/>
              <w:pageBreakBefore w:val="0"/>
              <w:widowControl w:val="0"/>
              <w:kinsoku/>
              <w:wordWrap/>
              <w:overflowPunct/>
              <w:topLinePunct w:val="0"/>
              <w:autoSpaceDE/>
              <w:autoSpaceDN/>
              <w:bidi w:val="0"/>
              <w:spacing w:line="520" w:lineRule="exact"/>
              <w:textAlignment w:val="auto"/>
              <w:rPr>
                <w:b/>
                <w:bCs/>
                <w:color w:val="auto"/>
                <w:sz w:val="24"/>
                <w:highlight w:val="none"/>
                <w:u w:val="none"/>
              </w:rPr>
            </w:pPr>
            <w:r>
              <w:rPr>
                <w:b/>
                <w:bCs/>
                <w:color w:val="auto"/>
                <w:sz w:val="24"/>
                <w:highlight w:val="none"/>
                <w:u w:val="none"/>
              </w:rPr>
              <w:t>本项目有关的原有污染情况及主要问题</w:t>
            </w:r>
            <w:r>
              <w:rPr>
                <w:rFonts w:hint="eastAsia"/>
                <w:b/>
                <w:bCs/>
                <w:color w:val="auto"/>
                <w:sz w:val="24"/>
                <w:highlight w:val="none"/>
                <w:u w:val="none"/>
              </w:rPr>
              <w:t>：</w:t>
            </w:r>
          </w:p>
          <w:p>
            <w:pPr>
              <w:pStyle w:val="5"/>
              <w:keepNext/>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b w:val="0"/>
                <w:bCs w:val="0"/>
                <w:color w:val="000000"/>
                <w:sz w:val="24"/>
                <w:szCs w:val="24"/>
                <w:u w:val="none"/>
              </w:rPr>
            </w:pPr>
            <w:r>
              <w:rPr>
                <w:rFonts w:hint="eastAsia"/>
                <w:b w:val="0"/>
                <w:bCs w:val="0"/>
                <w:color w:val="000000"/>
                <w:sz w:val="24"/>
                <w:szCs w:val="24"/>
                <w:u w:val="none"/>
              </w:rPr>
              <w:t>根据现场勘查，目前项目已建设安成，属于未批先建项目</w:t>
            </w:r>
            <w:r>
              <w:rPr>
                <w:rFonts w:hint="eastAsia"/>
                <w:b w:val="0"/>
                <w:bCs w:val="0"/>
                <w:color w:val="000000"/>
                <w:sz w:val="24"/>
                <w:szCs w:val="24"/>
                <w:u w:val="none"/>
                <w:lang w:eastAsia="zh-CN"/>
              </w:rPr>
              <w:t>。项目废气经加油油气回收系统以及卸油油气回收系统处理后无组织排放；生活污水经化粪池处理后，排入东侧明渠，项目建设有洗车机一台，洗车废水经站内管道排入东侧明渠；生活垃圾经垃圾桶收集后定期交由市政环卫部门清运处置；项目设置有危废暂存间，危险废物收集后暂存于危废暂存间定期交由有危废处置资质的单位清运处理。根据项目实际情况分析，该</w:t>
            </w:r>
            <w:r>
              <w:rPr>
                <w:b w:val="0"/>
                <w:bCs w:val="0"/>
                <w:color w:val="000000"/>
                <w:sz w:val="24"/>
                <w:szCs w:val="24"/>
                <w:u w:val="none"/>
              </w:rPr>
              <w:t>项目存在的环境问题及整改措施如下：</w:t>
            </w:r>
          </w:p>
          <w:p>
            <w:pPr>
              <w:pStyle w:val="5"/>
              <w:keepNext/>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eastAsia="宋体"/>
                <w:b w:val="0"/>
                <w:bCs w:val="0"/>
                <w:color w:val="000000"/>
                <w:sz w:val="24"/>
                <w:szCs w:val="24"/>
                <w:u w:val="none"/>
                <w:lang w:eastAsia="zh-CN"/>
              </w:rPr>
            </w:pPr>
            <w:r>
              <w:rPr>
                <w:b w:val="0"/>
                <w:bCs w:val="0"/>
                <w:color w:val="000000"/>
                <w:sz w:val="24"/>
                <w:szCs w:val="24"/>
                <w:u w:val="none"/>
              </w:rPr>
              <w:t>存在的问题：</w:t>
            </w:r>
            <w:r>
              <w:rPr>
                <w:rFonts w:hint="eastAsia"/>
                <w:b w:val="0"/>
                <w:bCs w:val="0"/>
                <w:color w:val="000000"/>
                <w:sz w:val="24"/>
                <w:szCs w:val="24"/>
                <w:u w:val="none"/>
              </w:rPr>
              <w:t>项目周边未铺设管网，</w:t>
            </w:r>
            <w:r>
              <w:rPr>
                <w:rFonts w:hint="eastAsia"/>
                <w:b w:val="0"/>
                <w:bCs w:val="0"/>
                <w:color w:val="000000"/>
                <w:sz w:val="24"/>
                <w:szCs w:val="24"/>
                <w:u w:val="none"/>
                <w:lang w:eastAsia="zh-CN"/>
              </w:rPr>
              <w:t>生活污水经化粪池处理后，</w:t>
            </w:r>
            <w:r>
              <w:rPr>
                <w:rFonts w:hint="eastAsia"/>
                <w:b w:val="0"/>
                <w:bCs w:val="0"/>
                <w:color w:val="000000"/>
                <w:sz w:val="24"/>
                <w:szCs w:val="24"/>
                <w:u w:val="none"/>
              </w:rPr>
              <w:t>不能</w:t>
            </w:r>
            <w:r>
              <w:rPr>
                <w:b w:val="0"/>
                <w:bCs w:val="0"/>
                <w:color w:val="000000"/>
                <w:sz w:val="24"/>
                <w:szCs w:val="24"/>
                <w:u w:val="none"/>
              </w:rPr>
              <w:t>进入污水处理厂</w:t>
            </w:r>
            <w:r>
              <w:rPr>
                <w:rFonts w:hint="eastAsia"/>
                <w:b w:val="0"/>
                <w:bCs w:val="0"/>
                <w:color w:val="000000"/>
                <w:sz w:val="24"/>
                <w:szCs w:val="24"/>
                <w:u w:val="none"/>
                <w:lang w:eastAsia="zh-CN"/>
              </w:rPr>
              <w:t>；洗车废水治理措施不到位，</w:t>
            </w:r>
            <w:r>
              <w:rPr>
                <w:rFonts w:hint="eastAsia"/>
                <w:b w:val="0"/>
                <w:bCs w:val="0"/>
                <w:color w:val="000000"/>
                <w:sz w:val="24"/>
                <w:szCs w:val="24"/>
                <w:u w:val="none"/>
              </w:rPr>
              <w:t>洗车</w:t>
            </w:r>
            <w:r>
              <w:rPr>
                <w:b w:val="0"/>
                <w:bCs w:val="0"/>
                <w:color w:val="000000"/>
                <w:sz w:val="24"/>
                <w:szCs w:val="24"/>
                <w:u w:val="none"/>
              </w:rPr>
              <w:t>废水</w:t>
            </w:r>
            <w:r>
              <w:rPr>
                <w:rFonts w:hint="eastAsia"/>
                <w:b w:val="0"/>
                <w:bCs w:val="0"/>
                <w:color w:val="000000"/>
                <w:sz w:val="24"/>
                <w:szCs w:val="24"/>
                <w:u w:val="none"/>
              </w:rPr>
              <w:t>不能</w:t>
            </w:r>
            <w:r>
              <w:rPr>
                <w:b w:val="0"/>
                <w:bCs w:val="0"/>
                <w:color w:val="000000"/>
                <w:sz w:val="24"/>
                <w:szCs w:val="24"/>
                <w:u w:val="none"/>
              </w:rPr>
              <w:t>进入污水处理厂。</w:t>
            </w:r>
          </w:p>
          <w:p>
            <w:pPr>
              <w:pStyle w:val="60"/>
              <w:keepLines w:val="0"/>
              <w:pageBreakBefore w:val="0"/>
              <w:widowControl w:val="0"/>
              <w:kinsoku/>
              <w:wordWrap/>
              <w:overflowPunct/>
              <w:topLinePunct w:val="0"/>
              <w:autoSpaceDE/>
              <w:autoSpaceDN/>
              <w:bidi w:val="0"/>
              <w:spacing w:line="520" w:lineRule="exact"/>
              <w:ind w:firstLine="480" w:firstLineChars="200"/>
              <w:textAlignment w:val="auto"/>
              <w:rPr>
                <w:rFonts w:hint="eastAsia" w:eastAsia="宋体"/>
                <w:bCs/>
                <w:color w:val="auto"/>
                <w:sz w:val="24"/>
                <w:lang w:val="en-US" w:eastAsia="zh-CN"/>
              </w:rPr>
            </w:pPr>
            <w:r>
              <w:rPr>
                <w:b w:val="0"/>
                <w:bCs w:val="0"/>
                <w:color w:val="000000"/>
                <w:sz w:val="24"/>
                <w:szCs w:val="24"/>
                <w:u w:val="none"/>
              </w:rPr>
              <w:t>整改措施：根据与企业沟通</w:t>
            </w:r>
            <w:r>
              <w:rPr>
                <w:rFonts w:hint="eastAsia"/>
                <w:b w:val="0"/>
                <w:bCs w:val="0"/>
                <w:color w:val="000000"/>
                <w:sz w:val="24"/>
                <w:szCs w:val="24"/>
                <w:u w:val="none"/>
              </w:rPr>
              <w:t>，</w:t>
            </w:r>
            <w:r>
              <w:rPr>
                <w:rFonts w:hint="eastAsia"/>
                <w:b w:val="0"/>
                <w:bCs w:val="0"/>
                <w:color w:val="000000"/>
                <w:sz w:val="24"/>
                <w:szCs w:val="24"/>
                <w:u w:val="none"/>
                <w:lang w:eastAsia="zh-CN"/>
              </w:rPr>
              <w:t>在市政污水管网接通前，项目生活污水经化粪池收集处理后，定期清运处置，洗车废水建议设置隔油沉淀池，经隔油沉淀池沉淀处理后循环使用，不外排，沉淀池底泥定期清掏，清运至垃圾填埋场卫生填埋。</w:t>
            </w:r>
          </w:p>
          <w:p>
            <w:pPr>
              <w:pStyle w:val="60"/>
              <w:spacing w:line="520" w:lineRule="exact"/>
              <w:ind w:firstLine="480" w:firstLineChars="200"/>
              <w:rPr>
                <w:rFonts w:hint="default" w:eastAsia="宋体"/>
                <w:bCs/>
                <w:color w:val="auto"/>
                <w:sz w:val="24"/>
                <w:lang w:val="en-US" w:eastAsia="zh-CN"/>
              </w:rPr>
            </w:pPr>
          </w:p>
        </w:tc>
      </w:tr>
    </w:tbl>
    <w:p>
      <w:pPr>
        <w:spacing w:line="360" w:lineRule="auto"/>
        <w:rPr>
          <w:rFonts w:eastAsia="黑体"/>
          <w:b/>
          <w:color w:val="auto"/>
          <w:sz w:val="30"/>
        </w:rPr>
        <w:sectPr>
          <w:footerReference r:id="rId3" w:type="default"/>
          <w:footerReference r:id="rId4" w:type="even"/>
          <w:pgSz w:w="11906" w:h="16838"/>
          <w:pgMar w:top="1701" w:right="1700" w:bottom="1985" w:left="1588"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rPr>
          <w:rFonts w:eastAsia="黑体"/>
          <w:b/>
          <w:color w:val="auto"/>
          <w:sz w:val="30"/>
        </w:rPr>
      </w:pPr>
      <w:r>
        <w:rPr>
          <w:rFonts w:eastAsia="黑体"/>
          <w:b/>
          <w:color w:val="auto"/>
          <w:sz w:val="30"/>
        </w:rPr>
        <w:t>建设项目所在地自然环境简况</w:t>
      </w:r>
    </w:p>
    <w:tbl>
      <w:tblPr>
        <w:tblStyle w:val="21"/>
        <w:tblW w:w="8946"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8946"/>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trHeight w:val="598" w:hRule="atLeast"/>
          <w:jc w:val="center"/>
        </w:trPr>
        <w:tc>
          <w:tcPr>
            <w:tcW w:w="8946" w:type="dxa"/>
          </w:tcPr>
          <w:p>
            <w:pPr>
              <w:spacing w:line="520" w:lineRule="exact"/>
              <w:rPr>
                <w:rFonts w:eastAsia="黑体"/>
                <w:b w:val="0"/>
                <w:bCs/>
                <w:color w:val="auto"/>
                <w:spacing w:val="-6"/>
                <w:sz w:val="28"/>
                <w:szCs w:val="28"/>
              </w:rPr>
            </w:pPr>
            <w:r>
              <w:rPr>
                <w:rFonts w:eastAsia="黑体"/>
                <w:b w:val="0"/>
                <w:bCs/>
                <w:color w:val="auto"/>
                <w:spacing w:val="-6"/>
                <w:sz w:val="28"/>
                <w:szCs w:val="28"/>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b/>
                <w:color w:val="auto"/>
                <w:sz w:val="24"/>
              </w:rPr>
            </w:pPr>
            <w:r>
              <w:rPr>
                <w:b/>
                <w:color w:val="auto"/>
                <w:sz w:val="24"/>
              </w:rPr>
              <w:t>1、地理位置</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sz w:val="24"/>
                <w:szCs w:val="24"/>
              </w:rPr>
            </w:pPr>
            <w:r>
              <w:rPr>
                <w:rFonts w:ascii="Times New Roman" w:hAnsi="Times New Roman"/>
                <w:color w:val="000000"/>
                <w:sz w:val="24"/>
                <w:szCs w:val="20"/>
              </w:rPr>
              <w:t>新乡市地处河南省北部，市区地理坐标为东经113°48′38″~113°57′29″，北纬35°15′03″~35°26′38″，总面积为8169 km</w:t>
            </w:r>
            <w:r>
              <w:rPr>
                <w:rFonts w:ascii="Times New Roman" w:hAnsi="Times New Roman"/>
                <w:color w:val="000000"/>
                <w:sz w:val="24"/>
                <w:szCs w:val="20"/>
                <w:vertAlign w:val="superscript"/>
              </w:rPr>
              <w:t>2</w:t>
            </w:r>
            <w:r>
              <w:rPr>
                <w:rFonts w:ascii="Times New Roman" w:hAnsi="Times New Roman"/>
                <w:color w:val="000000"/>
                <w:sz w:val="24"/>
                <w:szCs w:val="20"/>
              </w:rPr>
              <w:t>。新乡市南临黄河，与省会郑州、古都开封隔河相望；北依太行，与鹤壁、安阳毗邻；西连煤城焦作，与晋东南接壤；东接油城濮阳，与鲁西相连，是豫北的经济和交通中心，是中原城市群重要城市之一。</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t>凤泉区位于新乡市北部，总面积115.614km</w:t>
            </w:r>
            <w:r>
              <w:rPr>
                <w:color w:val="auto"/>
                <w:sz w:val="24"/>
                <w:szCs w:val="24"/>
                <w:vertAlign w:val="superscript"/>
              </w:rPr>
              <w:t>2</w:t>
            </w:r>
            <w:r>
              <w:rPr>
                <w:color w:val="auto"/>
                <w:sz w:val="24"/>
                <w:szCs w:val="24"/>
              </w:rPr>
              <w:t>。东北与卫辉市搭界，南同新乡市牧野区接壤，西北与辉县市毗邻，距市中心10km，107国道、京广铁路穿境而过。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Ansi="宋体"/>
                <w:color w:val="auto"/>
                <w:sz w:val="24"/>
              </w:rPr>
            </w:pPr>
            <w:r>
              <w:rPr>
                <w:rFonts w:hint="eastAsia"/>
                <w:color w:val="auto"/>
                <w:sz w:val="24"/>
              </w:rPr>
              <w:t>本项目位于</w:t>
            </w:r>
            <w:r>
              <w:rPr>
                <w:rFonts w:hint="eastAsia"/>
                <w:color w:val="auto"/>
                <w:sz w:val="24"/>
                <w:lang w:eastAsia="zh-CN"/>
              </w:rPr>
              <w:t>新乡市凤泉区大块镇东郭村新秀路402号，</w:t>
            </w:r>
            <w:r>
              <w:rPr>
                <w:rFonts w:hint="default" w:ascii="Times New Roman" w:hAnsi="Times New Roman" w:cs="Times New Roman"/>
                <w:color w:val="auto"/>
                <w:sz w:val="24"/>
                <w:szCs w:val="24"/>
              </w:rPr>
              <w:t>项目地理位置详见附图1</w:t>
            </w:r>
            <w:r>
              <w:rPr>
                <w:rFonts w:hint="eastAsia"/>
                <w:color w:val="auto"/>
                <w:sz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Times New Roman" w:hAnsi="宋体" w:eastAsia="宋体" w:cs="Times New Roman"/>
                <w:b/>
                <w:bCs/>
                <w:color w:val="auto"/>
                <w:sz w:val="24"/>
              </w:rPr>
            </w:pPr>
            <w:r>
              <w:rPr>
                <w:rFonts w:hint="eastAsia" w:ascii="Times New Roman" w:hAnsi="宋体" w:eastAsia="宋体" w:cs="Times New Roman"/>
                <w:b/>
                <w:bCs/>
                <w:color w:val="auto"/>
                <w:sz w:val="24"/>
              </w:rPr>
              <w:t>2、地形地貌</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rFonts w:ascii="Times New Roman" w:hAnsi="Times New Roman"/>
                <w:color w:val="000000"/>
                <w:sz w:val="24"/>
              </w:rPr>
              <w:t>新乡市境西北部地势自晋豫边界向东南呈台阶式下降，占全市面积的14.4%。一般海拔500m左右，最高海拔1732m。广大黄河冲击平原地势西、南高而东、北低，总体自西南向东北倾斜，平均海拔在72m左右。地貌有山地、丘陵、平原和山间盆地等。市区海拔在72~76m。</w:t>
            </w:r>
            <w:r>
              <w:rPr>
                <w:color w:val="auto"/>
                <w:sz w:val="24"/>
                <w:szCs w:val="24"/>
              </w:rPr>
              <w:t>凤泉区地处太行山山前倾斜平原与黄河冲积平原的过渡地带，总地势是西北高、东南低，坡降为1~1.5%，地面标高70—110m，地形平坦。</w:t>
            </w:r>
          </w:p>
          <w:p>
            <w:pPr>
              <w:keepNext w:val="0"/>
              <w:keepLines w:val="0"/>
              <w:pageBreakBefore w:val="0"/>
              <w:widowControl w:val="0"/>
              <w:kinsoku/>
              <w:wordWrap/>
              <w:overflowPunct/>
              <w:topLinePunct w:val="0"/>
              <w:autoSpaceDE/>
              <w:autoSpaceDN/>
              <w:bidi w:val="0"/>
              <w:spacing w:line="520" w:lineRule="exact"/>
              <w:textAlignment w:val="auto"/>
              <w:rPr>
                <w:color w:val="auto"/>
                <w:sz w:val="24"/>
                <w:szCs w:val="24"/>
              </w:rPr>
            </w:pPr>
            <w:r>
              <w:rPr>
                <w:color w:val="auto"/>
                <w:sz w:val="24"/>
                <w:szCs w:val="24"/>
              </w:rPr>
              <w:t>根据国家地震局《中国地震裂度区划图（1990）》和《中国地震动反应谱特征周期区划图》，项目所在地地震基本裂度为六度。</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color w:val="auto"/>
                <w:sz w:val="24"/>
                <w:szCs w:val="24"/>
              </w:rPr>
            </w:pPr>
            <w:r>
              <w:rPr>
                <w:b/>
                <w:color w:val="auto"/>
                <w:sz w:val="24"/>
                <w:szCs w:val="24"/>
              </w:rPr>
              <w:t>3、地质构造</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color w:val="auto"/>
                <w:sz w:val="24"/>
              </w:rPr>
              <w:t>新乡市地层情况比较简单，市区绝大部分为第四系地层所覆盖。根据第四系各时期岩层的宏观鉴定标志和组合特征以及部分测试资料，可把第四系分为下更新统、中更新统、上更新统、全新统四层。</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Times New Roman" w:hAnsi="宋体" w:eastAsia="宋体" w:cs="Times New Roman"/>
                <w:b/>
                <w:bCs/>
                <w:color w:val="auto"/>
                <w:sz w:val="24"/>
              </w:rPr>
            </w:pPr>
            <w:r>
              <w:rPr>
                <w:rFonts w:hint="eastAsia" w:hAnsi="宋体" w:cs="Times New Roman"/>
                <w:b/>
                <w:bCs/>
                <w:color w:val="auto"/>
                <w:sz w:val="24"/>
                <w:lang w:val="en-US" w:eastAsia="zh-CN"/>
              </w:rPr>
              <w:t>4</w:t>
            </w:r>
            <w:r>
              <w:rPr>
                <w:rFonts w:hint="eastAsia" w:ascii="Times New Roman" w:hAnsi="宋体" w:eastAsia="宋体" w:cs="Times New Roman"/>
                <w:b/>
                <w:bCs/>
                <w:color w:val="auto"/>
                <w:sz w:val="24"/>
              </w:rPr>
              <w:t>、气候气象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sz w:val="24"/>
                <w:szCs w:val="24"/>
              </w:rPr>
            </w:pPr>
            <w:r>
              <w:rPr>
                <w:rFonts w:ascii="Times New Roman" w:hAnsi="Times New Roman"/>
                <w:color w:val="000000"/>
                <w:sz w:val="24"/>
                <w:szCs w:val="20"/>
              </w:rPr>
              <w:t>新乡市气候类型属暖温带大陆性季风气候，春季干旱多风沙，夏季炎热雨量大，秋季凉爽时令短，冬季寒冷少雨雪，气温的四季变化具有典型的大陆性气候特征，即冬冷夏热。年平均气温为14℃，历年最高气温42℃（1992年），最低气温-19.2℃（1971年）。年均日照时数为2504小时，年均日照率57%。多年年均降水量为607.8毫米，年际最大降水量为1127.3毫米（2000年），最小降雨量为319毫米（1987年），且年降水量季节分布很不均匀，大雨高度集中于夏季，全年平均降水日为74天。多年平均相对湿度为68%，平均冻结期为30天，无霜期为216天，全年主导风向为东北风，近年平均风速2.</w:t>
            </w:r>
            <w:r>
              <w:rPr>
                <w:rFonts w:hint="eastAsia" w:ascii="Times New Roman" w:hAnsi="Times New Roman"/>
                <w:color w:val="000000"/>
                <w:sz w:val="24"/>
                <w:szCs w:val="20"/>
                <w:lang w:val="en-US" w:eastAsia="zh-CN"/>
              </w:rPr>
              <w:t>08</w:t>
            </w:r>
            <w:r>
              <w:rPr>
                <w:rFonts w:ascii="Times New Roman" w:hAnsi="Times New Roman"/>
                <w:color w:val="000000"/>
                <w:sz w:val="24"/>
                <w:szCs w:val="20"/>
              </w:rPr>
              <w:t>m/s。</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color w:val="auto"/>
                <w:sz w:val="24"/>
                <w:szCs w:val="24"/>
              </w:rPr>
            </w:pPr>
            <w:r>
              <w:rPr>
                <w:rFonts w:hint="eastAsia"/>
                <w:b/>
                <w:color w:val="auto"/>
                <w:sz w:val="24"/>
                <w:szCs w:val="24"/>
                <w:lang w:val="en-US" w:eastAsia="zh-CN"/>
              </w:rPr>
              <w:t>5</w:t>
            </w:r>
            <w:r>
              <w:rPr>
                <w:b/>
                <w:color w:val="auto"/>
                <w:sz w:val="24"/>
                <w:szCs w:val="24"/>
              </w:rPr>
              <w:t>、水文条件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color w:val="auto"/>
                <w:sz w:val="24"/>
              </w:rPr>
              <w:t>（1）地表水体</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t>地表水主要有百泉河、共产主义渠和民生渠。共产主义渠和民生渠属海河流域，目前水质超过</w:t>
            </w:r>
            <w:r>
              <w:rPr>
                <w:color w:val="auto"/>
                <w:sz w:val="24"/>
                <w:szCs w:val="24"/>
              </w:rPr>
              <w:fldChar w:fldCharType="begin"/>
            </w:r>
            <w:r>
              <w:rPr>
                <w:color w:val="auto"/>
                <w:sz w:val="24"/>
                <w:szCs w:val="24"/>
              </w:rPr>
              <w:instrText xml:space="preserve"> = 5 \* ROMAN </w:instrText>
            </w:r>
            <w:r>
              <w:rPr>
                <w:color w:val="auto"/>
                <w:sz w:val="24"/>
                <w:szCs w:val="24"/>
              </w:rPr>
              <w:fldChar w:fldCharType="separate"/>
            </w:r>
            <w:r>
              <w:rPr>
                <w:color w:val="auto"/>
                <w:sz w:val="24"/>
                <w:szCs w:val="24"/>
              </w:rPr>
              <w:t>V</w:t>
            </w:r>
            <w:r>
              <w:rPr>
                <w:color w:val="auto"/>
                <w:sz w:val="24"/>
                <w:szCs w:val="24"/>
              </w:rPr>
              <w:fldChar w:fldCharType="end"/>
            </w:r>
            <w:r>
              <w:rPr>
                <w:color w:val="auto"/>
                <w:sz w:val="24"/>
                <w:szCs w:val="24"/>
              </w:rPr>
              <w:t>类标准，主要超标物质为COD、NH</w:t>
            </w:r>
            <w:r>
              <w:rPr>
                <w:color w:val="auto"/>
                <w:sz w:val="24"/>
                <w:szCs w:val="24"/>
                <w:vertAlign w:val="subscript"/>
              </w:rPr>
              <w:t>3</w:t>
            </w:r>
            <w:r>
              <w:rPr>
                <w:color w:val="auto"/>
                <w:sz w:val="24"/>
                <w:szCs w:val="24"/>
              </w:rPr>
              <w:t>-N。</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1 \* GB3</w:instrText>
            </w:r>
            <w:r>
              <w:rPr>
                <w:color w:val="auto"/>
                <w:sz w:val="24"/>
                <w:szCs w:val="24"/>
              </w:rPr>
              <w:instrText xml:space="preserve"> </w:instrText>
            </w:r>
            <w:r>
              <w:rPr>
                <w:color w:val="auto"/>
                <w:sz w:val="24"/>
                <w:szCs w:val="24"/>
              </w:rPr>
              <w:fldChar w:fldCharType="separate"/>
            </w:r>
            <w:r>
              <w:rPr>
                <w:rFonts w:hint="eastAsia"/>
                <w:color w:val="auto"/>
                <w:sz w:val="24"/>
                <w:szCs w:val="24"/>
              </w:rPr>
              <w:t>①</w:t>
            </w:r>
            <w:r>
              <w:rPr>
                <w:color w:val="auto"/>
                <w:sz w:val="24"/>
                <w:szCs w:val="24"/>
              </w:rPr>
              <w:fldChar w:fldCharType="end"/>
            </w:r>
            <w:r>
              <w:rPr>
                <w:color w:val="auto"/>
                <w:sz w:val="24"/>
                <w:szCs w:val="24"/>
              </w:rPr>
              <w:t>百泉河：发源于河南辉县百泉镇的太行山南麓苏门山下百泉池，入新乡后也叫“大清河”。大、小清河在新乡县合河镇相汇，成为卫河的主河道。</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2 \* GB3</w:instrText>
            </w:r>
            <w:r>
              <w:rPr>
                <w:color w:val="auto"/>
                <w:sz w:val="24"/>
                <w:szCs w:val="24"/>
              </w:rPr>
              <w:instrText xml:space="preserve"> </w:instrText>
            </w:r>
            <w:r>
              <w:rPr>
                <w:color w:val="auto"/>
                <w:sz w:val="24"/>
                <w:szCs w:val="24"/>
              </w:rPr>
              <w:fldChar w:fldCharType="separate"/>
            </w:r>
            <w:r>
              <w:rPr>
                <w:rFonts w:hint="eastAsia"/>
                <w:color w:val="auto"/>
                <w:sz w:val="24"/>
                <w:szCs w:val="24"/>
              </w:rPr>
              <w:t>②</w:t>
            </w:r>
            <w:r>
              <w:rPr>
                <w:color w:val="auto"/>
                <w:sz w:val="24"/>
                <w:szCs w:val="24"/>
              </w:rPr>
              <w:fldChar w:fldCharType="end"/>
            </w:r>
            <w:r>
              <w:rPr>
                <w:color w:val="auto"/>
                <w:sz w:val="24"/>
                <w:szCs w:val="24"/>
              </w:rPr>
              <w:t>共产主义渠：共产主义渠为人工开挖的河流，自获嘉县小段庄入新乡市，从卫辉市小河口出境，全长约88km，功能区划为</w:t>
            </w:r>
            <w:r>
              <w:rPr>
                <w:color w:val="auto"/>
                <w:sz w:val="24"/>
                <w:szCs w:val="24"/>
              </w:rPr>
              <w:fldChar w:fldCharType="begin"/>
            </w:r>
            <w:r>
              <w:rPr>
                <w:color w:val="auto"/>
                <w:sz w:val="24"/>
                <w:szCs w:val="24"/>
              </w:rPr>
              <w:instrText xml:space="preserve"> = 5 \* ROMAN </w:instrText>
            </w:r>
            <w:r>
              <w:rPr>
                <w:color w:val="auto"/>
                <w:sz w:val="24"/>
                <w:szCs w:val="24"/>
              </w:rPr>
              <w:fldChar w:fldCharType="separate"/>
            </w:r>
            <w:r>
              <w:rPr>
                <w:color w:val="auto"/>
                <w:sz w:val="24"/>
                <w:szCs w:val="24"/>
              </w:rPr>
              <w:t>V</w:t>
            </w:r>
            <w:r>
              <w:rPr>
                <w:color w:val="auto"/>
                <w:sz w:val="24"/>
                <w:szCs w:val="24"/>
              </w:rPr>
              <w:fldChar w:fldCharType="end"/>
            </w:r>
            <w:r>
              <w:rPr>
                <w:color w:val="auto"/>
                <w:sz w:val="24"/>
                <w:szCs w:val="24"/>
              </w:rPr>
              <w:t>类水体，目前水质超过</w:t>
            </w:r>
            <w:r>
              <w:rPr>
                <w:color w:val="auto"/>
                <w:sz w:val="24"/>
                <w:szCs w:val="24"/>
              </w:rPr>
              <w:fldChar w:fldCharType="begin"/>
            </w:r>
            <w:r>
              <w:rPr>
                <w:color w:val="auto"/>
                <w:sz w:val="24"/>
                <w:szCs w:val="24"/>
              </w:rPr>
              <w:instrText xml:space="preserve"> = 5 \* ROMAN </w:instrText>
            </w:r>
            <w:r>
              <w:rPr>
                <w:color w:val="auto"/>
                <w:sz w:val="24"/>
                <w:szCs w:val="24"/>
              </w:rPr>
              <w:fldChar w:fldCharType="separate"/>
            </w:r>
            <w:r>
              <w:rPr>
                <w:color w:val="auto"/>
                <w:sz w:val="24"/>
                <w:szCs w:val="24"/>
              </w:rPr>
              <w:t>V</w:t>
            </w:r>
            <w:r>
              <w:rPr>
                <w:color w:val="auto"/>
                <w:sz w:val="24"/>
                <w:szCs w:val="24"/>
              </w:rPr>
              <w:fldChar w:fldCharType="end"/>
            </w:r>
            <w:r>
              <w:rPr>
                <w:color w:val="auto"/>
                <w:sz w:val="24"/>
                <w:szCs w:val="24"/>
              </w:rPr>
              <w:t>类标准。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fldChar w:fldCharType="begin"/>
            </w:r>
            <w:r>
              <w:rPr>
                <w:color w:val="auto"/>
                <w:sz w:val="24"/>
                <w:szCs w:val="24"/>
              </w:rPr>
              <w:instrText xml:space="preserve"> </w:instrText>
            </w:r>
            <w:r>
              <w:rPr>
                <w:rFonts w:hint="eastAsia"/>
                <w:color w:val="auto"/>
                <w:sz w:val="24"/>
                <w:szCs w:val="24"/>
              </w:rPr>
              <w:instrText xml:space="preserve">= 3 \* GB3</w:instrText>
            </w:r>
            <w:r>
              <w:rPr>
                <w:color w:val="auto"/>
                <w:sz w:val="24"/>
                <w:szCs w:val="24"/>
              </w:rPr>
              <w:instrText xml:space="preserve"> </w:instrText>
            </w:r>
            <w:r>
              <w:rPr>
                <w:color w:val="auto"/>
                <w:sz w:val="24"/>
                <w:szCs w:val="24"/>
              </w:rPr>
              <w:fldChar w:fldCharType="separate"/>
            </w:r>
            <w:r>
              <w:rPr>
                <w:rFonts w:hint="eastAsia"/>
                <w:color w:val="auto"/>
                <w:sz w:val="24"/>
                <w:szCs w:val="24"/>
              </w:rPr>
              <w:t>③</w:t>
            </w:r>
            <w:r>
              <w:rPr>
                <w:color w:val="auto"/>
                <w:sz w:val="24"/>
                <w:szCs w:val="24"/>
              </w:rPr>
              <w:fldChar w:fldCharType="end"/>
            </w:r>
            <w:r>
              <w:rPr>
                <w:color w:val="auto"/>
                <w:sz w:val="24"/>
                <w:szCs w:val="24"/>
              </w:rPr>
              <w:t>民生渠：民生渠是共渠的支流，属海河流域，全长12.5km，是沿途主要的纳污河流，由于接纳了大量生产、生活废水，已超过地面水V类标准。</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rPr>
              <w:t>（</w:t>
            </w:r>
            <w:r>
              <w:rPr>
                <w:color w:val="auto"/>
                <w:sz w:val="24"/>
                <w:szCs w:val="24"/>
              </w:rPr>
              <w:t>2）地下水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rPr>
            </w:pPr>
            <w:r>
              <w:rPr>
                <w:color w:val="auto"/>
                <w:sz w:val="24"/>
                <w:szCs w:val="24"/>
              </w:rPr>
              <w:t>该地区地下水资源丰富。经探测表明：该地区浅层水顶板埋深4－8m，底板埋深71－87m，以中砂为主。中层水顶板埋深73－97m，底板埋深124－137m，以中细砂为主，地下水矿化度小于0.7g/L。地下水流向从西南至东北。</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color w:val="auto"/>
                <w:sz w:val="24"/>
                <w:szCs w:val="24"/>
              </w:rPr>
            </w:pPr>
            <w:r>
              <w:rPr>
                <w:rFonts w:hint="eastAsia"/>
                <w:b/>
                <w:color w:val="auto"/>
                <w:sz w:val="24"/>
                <w:szCs w:val="24"/>
                <w:lang w:val="en-US" w:eastAsia="zh-CN"/>
              </w:rPr>
              <w:t>6</w:t>
            </w:r>
            <w:r>
              <w:rPr>
                <w:b/>
                <w:color w:val="auto"/>
                <w:sz w:val="24"/>
                <w:szCs w:val="24"/>
              </w:rPr>
              <w:t>、土壤植被</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color w:val="auto"/>
                <w:sz w:val="24"/>
                <w:szCs w:val="24"/>
              </w:rPr>
              <w:t>凤泉区内地表植被主要是林草及农作物，主要树种有国槐、刺槐、泡桐、柳树等，主要果树有苹果、桃树、梨树、杏等，主要灌木有白蜡条、胡枝子等，主要草类有白草、黄背草、蒿类，主要农作物有小麦、玉米、红薯、花生以及小杂粮等。区域可见到小型野生动物青蛙、田鼠、爬行类等，鸟类有麻雀、喜鹊、灰喜鹊等，人工饲养的有牛、羊、猪、狗、兔等。</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color w:val="auto"/>
                <w:sz w:val="24"/>
                <w:szCs w:val="24"/>
              </w:rPr>
            </w:pPr>
            <w:r>
              <w:rPr>
                <w:rFonts w:hint="eastAsia"/>
                <w:b/>
                <w:color w:val="auto"/>
                <w:sz w:val="24"/>
                <w:szCs w:val="24"/>
                <w:lang w:val="en-US" w:eastAsia="zh-CN"/>
              </w:rPr>
              <w:t>7</w:t>
            </w:r>
            <w:r>
              <w:rPr>
                <w:b/>
                <w:color w:val="auto"/>
                <w:sz w:val="24"/>
                <w:szCs w:val="24"/>
              </w:rPr>
              <w:t>、矿产资源</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color w:val="auto"/>
                <w:sz w:val="24"/>
              </w:rPr>
              <w:t>主要矿产资源为非金属建筑材料泥灰岩、白垩土、石灰岩。其储量大，质量好，此外有铁、铜、铝、重晶石、白云岩、煤等。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Ansi="宋体"/>
                <w:color w:val="auto"/>
                <w:sz w:val="24"/>
              </w:rPr>
            </w:pPr>
          </w:p>
          <w:p>
            <w:pPr>
              <w:adjustRightInd w:val="0"/>
              <w:snapToGrid w:val="0"/>
              <w:spacing w:line="500" w:lineRule="exact"/>
              <w:rPr>
                <w:rFonts w:hint="default" w:hAnsi="宋体" w:eastAsia="宋体"/>
                <w:color w:val="auto"/>
                <w:sz w:val="24"/>
                <w:lang w:val="en-US" w:eastAsia="zh-CN"/>
              </w:rPr>
            </w:pPr>
          </w:p>
        </w:tc>
      </w:tr>
    </w:tbl>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p>
    <w:p>
      <w:pPr>
        <w:adjustRightInd w:val="0"/>
        <w:snapToGrid w:val="0"/>
        <w:spacing w:line="520" w:lineRule="exact"/>
        <w:rPr>
          <w:rFonts w:eastAsia="黑体"/>
          <w:b/>
          <w:color w:val="auto"/>
          <w:sz w:val="30"/>
        </w:rPr>
      </w:pPr>
      <w:r>
        <w:rPr>
          <w:rFonts w:eastAsia="黑体"/>
          <w:b/>
          <w:color w:val="auto"/>
          <w:sz w:val="30"/>
        </w:rPr>
        <w:t>环境质量状况</w:t>
      </w:r>
    </w:p>
    <w:tbl>
      <w:tblPr>
        <w:tblStyle w:val="21"/>
        <w:tblW w:w="8946"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2161" w:hRule="atLeast"/>
        </w:trPr>
        <w:tc>
          <w:tcPr>
            <w:tcW w:w="8946" w:type="dxa"/>
          </w:tcPr>
          <w:p>
            <w:pPr>
              <w:adjustRightInd w:val="0"/>
              <w:snapToGrid w:val="0"/>
              <w:spacing w:line="520" w:lineRule="exact"/>
              <w:rPr>
                <w:rFonts w:eastAsia="黑体"/>
                <w:color w:val="auto"/>
                <w:sz w:val="28"/>
              </w:rPr>
            </w:pPr>
            <w:r>
              <w:rPr>
                <w:rFonts w:eastAsia="黑体"/>
                <w:color w:val="auto"/>
                <w:sz w:val="28"/>
              </w:rPr>
              <w:t>建设项目所在地区域环境质量现状及主要环境问题(环境空气、地面水、声环境、生态环境等)</w:t>
            </w:r>
          </w:p>
          <w:p>
            <w:pPr>
              <w:keepNext w:val="0"/>
              <w:keepLines w:val="0"/>
              <w:pageBreakBefore w:val="0"/>
              <w:kinsoku/>
              <w:wordWrap/>
              <w:overflowPunct/>
              <w:topLinePunct w:val="0"/>
              <w:autoSpaceDE/>
              <w:autoSpaceDN/>
              <w:bidi w:val="0"/>
              <w:adjustRightInd w:val="0"/>
              <w:snapToGrid w:val="0"/>
              <w:spacing w:line="520" w:lineRule="exact"/>
              <w:ind w:left="480"/>
              <w:jc w:val="left"/>
              <w:textAlignment w:val="auto"/>
              <w:rPr>
                <w:b/>
                <w:color w:val="auto"/>
                <w:sz w:val="24"/>
              </w:rPr>
            </w:pPr>
            <w:r>
              <w:rPr>
                <w:b/>
                <w:color w:val="auto"/>
                <w:sz w:val="24"/>
              </w:rPr>
              <w:t>1、环境空气质量现状</w:t>
            </w:r>
          </w:p>
          <w:p>
            <w:pPr>
              <w:keepNext w:val="0"/>
              <w:keepLines w:val="0"/>
              <w:pageBreakBefore w:val="0"/>
              <w:widowControl/>
              <w:kinsoku/>
              <w:wordWrap/>
              <w:overflowPunct/>
              <w:topLinePunct w:val="0"/>
              <w:autoSpaceDE/>
              <w:autoSpaceDN/>
              <w:bidi w:val="0"/>
              <w:spacing w:line="520" w:lineRule="exact"/>
              <w:ind w:firstLine="480" w:firstLineChars="200"/>
              <w:jc w:val="left"/>
              <w:textAlignment w:val="auto"/>
              <w:rPr>
                <w:rFonts w:hint="default" w:ascii="Times New Roman" w:hAnsi="Times New Roman" w:cs="Times New Roman"/>
                <w:color w:val="auto"/>
                <w:sz w:val="24"/>
                <w:szCs w:val="20"/>
              </w:rPr>
            </w:pPr>
            <w:r>
              <w:rPr>
                <w:rFonts w:hint="eastAsia"/>
                <w:color w:val="auto"/>
                <w:sz w:val="24"/>
              </w:rPr>
              <w:t>根据大气功能区划分，</w:t>
            </w:r>
            <w:r>
              <w:rPr>
                <w:color w:val="auto"/>
                <w:sz w:val="24"/>
              </w:rPr>
              <w:t>项目所在地</w:t>
            </w:r>
            <w:r>
              <w:rPr>
                <w:rFonts w:hint="eastAsia"/>
                <w:color w:val="auto"/>
                <w:sz w:val="24"/>
              </w:rPr>
              <w:t>为</w:t>
            </w:r>
            <w:r>
              <w:rPr>
                <w:color w:val="auto"/>
                <w:sz w:val="24"/>
              </w:rPr>
              <w:t>二类功能区，环境空气质量执行《环境空气质量标准》（GB3095-2012）二级标准。</w:t>
            </w:r>
            <w:r>
              <w:rPr>
                <w:rFonts w:hint="default" w:ascii="Times New Roman" w:hAnsi="Times New Roman" w:cs="Times New Roman"/>
                <w:color w:val="auto"/>
                <w:kern w:val="0"/>
                <w:sz w:val="24"/>
              </w:rPr>
              <w:t>根据新乡市生态环境局发布的《新乡市201</w:t>
            </w:r>
            <w:r>
              <w:rPr>
                <w:rFonts w:hint="default" w:ascii="Times New Roman" w:hAnsi="Times New Roman" w:cs="Times New Roman"/>
                <w:color w:val="auto"/>
                <w:kern w:val="0"/>
                <w:sz w:val="24"/>
                <w:lang w:val="en-US" w:eastAsia="zh-CN"/>
              </w:rPr>
              <w:t>9</w:t>
            </w:r>
            <w:r>
              <w:rPr>
                <w:rFonts w:hint="default" w:ascii="Times New Roman" w:hAnsi="Times New Roman" w:cs="Times New Roman"/>
                <w:color w:val="auto"/>
                <w:kern w:val="0"/>
                <w:sz w:val="24"/>
              </w:rPr>
              <w:t>年环境质量年报》，区域空气质量现状数据详见下表。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auto"/>
                <w:sz w:val="24"/>
                <w:szCs w:val="22"/>
              </w:rPr>
            </w:pPr>
            <w:r>
              <w:rPr>
                <w:rFonts w:hint="default" w:ascii="Times New Roman" w:hAnsi="Times New Roman" w:eastAsia="宋体" w:cs="Times New Roman"/>
                <w:b/>
                <w:bCs/>
                <w:color w:val="auto"/>
                <w:sz w:val="24"/>
                <w:szCs w:val="22"/>
              </w:rPr>
              <w:t>表</w:t>
            </w:r>
            <w:r>
              <w:rPr>
                <w:rFonts w:hint="eastAsia" w:cs="Times New Roman"/>
                <w:b/>
                <w:bCs/>
                <w:color w:val="auto"/>
                <w:sz w:val="24"/>
                <w:szCs w:val="22"/>
                <w:lang w:val="en-US" w:eastAsia="zh-CN"/>
              </w:rPr>
              <w:t>16</w:t>
            </w:r>
            <w:r>
              <w:rPr>
                <w:rFonts w:hint="default" w:ascii="Times New Roman" w:hAnsi="Times New Roman" w:eastAsia="宋体" w:cs="Times New Roman"/>
                <w:b/>
                <w:bCs/>
                <w:color w:val="auto"/>
                <w:sz w:val="24"/>
                <w:szCs w:val="22"/>
              </w:rPr>
              <w:t xml:space="preserve">   区域空气质量现状评价表</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984"/>
              <w:gridCol w:w="1893"/>
              <w:gridCol w:w="1773"/>
              <w:gridCol w:w="1630"/>
              <w:gridCol w:w="1333"/>
              <w:gridCol w:w="11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8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污染物</w:t>
                  </w:r>
                </w:p>
              </w:tc>
              <w:tc>
                <w:tcPr>
                  <w:tcW w:w="1847"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年评价指标</w:t>
                  </w:r>
                </w:p>
              </w:tc>
              <w:tc>
                <w:tcPr>
                  <w:tcW w:w="173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现状浓度/（μg/m</w:t>
                  </w:r>
                  <w:r>
                    <w:rPr>
                      <w:rFonts w:hint="default" w:ascii="Times New Roman" w:hAnsi="Times New Roman" w:cs="Times New Roman"/>
                      <w:b/>
                      <w:bCs w:val="0"/>
                      <w:color w:val="auto"/>
                      <w:szCs w:val="21"/>
                      <w:vertAlign w:val="superscript"/>
                    </w:rPr>
                    <w:t>3</w:t>
                  </w:r>
                  <w:r>
                    <w:rPr>
                      <w:rFonts w:hint="default" w:ascii="Times New Roman" w:hAnsi="Times New Roman" w:cs="Times New Roman"/>
                      <w:b/>
                      <w:bCs w:val="0"/>
                      <w:color w:val="auto"/>
                      <w:szCs w:val="21"/>
                    </w:rPr>
                    <w:t>）</w:t>
                  </w:r>
                </w:p>
              </w:tc>
              <w:tc>
                <w:tcPr>
                  <w:tcW w:w="159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标准值/（μg/m</w:t>
                  </w:r>
                  <w:r>
                    <w:rPr>
                      <w:rFonts w:hint="default" w:ascii="Times New Roman" w:hAnsi="Times New Roman" w:cs="Times New Roman"/>
                      <w:b/>
                      <w:bCs w:val="0"/>
                      <w:color w:val="auto"/>
                      <w:szCs w:val="21"/>
                      <w:vertAlign w:val="superscript"/>
                    </w:rPr>
                    <w:t>3</w:t>
                  </w:r>
                  <w:r>
                    <w:rPr>
                      <w:rFonts w:hint="default" w:ascii="Times New Roman" w:hAnsi="Times New Roman" w:cs="Times New Roman"/>
                      <w:b/>
                      <w:bCs w:val="0"/>
                      <w:color w:val="auto"/>
                      <w:szCs w:val="21"/>
                    </w:rPr>
                    <w:t>）</w:t>
                  </w:r>
                </w:p>
              </w:tc>
              <w:tc>
                <w:tcPr>
                  <w:tcW w:w="130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占标率/%</w:t>
                  </w:r>
                </w:p>
              </w:tc>
              <w:tc>
                <w:tcPr>
                  <w:tcW w:w="109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1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p>
              </w:tc>
              <w:tc>
                <w:tcPr>
                  <w:tcW w:w="1847"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年平均质量浓度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101</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70</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144</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1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p>
              </w:tc>
              <w:tc>
                <w:tcPr>
                  <w:tcW w:w="1847" w:type="dxa"/>
                  <w:tcBorders>
                    <w:tl2br w:val="nil"/>
                    <w:tr2bl w:val="nil"/>
                  </w:tcBorders>
                  <w:noWrap w:val="0"/>
                  <w:tcMar>
                    <w:top w:w="57" w:type="dxa"/>
                    <w:left w:w="85" w:type="dxa"/>
                    <w:bottom w:w="57" w:type="dxa"/>
                    <w:right w:w="85" w:type="dxa"/>
                  </w:tcMar>
                  <w:vAlign w:val="top"/>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年平均质量浓度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56</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35</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160</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1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p>
              </w:tc>
              <w:tc>
                <w:tcPr>
                  <w:tcW w:w="1847" w:type="dxa"/>
                  <w:tcBorders>
                    <w:tl2br w:val="nil"/>
                    <w:tr2bl w:val="nil"/>
                  </w:tcBorders>
                  <w:noWrap w:val="0"/>
                  <w:tcMar>
                    <w:top w:w="57" w:type="dxa"/>
                    <w:left w:w="85" w:type="dxa"/>
                    <w:bottom w:w="57" w:type="dxa"/>
                    <w:right w:w="85" w:type="dxa"/>
                  </w:tcMar>
                  <w:vAlign w:val="top"/>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年平均质量浓度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16</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60</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26.7</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1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p>
              </w:tc>
              <w:tc>
                <w:tcPr>
                  <w:tcW w:w="1847" w:type="dxa"/>
                  <w:tcBorders>
                    <w:tl2br w:val="nil"/>
                    <w:tr2bl w:val="nil"/>
                  </w:tcBorders>
                  <w:noWrap w:val="0"/>
                  <w:tcMar>
                    <w:top w:w="57" w:type="dxa"/>
                    <w:left w:w="85" w:type="dxa"/>
                    <w:bottom w:w="57" w:type="dxa"/>
                    <w:right w:w="85" w:type="dxa"/>
                  </w:tcMar>
                  <w:vAlign w:val="top"/>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年平均质量浓度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44</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40</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110</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超标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1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CO</w:t>
                  </w:r>
                </w:p>
              </w:tc>
              <w:tc>
                <w:tcPr>
                  <w:tcW w:w="1847"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第95百分位浓度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2.08</w:t>
                  </w:r>
                  <w:r>
                    <w:rPr>
                      <w:rFonts w:hint="default" w:ascii="Times New Roman" w:hAnsi="Times New Roman" w:eastAsia="宋体" w:cs="Times New Roman"/>
                      <w:b w:val="0"/>
                      <w:bCs w:val="0"/>
                      <w:color w:val="auto"/>
                      <w:sz w:val="21"/>
                      <w:szCs w:val="21"/>
                      <w:u w:val="none"/>
                    </w:rPr>
                    <w:t>mg/m</w:t>
                  </w:r>
                  <w:r>
                    <w:rPr>
                      <w:rFonts w:hint="default" w:ascii="Times New Roman" w:hAnsi="Times New Roman" w:eastAsia="宋体" w:cs="Times New Roman"/>
                      <w:b w:val="0"/>
                      <w:bCs w:val="0"/>
                      <w:color w:val="auto"/>
                      <w:sz w:val="21"/>
                      <w:szCs w:val="21"/>
                      <w:u w:val="none"/>
                      <w:vertAlign w:val="superscript"/>
                    </w:rPr>
                    <w:t>3</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4mg/m</w:t>
                  </w:r>
                  <w:r>
                    <w:rPr>
                      <w:rFonts w:hint="default" w:ascii="Times New Roman" w:hAnsi="Times New Roman" w:eastAsia="宋体" w:cs="Times New Roman"/>
                      <w:b w:val="0"/>
                      <w:bCs w:val="0"/>
                      <w:color w:val="auto"/>
                      <w:sz w:val="21"/>
                      <w:szCs w:val="21"/>
                      <w:u w:val="none"/>
                      <w:vertAlign w:val="superscript"/>
                    </w:rPr>
                    <w:t>3</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52</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57" w:type="dxa"/>
                  <w:left w:w="108" w:type="dxa"/>
                  <w:bottom w:w="57" w:type="dxa"/>
                  <w:right w:w="108" w:type="dxa"/>
                </w:tblCellMar>
              </w:tblPrEx>
              <w:trPr>
                <w:cantSplit/>
                <w:trHeight w:val="328" w:hRule="atLeast"/>
                <w:jc w:val="center"/>
              </w:trPr>
              <w:tc>
                <w:tcPr>
                  <w:tcW w:w="960" w:type="dxa"/>
                  <w:tcBorders>
                    <w:tl2br w:val="nil"/>
                    <w:tr2bl w:val="nil"/>
                  </w:tcBorders>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O</w:t>
                  </w:r>
                  <w:r>
                    <w:rPr>
                      <w:rFonts w:hint="default" w:ascii="Times New Roman" w:hAnsi="Times New Roman" w:cs="Times New Roman"/>
                      <w:color w:val="auto"/>
                      <w:szCs w:val="21"/>
                      <w:vertAlign w:val="subscript"/>
                    </w:rPr>
                    <w:t>3</w:t>
                  </w:r>
                </w:p>
              </w:tc>
              <w:tc>
                <w:tcPr>
                  <w:tcW w:w="1847"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第90百分位浓度</w:t>
                  </w:r>
                </w:p>
              </w:tc>
              <w:tc>
                <w:tcPr>
                  <w:tcW w:w="173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b w:val="0"/>
                      <w:bCs w:val="0"/>
                      <w:color w:val="auto"/>
                      <w:sz w:val="21"/>
                      <w:szCs w:val="21"/>
                      <w:u w:val="none"/>
                      <w:lang w:val="en-US" w:eastAsia="zh-CN"/>
                    </w:rPr>
                    <w:t>178</w:t>
                  </w:r>
                </w:p>
              </w:tc>
              <w:tc>
                <w:tcPr>
                  <w:tcW w:w="15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160</w:t>
                  </w:r>
                </w:p>
              </w:tc>
              <w:tc>
                <w:tcPr>
                  <w:tcW w:w="130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eastAsia" w:ascii="Times New Roman" w:hAnsi="Times New Roman" w:eastAsia="宋体" w:cs="Times New Roman"/>
                      <w:b w:val="0"/>
                      <w:bCs w:val="0"/>
                      <w:color w:val="auto"/>
                      <w:sz w:val="21"/>
                      <w:szCs w:val="21"/>
                      <w:u w:val="none"/>
                      <w:lang w:val="en-US" w:eastAsia="zh-CN"/>
                    </w:rPr>
                    <w:t>111</w:t>
                  </w:r>
                </w:p>
              </w:tc>
              <w:tc>
                <w:tcPr>
                  <w:tcW w:w="1090" w:type="dxa"/>
                  <w:tcBorders>
                    <w:tl2br w:val="nil"/>
                    <w:tr2bl w:val="nil"/>
                  </w:tcBorders>
                  <w:noWrap w:val="0"/>
                  <w:tcMar>
                    <w:top w:w="57" w:type="dxa"/>
                    <w:left w:w="85" w:type="dxa"/>
                    <w:bottom w:w="57" w:type="dxa"/>
                    <w:right w:w="85" w:type="dxa"/>
                  </w:tcMar>
                  <w:vAlign w:val="center"/>
                </w:tcPr>
                <w:p>
                  <w:pPr>
                    <w:pStyle w:val="121"/>
                    <w:keepNext w:val="0"/>
                    <w:keepLines w:val="0"/>
                    <w:pageBreakBefore w:val="0"/>
                    <w:widowControl w:val="0"/>
                    <w:kinsoku/>
                    <w:wordWrap/>
                    <w:overflowPunct/>
                    <w:topLinePunct w:val="0"/>
                    <w:autoSpaceDE w:val="0"/>
                    <w:autoSpaceDN w:val="0"/>
                    <w:bidi w:val="0"/>
                    <w:adjustRightInd/>
                    <w:snapToGrid/>
                    <w:spacing w:line="240" w:lineRule="auto"/>
                    <w:textAlignment w:val="baseline"/>
                    <w:rPr>
                      <w:rFonts w:hint="default" w:ascii="Times New Roman" w:hAnsi="Times New Roman" w:cs="Times New Roman"/>
                      <w:color w:val="auto"/>
                      <w:szCs w:val="21"/>
                    </w:rPr>
                  </w:pPr>
                  <w:r>
                    <w:rPr>
                      <w:rFonts w:hint="default" w:ascii="Times New Roman" w:hAnsi="Times New Roman" w:eastAsia="宋体" w:cs="Times New Roman"/>
                      <w:b w:val="0"/>
                      <w:bCs w:val="0"/>
                      <w:color w:val="auto"/>
                      <w:sz w:val="21"/>
                      <w:szCs w:val="21"/>
                      <w:u w:val="none"/>
                    </w:rPr>
                    <w:t>超标</w:t>
                  </w:r>
                </w:p>
              </w:tc>
            </w:tr>
          </w:tbl>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rPr>
            </w:pPr>
            <w:r>
              <w:rPr>
                <w:color w:val="auto"/>
                <w:sz w:val="24"/>
              </w:rPr>
              <w:t>由上表可知，其中PM</w:t>
            </w:r>
            <w:r>
              <w:rPr>
                <w:color w:val="auto"/>
                <w:sz w:val="24"/>
                <w:vertAlign w:val="subscript"/>
              </w:rPr>
              <w:t>10</w:t>
            </w:r>
            <w:r>
              <w:rPr>
                <w:color w:val="auto"/>
                <w:sz w:val="24"/>
              </w:rPr>
              <w:t>、PM</w:t>
            </w:r>
            <w:r>
              <w:rPr>
                <w:color w:val="auto"/>
                <w:sz w:val="24"/>
                <w:vertAlign w:val="subscript"/>
              </w:rPr>
              <w:t>2.5</w:t>
            </w:r>
            <w:r>
              <w:rPr>
                <w:color w:val="auto"/>
                <w:sz w:val="24"/>
              </w:rPr>
              <w:t>、NO</w:t>
            </w:r>
            <w:r>
              <w:rPr>
                <w:color w:val="auto"/>
                <w:sz w:val="24"/>
                <w:vertAlign w:val="subscript"/>
              </w:rPr>
              <w:t>2</w:t>
            </w:r>
            <w:r>
              <w:rPr>
                <w:color w:val="auto"/>
                <w:sz w:val="24"/>
              </w:rPr>
              <w:t>和O</w:t>
            </w:r>
            <w:r>
              <w:rPr>
                <w:color w:val="auto"/>
                <w:sz w:val="24"/>
                <w:vertAlign w:val="subscript"/>
              </w:rPr>
              <w:t>3</w:t>
            </w:r>
            <w:r>
              <w:rPr>
                <w:color w:val="auto"/>
                <w:sz w:val="24"/>
              </w:rPr>
              <w:t>均不能够满足《环境空气质量标准》（GB3095-2012）二级标准要求。根据《环境影响评价技术导则  大气环境》(HJ2.2-2018)，本项目所在区域属于未达标区。空气质量现状超标原因主要为：</w:t>
            </w:r>
            <w:r>
              <w:rPr>
                <w:color w:val="auto"/>
                <w:sz w:val="24"/>
              </w:rPr>
              <w:fldChar w:fldCharType="begin"/>
            </w:r>
            <w:r>
              <w:rPr>
                <w:color w:val="auto"/>
                <w:sz w:val="24"/>
              </w:rPr>
              <w:instrText xml:space="preserve"> </w:instrText>
            </w:r>
            <w:r>
              <w:rPr>
                <w:rFonts w:hint="eastAsia"/>
                <w:color w:val="auto"/>
                <w:sz w:val="24"/>
              </w:rPr>
              <w:instrText xml:space="preserve">= 1 \* GB3</w:instrText>
            </w:r>
            <w:r>
              <w:rPr>
                <w:color w:val="auto"/>
                <w:sz w:val="24"/>
              </w:rPr>
              <w:instrText xml:space="preserve"> </w:instrText>
            </w:r>
            <w:r>
              <w:rPr>
                <w:color w:val="auto"/>
                <w:sz w:val="24"/>
              </w:rPr>
              <w:fldChar w:fldCharType="separate"/>
            </w:r>
            <w:r>
              <w:rPr>
                <w:rFonts w:hint="eastAsia"/>
                <w:color w:val="auto"/>
                <w:sz w:val="24"/>
              </w:rPr>
              <w:t>①</w:t>
            </w:r>
            <w:r>
              <w:rPr>
                <w:color w:val="auto"/>
                <w:sz w:val="24"/>
              </w:rPr>
              <w:fldChar w:fldCharType="end"/>
            </w:r>
            <w:r>
              <w:rPr>
                <w:color w:val="auto"/>
                <w:sz w:val="24"/>
              </w:rPr>
              <w:t>冬季供暖锅炉以及部分企业燃煤锅炉启动，且冬季大气自净能力下降，污染扩散气象条件差；</w:t>
            </w:r>
            <w:r>
              <w:rPr>
                <w:color w:val="auto"/>
                <w:sz w:val="24"/>
              </w:rPr>
              <w:fldChar w:fldCharType="begin"/>
            </w:r>
            <w:r>
              <w:rPr>
                <w:color w:val="auto"/>
                <w:sz w:val="24"/>
              </w:rPr>
              <w:instrText xml:space="preserve"> </w:instrText>
            </w:r>
            <w:r>
              <w:rPr>
                <w:rFonts w:hint="eastAsia"/>
                <w:color w:val="auto"/>
                <w:sz w:val="24"/>
              </w:rPr>
              <w:instrText xml:space="preserve">= 2 \* GB3</w:instrText>
            </w:r>
            <w:r>
              <w:rPr>
                <w:color w:val="auto"/>
                <w:sz w:val="24"/>
              </w:rPr>
              <w:instrText xml:space="preserve"> </w:instrText>
            </w:r>
            <w:r>
              <w:rPr>
                <w:color w:val="auto"/>
                <w:sz w:val="24"/>
              </w:rPr>
              <w:fldChar w:fldCharType="separate"/>
            </w:r>
            <w:r>
              <w:rPr>
                <w:rFonts w:hint="eastAsia"/>
                <w:color w:val="auto"/>
                <w:sz w:val="24"/>
              </w:rPr>
              <w:t>②</w:t>
            </w:r>
            <w:r>
              <w:rPr>
                <w:color w:val="auto"/>
                <w:sz w:val="24"/>
              </w:rPr>
              <w:fldChar w:fldCharType="end"/>
            </w:r>
            <w:r>
              <w:rPr>
                <w:color w:val="auto"/>
                <w:sz w:val="24"/>
              </w:rPr>
              <w:t>区域内汽车的等交通源增加，污染物排放量增大；</w:t>
            </w:r>
            <w:r>
              <w:rPr>
                <w:color w:val="auto"/>
                <w:sz w:val="24"/>
              </w:rPr>
              <w:fldChar w:fldCharType="begin"/>
            </w:r>
            <w:r>
              <w:rPr>
                <w:color w:val="auto"/>
                <w:sz w:val="24"/>
              </w:rPr>
              <w:instrText xml:space="preserve"> </w:instrText>
            </w:r>
            <w:r>
              <w:rPr>
                <w:rFonts w:hint="eastAsia"/>
                <w:color w:val="auto"/>
                <w:sz w:val="24"/>
              </w:rPr>
              <w:instrText xml:space="preserve">= 3 \* GB3</w:instrText>
            </w:r>
            <w:r>
              <w:rPr>
                <w:color w:val="auto"/>
                <w:sz w:val="24"/>
              </w:rPr>
              <w:instrText xml:space="preserve"> </w:instrText>
            </w:r>
            <w:r>
              <w:rPr>
                <w:color w:val="auto"/>
                <w:sz w:val="24"/>
              </w:rPr>
              <w:fldChar w:fldCharType="separate"/>
            </w:r>
            <w:r>
              <w:rPr>
                <w:rFonts w:hint="eastAsia"/>
                <w:color w:val="auto"/>
                <w:sz w:val="24"/>
              </w:rPr>
              <w:t>③</w:t>
            </w:r>
            <w:r>
              <w:rPr>
                <w:color w:val="auto"/>
                <w:sz w:val="24"/>
              </w:rPr>
              <w:fldChar w:fldCharType="end"/>
            </w:r>
            <w:r>
              <w:rPr>
                <w:color w:val="auto"/>
                <w:sz w:val="24"/>
              </w:rPr>
              <w:t>天气干燥，尘土较多。因此超标现象属于区域性污染问题。</w:t>
            </w:r>
          </w:p>
          <w:p>
            <w:pPr>
              <w:keepNext w:val="0"/>
              <w:keepLines w:val="0"/>
              <w:pageBreakBefore w:val="0"/>
              <w:kinsoku/>
              <w:wordWrap/>
              <w:overflowPunct/>
              <w:topLinePunct w:val="0"/>
              <w:autoSpaceDE/>
              <w:autoSpaceDN/>
              <w:bidi w:val="0"/>
              <w:spacing w:line="520" w:lineRule="exact"/>
              <w:ind w:firstLine="480" w:firstLineChars="200"/>
              <w:textAlignment w:val="auto"/>
              <w:rPr>
                <w:color w:val="auto"/>
                <w:sz w:val="24"/>
              </w:rPr>
            </w:pPr>
            <w:r>
              <w:rPr>
                <w:color w:val="auto"/>
                <w:sz w:val="24"/>
              </w:rPr>
              <w:t>2019年，新乡市颗粒物PM</w:t>
            </w:r>
            <w:r>
              <w:rPr>
                <w:color w:val="auto"/>
                <w:sz w:val="24"/>
                <w:vertAlign w:val="subscript"/>
              </w:rPr>
              <w:t>10</w:t>
            </w:r>
            <w:r>
              <w:rPr>
                <w:color w:val="auto"/>
                <w:sz w:val="24"/>
              </w:rPr>
              <w:t>平均浓度101微克/立方米，同比下降4微克/立方米，降幅3.8%；PM</w:t>
            </w:r>
            <w:r>
              <w:rPr>
                <w:color w:val="auto"/>
                <w:sz w:val="24"/>
                <w:vertAlign w:val="subscript"/>
              </w:rPr>
              <w:t>2.5</w:t>
            </w:r>
            <w:r>
              <w:rPr>
                <w:color w:val="auto"/>
                <w:sz w:val="24"/>
              </w:rPr>
              <w:t>平均浓度56微克/立方米，同比下降5微克/立方米，降幅8.2%。气态污染物SO</w:t>
            </w:r>
            <w:r>
              <w:rPr>
                <w:color w:val="auto"/>
                <w:sz w:val="24"/>
                <w:vertAlign w:val="subscript"/>
              </w:rPr>
              <w:t>2</w:t>
            </w:r>
            <w:r>
              <w:rPr>
                <w:color w:val="auto"/>
                <w:sz w:val="24"/>
              </w:rPr>
              <w:t>平均浓度16微克/立方米，同比下降3微克/立方米，降幅15.8%；NO</w:t>
            </w:r>
            <w:r>
              <w:rPr>
                <w:color w:val="auto"/>
                <w:sz w:val="24"/>
                <w:vertAlign w:val="subscript"/>
              </w:rPr>
              <w:t>2</w:t>
            </w:r>
            <w:r>
              <w:rPr>
                <w:color w:val="auto"/>
                <w:sz w:val="24"/>
              </w:rPr>
              <w:t>平均浓度44微克/立方米，同比下降5微克/立方米，降幅10.2%；O</w:t>
            </w:r>
            <w:r>
              <w:rPr>
                <w:color w:val="auto"/>
                <w:sz w:val="24"/>
                <w:vertAlign w:val="subscript"/>
              </w:rPr>
              <w:t>3</w:t>
            </w:r>
            <w:r>
              <w:rPr>
                <w:color w:val="auto"/>
                <w:sz w:val="24"/>
              </w:rPr>
              <w:t>第90百分位浓度为178微克/立方米，同比下降24微克/立方米，降幅11.9%，CO第95百分位浓度2.08毫克/立方米，同比下降0.22毫克/立方米，降幅9.6%。</w:t>
            </w:r>
          </w:p>
          <w:p>
            <w:pPr>
              <w:keepNext w:val="0"/>
              <w:keepLines w:val="0"/>
              <w:pageBreakBefore w:val="0"/>
              <w:widowControl/>
              <w:kinsoku/>
              <w:wordWrap/>
              <w:overflowPunct/>
              <w:topLinePunct w:val="0"/>
              <w:autoSpaceDE/>
              <w:autoSpaceDN/>
              <w:bidi w:val="0"/>
              <w:spacing w:line="520" w:lineRule="exact"/>
              <w:ind w:firstLine="436" w:firstLineChars="182"/>
              <w:textAlignment w:val="auto"/>
              <w:rPr>
                <w:bCs/>
                <w:color w:val="auto"/>
                <w:sz w:val="24"/>
              </w:rPr>
            </w:pPr>
            <w:r>
              <w:rPr>
                <w:bCs/>
                <w:color w:val="auto"/>
                <w:sz w:val="24"/>
              </w:rPr>
              <w:t>目前，新乡市正在实施《新乡市2020年大气、水、土壤污染防治攻坚战实施方案》（新环攻坚办[2020]10号）、《“十三五”挥发性有机物污染防治工作方案》、《新乡市环境污染防治攻坚战三年行动实施方案（2018-2020年）》等一系列措施，将不断改善区域大气环境质量。预计2020年可以达到《新乡市环境污染防治攻坚战三年行动实施方案（2018-2020年）》中：“全市PM</w:t>
            </w:r>
            <w:r>
              <w:rPr>
                <w:bCs/>
                <w:color w:val="auto"/>
                <w:sz w:val="24"/>
                <w:vertAlign w:val="subscript"/>
              </w:rPr>
              <w:t>2.5</w:t>
            </w:r>
            <w:r>
              <w:rPr>
                <w:bCs/>
                <w:color w:val="auto"/>
                <w:sz w:val="24"/>
              </w:rPr>
              <w:t>年均浓度达到55微克/立方米以下，PM</w:t>
            </w:r>
            <w:r>
              <w:rPr>
                <w:bCs/>
                <w:color w:val="auto"/>
                <w:sz w:val="24"/>
                <w:vertAlign w:val="subscript"/>
              </w:rPr>
              <w:t>10</w:t>
            </w:r>
            <w:r>
              <w:rPr>
                <w:bCs/>
                <w:color w:val="auto"/>
                <w:sz w:val="24"/>
              </w:rPr>
              <w:t>年均浓度达到101微克/立方米以下，全年优良天数比例达到66%以上”的目标要求。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default" w:eastAsia="宋体"/>
                <w:b/>
                <w:color w:val="auto"/>
                <w:sz w:val="24"/>
                <w:highlight w:val="none"/>
                <w:lang w:val="en-US" w:eastAsia="zh-CN"/>
              </w:rPr>
            </w:pPr>
            <w:r>
              <w:rPr>
                <w:b/>
                <w:color w:val="auto"/>
                <w:sz w:val="24"/>
                <w:highlight w:val="none"/>
              </w:rPr>
              <w:t>2、</w:t>
            </w:r>
            <w:r>
              <w:rPr>
                <w:rFonts w:hint="eastAsia"/>
                <w:b/>
                <w:color w:val="auto"/>
                <w:sz w:val="24"/>
                <w:highlight w:val="none"/>
                <w:lang w:val="en-US" w:eastAsia="zh-CN"/>
              </w:rPr>
              <w:t>地表水环境质量现状</w:t>
            </w:r>
          </w:p>
          <w:p>
            <w:pPr>
              <w:keepNext w:val="0"/>
              <w:keepLines w:val="0"/>
              <w:pageBreakBefore w:val="0"/>
              <w:kinsoku/>
              <w:wordWrap/>
              <w:overflowPunct/>
              <w:topLinePunct w:val="0"/>
              <w:autoSpaceDE/>
              <w:autoSpaceDN/>
              <w:bidi w:val="0"/>
              <w:spacing w:line="520" w:lineRule="exact"/>
              <w:ind w:firstLine="480" w:firstLineChars="200"/>
              <w:textAlignment w:val="auto"/>
              <w:rPr>
                <w:rFonts w:hint="eastAsia"/>
                <w:bCs/>
                <w:iCs/>
                <w:color w:val="auto"/>
                <w:sz w:val="24"/>
                <w:lang w:bidi="en-US"/>
              </w:rPr>
            </w:pPr>
            <w:r>
              <w:rPr>
                <w:color w:val="auto"/>
                <w:sz w:val="24"/>
                <w:highlight w:val="none"/>
              </w:rPr>
              <w:t>项目</w:t>
            </w:r>
            <w:r>
              <w:rPr>
                <w:bCs/>
                <w:color w:val="auto"/>
                <w:sz w:val="24"/>
                <w:highlight w:val="none"/>
              </w:rPr>
              <w:t>生活污水经化粪池处理</w:t>
            </w:r>
            <w:r>
              <w:rPr>
                <w:rFonts w:hint="eastAsia"/>
                <w:bCs/>
                <w:color w:val="auto"/>
                <w:sz w:val="24"/>
                <w:highlight w:val="none"/>
                <w:lang w:eastAsia="zh-CN"/>
              </w:rPr>
              <w:t>后</w:t>
            </w:r>
            <w:r>
              <w:rPr>
                <w:bCs/>
                <w:color w:val="auto"/>
                <w:sz w:val="24"/>
                <w:highlight w:val="none"/>
              </w:rPr>
              <w:t>定期清运。</w:t>
            </w:r>
            <w:r>
              <w:rPr>
                <w:bCs/>
                <w:iCs/>
                <w:color w:val="auto"/>
                <w:sz w:val="24"/>
                <w:highlight w:val="none"/>
              </w:rPr>
              <w:t>距离本项目最近的</w:t>
            </w:r>
            <w:r>
              <w:rPr>
                <w:rFonts w:hint="eastAsia"/>
                <w:bCs/>
                <w:iCs/>
                <w:color w:val="auto"/>
                <w:sz w:val="24"/>
                <w:highlight w:val="none"/>
              </w:rPr>
              <w:t>地表</w:t>
            </w:r>
            <w:r>
              <w:rPr>
                <w:bCs/>
                <w:iCs/>
                <w:color w:val="auto"/>
                <w:sz w:val="24"/>
                <w:highlight w:val="none"/>
              </w:rPr>
              <w:t>水体为</w:t>
            </w:r>
            <w:r>
              <w:rPr>
                <w:rFonts w:hint="eastAsia"/>
                <w:bCs/>
                <w:iCs/>
                <w:color w:val="auto"/>
                <w:sz w:val="24"/>
                <w:highlight w:val="none"/>
                <w:lang w:eastAsia="zh-CN"/>
              </w:rPr>
              <w:t>北侧</w:t>
            </w:r>
            <w:r>
              <w:rPr>
                <w:rFonts w:hint="eastAsia"/>
                <w:bCs/>
                <w:iCs/>
                <w:color w:val="auto"/>
                <w:sz w:val="24"/>
                <w:highlight w:val="none"/>
                <w:lang w:val="en-US" w:eastAsia="zh-CN"/>
              </w:rPr>
              <w:t>352m的北排水河</w:t>
            </w:r>
            <w:r>
              <w:rPr>
                <w:rFonts w:hint="eastAsia"/>
                <w:bCs/>
                <w:iCs/>
                <w:color w:val="auto"/>
                <w:sz w:val="24"/>
                <w:highlight w:val="none"/>
                <w:lang w:eastAsia="zh-CN"/>
              </w:rPr>
              <w:t>，</w:t>
            </w:r>
            <w:r>
              <w:rPr>
                <w:rFonts w:hint="eastAsia"/>
                <w:color w:val="auto"/>
                <w:sz w:val="24"/>
                <w:lang w:val="en-US" w:eastAsia="zh-CN"/>
              </w:rPr>
              <w:t>最终汇入南侧2500m的</w:t>
            </w:r>
            <w:r>
              <w:rPr>
                <w:rFonts w:hint="eastAsia"/>
                <w:bCs/>
                <w:iCs/>
                <w:color w:val="auto"/>
                <w:sz w:val="24"/>
                <w:lang w:val="en-US" w:eastAsia="zh-CN"/>
              </w:rPr>
              <w:t>共产主义渠</w:t>
            </w:r>
            <w:r>
              <w:rPr>
                <w:rFonts w:hint="eastAsia"/>
                <w:bCs/>
                <w:iCs/>
                <w:color w:val="auto"/>
                <w:sz w:val="24"/>
                <w:lang w:bidi="en-US"/>
              </w:rPr>
              <w:t>。</w:t>
            </w:r>
            <w:r>
              <w:rPr>
                <w:bCs/>
                <w:iCs/>
                <w:color w:val="auto"/>
                <w:sz w:val="24"/>
                <w:lang w:bidi="en-US"/>
              </w:rPr>
              <w:t>根据水环境功能区域划分规定，</w:t>
            </w:r>
            <w:r>
              <w:rPr>
                <w:rFonts w:hint="eastAsia"/>
                <w:bCs/>
                <w:iCs/>
                <w:color w:val="auto"/>
                <w:sz w:val="24"/>
                <w:lang w:val="en-US" w:eastAsia="zh-CN" w:bidi="en-US"/>
              </w:rPr>
              <w:t>其规划水体功能</w:t>
            </w:r>
            <w:r>
              <w:rPr>
                <w:rFonts w:hint="eastAsia"/>
                <w:color w:val="auto"/>
                <w:kern w:val="0"/>
                <w:sz w:val="24"/>
              </w:rPr>
              <w:t>为</w:t>
            </w:r>
            <w:r>
              <w:rPr>
                <w:rFonts w:hint="eastAsia"/>
                <w:bCs/>
                <w:iCs/>
                <w:color w:val="auto"/>
                <w:sz w:val="24"/>
                <w:lang w:bidi="en-US"/>
              </w:rPr>
              <w:t>V</w:t>
            </w:r>
            <w:r>
              <w:rPr>
                <w:rFonts w:hint="eastAsia"/>
                <w:color w:val="auto"/>
                <w:sz w:val="24"/>
                <w:szCs w:val="28"/>
              </w:rPr>
              <w:t>类功能区，执行</w:t>
            </w:r>
            <w:r>
              <w:rPr>
                <w:color w:val="auto"/>
                <w:sz w:val="24"/>
              </w:rPr>
              <w:t>《地表水环境质量标准》（GB3838-2002）</w:t>
            </w:r>
            <w:r>
              <w:rPr>
                <w:rFonts w:hint="eastAsia"/>
                <w:color w:val="auto"/>
                <w:spacing w:val="8"/>
                <w:sz w:val="24"/>
              </w:rPr>
              <w:t>V</w:t>
            </w:r>
            <w:r>
              <w:rPr>
                <w:color w:val="auto"/>
                <w:sz w:val="24"/>
              </w:rPr>
              <w:t>类标准</w:t>
            </w:r>
            <w:r>
              <w:rPr>
                <w:rFonts w:hint="eastAsia"/>
                <w:color w:val="auto"/>
                <w:sz w:val="24"/>
                <w:szCs w:val="28"/>
              </w:rPr>
              <w:t>。</w:t>
            </w:r>
            <w:r>
              <w:rPr>
                <w:rFonts w:hint="eastAsia" w:ascii="Times New Roman" w:hAnsi="Times New Roman"/>
                <w:color w:val="auto"/>
                <w:sz w:val="24"/>
                <w:szCs w:val="24"/>
              </w:rPr>
              <w:t>根据新乡市</w:t>
            </w:r>
            <w:r>
              <w:rPr>
                <w:rFonts w:hint="eastAsia"/>
                <w:color w:val="auto"/>
                <w:sz w:val="24"/>
                <w:szCs w:val="24"/>
                <w:lang w:eastAsia="zh-CN"/>
              </w:rPr>
              <w:t>生态环境局发布</w:t>
            </w:r>
            <w:r>
              <w:rPr>
                <w:rFonts w:hint="eastAsia"/>
                <w:bCs/>
                <w:iCs/>
                <w:color w:val="auto"/>
                <w:sz w:val="24"/>
                <w:lang w:eastAsia="zh-CN" w:bidi="en-US"/>
              </w:rPr>
              <w:t>的</w:t>
            </w:r>
            <w:r>
              <w:rPr>
                <w:rFonts w:hint="eastAsia"/>
                <w:bCs/>
                <w:iCs/>
                <w:color w:val="auto"/>
                <w:sz w:val="24"/>
                <w:lang w:bidi="en-US"/>
              </w:rPr>
              <w:t>新乡市地表水环境责任目标断面水质月报</w:t>
            </w:r>
            <w:r>
              <w:rPr>
                <w:rFonts w:hint="eastAsia"/>
                <w:bCs/>
                <w:iCs/>
                <w:color w:val="auto"/>
                <w:sz w:val="24"/>
                <w:lang w:eastAsia="zh-CN" w:bidi="en-US"/>
              </w:rPr>
              <w:t>，</w:t>
            </w:r>
            <w:r>
              <w:rPr>
                <w:rFonts w:hint="eastAsia"/>
                <w:bCs/>
                <w:iCs/>
                <w:color w:val="auto"/>
                <w:sz w:val="24"/>
                <w:lang w:bidi="en-US"/>
              </w:rPr>
              <w:t>共</w:t>
            </w:r>
            <w:r>
              <w:rPr>
                <w:rFonts w:hint="eastAsia"/>
                <w:bCs/>
                <w:iCs/>
                <w:color w:val="auto"/>
                <w:sz w:val="24"/>
                <w:lang w:eastAsia="zh-CN" w:bidi="en-US"/>
              </w:rPr>
              <w:t>产主义</w:t>
            </w:r>
            <w:r>
              <w:rPr>
                <w:rFonts w:hint="eastAsia"/>
                <w:bCs/>
                <w:iCs/>
                <w:color w:val="auto"/>
                <w:sz w:val="24"/>
                <w:lang w:bidi="en-US"/>
              </w:rPr>
              <w:t>渠下马营责任断面2020年</w:t>
            </w:r>
            <w:r>
              <w:rPr>
                <w:rFonts w:hint="eastAsia"/>
                <w:bCs/>
                <w:iCs/>
                <w:color w:val="auto"/>
                <w:sz w:val="24"/>
                <w:lang w:val="en-US" w:eastAsia="zh-CN" w:bidi="en-US"/>
              </w:rPr>
              <w:t>7</w:t>
            </w:r>
            <w:r>
              <w:rPr>
                <w:rFonts w:hint="eastAsia"/>
                <w:bCs/>
                <w:iCs/>
                <w:color w:val="auto"/>
                <w:sz w:val="24"/>
                <w:lang w:bidi="en-US"/>
              </w:rPr>
              <w:t>月</w:t>
            </w:r>
            <w:r>
              <w:rPr>
                <w:rFonts w:hint="eastAsia"/>
                <w:bCs/>
                <w:iCs/>
                <w:color w:val="auto"/>
                <w:sz w:val="24"/>
                <w:lang w:eastAsia="zh-CN" w:bidi="en-US"/>
              </w:rPr>
              <w:t>至</w:t>
            </w:r>
            <w:r>
              <w:rPr>
                <w:rFonts w:hint="eastAsia"/>
                <w:bCs/>
                <w:iCs/>
                <w:color w:val="auto"/>
                <w:sz w:val="24"/>
                <w:lang w:val="en-US" w:eastAsia="zh-CN" w:bidi="en-US"/>
              </w:rPr>
              <w:t>2020年9月份</w:t>
            </w:r>
            <w:r>
              <w:rPr>
                <w:rFonts w:hint="eastAsia"/>
                <w:bCs/>
                <w:iCs/>
                <w:color w:val="auto"/>
                <w:sz w:val="24"/>
                <w:lang w:bidi="en-US"/>
              </w:rPr>
              <w:t>的监测数据见下表。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auto"/>
                <w:sz w:val="24"/>
                <w:szCs w:val="22"/>
              </w:rPr>
            </w:pPr>
            <w:r>
              <w:rPr>
                <w:rFonts w:hint="eastAsia" w:ascii="Times New Roman" w:hAnsi="Times New Roman" w:eastAsia="宋体" w:cs="Times New Roman"/>
                <w:b/>
                <w:bCs/>
                <w:color w:val="auto"/>
                <w:sz w:val="24"/>
                <w:szCs w:val="22"/>
              </w:rPr>
              <w:t>表</w:t>
            </w:r>
            <w:r>
              <w:rPr>
                <w:rFonts w:hint="eastAsia" w:ascii="Times New Roman" w:hAnsi="Times New Roman" w:eastAsia="宋体" w:cs="Times New Roman"/>
                <w:b/>
                <w:bCs/>
                <w:color w:val="auto"/>
                <w:sz w:val="24"/>
                <w:szCs w:val="22"/>
                <w:lang w:val="en-US" w:eastAsia="zh-CN"/>
              </w:rPr>
              <w:t>17</w:t>
            </w:r>
            <w:r>
              <w:rPr>
                <w:rFonts w:hint="eastAsia" w:ascii="Times New Roman" w:hAnsi="Times New Roman" w:eastAsia="宋体" w:cs="Times New Roman"/>
                <w:b/>
                <w:bCs/>
                <w:color w:val="auto"/>
                <w:sz w:val="24"/>
                <w:szCs w:val="22"/>
              </w:rPr>
              <w:t xml:space="preserve">        </w:t>
            </w:r>
            <w:r>
              <w:rPr>
                <w:rFonts w:hint="default" w:ascii="Times New Roman" w:hAnsi="Times New Roman" w:eastAsia="宋体" w:cs="Times New Roman"/>
                <w:b/>
                <w:bCs/>
                <w:color w:val="auto"/>
                <w:sz w:val="24"/>
                <w:szCs w:val="22"/>
              </w:rPr>
              <w:t xml:space="preserve"> </w:t>
            </w:r>
            <w:r>
              <w:rPr>
                <w:rFonts w:hint="eastAsia" w:ascii="Times New Roman" w:hAnsi="Times New Roman" w:eastAsia="宋体" w:cs="Times New Roman"/>
                <w:b/>
                <w:bCs/>
                <w:color w:val="auto"/>
                <w:sz w:val="24"/>
                <w:szCs w:val="22"/>
              </w:rPr>
              <w:t>共</w:t>
            </w:r>
            <w:r>
              <w:rPr>
                <w:rFonts w:hint="eastAsia" w:ascii="Times New Roman" w:hAnsi="Times New Roman" w:eastAsia="宋体" w:cs="Times New Roman"/>
                <w:b/>
                <w:bCs/>
                <w:color w:val="auto"/>
                <w:sz w:val="24"/>
                <w:szCs w:val="22"/>
                <w:lang w:eastAsia="zh-CN"/>
              </w:rPr>
              <w:t>产主义</w:t>
            </w:r>
            <w:r>
              <w:rPr>
                <w:rFonts w:hint="eastAsia" w:ascii="Times New Roman" w:hAnsi="Times New Roman" w:eastAsia="宋体" w:cs="Times New Roman"/>
                <w:b/>
                <w:bCs/>
                <w:color w:val="auto"/>
                <w:sz w:val="24"/>
                <w:szCs w:val="22"/>
              </w:rPr>
              <w:t>渠下马营断面监测数据</w:t>
            </w:r>
            <w:r>
              <w:rPr>
                <w:rFonts w:hint="default" w:ascii="Times New Roman" w:hAnsi="Times New Roman" w:eastAsia="宋体" w:cs="Times New Roman"/>
                <w:b/>
                <w:bCs/>
                <w:color w:val="auto"/>
                <w:sz w:val="24"/>
                <w:szCs w:val="22"/>
              </w:rPr>
              <w:t xml:space="preserve">           </w:t>
            </w:r>
            <w:r>
              <w:rPr>
                <w:rFonts w:hint="eastAsia" w:ascii="Times New Roman" w:hAnsi="Times New Roman" w:eastAsia="宋体" w:cs="Times New Roman"/>
                <w:b/>
                <w:bCs/>
                <w:color w:val="auto"/>
                <w:sz w:val="24"/>
                <w:szCs w:val="22"/>
              </w:rPr>
              <w:t>单位：</w:t>
            </w:r>
            <w:r>
              <w:rPr>
                <w:rFonts w:hint="default" w:ascii="Times New Roman" w:hAnsi="Times New Roman" w:eastAsia="宋体" w:cs="Times New Roman"/>
                <w:b/>
                <w:bCs/>
                <w:color w:val="auto"/>
                <w:sz w:val="24"/>
                <w:szCs w:val="22"/>
              </w:rPr>
              <w:t>mg/L</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932"/>
              <w:gridCol w:w="2319"/>
              <w:gridCol w:w="17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7" w:type="dxa"/>
                  <w:tcBorders>
                    <w:top w:val="single" w:color="auto" w:sz="8" w:space="0"/>
                  </w:tcBorders>
                  <w:noWrap w:val="0"/>
                  <w:vAlign w:val="center"/>
                </w:tcPr>
                <w:p>
                  <w:pPr>
                    <w:adjustRightInd w:val="0"/>
                    <w:snapToGrid w:val="0"/>
                    <w:jc w:val="center"/>
                    <w:rPr>
                      <w:rFonts w:ascii="Times New Roman" w:hAnsi="Times New Roman"/>
                      <w:b/>
                      <w:color w:val="auto"/>
                      <w:sz w:val="21"/>
                      <w:szCs w:val="21"/>
                    </w:rPr>
                  </w:pPr>
                  <w:r>
                    <w:rPr>
                      <w:rFonts w:hint="eastAsia" w:ascii="Times New Roman" w:hAnsi="Times New Roman"/>
                      <w:b/>
                      <w:color w:val="auto"/>
                      <w:sz w:val="21"/>
                      <w:szCs w:val="21"/>
                    </w:rPr>
                    <w:t>监测因子</w:t>
                  </w:r>
                </w:p>
              </w:tc>
              <w:tc>
                <w:tcPr>
                  <w:tcW w:w="1932" w:type="dxa"/>
                  <w:tcBorders>
                    <w:top w:val="single" w:color="auto" w:sz="8" w:space="0"/>
                  </w:tcBorders>
                  <w:noWrap w:val="0"/>
                  <w:vAlign w:val="center"/>
                </w:tcPr>
                <w:p>
                  <w:pPr>
                    <w:adjustRightInd w:val="0"/>
                    <w:snapToGrid w:val="0"/>
                    <w:jc w:val="center"/>
                    <w:rPr>
                      <w:rFonts w:ascii="Times New Roman" w:hAnsi="Times New Roman"/>
                      <w:b/>
                      <w:color w:val="auto"/>
                      <w:sz w:val="21"/>
                      <w:szCs w:val="21"/>
                    </w:rPr>
                  </w:pPr>
                  <w:r>
                    <w:rPr>
                      <w:rFonts w:ascii="Times New Roman" w:hAnsi="Times New Roman"/>
                      <w:b/>
                      <w:color w:val="auto"/>
                      <w:sz w:val="21"/>
                      <w:szCs w:val="21"/>
                    </w:rPr>
                    <w:t>COD</w:t>
                  </w:r>
                </w:p>
              </w:tc>
              <w:tc>
                <w:tcPr>
                  <w:tcW w:w="2319" w:type="dxa"/>
                  <w:tcBorders>
                    <w:top w:val="single" w:color="auto" w:sz="8" w:space="0"/>
                  </w:tcBorders>
                  <w:noWrap w:val="0"/>
                  <w:vAlign w:val="center"/>
                </w:tcPr>
                <w:p>
                  <w:pPr>
                    <w:adjustRightInd w:val="0"/>
                    <w:snapToGrid w:val="0"/>
                    <w:jc w:val="center"/>
                    <w:rPr>
                      <w:rFonts w:ascii="Times New Roman" w:hAnsi="Times New Roman"/>
                      <w:b/>
                      <w:color w:val="auto"/>
                      <w:sz w:val="21"/>
                      <w:szCs w:val="21"/>
                    </w:rPr>
                  </w:pPr>
                  <w:r>
                    <w:rPr>
                      <w:rFonts w:ascii="Times New Roman" w:hAnsi="Times New Roman"/>
                      <w:b/>
                      <w:color w:val="auto"/>
                      <w:sz w:val="21"/>
                      <w:szCs w:val="21"/>
                    </w:rPr>
                    <w:t>NH</w:t>
                  </w:r>
                  <w:r>
                    <w:rPr>
                      <w:rFonts w:ascii="Times New Roman" w:hAnsi="Times New Roman"/>
                      <w:b/>
                      <w:color w:val="auto"/>
                      <w:sz w:val="21"/>
                      <w:szCs w:val="21"/>
                      <w:vertAlign w:val="subscript"/>
                    </w:rPr>
                    <w:t>3</w:t>
                  </w:r>
                  <w:r>
                    <w:rPr>
                      <w:rFonts w:ascii="Times New Roman" w:hAnsi="Times New Roman"/>
                      <w:b/>
                      <w:color w:val="auto"/>
                      <w:sz w:val="21"/>
                      <w:szCs w:val="21"/>
                    </w:rPr>
                    <w:t>-N</w:t>
                  </w:r>
                </w:p>
              </w:tc>
              <w:tc>
                <w:tcPr>
                  <w:tcW w:w="1752" w:type="dxa"/>
                  <w:tcBorders>
                    <w:top w:val="single" w:color="auto" w:sz="8" w:space="0"/>
                  </w:tcBorders>
                  <w:noWrap w:val="0"/>
                  <w:vAlign w:val="center"/>
                </w:tcPr>
                <w:p>
                  <w:pPr>
                    <w:adjustRightInd w:val="0"/>
                    <w:snapToGrid w:val="0"/>
                    <w:jc w:val="center"/>
                    <w:rPr>
                      <w:rFonts w:ascii="Times New Roman" w:hAnsi="Times New Roman"/>
                      <w:b/>
                      <w:color w:val="auto"/>
                      <w:sz w:val="21"/>
                      <w:szCs w:val="21"/>
                    </w:rPr>
                  </w:pPr>
                  <w:r>
                    <w:rPr>
                      <w:rFonts w:ascii="Times New Roman" w:hAnsi="Times New Roman"/>
                      <w:b/>
                      <w:color w:val="auto"/>
                      <w:sz w:val="21"/>
                      <w:szCs w:val="21"/>
                    </w:rPr>
                    <w:t>TP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7" w:type="dxa"/>
                  <w:noWrap w:val="0"/>
                  <w:vAlign w:val="center"/>
                </w:tcPr>
                <w:p>
                  <w:pPr>
                    <w:adjustRightInd w:val="0"/>
                    <w:snapToGrid w:val="0"/>
                    <w:jc w:val="center"/>
                    <w:rPr>
                      <w:rFonts w:ascii="Times New Roman" w:hAnsi="Times New Roman"/>
                      <w:color w:val="auto"/>
                      <w:sz w:val="21"/>
                      <w:szCs w:val="21"/>
                    </w:rPr>
                  </w:pPr>
                  <w:r>
                    <w:rPr>
                      <w:rFonts w:hint="eastAsia"/>
                      <w:color w:val="auto"/>
                      <w:sz w:val="21"/>
                      <w:szCs w:val="21"/>
                      <w:lang w:val="en-US" w:eastAsia="zh-CN"/>
                    </w:rPr>
                    <w:t>2020年7月</w:t>
                  </w:r>
                  <w:r>
                    <w:rPr>
                      <w:rFonts w:hint="eastAsia" w:ascii="Times New Roman" w:hAnsi="Times New Roman"/>
                      <w:color w:val="auto"/>
                      <w:sz w:val="21"/>
                      <w:szCs w:val="21"/>
                    </w:rPr>
                    <w:t>监测数据</w:t>
                  </w:r>
                </w:p>
              </w:tc>
              <w:tc>
                <w:tcPr>
                  <w:tcW w:w="1932" w:type="dxa"/>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19</w:t>
                  </w:r>
                </w:p>
              </w:tc>
              <w:tc>
                <w:tcPr>
                  <w:tcW w:w="2319" w:type="dxa"/>
                  <w:noWrap w:val="0"/>
                  <w:vAlign w:val="center"/>
                </w:tcPr>
                <w:p>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0.19</w:t>
                  </w:r>
                </w:p>
              </w:tc>
              <w:tc>
                <w:tcPr>
                  <w:tcW w:w="1752" w:type="dxa"/>
                  <w:noWrap w:val="0"/>
                  <w:vAlign w:val="center"/>
                </w:tcPr>
                <w:p>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0.254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7" w:type="dxa"/>
                  <w:noWrap w:val="0"/>
                  <w:vAlign w:val="center"/>
                </w:tcPr>
                <w:p>
                  <w:pPr>
                    <w:adjustRightInd w:val="0"/>
                    <w:snapToGrid w:val="0"/>
                    <w:jc w:val="center"/>
                    <w:rPr>
                      <w:rFonts w:hint="eastAsia" w:ascii="Times New Roman" w:hAnsi="Times New Roman"/>
                      <w:color w:val="auto"/>
                      <w:sz w:val="21"/>
                      <w:szCs w:val="21"/>
                    </w:rPr>
                  </w:pPr>
                  <w:r>
                    <w:rPr>
                      <w:rFonts w:hint="eastAsia"/>
                      <w:color w:val="auto"/>
                      <w:sz w:val="21"/>
                      <w:szCs w:val="21"/>
                      <w:lang w:val="en-US" w:eastAsia="zh-CN"/>
                    </w:rPr>
                    <w:t>2020年8月</w:t>
                  </w:r>
                  <w:r>
                    <w:rPr>
                      <w:rFonts w:hint="eastAsia" w:ascii="Times New Roman" w:hAnsi="Times New Roman"/>
                      <w:color w:val="auto"/>
                      <w:sz w:val="21"/>
                      <w:szCs w:val="21"/>
                    </w:rPr>
                    <w:t>监测数据</w:t>
                  </w:r>
                </w:p>
              </w:tc>
              <w:tc>
                <w:tcPr>
                  <w:tcW w:w="1932" w:type="dxa"/>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w:t>
                  </w:r>
                </w:p>
              </w:tc>
              <w:tc>
                <w:tcPr>
                  <w:tcW w:w="2319"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0.34</w:t>
                  </w:r>
                </w:p>
              </w:tc>
              <w:tc>
                <w:tcPr>
                  <w:tcW w:w="175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0.271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727" w:type="dxa"/>
                  <w:noWrap w:val="0"/>
                  <w:vAlign w:val="center"/>
                </w:tcPr>
                <w:p>
                  <w:pPr>
                    <w:adjustRightInd w:val="0"/>
                    <w:snapToGrid w:val="0"/>
                    <w:jc w:val="center"/>
                    <w:rPr>
                      <w:rFonts w:hint="eastAsia" w:ascii="Times New Roman" w:hAnsi="Times New Roman"/>
                      <w:color w:val="auto"/>
                      <w:sz w:val="21"/>
                      <w:szCs w:val="21"/>
                    </w:rPr>
                  </w:pPr>
                  <w:r>
                    <w:rPr>
                      <w:rFonts w:hint="eastAsia"/>
                      <w:color w:val="auto"/>
                      <w:sz w:val="21"/>
                      <w:szCs w:val="21"/>
                      <w:lang w:val="en-US" w:eastAsia="zh-CN"/>
                    </w:rPr>
                    <w:t>2020年9月</w:t>
                  </w:r>
                  <w:r>
                    <w:rPr>
                      <w:rFonts w:hint="eastAsia" w:ascii="Times New Roman" w:hAnsi="Times New Roman"/>
                      <w:color w:val="auto"/>
                      <w:sz w:val="21"/>
                      <w:szCs w:val="21"/>
                    </w:rPr>
                    <w:t>监测数据</w:t>
                  </w:r>
                </w:p>
              </w:tc>
              <w:tc>
                <w:tcPr>
                  <w:tcW w:w="1932" w:type="dxa"/>
                  <w:noWrap w:val="0"/>
                  <w:vAlign w:val="center"/>
                </w:tcPr>
                <w:p>
                  <w:pPr>
                    <w:adjustRightInd w:val="0"/>
                    <w:snapToGrid w:val="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20</w:t>
                  </w:r>
                </w:p>
              </w:tc>
              <w:tc>
                <w:tcPr>
                  <w:tcW w:w="2319" w:type="dxa"/>
                  <w:noWrap w:val="0"/>
                  <w:vAlign w:val="center"/>
                </w:tcPr>
                <w:p>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0.1</w:t>
                  </w:r>
                </w:p>
              </w:tc>
              <w:tc>
                <w:tcPr>
                  <w:tcW w:w="1752" w:type="dxa"/>
                  <w:noWrap w:val="0"/>
                  <w:vAlign w:val="center"/>
                </w:tcPr>
                <w:p>
                  <w:pPr>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0.305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7" w:type="dxa"/>
                  <w:noWrap w:val="0"/>
                  <w:vAlign w:val="center"/>
                </w:tcPr>
                <w:p>
                  <w:pPr>
                    <w:adjustRightInd w:val="0"/>
                    <w:snapToGrid w:val="0"/>
                    <w:jc w:val="center"/>
                    <w:rPr>
                      <w:rFonts w:ascii="Times New Roman" w:hAnsi="Times New Roman"/>
                      <w:color w:val="auto"/>
                      <w:sz w:val="21"/>
                      <w:szCs w:val="21"/>
                    </w:rPr>
                  </w:pPr>
                  <w:r>
                    <w:rPr>
                      <w:rFonts w:hint="eastAsia" w:ascii="Times New Roman" w:hAnsi="Times New Roman"/>
                      <w:color w:val="auto"/>
                      <w:sz w:val="21"/>
                      <w:szCs w:val="21"/>
                    </w:rPr>
                    <w:t>断面标准</w:t>
                  </w:r>
                </w:p>
              </w:tc>
              <w:tc>
                <w:tcPr>
                  <w:tcW w:w="1932" w:type="dxa"/>
                  <w:noWrap w:val="0"/>
                  <w:vAlign w:val="center"/>
                </w:tcPr>
                <w:p>
                  <w:pPr>
                    <w:jc w:val="center"/>
                    <w:rPr>
                      <w:rFonts w:ascii="Times New Roman" w:hAnsi="Times New Roman"/>
                      <w:color w:val="auto"/>
                      <w:sz w:val="21"/>
                      <w:szCs w:val="21"/>
                    </w:rPr>
                  </w:pPr>
                  <w:r>
                    <w:rPr>
                      <w:rFonts w:ascii="Times New Roman" w:hAnsi="Times New Roman"/>
                      <w:color w:val="auto"/>
                      <w:sz w:val="21"/>
                      <w:szCs w:val="21"/>
                    </w:rPr>
                    <w:t>40</w:t>
                  </w:r>
                </w:p>
              </w:tc>
              <w:tc>
                <w:tcPr>
                  <w:tcW w:w="2319" w:type="dxa"/>
                  <w:noWrap w:val="0"/>
                  <w:vAlign w:val="center"/>
                </w:tcPr>
                <w:p>
                  <w:pPr>
                    <w:jc w:val="center"/>
                    <w:rPr>
                      <w:rFonts w:ascii="Times New Roman" w:hAnsi="Times New Roman"/>
                      <w:color w:val="auto"/>
                      <w:sz w:val="21"/>
                      <w:szCs w:val="21"/>
                    </w:rPr>
                  </w:pPr>
                  <w:r>
                    <w:rPr>
                      <w:rFonts w:ascii="Times New Roman" w:hAnsi="Times New Roman"/>
                      <w:color w:val="auto"/>
                      <w:sz w:val="21"/>
                      <w:szCs w:val="21"/>
                    </w:rPr>
                    <w:t>2</w:t>
                  </w:r>
                </w:p>
              </w:tc>
              <w:tc>
                <w:tcPr>
                  <w:tcW w:w="1752" w:type="dxa"/>
                  <w:noWrap w:val="0"/>
                  <w:vAlign w:val="center"/>
                </w:tcPr>
                <w:p>
                  <w:pPr>
                    <w:jc w:val="center"/>
                    <w:rPr>
                      <w:rFonts w:ascii="Times New Roman" w:hAnsi="Times New Roman"/>
                      <w:color w:val="auto"/>
                      <w:sz w:val="21"/>
                      <w:szCs w:val="21"/>
                    </w:rPr>
                  </w:pPr>
                  <w:r>
                    <w:rPr>
                      <w:rFonts w:ascii="Times New Roman" w:hAnsi="Times New Roman"/>
                      <w:color w:val="auto"/>
                      <w:sz w:val="21"/>
                      <w:szCs w:val="21"/>
                    </w:rPr>
                    <w:t>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7" w:type="dxa"/>
                  <w:tcBorders>
                    <w:bottom w:val="single" w:color="auto" w:sz="8" w:space="0"/>
                  </w:tcBorders>
                  <w:noWrap w:val="0"/>
                  <w:vAlign w:val="center"/>
                </w:tcPr>
                <w:p>
                  <w:pPr>
                    <w:adjustRightInd w:val="0"/>
                    <w:snapToGrid w:val="0"/>
                    <w:jc w:val="center"/>
                    <w:rPr>
                      <w:rFonts w:ascii="Times New Roman" w:hAnsi="Times New Roman"/>
                      <w:color w:val="auto"/>
                      <w:sz w:val="21"/>
                      <w:szCs w:val="21"/>
                    </w:rPr>
                  </w:pPr>
                  <w:r>
                    <w:rPr>
                      <w:rFonts w:hint="eastAsia" w:ascii="Times New Roman" w:hAnsi="Times New Roman"/>
                      <w:color w:val="auto"/>
                      <w:sz w:val="21"/>
                      <w:szCs w:val="21"/>
                    </w:rPr>
                    <w:t>达标情况</w:t>
                  </w:r>
                </w:p>
              </w:tc>
              <w:tc>
                <w:tcPr>
                  <w:tcW w:w="1932" w:type="dxa"/>
                  <w:tcBorders>
                    <w:bottom w:val="single" w:color="auto" w:sz="8" w:space="0"/>
                  </w:tcBorders>
                  <w:noWrap w:val="0"/>
                  <w:vAlign w:val="center"/>
                </w:tcPr>
                <w:p>
                  <w:pPr>
                    <w:jc w:val="center"/>
                    <w:rPr>
                      <w:rFonts w:ascii="Times New Roman" w:hAnsi="Times New Roman"/>
                      <w:color w:val="auto"/>
                      <w:sz w:val="21"/>
                      <w:szCs w:val="21"/>
                    </w:rPr>
                  </w:pPr>
                  <w:r>
                    <w:rPr>
                      <w:rFonts w:hint="eastAsia" w:ascii="Times New Roman" w:hAnsi="Times New Roman"/>
                      <w:color w:val="auto"/>
                      <w:sz w:val="21"/>
                      <w:szCs w:val="21"/>
                    </w:rPr>
                    <w:t>达标</w:t>
                  </w:r>
                </w:p>
              </w:tc>
              <w:tc>
                <w:tcPr>
                  <w:tcW w:w="2319" w:type="dxa"/>
                  <w:tcBorders>
                    <w:bottom w:val="single" w:color="auto" w:sz="8" w:space="0"/>
                  </w:tcBorders>
                  <w:noWrap w:val="0"/>
                  <w:vAlign w:val="center"/>
                </w:tcPr>
                <w:p>
                  <w:pPr>
                    <w:jc w:val="center"/>
                    <w:rPr>
                      <w:rFonts w:ascii="Times New Roman" w:hAnsi="Times New Roman"/>
                      <w:color w:val="auto"/>
                      <w:sz w:val="21"/>
                      <w:szCs w:val="21"/>
                    </w:rPr>
                  </w:pPr>
                  <w:r>
                    <w:rPr>
                      <w:rFonts w:ascii="Times New Roman" w:hAnsi="Times New Roman"/>
                      <w:color w:val="auto"/>
                      <w:sz w:val="21"/>
                      <w:szCs w:val="21"/>
                    </w:rPr>
                    <w:t>达标</w:t>
                  </w:r>
                </w:p>
              </w:tc>
              <w:tc>
                <w:tcPr>
                  <w:tcW w:w="1752" w:type="dxa"/>
                  <w:tcBorders>
                    <w:bottom w:val="single" w:color="auto" w:sz="8" w:space="0"/>
                  </w:tcBorders>
                  <w:noWrap w:val="0"/>
                  <w:vAlign w:val="center"/>
                </w:tcPr>
                <w:p>
                  <w:pPr>
                    <w:jc w:val="center"/>
                    <w:rPr>
                      <w:rFonts w:ascii="Times New Roman" w:hAnsi="Times New Roman"/>
                      <w:color w:val="auto"/>
                      <w:sz w:val="21"/>
                      <w:szCs w:val="21"/>
                    </w:rPr>
                  </w:pPr>
                  <w:r>
                    <w:rPr>
                      <w:rFonts w:hint="eastAsia" w:ascii="Times New Roman" w:hAnsi="Times New Roman"/>
                      <w:color w:val="auto"/>
                      <w:sz w:val="21"/>
                      <w:szCs w:val="21"/>
                    </w:rPr>
                    <w:t>达标</w:t>
                  </w:r>
                </w:p>
              </w:tc>
            </w:tr>
          </w:tbl>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Times New Roman" w:hAnsi="Times New Roman"/>
                <w:color w:val="auto"/>
                <w:sz w:val="24"/>
                <w:szCs w:val="24"/>
              </w:rPr>
            </w:pPr>
            <w:r>
              <w:rPr>
                <w:rFonts w:hint="eastAsia" w:ascii="Times New Roman" w:hAnsi="Times New Roman"/>
                <w:color w:val="auto"/>
                <w:kern w:val="0"/>
                <w:sz w:val="24"/>
                <w:szCs w:val="24"/>
              </w:rPr>
              <w:t>由上表可知，</w:t>
            </w:r>
            <w:r>
              <w:rPr>
                <w:rFonts w:ascii="Times New Roman" w:hAnsi="Times New Roman"/>
                <w:color w:val="auto"/>
                <w:kern w:val="0"/>
                <w:sz w:val="24"/>
                <w:szCs w:val="24"/>
              </w:rPr>
              <w:t>COD</w:t>
            </w:r>
            <w:r>
              <w:rPr>
                <w:rFonts w:hint="eastAsia" w:ascii="Times New Roman" w:hAnsi="Times New Roman"/>
                <w:color w:val="auto"/>
                <w:kern w:val="0"/>
                <w:sz w:val="24"/>
                <w:szCs w:val="24"/>
              </w:rPr>
              <w:t>、</w:t>
            </w:r>
            <w:r>
              <w:rPr>
                <w:rFonts w:ascii="Times New Roman" w:hAnsi="Times New Roman"/>
                <w:color w:val="auto"/>
                <w:kern w:val="0"/>
                <w:sz w:val="24"/>
                <w:szCs w:val="24"/>
              </w:rPr>
              <w:t>NH</w:t>
            </w:r>
            <w:r>
              <w:rPr>
                <w:rFonts w:ascii="Times New Roman" w:hAnsi="Times New Roman"/>
                <w:color w:val="auto"/>
                <w:kern w:val="0"/>
                <w:sz w:val="24"/>
                <w:szCs w:val="24"/>
                <w:vertAlign w:val="subscript"/>
              </w:rPr>
              <w:t>3</w:t>
            </w:r>
            <w:r>
              <w:rPr>
                <w:rFonts w:ascii="Times New Roman" w:hAnsi="Times New Roman"/>
                <w:color w:val="auto"/>
                <w:kern w:val="0"/>
                <w:sz w:val="24"/>
                <w:szCs w:val="24"/>
              </w:rPr>
              <w:t>-N</w:t>
            </w:r>
            <w:r>
              <w:rPr>
                <w:rFonts w:hint="eastAsia" w:ascii="Times New Roman" w:hAnsi="Times New Roman"/>
                <w:color w:val="auto"/>
                <w:kern w:val="0"/>
                <w:sz w:val="24"/>
                <w:szCs w:val="24"/>
              </w:rPr>
              <w:t>、</w:t>
            </w:r>
            <w:r>
              <w:rPr>
                <w:rFonts w:ascii="Times New Roman" w:hAnsi="Times New Roman"/>
                <w:color w:val="auto"/>
                <w:kern w:val="0"/>
                <w:sz w:val="24"/>
                <w:szCs w:val="24"/>
              </w:rPr>
              <w:t>TP</w:t>
            </w:r>
            <w:r>
              <w:rPr>
                <w:rFonts w:hint="eastAsia" w:ascii="Times New Roman" w:hAnsi="Times New Roman"/>
                <w:color w:val="auto"/>
                <w:kern w:val="0"/>
                <w:sz w:val="24"/>
                <w:szCs w:val="24"/>
              </w:rPr>
              <w:t>浓度均达标，目前新乡市正在推进实施《新乡市环境污染防治攻坚战三年行动实施方案（</w:t>
            </w:r>
            <w:r>
              <w:rPr>
                <w:rFonts w:ascii="Times New Roman" w:hAnsi="Times New Roman"/>
                <w:color w:val="auto"/>
                <w:kern w:val="0"/>
                <w:sz w:val="24"/>
                <w:szCs w:val="24"/>
              </w:rPr>
              <w:t>2018-2020</w:t>
            </w:r>
            <w:r>
              <w:rPr>
                <w:rFonts w:hint="eastAsia" w:ascii="Times New Roman" w:hAnsi="Times New Roman"/>
                <w:color w:val="auto"/>
                <w:kern w:val="0"/>
                <w:sz w:val="24"/>
                <w:szCs w:val="24"/>
              </w:rPr>
              <w:t>年）》和《关于印发新乡市</w:t>
            </w:r>
            <w:r>
              <w:rPr>
                <w:rFonts w:ascii="Times New Roman" w:hAnsi="Times New Roman"/>
                <w:color w:val="auto"/>
                <w:kern w:val="0"/>
                <w:sz w:val="24"/>
                <w:szCs w:val="24"/>
              </w:rPr>
              <w:t>2020</w:t>
            </w:r>
            <w:r>
              <w:rPr>
                <w:rFonts w:hint="eastAsia" w:ascii="Times New Roman" w:hAnsi="Times New Roman"/>
                <w:color w:val="auto"/>
                <w:kern w:val="0"/>
                <w:sz w:val="24"/>
                <w:szCs w:val="24"/>
              </w:rPr>
              <w:t>年大气、水、土壤污染防治攻坚战实施方案的通知》（新环攻坚办〔</w:t>
            </w:r>
            <w:r>
              <w:rPr>
                <w:rFonts w:ascii="Times New Roman" w:hAnsi="Times New Roman"/>
                <w:color w:val="auto"/>
                <w:kern w:val="0"/>
                <w:sz w:val="24"/>
                <w:szCs w:val="24"/>
              </w:rPr>
              <w:t>2020</w:t>
            </w:r>
            <w:r>
              <w:rPr>
                <w:rFonts w:hint="eastAsia" w:ascii="Times New Roman" w:hAnsi="Times New Roman"/>
                <w:color w:val="auto"/>
                <w:kern w:val="0"/>
                <w:sz w:val="24"/>
                <w:szCs w:val="24"/>
              </w:rPr>
              <w:t>〕</w:t>
            </w:r>
            <w:r>
              <w:rPr>
                <w:rFonts w:ascii="Times New Roman" w:hAnsi="Times New Roman"/>
                <w:color w:val="auto"/>
                <w:kern w:val="0"/>
                <w:sz w:val="24"/>
                <w:szCs w:val="24"/>
              </w:rPr>
              <w:t>10</w:t>
            </w:r>
            <w:r>
              <w:rPr>
                <w:rFonts w:hint="eastAsia" w:ascii="Times New Roman" w:hAnsi="Times New Roman"/>
                <w:color w:val="auto"/>
                <w:kern w:val="0"/>
                <w:sz w:val="24"/>
                <w:szCs w:val="24"/>
              </w:rPr>
              <w:t>号）等一系列措施，将继续改善新乡市水环境质量</w:t>
            </w:r>
            <w:r>
              <w:rPr>
                <w:rFonts w:ascii="Times New Roman" w:hAnsi="Times New Roman"/>
                <w:color w:val="auto"/>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eastAsia="宋体"/>
                <w:b/>
                <w:color w:val="000000"/>
                <w:sz w:val="24"/>
                <w:highlight w:val="none"/>
                <w:lang w:eastAsia="zh-CN"/>
              </w:rPr>
            </w:pPr>
            <w:r>
              <w:rPr>
                <w:rFonts w:hint="eastAsia"/>
                <w:b/>
                <w:color w:val="000000"/>
                <w:sz w:val="24"/>
                <w:highlight w:val="none"/>
                <w:lang w:val="en-US" w:eastAsia="zh-CN"/>
              </w:rPr>
              <w:t>3</w:t>
            </w:r>
            <w:r>
              <w:rPr>
                <w:rFonts w:hint="eastAsia"/>
                <w:b/>
                <w:color w:val="000000"/>
                <w:sz w:val="24"/>
                <w:highlight w:val="none"/>
              </w:rPr>
              <w:t>、地下水环境</w:t>
            </w:r>
            <w:r>
              <w:rPr>
                <w:rFonts w:hint="eastAsia"/>
                <w:b/>
                <w:color w:val="000000"/>
                <w:sz w:val="24"/>
                <w:highlight w:val="none"/>
                <w:lang w:eastAsia="zh-CN"/>
              </w:rPr>
              <w:t>质量现状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000000"/>
                <w:kern w:val="0"/>
                <w:sz w:val="24"/>
                <w:highlight w:val="yellow"/>
              </w:rPr>
            </w:pPr>
            <w:r>
              <w:rPr>
                <w:rFonts w:hint="eastAsia" w:hAnsi="宋体"/>
                <w:bCs/>
                <w:sz w:val="24"/>
                <w:szCs w:val="24"/>
              </w:rPr>
              <w:t xml:space="preserve">项目区域地下水流向为由西南向东北。根据《环境影响评价技术导则 </w:t>
            </w:r>
            <w:r>
              <w:rPr>
                <w:rFonts w:hAnsi="宋体"/>
                <w:bCs/>
                <w:sz w:val="24"/>
                <w:szCs w:val="24"/>
              </w:rPr>
              <w:t xml:space="preserve"> </w:t>
            </w:r>
            <w:r>
              <w:rPr>
                <w:rFonts w:hint="eastAsia" w:hAnsi="宋体"/>
                <w:bCs/>
                <w:sz w:val="24"/>
                <w:szCs w:val="24"/>
              </w:rPr>
              <w:t>地下水环境》（HJ610-20</w:t>
            </w:r>
            <w:r>
              <w:rPr>
                <w:rFonts w:hAnsi="宋体"/>
                <w:bCs/>
                <w:sz w:val="24"/>
                <w:szCs w:val="24"/>
              </w:rPr>
              <w:t>1</w:t>
            </w:r>
            <w:r>
              <w:rPr>
                <w:rFonts w:hint="eastAsia" w:hAnsi="宋体"/>
                <w:bCs/>
                <w:sz w:val="24"/>
                <w:szCs w:val="24"/>
              </w:rPr>
              <w:t>6）要求，共设置</w:t>
            </w:r>
            <w:r>
              <w:rPr>
                <w:rFonts w:hint="eastAsia" w:hAnsi="宋体"/>
                <w:bCs/>
                <w:sz w:val="24"/>
                <w:szCs w:val="24"/>
                <w:lang w:val="en-US" w:eastAsia="zh-CN"/>
              </w:rPr>
              <w:t>3</w:t>
            </w:r>
            <w:r>
              <w:rPr>
                <w:rFonts w:hint="eastAsia" w:hAnsi="宋体"/>
                <w:bCs/>
                <w:sz w:val="24"/>
                <w:szCs w:val="24"/>
              </w:rPr>
              <w:t>个水质监测点，</w:t>
            </w:r>
            <w:r>
              <w:rPr>
                <w:rFonts w:hint="eastAsia" w:hAnsi="宋体"/>
                <w:bCs/>
                <w:sz w:val="24"/>
                <w:szCs w:val="24"/>
                <w:lang w:val="en-US" w:eastAsia="zh-CN"/>
              </w:rPr>
              <w:t>6</w:t>
            </w:r>
            <w:r>
              <w:rPr>
                <w:rFonts w:hint="eastAsia" w:hAnsi="宋体"/>
                <w:bCs/>
                <w:sz w:val="24"/>
                <w:szCs w:val="24"/>
              </w:rPr>
              <w:t>个水位监测点。本项目利用</w:t>
            </w:r>
            <w:r>
              <w:rPr>
                <w:rFonts w:ascii="Times New Roman" w:hAnsi="Times New Roman" w:cs="Times New Roman"/>
                <w:sz w:val="24"/>
              </w:rPr>
              <w:t>《新乡市动力电池专业园区发展规划（2017-2020）环境影响报告书》地下水监测数据</w:t>
            </w:r>
            <w:r>
              <w:rPr>
                <w:rFonts w:hint="eastAsia" w:ascii="Times New Roman" w:hAnsi="Times New Roman" w:cs="Times New Roman"/>
                <w:sz w:val="24"/>
                <w:lang w:eastAsia="zh-CN"/>
              </w:rPr>
              <w:t>的</w:t>
            </w:r>
            <w:r>
              <w:rPr>
                <w:rFonts w:hint="eastAsia" w:hAnsi="宋体"/>
                <w:bCs/>
                <w:sz w:val="24"/>
                <w:szCs w:val="24"/>
                <w:lang w:val="en-US" w:eastAsia="zh-CN"/>
              </w:rPr>
              <w:t>3</w:t>
            </w:r>
            <w:r>
              <w:rPr>
                <w:rFonts w:hint="eastAsia" w:hAnsi="宋体"/>
                <w:bCs/>
                <w:sz w:val="24"/>
                <w:szCs w:val="24"/>
              </w:rPr>
              <w:t>#、</w:t>
            </w:r>
            <w:r>
              <w:rPr>
                <w:rFonts w:hint="eastAsia" w:hAnsi="宋体"/>
                <w:bCs/>
                <w:sz w:val="24"/>
                <w:szCs w:val="24"/>
                <w:lang w:val="en-US" w:eastAsia="zh-CN"/>
              </w:rPr>
              <w:t>4</w:t>
            </w:r>
            <w:r>
              <w:rPr>
                <w:rFonts w:hint="eastAsia" w:hAnsi="宋体"/>
                <w:bCs/>
                <w:sz w:val="24"/>
                <w:szCs w:val="24"/>
              </w:rPr>
              <w:t>#监测点，补充</w:t>
            </w:r>
            <w:r>
              <w:rPr>
                <w:rFonts w:hint="eastAsia" w:hAnsi="宋体"/>
                <w:bCs/>
                <w:sz w:val="24"/>
                <w:szCs w:val="24"/>
                <w:lang w:val="en-US" w:eastAsia="zh-CN"/>
              </w:rPr>
              <w:t>2</w:t>
            </w:r>
            <w:r>
              <w:rPr>
                <w:rFonts w:hint="eastAsia" w:hAnsi="宋体"/>
                <w:bCs/>
                <w:sz w:val="24"/>
                <w:szCs w:val="24"/>
              </w:rPr>
              <w:t>个水质、水位监测点，</w:t>
            </w:r>
            <w:r>
              <w:rPr>
                <w:rFonts w:hint="eastAsia" w:hAnsi="宋体"/>
                <w:bCs/>
                <w:sz w:val="24"/>
                <w:szCs w:val="24"/>
                <w:lang w:val="en-US" w:eastAsia="zh-CN"/>
              </w:rPr>
              <w:t>2</w:t>
            </w:r>
            <w:r>
              <w:rPr>
                <w:rFonts w:hint="eastAsia" w:hAnsi="宋体"/>
                <w:bCs/>
                <w:sz w:val="24"/>
                <w:szCs w:val="24"/>
              </w:rPr>
              <w:t>个水位监测点，</w:t>
            </w:r>
            <w:r>
              <w:rPr>
                <w:rFonts w:hint="eastAsia" w:hAnsi="宋体"/>
                <w:bCs/>
                <w:sz w:val="24"/>
                <w:szCs w:val="24"/>
                <w:lang w:eastAsia="zh-CN"/>
              </w:rPr>
              <w:t>新乡市凤泉区利民加油站</w:t>
            </w:r>
            <w:r>
              <w:rPr>
                <w:rFonts w:hint="eastAsia"/>
                <w:color w:val="000000"/>
                <w:kern w:val="0"/>
                <w:sz w:val="24"/>
                <w:highlight w:val="none"/>
              </w:rPr>
              <w:t>委托</w:t>
            </w:r>
            <w:r>
              <w:rPr>
                <w:rFonts w:hint="eastAsia"/>
                <w:color w:val="000000"/>
                <w:kern w:val="0"/>
                <w:sz w:val="24"/>
                <w:highlight w:val="none"/>
                <w:lang w:eastAsia="zh-CN"/>
              </w:rPr>
              <w:t>河南恒科环境</w:t>
            </w:r>
            <w:r>
              <w:rPr>
                <w:rFonts w:hint="eastAsia"/>
                <w:color w:val="000000"/>
                <w:sz w:val="24"/>
                <w:szCs w:val="24"/>
                <w:highlight w:val="none"/>
              </w:rPr>
              <w:t>检测有</w:t>
            </w:r>
            <w:r>
              <w:rPr>
                <w:color w:val="000000"/>
                <w:sz w:val="24"/>
                <w:szCs w:val="24"/>
                <w:highlight w:val="none"/>
              </w:rPr>
              <w:t>限公司</w:t>
            </w:r>
            <w:r>
              <w:rPr>
                <w:rFonts w:hint="eastAsia"/>
                <w:color w:val="000000"/>
                <w:kern w:val="0"/>
                <w:sz w:val="24"/>
                <w:highlight w:val="none"/>
              </w:rPr>
              <w:t>于</w:t>
            </w:r>
            <w:r>
              <w:rPr>
                <w:color w:val="000000"/>
                <w:kern w:val="0"/>
                <w:sz w:val="24"/>
                <w:highlight w:val="none"/>
              </w:rPr>
              <w:t>20</w:t>
            </w:r>
            <w:r>
              <w:rPr>
                <w:rFonts w:hint="eastAsia"/>
                <w:color w:val="000000"/>
                <w:kern w:val="0"/>
                <w:sz w:val="24"/>
                <w:highlight w:val="none"/>
                <w:lang w:val="en-US" w:eastAsia="zh-CN"/>
              </w:rPr>
              <w:t>20</w:t>
            </w:r>
            <w:r>
              <w:rPr>
                <w:rFonts w:hint="eastAsia"/>
                <w:color w:val="000000"/>
                <w:kern w:val="0"/>
                <w:sz w:val="24"/>
                <w:highlight w:val="none"/>
              </w:rPr>
              <w:t>年</w:t>
            </w:r>
            <w:r>
              <w:rPr>
                <w:rFonts w:hint="eastAsia"/>
                <w:color w:val="000000"/>
                <w:kern w:val="0"/>
                <w:sz w:val="24"/>
                <w:highlight w:val="none"/>
                <w:lang w:val="en-US" w:eastAsia="zh-CN"/>
              </w:rPr>
              <w:t>11</w:t>
            </w:r>
            <w:r>
              <w:rPr>
                <w:rFonts w:hint="eastAsia"/>
                <w:color w:val="000000"/>
                <w:kern w:val="0"/>
                <w:sz w:val="24"/>
                <w:highlight w:val="none"/>
              </w:rPr>
              <w:t>月</w:t>
            </w:r>
            <w:r>
              <w:rPr>
                <w:rFonts w:hint="eastAsia"/>
                <w:color w:val="000000"/>
                <w:kern w:val="0"/>
                <w:sz w:val="24"/>
                <w:highlight w:val="none"/>
                <w:lang w:val="en-US" w:eastAsia="zh-CN"/>
              </w:rPr>
              <w:t>17</w:t>
            </w:r>
            <w:r>
              <w:rPr>
                <w:rFonts w:hint="eastAsia"/>
                <w:color w:val="000000"/>
                <w:kern w:val="0"/>
                <w:sz w:val="24"/>
                <w:highlight w:val="none"/>
              </w:rPr>
              <w:t>日和</w:t>
            </w:r>
            <w:r>
              <w:rPr>
                <w:color w:val="000000"/>
                <w:kern w:val="0"/>
                <w:sz w:val="24"/>
                <w:highlight w:val="none"/>
              </w:rPr>
              <w:t>20</w:t>
            </w:r>
            <w:r>
              <w:rPr>
                <w:rFonts w:hint="eastAsia"/>
                <w:color w:val="000000"/>
                <w:kern w:val="0"/>
                <w:sz w:val="24"/>
                <w:highlight w:val="none"/>
                <w:lang w:val="en-US" w:eastAsia="zh-CN"/>
              </w:rPr>
              <w:t>20</w:t>
            </w:r>
            <w:r>
              <w:rPr>
                <w:rFonts w:hint="eastAsia"/>
                <w:color w:val="000000"/>
                <w:kern w:val="0"/>
                <w:sz w:val="24"/>
                <w:highlight w:val="none"/>
              </w:rPr>
              <w:t>年</w:t>
            </w:r>
            <w:r>
              <w:rPr>
                <w:rFonts w:hint="eastAsia"/>
                <w:color w:val="000000"/>
                <w:kern w:val="0"/>
                <w:sz w:val="24"/>
                <w:highlight w:val="none"/>
                <w:lang w:val="en-US" w:eastAsia="zh-CN"/>
              </w:rPr>
              <w:t>11</w:t>
            </w:r>
            <w:r>
              <w:rPr>
                <w:rFonts w:hint="eastAsia"/>
                <w:color w:val="000000"/>
                <w:kern w:val="0"/>
                <w:sz w:val="24"/>
                <w:highlight w:val="none"/>
              </w:rPr>
              <w:t>月</w:t>
            </w:r>
            <w:r>
              <w:rPr>
                <w:rFonts w:hint="eastAsia"/>
                <w:color w:val="000000"/>
                <w:kern w:val="0"/>
                <w:sz w:val="24"/>
                <w:highlight w:val="none"/>
                <w:lang w:val="en-US" w:eastAsia="zh-CN"/>
              </w:rPr>
              <w:t>19</w:t>
            </w:r>
            <w:r>
              <w:rPr>
                <w:rFonts w:hint="eastAsia"/>
                <w:color w:val="000000"/>
                <w:kern w:val="0"/>
                <w:sz w:val="24"/>
                <w:highlight w:val="none"/>
              </w:rPr>
              <w:t>日对项目所在区域地下水</w:t>
            </w:r>
            <w:r>
              <w:rPr>
                <w:rFonts w:hint="eastAsia"/>
                <w:color w:val="000000"/>
                <w:kern w:val="0"/>
                <w:sz w:val="24"/>
                <w:highlight w:val="none"/>
                <w:lang w:val="en-US" w:eastAsia="zh-CN"/>
              </w:rPr>
              <w:t>1#、2#、5#、6#点位</w:t>
            </w:r>
            <w:r>
              <w:rPr>
                <w:rFonts w:hint="eastAsia"/>
                <w:color w:val="000000"/>
                <w:kern w:val="0"/>
                <w:sz w:val="24"/>
                <w:highlight w:val="none"/>
              </w:rPr>
              <w:t>进行了现场监测。</w:t>
            </w:r>
          </w:p>
          <w:p>
            <w:pPr>
              <w:keepNext w:val="0"/>
              <w:keepLines w:val="0"/>
              <w:pageBreakBefore w:val="0"/>
              <w:widowControl w:val="0"/>
              <w:shd w:val="clear"/>
              <w:kinsoku/>
              <w:wordWrap/>
              <w:overflowPunct/>
              <w:topLinePunct w:val="0"/>
              <w:autoSpaceDE/>
              <w:autoSpaceDN/>
              <w:bidi w:val="0"/>
              <w:spacing w:line="520" w:lineRule="exact"/>
              <w:ind w:firstLine="480" w:firstLineChars="200"/>
              <w:textAlignment w:val="auto"/>
              <w:rPr>
                <w:rFonts w:hint="eastAsia"/>
                <w:color w:val="000000"/>
                <w:kern w:val="0"/>
                <w:sz w:val="24"/>
                <w:highlight w:val="none"/>
              </w:rPr>
            </w:pPr>
            <w:r>
              <w:rPr>
                <w:rFonts w:hint="eastAsia"/>
                <w:color w:val="000000"/>
                <w:kern w:val="0"/>
                <w:sz w:val="24"/>
                <w:highlight w:val="none"/>
              </w:rPr>
              <w:t>地下水现状监测结果统计情况见下表。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b/>
                <w:bCs/>
                <w:sz w:val="24"/>
                <w:highlight w:val="yellow"/>
              </w:rPr>
            </w:pPr>
            <w:r>
              <w:rPr>
                <w:b/>
                <w:bCs/>
                <w:sz w:val="24"/>
                <w:highlight w:val="none"/>
              </w:rPr>
              <w:t>表</w:t>
            </w:r>
            <w:r>
              <w:rPr>
                <w:rFonts w:hint="eastAsia"/>
                <w:b/>
                <w:bCs/>
                <w:sz w:val="24"/>
                <w:highlight w:val="none"/>
              </w:rPr>
              <w:t>1</w:t>
            </w:r>
            <w:r>
              <w:rPr>
                <w:rFonts w:hint="eastAsia"/>
                <w:b/>
                <w:bCs/>
                <w:sz w:val="24"/>
                <w:highlight w:val="none"/>
                <w:lang w:val="en-US" w:eastAsia="zh-CN"/>
              </w:rPr>
              <w:t>8</w:t>
            </w:r>
            <w:r>
              <w:rPr>
                <w:b/>
                <w:bCs/>
                <w:sz w:val="24"/>
                <w:highlight w:val="none"/>
              </w:rPr>
              <w:t xml:space="preserve">  </w:t>
            </w:r>
            <w:r>
              <w:rPr>
                <w:rFonts w:hint="eastAsia"/>
                <w:b/>
                <w:bCs/>
                <w:sz w:val="24"/>
                <w:highlight w:val="none"/>
              </w:rPr>
              <w:t xml:space="preserve">    </w:t>
            </w:r>
            <w:r>
              <w:rPr>
                <w:b/>
                <w:bCs/>
                <w:sz w:val="24"/>
                <w:highlight w:val="none"/>
              </w:rPr>
              <w:t>地下水质量现状监测结果</w:t>
            </w:r>
            <w:r>
              <w:rPr>
                <w:rFonts w:hint="eastAsia"/>
                <w:b/>
                <w:bCs/>
                <w:sz w:val="24"/>
                <w:highlight w:val="none"/>
                <w:lang w:eastAsia="zh-CN"/>
              </w:rPr>
              <w:t>表</w:t>
            </w:r>
            <w:r>
              <w:rPr>
                <w:rFonts w:hint="eastAsia"/>
                <w:b/>
                <w:bCs/>
                <w:sz w:val="24"/>
                <w:highlight w:val="none"/>
              </w:rPr>
              <w:t xml:space="preserve">        单位：mg/L</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663"/>
              <w:gridCol w:w="1633"/>
              <w:gridCol w:w="986"/>
              <w:gridCol w:w="1476"/>
              <w:gridCol w:w="852"/>
              <w:gridCol w:w="10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Align w:val="center"/>
                </w:tcPr>
                <w:p>
                  <w:pPr>
                    <w:jc w:val="center"/>
                    <w:rPr>
                      <w:b/>
                      <w:color w:val="auto"/>
                      <w:sz w:val="21"/>
                      <w:szCs w:val="21"/>
                    </w:rPr>
                  </w:pPr>
                  <w:r>
                    <w:rPr>
                      <w:b/>
                      <w:color w:val="auto"/>
                      <w:sz w:val="21"/>
                      <w:szCs w:val="21"/>
                    </w:rPr>
                    <w:t>采样地点</w:t>
                  </w:r>
                </w:p>
              </w:tc>
              <w:tc>
                <w:tcPr>
                  <w:tcW w:w="1663" w:type="dxa"/>
                  <w:vAlign w:val="center"/>
                </w:tcPr>
                <w:p>
                  <w:pPr>
                    <w:jc w:val="center"/>
                    <w:rPr>
                      <w:b/>
                      <w:color w:val="auto"/>
                      <w:sz w:val="21"/>
                      <w:szCs w:val="21"/>
                    </w:rPr>
                  </w:pPr>
                  <w:r>
                    <w:rPr>
                      <w:b/>
                      <w:color w:val="auto"/>
                      <w:sz w:val="21"/>
                      <w:szCs w:val="21"/>
                    </w:rPr>
                    <w:t>采样因子</w:t>
                  </w:r>
                </w:p>
              </w:tc>
              <w:tc>
                <w:tcPr>
                  <w:tcW w:w="1633" w:type="dxa"/>
                  <w:vAlign w:val="center"/>
                </w:tcPr>
                <w:p>
                  <w:pPr>
                    <w:jc w:val="center"/>
                    <w:rPr>
                      <w:b/>
                      <w:color w:val="auto"/>
                      <w:sz w:val="21"/>
                      <w:szCs w:val="21"/>
                    </w:rPr>
                  </w:pPr>
                  <w:r>
                    <w:rPr>
                      <w:b/>
                      <w:color w:val="auto"/>
                      <w:sz w:val="21"/>
                      <w:szCs w:val="21"/>
                    </w:rPr>
                    <w:t>测值范围</w:t>
                  </w:r>
                </w:p>
              </w:tc>
              <w:tc>
                <w:tcPr>
                  <w:tcW w:w="986" w:type="dxa"/>
                  <w:vAlign w:val="center"/>
                </w:tcPr>
                <w:p>
                  <w:pPr>
                    <w:jc w:val="center"/>
                    <w:rPr>
                      <w:b/>
                      <w:color w:val="auto"/>
                      <w:sz w:val="21"/>
                      <w:szCs w:val="21"/>
                    </w:rPr>
                  </w:pPr>
                  <w:r>
                    <w:rPr>
                      <w:b/>
                      <w:color w:val="auto"/>
                      <w:sz w:val="21"/>
                      <w:szCs w:val="21"/>
                    </w:rPr>
                    <w:t>均值</w:t>
                  </w:r>
                </w:p>
              </w:tc>
              <w:tc>
                <w:tcPr>
                  <w:tcW w:w="1476" w:type="dxa"/>
                  <w:vAlign w:val="center"/>
                </w:tcPr>
                <w:p>
                  <w:pPr>
                    <w:jc w:val="center"/>
                    <w:rPr>
                      <w:b/>
                      <w:color w:val="auto"/>
                      <w:sz w:val="21"/>
                      <w:szCs w:val="21"/>
                    </w:rPr>
                  </w:pPr>
                  <w:r>
                    <w:rPr>
                      <w:b/>
                      <w:color w:val="auto"/>
                      <w:sz w:val="21"/>
                      <w:szCs w:val="21"/>
                    </w:rPr>
                    <w:t>均值标准指数</w:t>
                  </w:r>
                </w:p>
              </w:tc>
              <w:tc>
                <w:tcPr>
                  <w:tcW w:w="852" w:type="dxa"/>
                  <w:vAlign w:val="center"/>
                </w:tcPr>
                <w:p>
                  <w:pPr>
                    <w:jc w:val="center"/>
                    <w:rPr>
                      <w:b/>
                      <w:color w:val="auto"/>
                      <w:sz w:val="21"/>
                      <w:szCs w:val="21"/>
                    </w:rPr>
                  </w:pPr>
                  <w:r>
                    <w:rPr>
                      <w:b/>
                      <w:color w:val="auto"/>
                      <w:sz w:val="21"/>
                      <w:szCs w:val="21"/>
                    </w:rPr>
                    <w:t>超标率</w:t>
                  </w:r>
                </w:p>
              </w:tc>
              <w:tc>
                <w:tcPr>
                  <w:tcW w:w="1059" w:type="dxa"/>
                  <w:vAlign w:val="center"/>
                </w:tcPr>
                <w:p>
                  <w:pPr>
                    <w:jc w:val="center"/>
                    <w:rPr>
                      <w:b/>
                      <w:color w:val="auto"/>
                      <w:sz w:val="21"/>
                      <w:szCs w:val="21"/>
                    </w:rPr>
                  </w:pPr>
                  <w:r>
                    <w:rPr>
                      <w:b/>
                      <w:color w:val="auto"/>
                      <w:sz w:val="21"/>
                      <w:szCs w:val="21"/>
                    </w:rPr>
                    <w:t>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1" w:type="dxa"/>
                  <w:vMerge w:val="restart"/>
                  <w:vAlign w:val="center"/>
                </w:tcPr>
                <w:p>
                  <w:pPr>
                    <w:jc w:val="center"/>
                    <w:rPr>
                      <w:rFonts w:hint="default" w:eastAsia="宋体"/>
                      <w:color w:val="auto"/>
                      <w:sz w:val="21"/>
                      <w:szCs w:val="21"/>
                      <w:lang w:val="en-US" w:eastAsia="zh-CN"/>
                    </w:rPr>
                  </w:pPr>
                  <w:r>
                    <w:rPr>
                      <w:rFonts w:hint="eastAsia"/>
                      <w:color w:val="auto"/>
                      <w:sz w:val="21"/>
                      <w:szCs w:val="21"/>
                      <w:lang w:eastAsia="zh-CN"/>
                    </w:rPr>
                    <w:t>东郭村</w:t>
                  </w:r>
                  <w:r>
                    <w:rPr>
                      <w:rFonts w:hint="eastAsia"/>
                      <w:color w:val="auto"/>
                      <w:sz w:val="21"/>
                      <w:szCs w:val="21"/>
                      <w:lang w:val="en-US" w:eastAsia="zh-CN"/>
                    </w:rPr>
                    <w:t>1#</w:t>
                  </w:r>
                </w:p>
              </w:tc>
              <w:tc>
                <w:tcPr>
                  <w:tcW w:w="1663" w:type="dxa"/>
                  <w:vAlign w:val="center"/>
                </w:tcPr>
                <w:p>
                  <w:pPr>
                    <w:jc w:val="center"/>
                    <w:rPr>
                      <w:color w:val="auto"/>
                      <w:sz w:val="21"/>
                      <w:szCs w:val="21"/>
                    </w:rPr>
                  </w:pPr>
                  <w:r>
                    <w:rPr>
                      <w:color w:val="auto"/>
                      <w:sz w:val="21"/>
                      <w:szCs w:val="21"/>
                    </w:rPr>
                    <w:t>pH</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7.72-7.82</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6.5-8.5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耗氧量</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0.92-0.96</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0.94</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0.313</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石油类</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w:t>
                  </w:r>
                </w:p>
              </w:tc>
              <w:tc>
                <w:tcPr>
                  <w:tcW w:w="1059"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总硬度</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224~236</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230</w:t>
                  </w:r>
                </w:p>
              </w:tc>
              <w:tc>
                <w:tcPr>
                  <w:tcW w:w="1476" w:type="dxa"/>
                  <w:vAlign w:val="center"/>
                </w:tcPr>
                <w:p>
                  <w:pPr>
                    <w:jc w:val="center"/>
                    <w:rPr>
                      <w:color w:val="auto"/>
                      <w:sz w:val="21"/>
                      <w:szCs w:val="21"/>
                    </w:rPr>
                  </w:pPr>
                  <w:r>
                    <w:rPr>
                      <w:rFonts w:hint="eastAsia"/>
                      <w:color w:val="auto"/>
                      <w:sz w:val="21"/>
                      <w:szCs w:val="21"/>
                      <w:lang w:val="en-US" w:eastAsia="zh-CN"/>
                    </w:rPr>
                    <w:t>0.511</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450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氨氮</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0.140-0.156</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0.148</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0.296</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w:t>
                  </w:r>
                  <w:r>
                    <w:rPr>
                      <w:rFonts w:hint="eastAsia"/>
                      <w:color w:val="auto"/>
                      <w:sz w:val="21"/>
                      <w:szCs w:val="21"/>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color w:val="auto"/>
                      <w:sz w:val="21"/>
                      <w:szCs w:val="21"/>
                    </w:rPr>
                  </w:pPr>
                  <w:r>
                    <w:rPr>
                      <w:rFonts w:ascii="Times New Roman" w:hAnsi="Times New Roman" w:eastAsia="宋体" w:cs="Times New Roman"/>
                      <w:b w:val="0"/>
                      <w:bCs/>
                      <w:color w:val="auto"/>
                      <w:sz w:val="21"/>
                      <w:szCs w:val="21"/>
                    </w:rPr>
                    <w:t>硫酸盐</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80-82</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81</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0.324</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color w:val="auto"/>
                      <w:sz w:val="21"/>
                      <w:szCs w:val="21"/>
                    </w:rPr>
                  </w:pPr>
                  <w:r>
                    <w:rPr>
                      <w:rFonts w:ascii="Times New Roman" w:hAnsi="Times New Roman" w:eastAsia="宋体" w:cs="Times New Roman"/>
                      <w:b w:val="0"/>
                      <w:bCs/>
                      <w:color w:val="auto"/>
                      <w:sz w:val="21"/>
                      <w:szCs w:val="21"/>
                    </w:rPr>
                    <w:t>氯化物</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70.1-72.7</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71.4</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0.286</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color w:val="auto"/>
                      <w:sz w:val="21"/>
                      <w:szCs w:val="21"/>
                    </w:rPr>
                  </w:pPr>
                  <w:r>
                    <w:rPr>
                      <w:rFonts w:ascii="Times New Roman" w:hAnsi="Times New Roman" w:eastAsia="宋体" w:cs="Times New Roman"/>
                      <w:b w:val="0"/>
                      <w:bCs/>
                      <w:color w:val="auto"/>
                      <w:sz w:val="21"/>
                      <w:szCs w:val="21"/>
                    </w:rPr>
                    <w:t>溶解性总固体</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494-533</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517</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0.517</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锰</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color w:val="auto"/>
                      <w:sz w:val="21"/>
                      <w:szCs w:val="21"/>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砷</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铅</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0.001-0.002</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0.002</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0.200</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铁</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总大肠菌群</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eastAsia" w:eastAsia="宋体"/>
                      <w:color w:val="auto"/>
                      <w:sz w:val="21"/>
                      <w:szCs w:val="21"/>
                      <w:lang w:eastAsia="zh-CN"/>
                    </w:rPr>
                  </w:pPr>
                  <w:r>
                    <w:rPr>
                      <w:rFonts w:hint="eastAsia"/>
                      <w:color w:val="auto"/>
                      <w:sz w:val="21"/>
                      <w:szCs w:val="21"/>
                      <w:lang w:eastAsia="zh-CN"/>
                    </w:rPr>
                    <w:t>细菌总数</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7-11</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9</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0.090</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rFonts w:hint="eastAsia" w:cs="Times New Roman"/>
                      <w:color w:val="auto"/>
                      <w:kern w:val="2"/>
                      <w:sz w:val="21"/>
                      <w:szCs w:val="21"/>
                      <w:lang w:val="en-US" w:eastAsia="zh-CN" w:bidi="ar-S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color w:val="auto"/>
                      <w:sz w:val="21"/>
                      <w:szCs w:val="21"/>
                    </w:rPr>
                  </w:pPr>
                  <w:r>
                    <w:rPr>
                      <w:rFonts w:ascii="Times New Roman" w:hAnsi="Times New Roman" w:eastAsia="宋体" w:cs="Times New Roman"/>
                      <w:b w:val="0"/>
                      <w:bCs/>
                      <w:color w:val="auto"/>
                      <w:sz w:val="21"/>
                      <w:szCs w:val="21"/>
                    </w:rPr>
                    <w:t>挥发酚</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color w:val="auto"/>
                      <w:sz w:val="21"/>
                      <w:szCs w:val="21"/>
                    </w:rPr>
                  </w:pPr>
                  <w:r>
                    <w:rPr>
                      <w:rFonts w:ascii="Times New Roman" w:hAnsi="Times New Roman" w:eastAsia="宋体" w:cs="Times New Roman"/>
                      <w:b w:val="0"/>
                      <w:bCs/>
                      <w:color w:val="auto"/>
                      <w:sz w:val="21"/>
                      <w:szCs w:val="21"/>
                    </w:rPr>
                    <w:t>汞</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default" w:eastAsia="宋体"/>
                      <w:color w:val="auto"/>
                      <w:sz w:val="21"/>
                      <w:szCs w:val="21"/>
                      <w:lang w:val="en-US" w:eastAsia="zh-CN"/>
                    </w:rPr>
                  </w:pPr>
                  <w:r>
                    <w:rPr>
                      <w:rFonts w:hint="eastAsia"/>
                      <w:color w:val="auto"/>
                      <w:sz w:val="21"/>
                      <w:szCs w:val="21"/>
                      <w:lang w:eastAsia="zh-CN"/>
                    </w:rPr>
                    <w:t>氟</w:t>
                  </w:r>
                  <w:r>
                    <w:rPr>
                      <w:rFonts w:hint="eastAsia"/>
                      <w:color w:val="auto"/>
                      <w:sz w:val="21"/>
                      <w:szCs w:val="21"/>
                      <w:lang w:val="en-US" w:eastAsia="zh-CN"/>
                    </w:rPr>
                    <w:t>化物</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0.16-0.24</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0.21</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0.210</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rFonts w:hint="eastAsia" w:cs="Times New Roman"/>
                      <w:color w:val="auto"/>
                      <w:kern w:val="2"/>
                      <w:sz w:val="21"/>
                      <w:szCs w:val="21"/>
                      <w:lang w:val="en-US" w:eastAsia="zh-CN" w:bidi="ar-SA"/>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镉</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0.0001-0.0002</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0.0002</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0.040</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六价铬</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氰化物</w:t>
                  </w:r>
                </w:p>
              </w:tc>
              <w:tc>
                <w:tcPr>
                  <w:tcW w:w="1633" w:type="dxa"/>
                  <w:vAlign w:val="center"/>
                </w:tcPr>
                <w:p>
                  <w:pPr>
                    <w:jc w:val="center"/>
                    <w:rPr>
                      <w:color w:val="auto"/>
                      <w:sz w:val="21"/>
                      <w:szCs w:val="21"/>
                    </w:rPr>
                  </w:pPr>
                  <w:r>
                    <w:rPr>
                      <w:rFonts w:hint="eastAsia"/>
                      <w:color w:val="auto"/>
                      <w:sz w:val="21"/>
                      <w:szCs w:val="21"/>
                      <w:lang w:val="en-US" w:eastAsia="zh-CN"/>
                    </w:rPr>
                    <w:t>未检出</w:t>
                  </w:r>
                </w:p>
              </w:tc>
              <w:tc>
                <w:tcPr>
                  <w:tcW w:w="98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color w:val="auto"/>
                      <w:sz w:val="21"/>
                      <w:szCs w:val="21"/>
                    </w:rPr>
                    <w:t>硝酸盐</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4.28-5.38</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4.86</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0.243</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rFonts w:hint="default" w:eastAsia="宋体"/>
                      <w:color w:val="auto"/>
                      <w:sz w:val="21"/>
                      <w:szCs w:val="21"/>
                      <w:lang w:val="en-US" w:eastAsia="zh-CN"/>
                    </w:rPr>
                  </w:pPr>
                  <w:r>
                    <w:rPr>
                      <w:color w:val="auto"/>
                      <w:sz w:val="21"/>
                      <w:szCs w:val="21"/>
                    </w:rPr>
                    <w:t>20</w:t>
                  </w: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color w:val="auto"/>
                      <w:sz w:val="21"/>
                      <w:szCs w:val="21"/>
                    </w:rPr>
                  </w:pPr>
                  <w:r>
                    <w:rPr>
                      <w:rFonts w:hint="eastAsia"/>
                      <w:color w:val="auto"/>
                      <w:sz w:val="21"/>
                      <w:szCs w:val="21"/>
                      <w:lang w:eastAsia="zh-CN"/>
                    </w:rPr>
                    <w:t>亚</w:t>
                  </w:r>
                  <w:r>
                    <w:rPr>
                      <w:color w:val="auto"/>
                      <w:sz w:val="21"/>
                      <w:szCs w:val="21"/>
                    </w:rPr>
                    <w:t>硝酸盐</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0.089-0.094</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0.092</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0.092</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K</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0.56-0.60</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0.58</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Na</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55.6-57.6</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56.8</w:t>
                  </w:r>
                </w:p>
              </w:tc>
              <w:tc>
                <w:tcPr>
                  <w:tcW w:w="147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0.284</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Ca</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14.0-16.0</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14.9</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Mg</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13.6-14.9</w:t>
                  </w:r>
                </w:p>
              </w:tc>
              <w:tc>
                <w:tcPr>
                  <w:tcW w:w="986" w:type="dxa"/>
                  <w:vAlign w:val="center"/>
                </w:tcPr>
                <w:p>
                  <w:pPr>
                    <w:jc w:val="center"/>
                    <w:rPr>
                      <w:rFonts w:hint="default" w:eastAsia="宋体"/>
                      <w:color w:val="auto"/>
                      <w:sz w:val="21"/>
                      <w:szCs w:val="21"/>
                      <w:highlight w:val="yellow"/>
                      <w:lang w:val="en-US" w:eastAsia="zh-CN"/>
                    </w:rPr>
                  </w:pPr>
                  <w:r>
                    <w:rPr>
                      <w:rFonts w:hint="eastAsia"/>
                      <w:color w:val="auto"/>
                      <w:sz w:val="21"/>
                      <w:szCs w:val="21"/>
                      <w:highlight w:val="none"/>
                      <w:lang w:val="en-US" w:eastAsia="zh-CN"/>
                    </w:rPr>
                    <w:t>14.4</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8.22-13.1</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10.5</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HCO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104-117</w:t>
                  </w:r>
                </w:p>
              </w:tc>
              <w:tc>
                <w:tcPr>
                  <w:tcW w:w="986"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109</w:t>
                  </w:r>
                </w:p>
              </w:tc>
              <w:tc>
                <w:tcPr>
                  <w:tcW w:w="1476"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w:t>
                  </w:r>
                </w:p>
              </w:tc>
              <w:tc>
                <w:tcPr>
                  <w:tcW w:w="852" w:type="dxa"/>
                  <w:vAlign w:val="center"/>
                </w:tcPr>
                <w:p>
                  <w:pPr>
                    <w:jc w:val="center"/>
                    <w:rPr>
                      <w:rFonts w:hint="eastAsia" w:eastAsia="宋体"/>
                      <w:color w:val="auto"/>
                      <w:sz w:val="21"/>
                      <w:szCs w:val="21"/>
                      <w:lang w:val="en-US" w:eastAsia="zh-CN"/>
                    </w:rPr>
                  </w:pPr>
                  <w:r>
                    <w:rPr>
                      <w:rFonts w:hint="eastAsia"/>
                      <w:color w:val="auto"/>
                      <w:sz w:val="21"/>
                      <w:szCs w:val="21"/>
                      <w:lang w:val="en-US" w:eastAsia="zh-CN"/>
                    </w:rPr>
                    <w:t>0</w:t>
                  </w:r>
                </w:p>
              </w:tc>
              <w:tc>
                <w:tcPr>
                  <w:tcW w:w="1059" w:type="dxa"/>
                  <w:vAlign w:val="center"/>
                </w:tcPr>
                <w:p>
                  <w:pPr>
                    <w:jc w:val="center"/>
                    <w:rPr>
                      <w:color w:val="auto"/>
                      <w:sz w:val="21"/>
                      <w:szCs w:val="21"/>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水位（m）</w:t>
                  </w:r>
                </w:p>
              </w:tc>
              <w:tc>
                <w:tcPr>
                  <w:tcW w:w="1633"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15</w:t>
                  </w:r>
                </w:p>
              </w:tc>
              <w:tc>
                <w:tcPr>
                  <w:tcW w:w="986"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15</w:t>
                  </w:r>
                </w:p>
              </w:tc>
              <w:tc>
                <w:tcPr>
                  <w:tcW w:w="1476" w:type="dxa"/>
                  <w:vAlign w:val="center"/>
                </w:tcPr>
                <w:p>
                  <w:pPr>
                    <w:pStyle w:val="146"/>
                    <w:ind w:firstLine="0"/>
                    <w:jc w:val="center"/>
                    <w:rPr>
                      <w:rFonts w:hint="eastAsia"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852"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1059"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hint="eastAsia"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井深（m）</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25</w:t>
                  </w:r>
                </w:p>
              </w:tc>
              <w:tc>
                <w:tcPr>
                  <w:tcW w:w="986"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25</w:t>
                  </w:r>
                </w:p>
              </w:tc>
              <w:tc>
                <w:tcPr>
                  <w:tcW w:w="1476" w:type="dxa"/>
                  <w:vAlign w:val="center"/>
                </w:tcPr>
                <w:p>
                  <w:pPr>
                    <w:pStyle w:val="146"/>
                    <w:ind w:firstLine="0"/>
                    <w:jc w:val="center"/>
                    <w:rPr>
                      <w:rFonts w:hint="eastAsia"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852"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1059"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水温</w:t>
                  </w:r>
                  <w:r>
                    <w:rPr>
                      <w:rFonts w:hint="eastAsia" w:ascii="Times New Roman" w:eastAsia="宋体" w:cs="Times New Roman"/>
                      <w:b w:val="0"/>
                      <w:sz w:val="21"/>
                      <w:szCs w:val="21"/>
                      <w:lang w:val="en-US" w:eastAsia="zh-CN"/>
                    </w:rPr>
                    <w:t>（℃）</w:t>
                  </w:r>
                </w:p>
              </w:tc>
              <w:tc>
                <w:tcPr>
                  <w:tcW w:w="1633"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12.4-12.5</w:t>
                  </w:r>
                </w:p>
              </w:tc>
              <w:tc>
                <w:tcPr>
                  <w:tcW w:w="986"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12.5</w:t>
                  </w:r>
                </w:p>
              </w:tc>
              <w:tc>
                <w:tcPr>
                  <w:tcW w:w="1476" w:type="dxa"/>
                  <w:vAlign w:val="center"/>
                </w:tcPr>
                <w:p>
                  <w:pPr>
                    <w:pStyle w:val="146"/>
                    <w:ind w:firstLine="0"/>
                    <w:jc w:val="center"/>
                    <w:rPr>
                      <w:rFonts w:hint="eastAsia"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852" w:type="dxa"/>
                  <w:vAlign w:val="center"/>
                </w:tcPr>
                <w:p>
                  <w:pPr>
                    <w:pStyle w:val="146"/>
                    <w:ind w:firstLine="0"/>
                    <w:jc w:val="center"/>
                    <w:rPr>
                      <w:rFonts w:hint="default" w:ascii="Times New Roman" w:hAnsi="Times New Roman" w:eastAsia="宋体" w:cs="Times New Roman"/>
                      <w:b w:val="0"/>
                      <w:sz w:val="21"/>
                      <w:szCs w:val="21"/>
                      <w:lang w:val="en-US" w:eastAsia="zh-CN"/>
                    </w:rPr>
                  </w:pPr>
                  <w:r>
                    <w:rPr>
                      <w:rFonts w:hint="eastAsia" w:ascii="Times New Roman" w:eastAsia="宋体" w:cs="Times New Roman"/>
                      <w:b w:val="0"/>
                      <w:sz w:val="21"/>
                      <w:szCs w:val="21"/>
                      <w:lang w:val="en-US" w:eastAsia="zh-CN"/>
                    </w:rPr>
                    <w:t>/</w:t>
                  </w:r>
                </w:p>
              </w:tc>
              <w:tc>
                <w:tcPr>
                  <w:tcW w:w="1059" w:type="dxa"/>
                  <w:vAlign w:val="center"/>
                </w:tcPr>
                <w:p>
                  <w:pPr>
                    <w:pStyle w:val="146"/>
                    <w:ind w:firstLine="0"/>
                    <w:jc w:val="center"/>
                    <w:rPr>
                      <w:rFonts w:ascii="Times New Roman" w:hAnsi="Times New Roman" w:eastAsia="宋体" w:cs="Times New Roman"/>
                      <w:b w:val="0"/>
                      <w:sz w:val="21"/>
                      <w:szCs w:val="21"/>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restart"/>
                  <w:vAlign w:val="center"/>
                </w:tcPr>
                <w:p>
                  <w:pPr>
                    <w:widowControl/>
                    <w:jc w:val="left"/>
                    <w:rPr>
                      <w:rFonts w:hint="default" w:eastAsia="宋体"/>
                      <w:color w:val="auto"/>
                      <w:sz w:val="21"/>
                      <w:szCs w:val="21"/>
                      <w:lang w:val="en-US" w:eastAsia="zh-CN"/>
                    </w:rPr>
                  </w:pPr>
                  <w:r>
                    <w:rPr>
                      <w:rFonts w:hint="eastAsia"/>
                      <w:color w:val="auto"/>
                      <w:sz w:val="21"/>
                      <w:szCs w:val="21"/>
                      <w:lang w:val="en-US" w:eastAsia="zh-CN"/>
                    </w:rPr>
                    <w:t>盛龙建材2#</w:t>
                  </w: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pH</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7.77-7.87</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6.5-8.5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耗氧量</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0.94-0.99</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0.96</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0.320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石油类</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总硬度</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240-243</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241</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0.536</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450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氨氮</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0.131-0.160</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0.144</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0.288</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硫酸盐</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73-77</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75</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0.300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氯化物</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66.0-68.2</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67.3</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0.269</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溶解性总固体</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493-552</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530</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0.530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锰</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砷</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铅</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0.001-0.002</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0.002</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0.200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铁</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总大肠菌群</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eastAsia="zh-CN"/>
                    </w:rPr>
                    <w:t>细菌总数</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8-11</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0.090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挥发酚</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汞</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eastAsia="zh-CN"/>
                    </w:rPr>
                    <w:t>氟</w:t>
                  </w:r>
                  <w:r>
                    <w:rPr>
                      <w:rFonts w:hint="eastAsia"/>
                      <w:color w:val="auto"/>
                      <w:sz w:val="21"/>
                      <w:szCs w:val="21"/>
                      <w:lang w:val="en-US" w:eastAsia="zh-CN"/>
                    </w:rPr>
                    <w:t>化物</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0.19-0.21</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0.20</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0.200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镉</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0.0001-0.0002</w:t>
                  </w:r>
                </w:p>
              </w:tc>
              <w:tc>
                <w:tcPr>
                  <w:tcW w:w="986" w:type="dxa"/>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0.0002</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0.040</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六价铬</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氰化物</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硝酸盐</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3.71-4.89</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4.22</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0.211</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20</w:t>
                  </w: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eastAsia="zh-CN"/>
                    </w:rPr>
                    <w:t>亚</w:t>
                  </w:r>
                  <w:r>
                    <w:rPr>
                      <w:color w:val="auto"/>
                      <w:sz w:val="21"/>
                      <w:szCs w:val="21"/>
                    </w:rPr>
                    <w:t>硝酸盐</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0.087-0.098</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0.093</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0.093</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K</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0.60-0.65</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0.62</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Na</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56.4-57.8</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57.1</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0.286</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w:t>
                  </w:r>
                </w:p>
              </w:tc>
              <w:tc>
                <w:tcPr>
                  <w:tcW w:w="1059"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Ca</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13.6-16.6</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14.9</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Mg</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14.2-14.6</w:t>
                  </w:r>
                </w:p>
              </w:tc>
              <w:tc>
                <w:tcPr>
                  <w:tcW w:w="986"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14.4</w:t>
                  </w:r>
                </w:p>
              </w:tc>
              <w:tc>
                <w:tcPr>
                  <w:tcW w:w="1476" w:type="dxa"/>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11.4-13.5</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12.1</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HCO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112-123</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119</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sz w:val="21"/>
                      <w:szCs w:val="21"/>
                      <w:lang w:val="en-US" w:eastAsia="zh-CN"/>
                    </w:rPr>
                    <w:t>水位（m）</w:t>
                  </w:r>
                </w:p>
              </w:tc>
              <w:tc>
                <w:tcPr>
                  <w:tcW w:w="1633"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20</w:t>
                  </w:r>
                </w:p>
              </w:tc>
              <w:tc>
                <w:tcPr>
                  <w:tcW w:w="98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20</w:t>
                  </w:r>
                </w:p>
              </w:tc>
              <w:tc>
                <w:tcPr>
                  <w:tcW w:w="147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852"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sz w:val="21"/>
                      <w:szCs w:val="21"/>
                      <w:lang w:val="en-US" w:eastAsia="zh-CN"/>
                    </w:rPr>
                    <w:t>井深（m）</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30</w:t>
                  </w:r>
                </w:p>
              </w:tc>
              <w:tc>
                <w:tcPr>
                  <w:tcW w:w="98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30</w:t>
                  </w:r>
                </w:p>
              </w:tc>
              <w:tc>
                <w:tcPr>
                  <w:tcW w:w="147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852"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水温</w:t>
                  </w:r>
                  <w:r>
                    <w:rPr>
                      <w:rFonts w:hint="eastAsia" w:ascii="Times New Roman" w:eastAsia="宋体" w:cs="Times New Roman"/>
                      <w:b w:val="0"/>
                      <w:sz w:val="21"/>
                      <w:szCs w:val="21"/>
                      <w:lang w:val="en-US" w:eastAsia="zh-CN"/>
                    </w:rPr>
                    <w:t>（℃）</w:t>
                  </w:r>
                </w:p>
              </w:tc>
              <w:tc>
                <w:tcPr>
                  <w:tcW w:w="1633"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12.6-12.7</w:t>
                  </w:r>
                </w:p>
              </w:tc>
              <w:tc>
                <w:tcPr>
                  <w:tcW w:w="98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12.7</w:t>
                  </w:r>
                </w:p>
              </w:tc>
              <w:tc>
                <w:tcPr>
                  <w:tcW w:w="147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852"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color w:val="auto"/>
                      <w:kern w:val="2"/>
                      <w:sz w:val="21"/>
                      <w:szCs w:val="21"/>
                      <w:lang w:val="en-US" w:eastAsia="zh-CN" w:bidi="ar-SA"/>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restart"/>
                  <w:vAlign w:val="center"/>
                </w:tcPr>
                <w:p>
                  <w:pPr>
                    <w:widowControl/>
                    <w:jc w:val="left"/>
                    <w:rPr>
                      <w:rFonts w:hint="default" w:eastAsia="宋体"/>
                      <w:color w:val="auto"/>
                      <w:sz w:val="21"/>
                      <w:szCs w:val="21"/>
                      <w:lang w:val="en-US" w:eastAsia="zh-CN"/>
                    </w:rPr>
                  </w:pPr>
                  <w:r>
                    <w:rPr>
                      <w:color w:val="auto"/>
                      <w:sz w:val="21"/>
                      <w:szCs w:val="21"/>
                      <w:highlight w:val="none"/>
                    </w:rPr>
                    <w:t>陈堡村</w:t>
                  </w:r>
                  <w:r>
                    <w:rPr>
                      <w:rFonts w:hint="eastAsia"/>
                      <w:color w:val="auto"/>
                      <w:sz w:val="21"/>
                      <w:szCs w:val="21"/>
                      <w:highlight w:val="none"/>
                      <w:lang w:val="en-US" w:eastAsia="zh-CN"/>
                    </w:rPr>
                    <w:t>3#</w:t>
                  </w: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pH</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7.35~7.37</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6.5-8.5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耗氧量</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0.7~0.8</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0.75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0.25</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石油类</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476"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52"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1059"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总硬度</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1097~1108</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1102.5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2.45</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1.45</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450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氨氮</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0.171~0.175</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0.173</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0.865</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硫酸盐</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102~105</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103.5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0.414</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氯化物</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122~125</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123.5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0.494</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溶解性总固体</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2106~2128</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2117</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2.117</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1.117</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锰</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砷</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铅</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铁</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总大肠菌群</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挥发酚</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汞</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镉</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六价铬</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氰化物</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硝酸盐</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2.73~2.77</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2.75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0.1375</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0</w:t>
                  </w:r>
                </w:p>
              </w:tc>
              <w:tc>
                <w:tcPr>
                  <w:tcW w:w="1059"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20</w:t>
                  </w: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color w:val="auto"/>
                      <w:sz w:val="21"/>
                      <w:szCs w:val="21"/>
                    </w:rPr>
                    <w:t>K</w:t>
                  </w:r>
                  <w:r>
                    <w:rPr>
                      <w:rFonts w:ascii="Times New Roman" w:hAnsi="Times New Roman" w:eastAsia="宋体" w:cs="Times New Roman"/>
                      <w:b w:val="0"/>
                      <w:bCs/>
                      <w:color w:val="auto"/>
                      <w:sz w:val="21"/>
                      <w:szCs w:val="21"/>
                      <w:vertAlign w:val="superscript"/>
                    </w:rPr>
                    <w:t>+</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8.66~8.76</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8.71</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Na</w:t>
                  </w:r>
                  <w:r>
                    <w:rPr>
                      <w:rFonts w:ascii="Times New Roman" w:hAnsi="Times New Roman" w:eastAsia="宋体" w:cs="Times New Roman"/>
                      <w:b w:val="0"/>
                      <w:bCs/>
                      <w:sz w:val="21"/>
                      <w:szCs w:val="21"/>
                      <w:vertAlign w:val="superscript"/>
                    </w:rPr>
                    <w:t>+</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19.9</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19.9</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w:t>
                  </w:r>
                </w:p>
              </w:tc>
              <w:tc>
                <w:tcPr>
                  <w:tcW w:w="1059" w:type="dxa"/>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Ca</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978~1012</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995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Mg</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44~44.8</w:t>
                  </w:r>
                </w:p>
              </w:tc>
              <w:tc>
                <w:tcPr>
                  <w:tcW w:w="986" w:type="dxa"/>
                  <w:vAlign w:val="center"/>
                </w:tcPr>
                <w:p>
                  <w:pPr>
                    <w:jc w:val="center"/>
                    <w:rPr>
                      <w:rFonts w:ascii="Times New Roman" w:hAnsi="Times New Roman" w:eastAsia="宋体" w:cs="Times New Roman"/>
                      <w:color w:val="auto"/>
                      <w:kern w:val="2"/>
                      <w:sz w:val="21"/>
                      <w:szCs w:val="21"/>
                      <w:highlight w:val="yellow"/>
                      <w:lang w:val="en-US" w:eastAsia="zh-CN" w:bidi="ar-SA"/>
                    </w:rPr>
                  </w:pPr>
                  <w:r>
                    <w:rPr>
                      <w:color w:val="auto"/>
                      <w:sz w:val="21"/>
                      <w:szCs w:val="21"/>
                    </w:rPr>
                    <w:t>44.4</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2-</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未检出</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HCO</w:t>
                  </w:r>
                  <w:r>
                    <w:rPr>
                      <w:rFonts w:ascii="Times New Roman" w:hAnsi="Times New Roman" w:eastAsia="宋体" w:cs="Times New Roman"/>
                      <w:b w:val="0"/>
                      <w:bCs/>
                      <w:sz w:val="21"/>
                      <w:szCs w:val="21"/>
                      <w:vertAlign w:val="subscript"/>
                    </w:rPr>
                    <w:t>3</w:t>
                  </w:r>
                  <w:r>
                    <w:rPr>
                      <w:rFonts w:ascii="Times New Roman" w:hAnsi="Times New Roman" w:eastAsia="宋体" w:cs="Times New Roman"/>
                      <w:b w:val="0"/>
                      <w:bCs/>
                      <w:sz w:val="21"/>
                      <w:szCs w:val="21"/>
                      <w:vertAlign w:val="superscript"/>
                    </w:rPr>
                    <w:t>-</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5.5~5.8</w:t>
                  </w:r>
                </w:p>
              </w:tc>
              <w:tc>
                <w:tcPr>
                  <w:tcW w:w="98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5.65</w:t>
                  </w:r>
                </w:p>
              </w:tc>
              <w:tc>
                <w:tcPr>
                  <w:tcW w:w="1476"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852"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c>
                <w:tcPr>
                  <w:tcW w:w="1059"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sz w:val="21"/>
                      <w:szCs w:val="21"/>
                      <w:lang w:val="en-US" w:eastAsia="zh-CN"/>
                    </w:rPr>
                    <w:t>水位（m）</w:t>
                  </w:r>
                </w:p>
              </w:tc>
              <w:tc>
                <w:tcPr>
                  <w:tcW w:w="163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21.8</w:t>
                  </w:r>
                </w:p>
              </w:tc>
              <w:tc>
                <w:tcPr>
                  <w:tcW w:w="98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47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852"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eastAsia="宋体" w:cs="Times New Roman"/>
                      <w:b w:val="0"/>
                      <w:sz w:val="21"/>
                      <w:szCs w:val="21"/>
                      <w:lang w:val="en-US" w:eastAsia="zh-CN"/>
                    </w:rPr>
                    <w:t>井深（m）</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45</w:t>
                  </w:r>
                </w:p>
              </w:tc>
              <w:tc>
                <w:tcPr>
                  <w:tcW w:w="98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47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852"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1" w:type="dxa"/>
                  <w:vMerge w:val="continue"/>
                  <w:vAlign w:val="center"/>
                </w:tcPr>
                <w:p>
                  <w:pPr>
                    <w:widowControl/>
                    <w:jc w:val="left"/>
                    <w:rPr>
                      <w:color w:val="auto"/>
                      <w:sz w:val="21"/>
                      <w:szCs w:val="21"/>
                    </w:rPr>
                  </w:pPr>
                </w:p>
              </w:tc>
              <w:tc>
                <w:tcPr>
                  <w:tcW w:w="1663"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水温</w:t>
                  </w:r>
                  <w:r>
                    <w:rPr>
                      <w:rFonts w:hint="eastAsia" w:ascii="Times New Roman" w:eastAsia="宋体" w:cs="Times New Roman"/>
                      <w:b w:val="0"/>
                      <w:sz w:val="21"/>
                      <w:szCs w:val="21"/>
                      <w:lang w:val="en-US" w:eastAsia="zh-CN"/>
                    </w:rPr>
                    <w:t>（℃）</w:t>
                  </w:r>
                </w:p>
              </w:tc>
              <w:tc>
                <w:tcPr>
                  <w:tcW w:w="1633" w:type="dxa"/>
                  <w:vAlign w:val="center"/>
                </w:tcPr>
                <w:p>
                  <w:pPr>
                    <w:jc w:val="center"/>
                    <w:rPr>
                      <w:rFonts w:ascii="Times New Roman" w:hAnsi="Times New Roman" w:eastAsia="宋体" w:cs="Times New Roman"/>
                      <w:color w:val="auto"/>
                      <w:kern w:val="2"/>
                      <w:sz w:val="21"/>
                      <w:szCs w:val="21"/>
                      <w:lang w:val="en-US" w:eastAsia="zh-CN" w:bidi="ar-SA"/>
                    </w:rPr>
                  </w:pPr>
                  <w:r>
                    <w:rPr>
                      <w:color w:val="auto"/>
                      <w:sz w:val="21"/>
                      <w:szCs w:val="21"/>
                    </w:rPr>
                    <w:t>18</w:t>
                  </w:r>
                </w:p>
              </w:tc>
              <w:tc>
                <w:tcPr>
                  <w:tcW w:w="98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476"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852"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c>
                <w:tcPr>
                  <w:tcW w:w="1059" w:type="dxa"/>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w:t>
                  </w:r>
                </w:p>
              </w:tc>
            </w:tr>
          </w:tbl>
          <w:p>
            <w:pPr>
              <w:adjustRightInd w:val="0"/>
              <w:snapToGrid w:val="0"/>
              <w:spacing w:line="500" w:lineRule="exact"/>
              <w:jc w:val="center"/>
              <w:rPr>
                <w:rFonts w:ascii="Times New Roman" w:hAnsi="Times New Roman" w:cs="Times New Roman"/>
                <w:b/>
                <w:bCs/>
                <w:sz w:val="24"/>
                <w:highlight w:val="none"/>
              </w:rPr>
            </w:pPr>
            <w:r>
              <w:rPr>
                <w:rFonts w:hint="eastAsia" w:ascii="Times New Roman" w:hAnsi="Times New Roman" w:cs="Times New Roman"/>
                <w:b/>
                <w:bCs/>
                <w:sz w:val="24"/>
                <w:highlight w:val="none"/>
              </w:rPr>
              <w:t>表19         其他点位地下水水位检测结果</w:t>
            </w:r>
          </w:p>
          <w:tbl>
            <w:tblPr>
              <w:tblStyle w:val="22"/>
              <w:tblW w:w="4998" w:type="pct"/>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855"/>
              <w:gridCol w:w="1230"/>
              <w:gridCol w:w="885"/>
              <w:gridCol w:w="1530"/>
              <w:gridCol w:w="1560"/>
              <w:gridCol w:w="15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tcBorders>
                    <w:top w:val="single" w:color="auto" w:sz="4" w:space="0"/>
                  </w:tcBorders>
                  <w:vAlign w:val="center"/>
                </w:tcPr>
                <w:p>
                  <w:pPr>
                    <w:spacing w:line="500" w:lineRule="exact"/>
                    <w:jc w:val="center"/>
                    <w:rPr>
                      <w:rFonts w:hint="eastAsia" w:eastAsia="宋体"/>
                      <w:b/>
                      <w:bCs w:val="0"/>
                      <w:sz w:val="21"/>
                      <w:szCs w:val="21"/>
                      <w:vertAlign w:val="baseline"/>
                      <w:lang w:eastAsia="zh-CN"/>
                    </w:rPr>
                  </w:pPr>
                  <w:r>
                    <w:rPr>
                      <w:rFonts w:hint="eastAsia"/>
                      <w:b/>
                      <w:bCs w:val="0"/>
                      <w:sz w:val="21"/>
                      <w:szCs w:val="21"/>
                      <w:vertAlign w:val="baseline"/>
                      <w:lang w:eastAsia="zh-CN"/>
                    </w:rPr>
                    <w:t>采样点位</w:t>
                  </w:r>
                </w:p>
              </w:tc>
              <w:tc>
                <w:tcPr>
                  <w:tcW w:w="855" w:type="dxa"/>
                  <w:vMerge w:val="restart"/>
                  <w:tcBorders>
                    <w:top w:val="single" w:color="auto" w:sz="4" w:space="0"/>
                  </w:tcBorders>
                  <w:vAlign w:val="center"/>
                </w:tcPr>
                <w:p>
                  <w:pPr>
                    <w:spacing w:line="500" w:lineRule="exact"/>
                    <w:jc w:val="center"/>
                    <w:rPr>
                      <w:rFonts w:hint="eastAsia" w:eastAsia="宋体"/>
                      <w:b/>
                      <w:bCs w:val="0"/>
                      <w:sz w:val="21"/>
                      <w:szCs w:val="21"/>
                      <w:vertAlign w:val="baseline"/>
                      <w:lang w:eastAsia="zh-CN"/>
                    </w:rPr>
                  </w:pPr>
                  <w:r>
                    <w:rPr>
                      <w:rFonts w:hint="eastAsia"/>
                      <w:b/>
                      <w:bCs w:val="0"/>
                      <w:sz w:val="21"/>
                      <w:szCs w:val="21"/>
                      <w:vertAlign w:val="baseline"/>
                      <w:lang w:eastAsia="zh-CN"/>
                    </w:rPr>
                    <w:t>序号</w:t>
                  </w:r>
                </w:p>
              </w:tc>
              <w:tc>
                <w:tcPr>
                  <w:tcW w:w="1230" w:type="dxa"/>
                  <w:vMerge w:val="restart"/>
                  <w:tcBorders>
                    <w:top w:val="single" w:color="auto" w:sz="4" w:space="0"/>
                  </w:tcBorders>
                  <w:vAlign w:val="center"/>
                </w:tcPr>
                <w:p>
                  <w:pPr>
                    <w:spacing w:line="500" w:lineRule="exact"/>
                    <w:jc w:val="center"/>
                    <w:rPr>
                      <w:rFonts w:hint="eastAsia" w:eastAsia="宋体"/>
                      <w:b/>
                      <w:bCs w:val="0"/>
                      <w:sz w:val="21"/>
                      <w:szCs w:val="21"/>
                      <w:vertAlign w:val="baseline"/>
                      <w:lang w:eastAsia="zh-CN"/>
                    </w:rPr>
                  </w:pPr>
                  <w:r>
                    <w:rPr>
                      <w:rFonts w:hint="eastAsia"/>
                      <w:b/>
                      <w:bCs w:val="0"/>
                      <w:sz w:val="21"/>
                      <w:szCs w:val="21"/>
                      <w:vertAlign w:val="baseline"/>
                      <w:lang w:eastAsia="zh-CN"/>
                    </w:rPr>
                    <w:t>检测项目</w:t>
                  </w:r>
                </w:p>
              </w:tc>
              <w:tc>
                <w:tcPr>
                  <w:tcW w:w="885" w:type="dxa"/>
                  <w:vMerge w:val="restart"/>
                  <w:tcBorders>
                    <w:top w:val="single" w:color="auto" w:sz="4" w:space="0"/>
                  </w:tcBorders>
                  <w:vAlign w:val="center"/>
                </w:tcPr>
                <w:p>
                  <w:pPr>
                    <w:spacing w:line="500" w:lineRule="exact"/>
                    <w:jc w:val="center"/>
                    <w:rPr>
                      <w:rFonts w:hint="eastAsia" w:eastAsia="宋体"/>
                      <w:b/>
                      <w:bCs w:val="0"/>
                      <w:sz w:val="21"/>
                      <w:szCs w:val="21"/>
                      <w:vertAlign w:val="baseline"/>
                      <w:lang w:eastAsia="zh-CN"/>
                    </w:rPr>
                  </w:pPr>
                  <w:r>
                    <w:rPr>
                      <w:rFonts w:hint="eastAsia"/>
                      <w:b/>
                      <w:bCs w:val="0"/>
                      <w:sz w:val="21"/>
                      <w:szCs w:val="21"/>
                      <w:vertAlign w:val="baseline"/>
                      <w:lang w:eastAsia="zh-CN"/>
                    </w:rPr>
                    <w:t>单位</w:t>
                  </w:r>
                </w:p>
              </w:tc>
              <w:tc>
                <w:tcPr>
                  <w:tcW w:w="4666" w:type="dxa"/>
                  <w:gridSpan w:val="3"/>
                  <w:tcBorders>
                    <w:top w:val="single" w:color="auto" w:sz="4" w:space="0"/>
                  </w:tcBorders>
                  <w:vAlign w:val="center"/>
                </w:tcPr>
                <w:p>
                  <w:pPr>
                    <w:spacing w:line="500" w:lineRule="exact"/>
                    <w:jc w:val="center"/>
                    <w:rPr>
                      <w:rFonts w:hint="eastAsia" w:eastAsia="宋体"/>
                      <w:b/>
                      <w:bCs w:val="0"/>
                      <w:sz w:val="21"/>
                      <w:szCs w:val="21"/>
                      <w:vertAlign w:val="baseline"/>
                      <w:lang w:eastAsia="zh-CN"/>
                    </w:rPr>
                  </w:pPr>
                  <w:r>
                    <w:rPr>
                      <w:rFonts w:hint="eastAsia"/>
                      <w:b/>
                      <w:bCs w:val="0"/>
                      <w:sz w:val="21"/>
                      <w:szCs w:val="21"/>
                      <w:vertAlign w:val="baseline"/>
                      <w:lang w:eastAsia="zh-CN"/>
                    </w:rPr>
                    <w:t>检测日期及结果</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pPr>
                    <w:spacing w:line="500" w:lineRule="exact"/>
                    <w:jc w:val="center"/>
                    <w:rPr>
                      <w:b/>
                      <w:bCs w:val="0"/>
                      <w:sz w:val="21"/>
                      <w:szCs w:val="21"/>
                      <w:vertAlign w:val="baseline"/>
                    </w:rPr>
                  </w:pPr>
                </w:p>
              </w:tc>
              <w:tc>
                <w:tcPr>
                  <w:tcW w:w="855" w:type="dxa"/>
                  <w:vMerge w:val="continue"/>
                  <w:vAlign w:val="center"/>
                </w:tcPr>
                <w:p>
                  <w:pPr>
                    <w:spacing w:line="500" w:lineRule="exact"/>
                    <w:jc w:val="center"/>
                    <w:rPr>
                      <w:b/>
                      <w:bCs w:val="0"/>
                      <w:sz w:val="21"/>
                      <w:szCs w:val="21"/>
                      <w:vertAlign w:val="baseline"/>
                    </w:rPr>
                  </w:pPr>
                </w:p>
              </w:tc>
              <w:tc>
                <w:tcPr>
                  <w:tcW w:w="1230" w:type="dxa"/>
                  <w:vMerge w:val="continue"/>
                  <w:vAlign w:val="center"/>
                </w:tcPr>
                <w:p>
                  <w:pPr>
                    <w:spacing w:line="500" w:lineRule="exact"/>
                    <w:jc w:val="center"/>
                    <w:rPr>
                      <w:b/>
                      <w:bCs w:val="0"/>
                      <w:sz w:val="21"/>
                      <w:szCs w:val="21"/>
                      <w:vertAlign w:val="baseline"/>
                    </w:rPr>
                  </w:pPr>
                </w:p>
              </w:tc>
              <w:tc>
                <w:tcPr>
                  <w:tcW w:w="885" w:type="dxa"/>
                  <w:vMerge w:val="continue"/>
                  <w:vAlign w:val="center"/>
                </w:tcPr>
                <w:p>
                  <w:pPr>
                    <w:spacing w:line="500" w:lineRule="exact"/>
                    <w:jc w:val="center"/>
                    <w:rPr>
                      <w:b/>
                      <w:bCs w:val="0"/>
                      <w:sz w:val="21"/>
                      <w:szCs w:val="21"/>
                      <w:vertAlign w:val="baseline"/>
                    </w:rPr>
                  </w:pPr>
                </w:p>
              </w:tc>
              <w:tc>
                <w:tcPr>
                  <w:tcW w:w="1530" w:type="dxa"/>
                  <w:vAlign w:val="center"/>
                </w:tcPr>
                <w:p>
                  <w:pPr>
                    <w:spacing w:line="500" w:lineRule="exact"/>
                    <w:jc w:val="center"/>
                    <w:rPr>
                      <w:rFonts w:hint="default" w:eastAsia="宋体"/>
                      <w:b/>
                      <w:bCs w:val="0"/>
                      <w:sz w:val="21"/>
                      <w:szCs w:val="21"/>
                      <w:vertAlign w:val="baseline"/>
                      <w:lang w:val="en-US" w:eastAsia="zh-CN"/>
                    </w:rPr>
                  </w:pPr>
                  <w:r>
                    <w:rPr>
                      <w:rFonts w:hint="eastAsia"/>
                      <w:b/>
                      <w:bCs w:val="0"/>
                      <w:sz w:val="21"/>
                      <w:szCs w:val="21"/>
                      <w:vertAlign w:val="baseline"/>
                      <w:lang w:val="en-US" w:eastAsia="zh-CN"/>
                    </w:rPr>
                    <w:t>2020.11.17</w:t>
                  </w:r>
                </w:p>
              </w:tc>
              <w:tc>
                <w:tcPr>
                  <w:tcW w:w="1560" w:type="dxa"/>
                  <w:vAlign w:val="center"/>
                </w:tcPr>
                <w:p>
                  <w:pPr>
                    <w:spacing w:line="500" w:lineRule="exact"/>
                    <w:jc w:val="center"/>
                    <w:rPr>
                      <w:rFonts w:hint="default" w:eastAsia="宋体"/>
                      <w:b/>
                      <w:bCs w:val="0"/>
                      <w:sz w:val="21"/>
                      <w:szCs w:val="21"/>
                      <w:vertAlign w:val="baseline"/>
                      <w:lang w:val="en-US" w:eastAsia="zh-CN"/>
                    </w:rPr>
                  </w:pPr>
                  <w:r>
                    <w:rPr>
                      <w:rFonts w:hint="eastAsia"/>
                      <w:b/>
                      <w:bCs w:val="0"/>
                      <w:sz w:val="21"/>
                      <w:szCs w:val="21"/>
                      <w:vertAlign w:val="baseline"/>
                      <w:lang w:val="en-US" w:eastAsia="zh-CN"/>
                    </w:rPr>
                    <w:t>2020.11.18</w:t>
                  </w:r>
                </w:p>
              </w:tc>
              <w:tc>
                <w:tcPr>
                  <w:tcW w:w="1576" w:type="dxa"/>
                  <w:vAlign w:val="center"/>
                </w:tcPr>
                <w:p>
                  <w:pPr>
                    <w:spacing w:line="500" w:lineRule="exact"/>
                    <w:jc w:val="center"/>
                    <w:rPr>
                      <w:rFonts w:hint="default" w:eastAsia="宋体"/>
                      <w:b/>
                      <w:bCs w:val="0"/>
                      <w:sz w:val="21"/>
                      <w:szCs w:val="21"/>
                      <w:vertAlign w:val="baseline"/>
                      <w:lang w:val="en-US" w:eastAsia="zh-CN"/>
                    </w:rPr>
                  </w:pPr>
                  <w:r>
                    <w:rPr>
                      <w:rFonts w:hint="eastAsia"/>
                      <w:b/>
                      <w:bCs w:val="0"/>
                      <w:sz w:val="21"/>
                      <w:szCs w:val="21"/>
                      <w:vertAlign w:val="baseline"/>
                      <w:lang w:val="en-US" w:eastAsia="zh-CN"/>
                    </w:rPr>
                    <w:t>2020.11.19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91" w:type="dxa"/>
                  <w:vMerge w:val="restart"/>
                  <w:vAlign w:val="center"/>
                </w:tcPr>
                <w:p>
                  <w:pPr>
                    <w:spacing w:line="500" w:lineRule="exact"/>
                    <w:jc w:val="center"/>
                    <w:rPr>
                      <w:rFonts w:hint="default" w:ascii="Times New Roman" w:hAnsi="Times New Roman" w:eastAsia="宋体" w:cs="Times New Roman"/>
                      <w:bCs/>
                      <w:kern w:val="2"/>
                      <w:sz w:val="21"/>
                      <w:szCs w:val="21"/>
                      <w:highlight w:val="none"/>
                      <w:vertAlign w:val="baseline"/>
                      <w:lang w:val="en-US" w:eastAsia="zh-CN" w:bidi="ar-SA"/>
                    </w:rPr>
                  </w:pPr>
                  <w:r>
                    <w:rPr>
                      <w:color w:val="auto"/>
                      <w:sz w:val="21"/>
                      <w:szCs w:val="21"/>
                      <w:highlight w:val="none"/>
                    </w:rPr>
                    <w:t>北招民庄村</w:t>
                  </w:r>
                  <w:r>
                    <w:rPr>
                      <w:rFonts w:hint="eastAsia"/>
                      <w:color w:val="auto"/>
                      <w:sz w:val="21"/>
                      <w:szCs w:val="21"/>
                      <w:highlight w:val="none"/>
                      <w:lang w:val="en-US" w:eastAsia="zh-CN"/>
                    </w:rPr>
                    <w:t>4#</w:t>
                  </w:r>
                </w:p>
                <w:p>
                  <w:pPr>
                    <w:spacing w:line="500" w:lineRule="exact"/>
                    <w:jc w:val="center"/>
                    <w:rPr>
                      <w:rFonts w:hint="default" w:eastAsia="宋体"/>
                      <w:bCs/>
                      <w:sz w:val="21"/>
                      <w:szCs w:val="21"/>
                      <w:vertAlign w:val="baseline"/>
                      <w:lang w:val="en-US" w:eastAsia="zh-CN"/>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水位</w:t>
                  </w:r>
                </w:p>
              </w:tc>
              <w:tc>
                <w:tcPr>
                  <w:tcW w:w="885"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ascii="Times New Roman" w:hAnsi="Times New Roman" w:eastAsia="宋体" w:cs="Times New Roman"/>
                      <w:b w:val="0"/>
                      <w:bCs/>
                      <w:sz w:val="21"/>
                      <w:szCs w:val="21"/>
                    </w:rPr>
                    <w:t>m</w:t>
                  </w:r>
                </w:p>
              </w:tc>
              <w:tc>
                <w:tcPr>
                  <w:tcW w:w="1530"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27.5</w:t>
                  </w:r>
                </w:p>
              </w:tc>
              <w:tc>
                <w:tcPr>
                  <w:tcW w:w="1560"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27.5</w:t>
                  </w:r>
                </w:p>
              </w:tc>
              <w:tc>
                <w:tcPr>
                  <w:tcW w:w="1576" w:type="dxa"/>
                  <w:vAlign w:val="center"/>
                </w:tcPr>
                <w:p>
                  <w:pPr>
                    <w:pStyle w:val="146"/>
                    <w:ind w:firstLine="0" w:firstLineChars="0"/>
                    <w:jc w:val="center"/>
                    <w:rPr>
                      <w:rFonts w:hint="default"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bCs/>
                      <w:sz w:val="21"/>
                      <w:szCs w:val="21"/>
                    </w:rPr>
                    <w:t>27.5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91" w:type="dxa"/>
                  <w:vMerge w:val="continue"/>
                  <w:vAlign w:val="center"/>
                </w:tcPr>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井深</w:t>
                  </w:r>
                </w:p>
              </w:tc>
              <w:tc>
                <w:tcPr>
                  <w:tcW w:w="88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color w:val="auto"/>
                      <w:sz w:val="21"/>
                      <w:szCs w:val="21"/>
                    </w:rPr>
                    <w:t>m</w:t>
                  </w:r>
                </w:p>
              </w:tc>
              <w:tc>
                <w:tcPr>
                  <w:tcW w:w="1530"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46</w:t>
                  </w:r>
                </w:p>
              </w:tc>
              <w:tc>
                <w:tcPr>
                  <w:tcW w:w="1560"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46</w:t>
                  </w:r>
                </w:p>
              </w:tc>
              <w:tc>
                <w:tcPr>
                  <w:tcW w:w="1576"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46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水温</w:t>
                  </w:r>
                </w:p>
              </w:tc>
              <w:tc>
                <w:tcPr>
                  <w:tcW w:w="885"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color w:val="auto"/>
                      <w:sz w:val="21"/>
                      <w:szCs w:val="21"/>
                    </w:rPr>
                    <w:t>℃</w:t>
                  </w:r>
                </w:p>
              </w:tc>
              <w:tc>
                <w:tcPr>
                  <w:tcW w:w="1530"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16</w:t>
                  </w:r>
                </w:p>
              </w:tc>
              <w:tc>
                <w:tcPr>
                  <w:tcW w:w="1560"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16</w:t>
                  </w:r>
                </w:p>
              </w:tc>
              <w:tc>
                <w:tcPr>
                  <w:tcW w:w="1576" w:type="dxa"/>
                  <w:vAlign w:val="center"/>
                </w:tcPr>
                <w:p>
                  <w:pPr>
                    <w:jc w:val="center"/>
                    <w:rPr>
                      <w:rFonts w:hint="default" w:ascii="Times New Roman" w:hAnsi="Times New Roman" w:eastAsia="宋体" w:cs="Times New Roman"/>
                      <w:color w:val="auto"/>
                      <w:kern w:val="2"/>
                      <w:sz w:val="21"/>
                      <w:szCs w:val="21"/>
                      <w:lang w:val="en-US" w:eastAsia="zh-CN" w:bidi="ar-SA"/>
                    </w:rPr>
                  </w:pPr>
                  <w:r>
                    <w:rPr>
                      <w:color w:val="auto"/>
                      <w:sz w:val="21"/>
                      <w:szCs w:val="21"/>
                    </w:rPr>
                    <w:t>16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中马坊村</w:t>
                  </w:r>
                  <w:r>
                    <w:rPr>
                      <w:rFonts w:hint="eastAsia"/>
                      <w:bCs/>
                      <w:sz w:val="21"/>
                      <w:szCs w:val="21"/>
                      <w:vertAlign w:val="baseline"/>
                      <w:lang w:val="en-US" w:eastAsia="zh-CN"/>
                    </w:rPr>
                    <w:t>5#</w:t>
                  </w:r>
                </w:p>
                <w:p>
                  <w:pPr>
                    <w:spacing w:line="500" w:lineRule="exact"/>
                    <w:jc w:val="center"/>
                    <w:rPr>
                      <w:rFonts w:hint="default" w:eastAsia="宋体"/>
                      <w:bCs/>
                      <w:sz w:val="21"/>
                      <w:szCs w:val="21"/>
                      <w:vertAlign w:val="baseline"/>
                      <w:lang w:val="en-US" w:eastAsia="zh-CN"/>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水位</w:t>
                  </w:r>
                </w:p>
              </w:tc>
              <w:tc>
                <w:tcPr>
                  <w:tcW w:w="885"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m</w:t>
                  </w:r>
                </w:p>
              </w:tc>
              <w:tc>
                <w:tcPr>
                  <w:tcW w:w="153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25</w:t>
                  </w:r>
                </w:p>
              </w:tc>
              <w:tc>
                <w:tcPr>
                  <w:tcW w:w="156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25</w:t>
                  </w:r>
                </w:p>
              </w:tc>
              <w:tc>
                <w:tcPr>
                  <w:tcW w:w="1576"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井深</w:t>
                  </w:r>
                </w:p>
              </w:tc>
              <w:tc>
                <w:tcPr>
                  <w:tcW w:w="885" w:type="dxa"/>
                  <w:vAlign w:val="center"/>
                </w:tcPr>
                <w:p>
                  <w:pPr>
                    <w:spacing w:line="500" w:lineRule="exact"/>
                    <w:jc w:val="center"/>
                    <w:rPr>
                      <w:rFonts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m</w:t>
                  </w:r>
                </w:p>
              </w:tc>
              <w:tc>
                <w:tcPr>
                  <w:tcW w:w="153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30</w:t>
                  </w:r>
                </w:p>
              </w:tc>
              <w:tc>
                <w:tcPr>
                  <w:tcW w:w="156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30</w:t>
                  </w:r>
                </w:p>
              </w:tc>
              <w:tc>
                <w:tcPr>
                  <w:tcW w:w="1576"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水温</w:t>
                  </w:r>
                </w:p>
              </w:tc>
              <w:tc>
                <w:tcPr>
                  <w:tcW w:w="885"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w:t>
                  </w:r>
                </w:p>
              </w:tc>
              <w:tc>
                <w:tcPr>
                  <w:tcW w:w="153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12.2</w:t>
                  </w:r>
                </w:p>
              </w:tc>
              <w:tc>
                <w:tcPr>
                  <w:tcW w:w="156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13.1</w:t>
                  </w:r>
                </w:p>
              </w:tc>
              <w:tc>
                <w:tcPr>
                  <w:tcW w:w="1576"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13.1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restart"/>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东马坊村</w:t>
                  </w:r>
                  <w:r>
                    <w:rPr>
                      <w:rFonts w:hint="eastAsia"/>
                      <w:bCs/>
                      <w:sz w:val="21"/>
                      <w:szCs w:val="21"/>
                      <w:vertAlign w:val="baseline"/>
                      <w:lang w:val="en-US" w:eastAsia="zh-CN"/>
                    </w:rPr>
                    <w:t>6#</w:t>
                  </w:r>
                </w:p>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水位</w:t>
                  </w:r>
                </w:p>
              </w:tc>
              <w:tc>
                <w:tcPr>
                  <w:tcW w:w="885"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m</w:t>
                  </w:r>
                </w:p>
              </w:tc>
              <w:tc>
                <w:tcPr>
                  <w:tcW w:w="153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20</w:t>
                  </w:r>
                </w:p>
              </w:tc>
              <w:tc>
                <w:tcPr>
                  <w:tcW w:w="156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20</w:t>
                  </w:r>
                </w:p>
              </w:tc>
              <w:tc>
                <w:tcPr>
                  <w:tcW w:w="1576"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vAlign w:val="center"/>
                </w:tcPr>
                <w:p>
                  <w:pPr>
                    <w:spacing w:line="500" w:lineRule="exact"/>
                    <w:jc w:val="center"/>
                    <w:rPr>
                      <w:bCs/>
                      <w:sz w:val="21"/>
                      <w:szCs w:val="21"/>
                      <w:vertAlign w:val="baseline"/>
                    </w:rPr>
                  </w:pPr>
                </w:p>
              </w:tc>
              <w:tc>
                <w:tcPr>
                  <w:tcW w:w="855"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2</w:t>
                  </w:r>
                </w:p>
              </w:tc>
              <w:tc>
                <w:tcPr>
                  <w:tcW w:w="1230" w:type="dxa"/>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井深</w:t>
                  </w:r>
                </w:p>
              </w:tc>
              <w:tc>
                <w:tcPr>
                  <w:tcW w:w="885" w:type="dxa"/>
                  <w:vAlign w:val="center"/>
                </w:tcPr>
                <w:p>
                  <w:pPr>
                    <w:spacing w:line="500" w:lineRule="exact"/>
                    <w:jc w:val="center"/>
                    <w:rPr>
                      <w:rFonts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m</w:t>
                  </w:r>
                </w:p>
              </w:tc>
              <w:tc>
                <w:tcPr>
                  <w:tcW w:w="153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35</w:t>
                  </w:r>
                </w:p>
              </w:tc>
              <w:tc>
                <w:tcPr>
                  <w:tcW w:w="1560"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35</w:t>
                  </w:r>
                </w:p>
              </w:tc>
              <w:tc>
                <w:tcPr>
                  <w:tcW w:w="1576" w:type="dxa"/>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Merge w:val="continue"/>
                  <w:tcBorders>
                    <w:bottom w:val="single" w:color="auto" w:sz="4" w:space="0"/>
                  </w:tcBorders>
                  <w:vAlign w:val="center"/>
                </w:tcPr>
                <w:p>
                  <w:pPr>
                    <w:spacing w:line="500" w:lineRule="exact"/>
                    <w:jc w:val="center"/>
                    <w:rPr>
                      <w:bCs/>
                      <w:sz w:val="21"/>
                      <w:szCs w:val="21"/>
                      <w:vertAlign w:val="baseline"/>
                    </w:rPr>
                  </w:pPr>
                </w:p>
              </w:tc>
              <w:tc>
                <w:tcPr>
                  <w:tcW w:w="855" w:type="dxa"/>
                  <w:tcBorders>
                    <w:bottom w:val="single" w:color="auto" w:sz="4" w:space="0"/>
                  </w:tcBorders>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3</w:t>
                  </w:r>
                </w:p>
              </w:tc>
              <w:tc>
                <w:tcPr>
                  <w:tcW w:w="1230" w:type="dxa"/>
                  <w:tcBorders>
                    <w:bottom w:val="single" w:color="auto" w:sz="4" w:space="0"/>
                  </w:tcBorders>
                  <w:vAlign w:val="center"/>
                </w:tcPr>
                <w:p>
                  <w:pPr>
                    <w:spacing w:line="500" w:lineRule="exact"/>
                    <w:jc w:val="center"/>
                    <w:rPr>
                      <w:rFonts w:hint="eastAsia"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eastAsia="zh-CN"/>
                    </w:rPr>
                    <w:t>水温</w:t>
                  </w:r>
                </w:p>
              </w:tc>
              <w:tc>
                <w:tcPr>
                  <w:tcW w:w="885" w:type="dxa"/>
                  <w:tcBorders>
                    <w:bottom w:val="single" w:color="auto" w:sz="4" w:space="0"/>
                  </w:tcBorders>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w:t>
                  </w:r>
                </w:p>
              </w:tc>
              <w:tc>
                <w:tcPr>
                  <w:tcW w:w="1530" w:type="dxa"/>
                  <w:tcBorders>
                    <w:bottom w:val="single" w:color="auto" w:sz="4" w:space="0"/>
                  </w:tcBorders>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12.6</w:t>
                  </w:r>
                </w:p>
              </w:tc>
              <w:tc>
                <w:tcPr>
                  <w:tcW w:w="1560" w:type="dxa"/>
                  <w:tcBorders>
                    <w:bottom w:val="single" w:color="auto" w:sz="4" w:space="0"/>
                  </w:tcBorders>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12.9</w:t>
                  </w:r>
                </w:p>
              </w:tc>
              <w:tc>
                <w:tcPr>
                  <w:tcW w:w="1576" w:type="dxa"/>
                  <w:tcBorders>
                    <w:bottom w:val="single" w:color="auto" w:sz="4" w:space="0"/>
                  </w:tcBorders>
                  <w:vAlign w:val="center"/>
                </w:tcPr>
                <w:p>
                  <w:pPr>
                    <w:spacing w:line="500" w:lineRule="exact"/>
                    <w:jc w:val="center"/>
                    <w:rPr>
                      <w:rFonts w:hint="default" w:ascii="Times New Roman" w:hAnsi="Times New Roman" w:eastAsia="宋体" w:cs="Times New Roman"/>
                      <w:bCs/>
                      <w:kern w:val="2"/>
                      <w:sz w:val="21"/>
                      <w:szCs w:val="21"/>
                      <w:vertAlign w:val="baseline"/>
                      <w:lang w:val="en-US" w:eastAsia="zh-CN" w:bidi="ar-SA"/>
                    </w:rPr>
                  </w:pPr>
                  <w:r>
                    <w:rPr>
                      <w:rFonts w:hint="eastAsia"/>
                      <w:bCs/>
                      <w:sz w:val="21"/>
                      <w:szCs w:val="21"/>
                      <w:vertAlign w:val="baseline"/>
                      <w:lang w:val="en-US" w:eastAsia="zh-CN"/>
                    </w:rPr>
                    <w:t>12.9</w:t>
                  </w:r>
                </w:p>
              </w:tc>
            </w:tr>
          </w:tbl>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bCs/>
                <w:sz w:val="24"/>
              </w:rPr>
            </w:pPr>
            <w:r>
              <w:rPr>
                <w:bCs/>
                <w:sz w:val="24"/>
              </w:rPr>
              <w:t>由</w:t>
            </w:r>
            <w:r>
              <w:rPr>
                <w:rFonts w:hint="eastAsia"/>
                <w:bCs/>
                <w:sz w:val="24"/>
                <w:lang w:eastAsia="zh-CN"/>
              </w:rPr>
              <w:t>以上监测结果可知</w:t>
            </w:r>
            <w:r>
              <w:rPr>
                <w:bCs/>
                <w:sz w:val="24"/>
              </w:rPr>
              <w:t>，本项目地下水监测点</w:t>
            </w:r>
            <w:r>
              <w:rPr>
                <w:rFonts w:hint="eastAsia"/>
                <w:bCs/>
                <w:sz w:val="24"/>
                <w:lang w:val="en-US" w:eastAsia="zh-CN"/>
              </w:rPr>
              <w:t>陈堡村</w:t>
            </w:r>
            <w:r>
              <w:rPr>
                <w:rFonts w:ascii="Times New Roman" w:hAnsi="Times New Roman" w:cs="Times New Roman"/>
                <w:sz w:val="24"/>
              </w:rPr>
              <w:t>总硬度和溶解性总固体存在超标现象，其他监测因子监测值均能满足</w:t>
            </w:r>
            <w:r>
              <w:rPr>
                <w:bCs/>
                <w:sz w:val="24"/>
              </w:rPr>
              <w:t>《地下水环境质量标准》（GB/T14848-2017）</w:t>
            </w:r>
            <w:r>
              <w:rPr>
                <w:rFonts w:hint="eastAsia" w:ascii="宋体" w:hAnsi="宋体"/>
                <w:bCs/>
                <w:sz w:val="24"/>
              </w:rPr>
              <w:t>Ⅲ</w:t>
            </w:r>
            <w:r>
              <w:rPr>
                <w:bCs/>
                <w:sz w:val="24"/>
              </w:rPr>
              <w:t>类标准，项目区域地下水环境较好。</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b/>
                <w:color w:val="auto"/>
                <w:sz w:val="24"/>
                <w:highlight w:val="none"/>
              </w:rPr>
            </w:pPr>
            <w:r>
              <w:rPr>
                <w:rFonts w:hint="eastAsia"/>
                <w:b/>
                <w:color w:val="auto"/>
                <w:sz w:val="24"/>
                <w:highlight w:val="none"/>
                <w:lang w:val="en-US" w:eastAsia="zh-CN"/>
              </w:rPr>
              <w:t>4</w:t>
            </w:r>
            <w:r>
              <w:rPr>
                <w:b/>
                <w:color w:val="auto"/>
                <w:sz w:val="24"/>
                <w:highlight w:val="none"/>
              </w:rPr>
              <w:t>、声环境质量现状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szCs w:val="24"/>
                <w:highlight w:val="none"/>
              </w:rPr>
            </w:pPr>
            <w:r>
              <w:rPr>
                <w:color w:val="auto"/>
                <w:sz w:val="24"/>
                <w:szCs w:val="24"/>
                <w:highlight w:val="none"/>
              </w:rPr>
              <w:t>根据声环境功能区划分规定，本项目所在地处于2类声环境功能区。根据现场</w:t>
            </w:r>
            <w:r>
              <w:rPr>
                <w:rFonts w:hint="eastAsia"/>
                <w:color w:val="auto"/>
                <w:sz w:val="24"/>
                <w:szCs w:val="24"/>
                <w:highlight w:val="none"/>
                <w:lang w:val="en-US" w:eastAsia="zh-CN"/>
              </w:rPr>
              <w:t>调查可知</w:t>
            </w:r>
            <w:r>
              <w:rPr>
                <w:color w:val="auto"/>
                <w:sz w:val="24"/>
                <w:szCs w:val="24"/>
                <w:highlight w:val="none"/>
              </w:rPr>
              <w:t>，项目所在区域昼间噪声为55~58dB(A)、夜间44~48dB(A)，现状值均满足《声环境质量标准》（GB3096-2008）2类标准昼间60dB(A)、夜间50dB(A)要求，区域声环境质量较好。</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b/>
                <w:color w:val="auto"/>
                <w:sz w:val="24"/>
                <w:lang w:val="en-US" w:eastAsia="zh-CN"/>
              </w:rPr>
            </w:pPr>
            <w:r>
              <w:rPr>
                <w:rFonts w:hint="eastAsia"/>
                <w:b/>
                <w:color w:val="auto"/>
                <w:sz w:val="24"/>
                <w:lang w:val="en-US" w:eastAsia="zh-CN"/>
              </w:rPr>
              <w:t>5、土壤环境质量现状</w:t>
            </w:r>
          </w:p>
          <w:p>
            <w:pPr>
              <w:pStyle w:val="99"/>
              <w:keepNext w:val="0"/>
              <w:keepLines w:val="0"/>
              <w:pageBreakBefore w:val="0"/>
              <w:widowControl w:val="0"/>
              <w:kinsoku/>
              <w:wordWrap/>
              <w:overflowPunct/>
              <w:topLinePunct w:val="0"/>
              <w:autoSpaceDE/>
              <w:autoSpaceDN/>
              <w:bidi w:val="0"/>
              <w:spacing w:line="520" w:lineRule="exact"/>
              <w:ind w:firstLine="480" w:firstLineChars="200"/>
              <w:textAlignment w:val="auto"/>
              <w:rPr>
                <w:rFonts w:hAnsi="黑体"/>
                <w:bCs/>
                <w:spacing w:val="-4"/>
                <w:sz w:val="24"/>
                <w:highlight w:val="none"/>
              </w:rPr>
            </w:pPr>
            <w:r>
              <w:rPr>
                <w:rFonts w:hint="eastAsia" w:ascii="黑体" w:hAnsi="黑体" w:cs="黑体"/>
                <w:bCs/>
                <w:sz w:val="24"/>
                <w:highlight w:val="none"/>
              </w:rPr>
              <w:t>本项</w:t>
            </w:r>
            <w:r>
              <w:rPr>
                <w:rFonts w:hAnsi="黑体"/>
                <w:bCs/>
                <w:sz w:val="24"/>
                <w:highlight w:val="none"/>
              </w:rPr>
              <w:t>目属于</w:t>
            </w:r>
            <w:r>
              <w:rPr>
                <w:bCs/>
                <w:sz w:val="24"/>
                <w:highlight w:val="none"/>
              </w:rPr>
              <w:t>“</w:t>
            </w:r>
            <w:r>
              <w:rPr>
                <w:rFonts w:hAnsi="黑体"/>
                <w:bCs/>
                <w:sz w:val="24"/>
                <w:highlight w:val="none"/>
              </w:rPr>
              <w:t>社会事业与服务业</w:t>
            </w:r>
            <w:r>
              <w:rPr>
                <w:bCs/>
                <w:sz w:val="24"/>
                <w:highlight w:val="none"/>
              </w:rPr>
              <w:t xml:space="preserve">” </w:t>
            </w:r>
            <w:r>
              <w:rPr>
                <w:rFonts w:hAnsi="黑体"/>
                <w:bCs/>
                <w:sz w:val="24"/>
                <w:highlight w:val="none"/>
              </w:rPr>
              <w:t>中</w:t>
            </w:r>
            <w:r>
              <w:rPr>
                <w:bCs/>
                <w:sz w:val="24"/>
                <w:highlight w:val="none"/>
              </w:rPr>
              <w:t>“</w:t>
            </w:r>
            <w:r>
              <w:rPr>
                <w:rFonts w:hAnsi="黑体"/>
                <w:bCs/>
                <w:sz w:val="24"/>
                <w:highlight w:val="none"/>
              </w:rPr>
              <w:t>加油站</w:t>
            </w:r>
            <w:r>
              <w:rPr>
                <w:bCs/>
                <w:sz w:val="24"/>
                <w:highlight w:val="none"/>
              </w:rPr>
              <w:t>”</w:t>
            </w:r>
            <w:r>
              <w:rPr>
                <w:rFonts w:hAnsi="黑体"/>
                <w:bCs/>
                <w:sz w:val="24"/>
                <w:highlight w:val="none"/>
              </w:rPr>
              <w:t>项目，</w:t>
            </w:r>
            <w:r>
              <w:rPr>
                <w:rFonts w:hint="eastAsia" w:hAnsi="黑体"/>
                <w:bCs/>
                <w:sz w:val="24"/>
                <w:highlight w:val="none"/>
                <w:lang w:eastAsia="zh-CN"/>
              </w:rPr>
              <w:t>为污染影响型建设项目。</w:t>
            </w:r>
            <w:r>
              <w:rPr>
                <w:rFonts w:hint="eastAsia" w:ascii="Times New Roman" w:hAnsi="Times New Roman"/>
                <w:sz w:val="24"/>
                <w:highlight w:val="none"/>
              </w:rPr>
              <w:t>根据《环境影响评价技术导则-土壤环境（试行）（HJ 964-2018）》附录A ，本项目土壤环境影响评价项目类别为</w:t>
            </w:r>
            <w:r>
              <w:rPr>
                <w:rFonts w:ascii="Times New Roman" w:hAnsi="Times New Roman"/>
                <w:sz w:val="24"/>
                <w:highlight w:val="none"/>
              </w:rPr>
              <w:t>Ⅲ</w:t>
            </w:r>
            <w:r>
              <w:rPr>
                <w:rFonts w:hint="eastAsia" w:ascii="Times New Roman" w:hAnsi="Times New Roman"/>
                <w:sz w:val="24"/>
                <w:highlight w:val="none"/>
              </w:rPr>
              <w:t>类；</w:t>
            </w:r>
            <w:r>
              <w:rPr>
                <w:rFonts w:hint="eastAsia" w:ascii="Times New Roman" w:hAnsi="Times New Roman"/>
                <w:sz w:val="24"/>
                <w:highlight w:val="none"/>
                <w:lang w:eastAsia="zh-CN"/>
              </w:rPr>
              <w:t>项目</w:t>
            </w:r>
            <w:r>
              <w:rPr>
                <w:rFonts w:hint="eastAsia" w:ascii="Times New Roman" w:hAnsi="Times New Roman"/>
                <w:sz w:val="24"/>
                <w:highlight w:val="none"/>
              </w:rPr>
              <w:t>占地面积</w:t>
            </w:r>
            <w:r>
              <w:rPr>
                <w:rFonts w:hint="eastAsia" w:ascii="Times New Roman" w:hAnsi="Times New Roman"/>
                <w:sz w:val="24"/>
                <w:highlight w:val="none"/>
                <w:lang w:eastAsia="zh-CN"/>
              </w:rPr>
              <w:t>为</w:t>
            </w:r>
            <w:r>
              <w:rPr>
                <w:rFonts w:hint="eastAsia" w:ascii="Times New Roman" w:hAnsi="Times New Roman"/>
                <w:sz w:val="24"/>
                <w:highlight w:val="none"/>
                <w:lang w:val="en-US" w:eastAsia="zh-CN"/>
              </w:rPr>
              <w:t>1476m</w:t>
            </w:r>
            <w:r>
              <w:rPr>
                <w:rFonts w:hint="eastAsia" w:ascii="Times New Roman" w:hAnsi="Times New Roman"/>
                <w:sz w:val="24"/>
                <w:highlight w:val="none"/>
                <w:vertAlign w:val="superscript"/>
                <w:lang w:val="en-US" w:eastAsia="zh-CN"/>
              </w:rPr>
              <w:t>2</w:t>
            </w:r>
            <w:r>
              <w:rPr>
                <w:rFonts w:hint="eastAsia" w:ascii="Times New Roman" w:hAnsi="Times New Roman"/>
                <w:sz w:val="24"/>
                <w:highlight w:val="none"/>
                <w:lang w:val="en-US" w:eastAsia="zh-CN"/>
              </w:rPr>
              <w:t>，0.1476</w:t>
            </w:r>
            <w:r>
              <w:rPr>
                <w:rFonts w:hint="eastAsia" w:ascii="Times New Roman" w:hAnsi="Times New Roman"/>
                <w:sz w:val="24"/>
                <w:highlight w:val="none"/>
              </w:rPr>
              <w:t>hm</w:t>
            </w:r>
            <w:r>
              <w:rPr>
                <w:rFonts w:hint="eastAsia" w:ascii="Times New Roman" w:hAnsi="Times New Roman"/>
                <w:sz w:val="24"/>
                <w:highlight w:val="none"/>
                <w:vertAlign w:val="superscript"/>
              </w:rPr>
              <w:t>2</w:t>
            </w:r>
            <w:r>
              <w:rPr>
                <w:rFonts w:hint="eastAsia" w:ascii="Times New Roman" w:hAnsi="Times New Roman"/>
                <w:sz w:val="24"/>
                <w:highlight w:val="none"/>
              </w:rPr>
              <w:t>＜</w:t>
            </w:r>
            <w:r>
              <w:rPr>
                <w:rFonts w:hint="eastAsia"/>
                <w:bCs/>
                <w:sz w:val="24"/>
                <w:highlight w:val="none"/>
                <w:lang w:val="en-US" w:eastAsia="zh-CN"/>
              </w:rPr>
              <w:t>5hm</w:t>
            </w:r>
            <w:r>
              <w:rPr>
                <w:rFonts w:hint="eastAsia"/>
                <w:bCs/>
                <w:sz w:val="24"/>
                <w:highlight w:val="none"/>
                <w:vertAlign w:val="superscript"/>
                <w:lang w:val="en-US" w:eastAsia="zh-CN"/>
              </w:rPr>
              <w:t>2</w:t>
            </w:r>
            <w:r>
              <w:rPr>
                <w:bCs/>
                <w:sz w:val="24"/>
                <w:highlight w:val="none"/>
              </w:rPr>
              <w:t>，占地规模为小型</w:t>
            </w:r>
            <w:r>
              <w:rPr>
                <w:rFonts w:hint="eastAsia"/>
                <w:bCs/>
                <w:sz w:val="24"/>
                <w:highlight w:val="none"/>
                <w:lang w:eastAsia="zh-CN"/>
              </w:rPr>
              <w:t>；</w:t>
            </w:r>
            <w:r>
              <w:rPr>
                <w:rFonts w:hint="eastAsia"/>
                <w:sz w:val="24"/>
                <w:highlight w:val="none"/>
                <w:lang w:eastAsia="zh-CN"/>
              </w:rPr>
              <w:t>项目北侧现状为苗圃地，西侧及西北侧均为闲置厂房，西南侧为阳光电源厂，南侧为新秀路，隔路</w:t>
            </w:r>
            <w:r>
              <w:rPr>
                <w:rFonts w:hint="eastAsia"/>
                <w:sz w:val="24"/>
                <w:highlight w:val="none"/>
                <w:lang w:val="en-US" w:eastAsia="zh-CN"/>
              </w:rPr>
              <w:t>30m</w:t>
            </w:r>
            <w:r>
              <w:rPr>
                <w:rFonts w:hint="eastAsia"/>
                <w:sz w:val="24"/>
                <w:highlight w:val="none"/>
                <w:lang w:eastAsia="zh-CN"/>
              </w:rPr>
              <w:t>为盛达科技，东南侧为维修店及超市，东侧为一处闲置厂房，东北侧为林地。项目区域为不</w:t>
            </w:r>
            <w:r>
              <w:rPr>
                <w:rFonts w:hAnsi="黑体"/>
                <w:bCs/>
                <w:sz w:val="24"/>
                <w:highlight w:val="none"/>
              </w:rPr>
              <w:t>敏感区，</w:t>
            </w:r>
            <w:r>
              <w:rPr>
                <w:rFonts w:hAnsi="黑体"/>
                <w:bCs/>
                <w:spacing w:val="-4"/>
                <w:sz w:val="24"/>
                <w:highlight w:val="none"/>
              </w:rPr>
              <w:t>根据导则要求，</w:t>
            </w:r>
            <w:r>
              <w:rPr>
                <w:rFonts w:hint="eastAsia" w:hAnsi="黑体"/>
                <w:bCs/>
                <w:spacing w:val="-4"/>
                <w:sz w:val="24"/>
                <w:highlight w:val="none"/>
                <w:lang w:eastAsia="zh-CN"/>
              </w:rPr>
              <w:t>本项目</w:t>
            </w:r>
            <w:r>
              <w:rPr>
                <w:rFonts w:hint="eastAsia" w:ascii="Times New Roman" w:hAnsi="Times New Roman"/>
                <w:sz w:val="24"/>
                <w:highlight w:val="none"/>
              </w:rPr>
              <w:t>可不开展土壤环境影响评价，故未进行土壤现状监测。</w:t>
            </w:r>
          </w:p>
          <w:p>
            <w:pPr>
              <w:keepNext w:val="0"/>
              <w:keepLines w:val="0"/>
              <w:pageBreakBefore w:val="0"/>
              <w:widowControl w:val="0"/>
              <w:kinsoku/>
              <w:wordWrap/>
              <w:overflowPunct/>
              <w:topLinePunct w:val="0"/>
              <w:autoSpaceDE/>
              <w:autoSpaceDN/>
              <w:bidi w:val="0"/>
              <w:spacing w:line="520" w:lineRule="exact"/>
              <w:ind w:firstLine="482" w:firstLineChars="200"/>
              <w:contextualSpacing/>
              <w:textAlignment w:val="auto"/>
              <w:rPr>
                <w:b/>
                <w:bCs/>
                <w:color w:val="auto"/>
                <w:sz w:val="24"/>
              </w:rPr>
            </w:pPr>
            <w:r>
              <w:rPr>
                <w:rFonts w:hint="eastAsia"/>
                <w:b/>
                <w:color w:val="auto"/>
                <w:sz w:val="24"/>
                <w:lang w:val="en-US" w:eastAsia="zh-CN"/>
              </w:rPr>
              <w:t>6</w:t>
            </w:r>
            <w:r>
              <w:rPr>
                <w:b/>
                <w:color w:val="auto"/>
                <w:sz w:val="24"/>
              </w:rPr>
              <w:t>、生态环境现状</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rFonts w:hint="default" w:ascii="Times New Roman" w:hAnsi="Times New Roman" w:cs="Times New Roman"/>
                <w:sz w:val="24"/>
                <w:szCs w:val="24"/>
              </w:rPr>
              <w:t>评价区域生态环境主要以人工生态环境为主，</w:t>
            </w:r>
            <w:r>
              <w:rPr>
                <w:sz w:val="24"/>
              </w:rPr>
              <w:t>天然动植物种类少，现有的种类中，以人工种植或养殖为主，动植物种类和数量极不稳定，很难形成稳定种群。</w:t>
            </w:r>
            <w:r>
              <w:rPr>
                <w:iCs/>
                <w:color w:val="auto"/>
                <w:sz w:val="24"/>
              </w:rPr>
              <w:t>本项目周边</w:t>
            </w:r>
            <w:r>
              <w:rPr>
                <w:color w:val="auto"/>
                <w:sz w:val="24"/>
              </w:rPr>
              <w:t>无重点保护的野生动植物、风景名胜区、自然保护区及文化遗产等特殊保护目标。</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主要环境保护目标(列出名单及保护级别)：</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color w:val="auto"/>
                <w:sz w:val="24"/>
              </w:rPr>
            </w:pPr>
            <w:r>
              <w:rPr>
                <w:color w:val="auto"/>
                <w:sz w:val="24"/>
              </w:rPr>
              <w:t>根据现场调查情况，本项目周围环境保护目标和保护级别见下表。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cs="Times New Roman"/>
                <w:b/>
                <w:bCs/>
                <w:sz w:val="24"/>
                <w:highlight w:val="none"/>
              </w:rPr>
            </w:pPr>
            <w:r>
              <w:rPr>
                <w:rFonts w:hint="eastAsia" w:ascii="Times New Roman" w:hAnsi="Times New Roman" w:cs="Times New Roman"/>
                <w:b/>
                <w:bCs/>
                <w:sz w:val="24"/>
                <w:highlight w:val="none"/>
              </w:rPr>
              <w:t>表20        本项目周围环境保护目标及其距离</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678"/>
              <w:gridCol w:w="1193"/>
              <w:gridCol w:w="1273"/>
              <w:gridCol w:w="3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tcBorders>
                    <w:top w:val="single" w:color="auto" w:sz="8" w:space="0"/>
                    <w:bottom w:val="single" w:color="auto" w:sz="4" w:space="0"/>
                  </w:tcBorders>
                  <w:noWrap w:val="0"/>
                  <w:vAlign w:val="center"/>
                </w:tcPr>
                <w:p>
                  <w:pPr>
                    <w:adjustRightInd w:val="0"/>
                    <w:snapToGrid w:val="0"/>
                    <w:jc w:val="center"/>
                    <w:rPr>
                      <w:b/>
                      <w:color w:val="000000"/>
                      <w:sz w:val="21"/>
                      <w:szCs w:val="21"/>
                    </w:rPr>
                  </w:pPr>
                  <w:r>
                    <w:rPr>
                      <w:b/>
                      <w:color w:val="000000"/>
                      <w:sz w:val="21"/>
                      <w:szCs w:val="21"/>
                    </w:rPr>
                    <w:t>保护类别</w:t>
                  </w:r>
                </w:p>
              </w:tc>
              <w:tc>
                <w:tcPr>
                  <w:tcW w:w="961" w:type="pct"/>
                  <w:tcBorders>
                    <w:top w:val="single" w:color="auto" w:sz="8" w:space="0"/>
                    <w:bottom w:val="single" w:color="auto" w:sz="4" w:space="0"/>
                  </w:tcBorders>
                  <w:noWrap w:val="0"/>
                  <w:vAlign w:val="center"/>
                </w:tcPr>
                <w:p>
                  <w:pPr>
                    <w:adjustRightInd w:val="0"/>
                    <w:snapToGrid w:val="0"/>
                    <w:jc w:val="center"/>
                    <w:rPr>
                      <w:b/>
                      <w:color w:val="000000"/>
                      <w:sz w:val="21"/>
                      <w:szCs w:val="21"/>
                    </w:rPr>
                  </w:pPr>
                  <w:r>
                    <w:rPr>
                      <w:b/>
                      <w:color w:val="000000"/>
                      <w:sz w:val="21"/>
                      <w:szCs w:val="21"/>
                    </w:rPr>
                    <w:t>环境保护目标</w:t>
                  </w:r>
                </w:p>
              </w:tc>
              <w:tc>
                <w:tcPr>
                  <w:tcW w:w="683" w:type="pct"/>
                  <w:tcBorders>
                    <w:top w:val="single" w:color="auto" w:sz="8" w:space="0"/>
                    <w:bottom w:val="single" w:color="auto" w:sz="4" w:space="0"/>
                  </w:tcBorders>
                  <w:noWrap w:val="0"/>
                  <w:vAlign w:val="center"/>
                </w:tcPr>
                <w:p>
                  <w:pPr>
                    <w:adjustRightInd w:val="0"/>
                    <w:snapToGrid w:val="0"/>
                    <w:jc w:val="center"/>
                    <w:rPr>
                      <w:b/>
                      <w:color w:val="000000"/>
                      <w:sz w:val="21"/>
                      <w:szCs w:val="21"/>
                    </w:rPr>
                  </w:pPr>
                  <w:r>
                    <w:rPr>
                      <w:b/>
                      <w:color w:val="000000"/>
                      <w:sz w:val="21"/>
                      <w:szCs w:val="21"/>
                    </w:rPr>
                    <w:t>方位</w:t>
                  </w:r>
                </w:p>
              </w:tc>
              <w:tc>
                <w:tcPr>
                  <w:tcW w:w="729" w:type="pct"/>
                  <w:tcBorders>
                    <w:top w:val="single" w:color="auto" w:sz="8" w:space="0"/>
                    <w:bottom w:val="single" w:color="auto" w:sz="4" w:space="0"/>
                  </w:tcBorders>
                  <w:noWrap w:val="0"/>
                  <w:vAlign w:val="center"/>
                </w:tcPr>
                <w:p>
                  <w:pPr>
                    <w:adjustRightInd w:val="0"/>
                    <w:snapToGrid w:val="0"/>
                    <w:jc w:val="center"/>
                    <w:rPr>
                      <w:b/>
                      <w:color w:val="000000"/>
                      <w:sz w:val="21"/>
                      <w:szCs w:val="21"/>
                    </w:rPr>
                  </w:pPr>
                  <w:r>
                    <w:rPr>
                      <w:b/>
                      <w:color w:val="000000"/>
                      <w:sz w:val="21"/>
                      <w:szCs w:val="21"/>
                    </w:rPr>
                    <w:t>距离</w:t>
                  </w:r>
                  <w:r>
                    <w:rPr>
                      <w:rFonts w:hint="eastAsia"/>
                      <w:b/>
                      <w:color w:val="000000"/>
                      <w:sz w:val="21"/>
                      <w:szCs w:val="21"/>
                    </w:rPr>
                    <w:t>m</w:t>
                  </w:r>
                </w:p>
              </w:tc>
              <w:tc>
                <w:tcPr>
                  <w:tcW w:w="1754" w:type="pct"/>
                  <w:tcBorders>
                    <w:top w:val="single" w:color="auto" w:sz="8" w:space="0"/>
                    <w:bottom w:val="single" w:color="auto" w:sz="4" w:space="0"/>
                  </w:tcBorders>
                  <w:noWrap w:val="0"/>
                  <w:vAlign w:val="center"/>
                </w:tcPr>
                <w:p>
                  <w:pPr>
                    <w:jc w:val="center"/>
                    <w:rPr>
                      <w:b/>
                      <w:color w:val="000000"/>
                      <w:sz w:val="21"/>
                      <w:szCs w:val="21"/>
                    </w:rPr>
                  </w:pPr>
                  <w:r>
                    <w:rPr>
                      <w:b/>
                      <w:color w:val="000000"/>
                      <w:sz w:val="21"/>
                      <w:szCs w:val="21"/>
                    </w:rPr>
                    <w:t>保护级别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restart"/>
                  <w:tcBorders>
                    <w:top w:val="single" w:color="auto" w:sz="4" w:space="0"/>
                  </w:tcBorders>
                  <w:noWrap w:val="0"/>
                  <w:vAlign w:val="center"/>
                </w:tcPr>
                <w:p>
                  <w:pPr>
                    <w:adjustRightInd w:val="0"/>
                    <w:snapToGrid w:val="0"/>
                    <w:jc w:val="center"/>
                    <w:rPr>
                      <w:rFonts w:hint="eastAsia"/>
                      <w:color w:val="000000"/>
                      <w:sz w:val="21"/>
                      <w:szCs w:val="21"/>
                    </w:rPr>
                  </w:pPr>
                  <w:r>
                    <w:rPr>
                      <w:color w:val="000000"/>
                      <w:sz w:val="21"/>
                      <w:szCs w:val="21"/>
                    </w:rPr>
                    <w:t>大气、</w:t>
                  </w:r>
                </w:p>
                <w:p>
                  <w:pPr>
                    <w:adjustRightInd w:val="0"/>
                    <w:snapToGrid w:val="0"/>
                    <w:jc w:val="center"/>
                    <w:rPr>
                      <w:color w:val="000000"/>
                      <w:sz w:val="21"/>
                      <w:szCs w:val="21"/>
                    </w:rPr>
                  </w:pPr>
                  <w:r>
                    <w:rPr>
                      <w:color w:val="000000"/>
                      <w:sz w:val="21"/>
                      <w:szCs w:val="21"/>
                    </w:rPr>
                    <w:t>声环境</w:t>
                  </w:r>
                </w:p>
              </w:tc>
              <w:tc>
                <w:tcPr>
                  <w:tcW w:w="961" w:type="pct"/>
                  <w:tcBorders>
                    <w:top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蓝天幼儿园</w:t>
                  </w:r>
                </w:p>
              </w:tc>
              <w:tc>
                <w:tcPr>
                  <w:tcW w:w="683" w:type="pct"/>
                  <w:tcBorders>
                    <w:top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rPr>
                    <w:t>西</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246</w:t>
                  </w:r>
                </w:p>
              </w:tc>
              <w:tc>
                <w:tcPr>
                  <w:tcW w:w="1754" w:type="pct"/>
                  <w:vMerge w:val="restart"/>
                  <w:noWrap w:val="0"/>
                  <w:vAlign w:val="center"/>
                </w:tcPr>
                <w:p>
                  <w:pPr>
                    <w:adjustRightInd w:val="0"/>
                    <w:snapToGrid w:val="0"/>
                    <w:jc w:val="center"/>
                    <w:rPr>
                      <w:rFonts w:hint="eastAsia"/>
                      <w:color w:val="000000"/>
                      <w:sz w:val="21"/>
                      <w:szCs w:val="21"/>
                    </w:rPr>
                  </w:pPr>
                  <w:r>
                    <w:rPr>
                      <w:color w:val="000000"/>
                      <w:sz w:val="21"/>
                      <w:szCs w:val="21"/>
                    </w:rPr>
                    <w:t>《环境空气质量标准》（GB3095-</w:t>
                  </w:r>
                  <w:r>
                    <w:rPr>
                      <w:rFonts w:hint="eastAsia"/>
                      <w:color w:val="000000"/>
                      <w:sz w:val="21"/>
                      <w:szCs w:val="21"/>
                    </w:rPr>
                    <w:t>2012</w:t>
                  </w:r>
                  <w:r>
                    <w:rPr>
                      <w:color w:val="000000"/>
                      <w:sz w:val="21"/>
                      <w:szCs w:val="21"/>
                    </w:rPr>
                    <w:t>）二级标准</w:t>
                  </w:r>
                </w:p>
                <w:p>
                  <w:pPr>
                    <w:adjustRightInd w:val="0"/>
                    <w:snapToGrid w:val="0"/>
                    <w:jc w:val="center"/>
                    <w:rPr>
                      <w:rFonts w:hint="eastAsia"/>
                      <w:color w:val="000000"/>
                      <w:sz w:val="21"/>
                      <w:szCs w:val="21"/>
                    </w:rPr>
                  </w:pPr>
                  <w:r>
                    <w:rPr>
                      <w:rFonts w:hint="eastAsia"/>
                      <w:color w:val="000000"/>
                      <w:sz w:val="21"/>
                      <w:szCs w:val="21"/>
                    </w:rPr>
                    <w:t>《声环境质量标准》（</w:t>
                  </w:r>
                  <w:r>
                    <w:rPr>
                      <w:color w:val="000000"/>
                      <w:sz w:val="21"/>
                      <w:szCs w:val="21"/>
                    </w:rPr>
                    <w:t>GB3096-2008</w:t>
                  </w:r>
                  <w:r>
                    <w:rPr>
                      <w:rFonts w:hint="eastAsia"/>
                      <w:color w:val="000000"/>
                      <w:sz w:val="21"/>
                      <w:szCs w:val="21"/>
                    </w:rPr>
                    <w:t>）2类标准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东郭社区</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西南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427</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西马坊村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lang w:eastAsia="zh-CN"/>
                    </w:rPr>
                    <w:t>东</w:t>
                  </w:r>
                  <w:r>
                    <w:rPr>
                      <w:rFonts w:hint="eastAsia"/>
                      <w:color w:val="000000"/>
                      <w:sz w:val="21"/>
                      <w:szCs w:val="21"/>
                    </w:rPr>
                    <w:t>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449</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中马坊村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rPr>
                    <w:t>东南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803</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凤泉区大块第二小学</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lang w:eastAsia="zh-CN"/>
                    </w:rPr>
                    <w:t>西</w:t>
                  </w:r>
                  <w:r>
                    <w:rPr>
                      <w:rFonts w:hint="eastAsia"/>
                      <w:color w:val="000000"/>
                      <w:sz w:val="21"/>
                      <w:szCs w:val="21"/>
                    </w:rPr>
                    <w:t>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931</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原庄村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西南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990</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浩祥幼儿园</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lang w:eastAsia="zh-CN"/>
                    </w:rPr>
                    <w:t>东</w:t>
                  </w:r>
                  <w:r>
                    <w:rPr>
                      <w:rFonts w:hint="eastAsia"/>
                      <w:color w:val="000000"/>
                      <w:sz w:val="21"/>
                      <w:szCs w:val="21"/>
                    </w:rPr>
                    <w:t>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1159</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新乡市牧野区马坊学校</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rPr>
                  </w:pPr>
                  <w:r>
                    <w:rPr>
                      <w:rFonts w:hint="eastAsia"/>
                      <w:color w:val="000000"/>
                      <w:sz w:val="21"/>
                      <w:szCs w:val="21"/>
                      <w:lang w:eastAsia="zh-CN"/>
                    </w:rPr>
                    <w:t>东</w:t>
                  </w:r>
                  <w:r>
                    <w:rPr>
                      <w:rFonts w:hint="eastAsia"/>
                      <w:color w:val="000000"/>
                      <w:sz w:val="21"/>
                      <w:szCs w:val="21"/>
                    </w:rPr>
                    <w:t>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1212</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北招民庄村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西北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1170</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东马坊村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1334</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陈堡村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1568</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三十八中</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1883</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四季春养老院</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东南</w:t>
                  </w:r>
                </w:p>
              </w:tc>
              <w:tc>
                <w:tcPr>
                  <w:tcW w:w="729" w:type="pct"/>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1966</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新乡牧野健民医院</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东南</w:t>
                  </w:r>
                </w:p>
              </w:tc>
              <w:tc>
                <w:tcPr>
                  <w:tcW w:w="729" w:type="pct"/>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2109</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周村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东南</w:t>
                  </w:r>
                </w:p>
              </w:tc>
              <w:tc>
                <w:tcPr>
                  <w:tcW w:w="729" w:type="pct"/>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2118</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福康中心养老院</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东南</w:t>
                  </w:r>
                </w:p>
              </w:tc>
              <w:tc>
                <w:tcPr>
                  <w:tcW w:w="729" w:type="pct"/>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2161</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王小屯村</w:t>
                  </w:r>
                </w:p>
              </w:tc>
              <w:tc>
                <w:tcPr>
                  <w:tcW w:w="683" w:type="pct"/>
                  <w:tcBorders>
                    <w:top w:val="single" w:color="auto" w:sz="4" w:space="0"/>
                    <w:bottom w:val="single" w:color="auto" w:sz="4" w:space="0"/>
                  </w:tcBorders>
                  <w:noWrap w:val="0"/>
                  <w:vAlign w:val="center"/>
                </w:tcPr>
                <w:p>
                  <w:pPr>
                    <w:adjustRightInd w:val="0"/>
                    <w:snapToGrid w:val="0"/>
                    <w:jc w:val="center"/>
                    <w:rPr>
                      <w:rFonts w:hint="eastAsia"/>
                      <w:color w:val="000000"/>
                      <w:sz w:val="21"/>
                      <w:szCs w:val="21"/>
                      <w:lang w:eastAsia="zh-CN"/>
                    </w:rPr>
                  </w:pPr>
                  <w:r>
                    <w:rPr>
                      <w:rFonts w:hint="eastAsia"/>
                      <w:color w:val="000000"/>
                      <w:sz w:val="21"/>
                      <w:szCs w:val="21"/>
                      <w:lang w:eastAsia="zh-CN"/>
                    </w:rPr>
                    <w:t>西北</w:t>
                  </w:r>
                </w:p>
              </w:tc>
              <w:tc>
                <w:tcPr>
                  <w:tcW w:w="729" w:type="pct"/>
                  <w:noWrap w:val="0"/>
                  <w:vAlign w:val="center"/>
                </w:tcPr>
                <w:p>
                  <w:pPr>
                    <w:adjustRightInd w:val="0"/>
                    <w:snapToGrid w:val="0"/>
                    <w:jc w:val="center"/>
                    <w:rPr>
                      <w:rFonts w:hint="default"/>
                      <w:color w:val="000000"/>
                      <w:sz w:val="21"/>
                      <w:szCs w:val="21"/>
                      <w:lang w:val="en-US" w:eastAsia="zh-CN"/>
                    </w:rPr>
                  </w:pPr>
                  <w:r>
                    <w:rPr>
                      <w:rFonts w:hint="eastAsia"/>
                      <w:color w:val="000000"/>
                      <w:sz w:val="21"/>
                      <w:szCs w:val="21"/>
                      <w:lang w:val="en-US" w:eastAsia="zh-CN"/>
                    </w:rPr>
                    <w:t>2177</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陈堡小学</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2375</w:t>
                  </w:r>
                </w:p>
              </w:tc>
              <w:tc>
                <w:tcPr>
                  <w:tcW w:w="1754" w:type="pct"/>
                  <w:vMerge w:val="continue"/>
                  <w:noWrap w:val="0"/>
                  <w:vAlign w:val="center"/>
                </w:tcPr>
                <w:p>
                  <w:pPr>
                    <w:adjustRightInd w:val="0"/>
                    <w:snapToGrid w:val="0"/>
                    <w:jc w:val="center"/>
                    <w:rPr>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restart"/>
                  <w:noWrap w:val="0"/>
                  <w:vAlign w:val="center"/>
                </w:tcPr>
                <w:p>
                  <w:pPr>
                    <w:adjustRightInd w:val="0"/>
                    <w:snapToGrid w:val="0"/>
                    <w:jc w:val="center"/>
                    <w:rPr>
                      <w:color w:val="000000"/>
                      <w:sz w:val="21"/>
                      <w:szCs w:val="21"/>
                    </w:rPr>
                  </w:pPr>
                  <w:r>
                    <w:rPr>
                      <w:color w:val="000000"/>
                      <w:sz w:val="21"/>
                      <w:szCs w:val="21"/>
                    </w:rPr>
                    <w:t>饮用水源保护区</w:t>
                  </w:r>
                </w:p>
              </w:tc>
              <w:tc>
                <w:tcPr>
                  <w:tcW w:w="961" w:type="pct"/>
                  <w:tcBorders>
                    <w:top w:val="single" w:color="auto" w:sz="4" w:space="0"/>
                    <w:bottom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新乡市凤泉水厂地下水饮用水源保护区(共8眼井)</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8163</w:t>
                  </w:r>
                </w:p>
              </w:tc>
              <w:tc>
                <w:tcPr>
                  <w:tcW w:w="1754" w:type="pct"/>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地下水饮用水源保护区</w:t>
                  </w:r>
                  <w:r>
                    <w:rPr>
                      <w:rFonts w:hint="eastAsia" w:ascii="Times New Roman" w:hAnsi="Times New Roman" w:cs="Times New Roman"/>
                      <w:color w:val="auto"/>
                      <w:sz w:val="21"/>
                      <w:szCs w:val="21"/>
                    </w:rPr>
                    <w:t>二级保护区边界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南水北调中线工程（孟庄镇段）</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东北</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7748</w:t>
                  </w:r>
                </w:p>
              </w:tc>
              <w:tc>
                <w:tcPr>
                  <w:tcW w:w="1754" w:type="pct"/>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南水北调二级保护区边界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 w:val="21"/>
                      <w:szCs w:val="21"/>
                      <w:highlight w:val="none"/>
                    </w:rPr>
                    <w:t>孟庄地下水源保护区(共14眼井)</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北侧</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7200</w:t>
                  </w:r>
                </w:p>
              </w:tc>
              <w:tc>
                <w:tcPr>
                  <w:tcW w:w="1754" w:type="pct"/>
                  <w:noWrap w:val="0"/>
                  <w:vAlign w:val="center"/>
                </w:tcPr>
                <w:p>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rPr>
                    <w:t>孟庄镇孟庄村地下水井群一级保护区边界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restart"/>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地表水</w:t>
                  </w:r>
                </w:p>
                <w:p>
                  <w:pPr>
                    <w:adjustRightInd w:val="0"/>
                    <w:snapToGrid w:val="0"/>
                    <w:jc w:val="center"/>
                    <w:rPr>
                      <w:color w:val="000000"/>
                      <w:sz w:val="21"/>
                      <w:szCs w:val="21"/>
                    </w:rPr>
                  </w:pPr>
                </w:p>
              </w:tc>
              <w:tc>
                <w:tcPr>
                  <w:tcW w:w="961" w:type="pct"/>
                  <w:tcBorders>
                    <w:top w:val="single" w:color="auto" w:sz="4" w:space="0"/>
                    <w:bottom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北排水河</w:t>
                  </w:r>
                </w:p>
              </w:tc>
              <w:tc>
                <w:tcPr>
                  <w:tcW w:w="683" w:type="pct"/>
                  <w:tcBorders>
                    <w:top w:val="single" w:color="auto" w:sz="4" w:space="0"/>
                    <w:bottom w:val="single" w:color="auto" w:sz="4"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北侧</w:t>
                  </w:r>
                </w:p>
              </w:tc>
              <w:tc>
                <w:tcPr>
                  <w:tcW w:w="729" w:type="pct"/>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352</w:t>
                  </w:r>
                </w:p>
              </w:tc>
              <w:tc>
                <w:tcPr>
                  <w:tcW w:w="1754" w:type="pct"/>
                  <w:vMerge w:val="restart"/>
                  <w:noWrap w:val="0"/>
                  <w:vAlign w:val="center"/>
                </w:tcPr>
                <w:p>
                  <w:pPr>
                    <w:adjustRightInd w:val="0"/>
                    <w:snapToGrid w:val="0"/>
                    <w:jc w:val="center"/>
                    <w:rPr>
                      <w:color w:val="000000"/>
                      <w:sz w:val="21"/>
                      <w:szCs w:val="21"/>
                    </w:rPr>
                  </w:pPr>
                  <w:r>
                    <w:rPr>
                      <w:rFonts w:ascii="Times New Roman" w:hAnsi="Times New Roman" w:cs="Times New Roman"/>
                      <w:color w:val="auto"/>
                      <w:sz w:val="21"/>
                      <w:szCs w:val="21"/>
                    </w:rPr>
                    <w:t>《地表水环境质量标准》（GB3838-2002）V类标准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71" w:type="pct"/>
                  <w:vMerge w:val="continue"/>
                  <w:tcBorders>
                    <w:bottom w:val="single" w:color="auto" w:sz="8" w:space="0"/>
                  </w:tcBorders>
                  <w:noWrap w:val="0"/>
                  <w:vAlign w:val="center"/>
                </w:tcPr>
                <w:p>
                  <w:pPr>
                    <w:adjustRightInd w:val="0"/>
                    <w:snapToGrid w:val="0"/>
                    <w:jc w:val="center"/>
                    <w:rPr>
                      <w:color w:val="000000"/>
                      <w:sz w:val="21"/>
                      <w:szCs w:val="21"/>
                    </w:rPr>
                  </w:pPr>
                </w:p>
              </w:tc>
              <w:tc>
                <w:tcPr>
                  <w:tcW w:w="961" w:type="pct"/>
                  <w:tcBorders>
                    <w:top w:val="single" w:color="auto" w:sz="4" w:space="0"/>
                    <w:bottom w:val="single" w:color="auto" w:sz="8"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共产主义渠</w:t>
                  </w:r>
                </w:p>
              </w:tc>
              <w:tc>
                <w:tcPr>
                  <w:tcW w:w="683" w:type="pct"/>
                  <w:tcBorders>
                    <w:top w:val="single" w:color="auto" w:sz="4" w:space="0"/>
                    <w:bottom w:val="single" w:color="auto" w:sz="8" w:space="0"/>
                  </w:tcBorders>
                  <w:noWrap w:val="0"/>
                  <w:vAlign w:val="center"/>
                </w:tcPr>
                <w:p>
                  <w:pPr>
                    <w:adjustRightInd w:val="0"/>
                    <w:snapToGrid w:val="0"/>
                    <w:jc w:val="center"/>
                    <w:rPr>
                      <w:rFonts w:hint="eastAsia" w:eastAsia="宋体"/>
                      <w:color w:val="000000"/>
                      <w:sz w:val="21"/>
                      <w:szCs w:val="21"/>
                      <w:lang w:eastAsia="zh-CN"/>
                    </w:rPr>
                  </w:pPr>
                  <w:r>
                    <w:rPr>
                      <w:rFonts w:hint="eastAsia"/>
                      <w:color w:val="000000"/>
                      <w:sz w:val="21"/>
                      <w:szCs w:val="21"/>
                      <w:lang w:eastAsia="zh-CN"/>
                    </w:rPr>
                    <w:t>南侧</w:t>
                  </w:r>
                </w:p>
              </w:tc>
              <w:tc>
                <w:tcPr>
                  <w:tcW w:w="729" w:type="pct"/>
                  <w:tcBorders>
                    <w:bottom w:val="single" w:color="auto" w:sz="8" w:space="0"/>
                  </w:tcBorders>
                  <w:noWrap w:val="0"/>
                  <w:vAlign w:val="center"/>
                </w:tcPr>
                <w:p>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2500</w:t>
                  </w:r>
                </w:p>
              </w:tc>
              <w:tc>
                <w:tcPr>
                  <w:tcW w:w="1754" w:type="pct"/>
                  <w:vMerge w:val="continue"/>
                  <w:tcBorders>
                    <w:bottom w:val="single" w:color="auto" w:sz="8" w:space="0"/>
                  </w:tcBorders>
                  <w:noWrap w:val="0"/>
                  <w:vAlign w:val="center"/>
                </w:tcPr>
                <w:p>
                  <w:pPr>
                    <w:adjustRightInd w:val="0"/>
                    <w:snapToGrid w:val="0"/>
                    <w:jc w:val="center"/>
                    <w:rPr>
                      <w:color w:val="000000"/>
                      <w:sz w:val="21"/>
                      <w:szCs w:val="21"/>
                    </w:rPr>
                  </w:pPr>
                </w:p>
              </w:tc>
            </w:tr>
          </w:tbl>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color w:val="auto"/>
                <w:sz w:val="24"/>
              </w:rPr>
            </w:pPr>
          </w:p>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default" w:eastAsia="宋体"/>
                <w:color w:val="auto"/>
                <w:sz w:val="24"/>
                <w:lang w:val="en-US" w:eastAsia="zh-CN"/>
              </w:rPr>
            </w:pPr>
          </w:p>
        </w:tc>
      </w:tr>
    </w:tbl>
    <w:p>
      <w:pPr>
        <w:adjustRightInd w:val="0"/>
        <w:snapToGrid w:val="0"/>
        <w:rPr>
          <w:rFonts w:eastAsia="黑体"/>
          <w:b/>
          <w:color w:val="auto"/>
          <w:sz w:val="30"/>
        </w:rPr>
        <w:sectPr>
          <w:pgSz w:w="11906" w:h="16838"/>
          <w:pgMar w:top="1701" w:right="1588" w:bottom="1985" w:left="1588"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rPr>
          <w:rFonts w:eastAsia="黑体"/>
          <w:b/>
          <w:color w:val="auto"/>
          <w:sz w:val="30"/>
        </w:rPr>
      </w:pPr>
      <w:r>
        <w:rPr>
          <w:rFonts w:eastAsia="黑体"/>
          <w:b/>
          <w:color w:val="auto"/>
          <w:sz w:val="30"/>
        </w:rPr>
        <w:t>评价适用标准</w:t>
      </w:r>
    </w:p>
    <w:tbl>
      <w:tblPr>
        <w:tblStyle w:val="21"/>
        <w:tblpPr w:leftFromText="180" w:rightFromText="180" w:vertAnchor="text" w:tblpXSpec="center" w:tblpY="1"/>
        <w:tblOverlap w:val="never"/>
        <w:tblW w:w="894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506"/>
        <w:gridCol w:w="844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506"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b/>
                <w:color w:val="auto"/>
                <w:sz w:val="24"/>
                <w:szCs w:val="24"/>
              </w:rPr>
            </w:pPr>
            <w:r>
              <w:rPr>
                <w:b/>
                <w:color w:val="auto"/>
                <w:sz w:val="24"/>
                <w:szCs w:val="24"/>
              </w:rPr>
              <w:t>环</w:t>
            </w:r>
          </w:p>
          <w:p>
            <w:pPr>
              <w:spacing w:line="360" w:lineRule="auto"/>
              <w:jc w:val="center"/>
              <w:rPr>
                <w:b/>
                <w:color w:val="auto"/>
                <w:sz w:val="24"/>
                <w:szCs w:val="24"/>
              </w:rPr>
            </w:pPr>
            <w:r>
              <w:rPr>
                <w:b/>
                <w:color w:val="auto"/>
                <w:sz w:val="24"/>
                <w:szCs w:val="24"/>
              </w:rPr>
              <w:t>境</w:t>
            </w:r>
          </w:p>
          <w:p>
            <w:pPr>
              <w:spacing w:line="360" w:lineRule="auto"/>
              <w:jc w:val="center"/>
              <w:rPr>
                <w:b/>
                <w:color w:val="auto"/>
                <w:sz w:val="24"/>
                <w:szCs w:val="24"/>
              </w:rPr>
            </w:pPr>
            <w:r>
              <w:rPr>
                <w:b/>
                <w:color w:val="auto"/>
                <w:sz w:val="24"/>
                <w:szCs w:val="24"/>
              </w:rPr>
              <w:t>质</w:t>
            </w:r>
          </w:p>
          <w:p>
            <w:pPr>
              <w:spacing w:line="360" w:lineRule="auto"/>
              <w:jc w:val="center"/>
              <w:rPr>
                <w:b/>
                <w:color w:val="auto"/>
                <w:sz w:val="24"/>
                <w:szCs w:val="24"/>
              </w:rPr>
            </w:pPr>
            <w:r>
              <w:rPr>
                <w:b/>
                <w:color w:val="auto"/>
                <w:sz w:val="24"/>
                <w:szCs w:val="24"/>
              </w:rPr>
              <w:t>量</w:t>
            </w:r>
          </w:p>
          <w:p>
            <w:pPr>
              <w:spacing w:line="360" w:lineRule="auto"/>
              <w:jc w:val="center"/>
              <w:rPr>
                <w:b/>
                <w:color w:val="auto"/>
                <w:sz w:val="24"/>
                <w:szCs w:val="24"/>
              </w:rPr>
            </w:pPr>
            <w:r>
              <w:rPr>
                <w:b/>
                <w:color w:val="auto"/>
                <w:sz w:val="24"/>
                <w:szCs w:val="24"/>
              </w:rPr>
              <w:t>标</w:t>
            </w:r>
          </w:p>
          <w:p>
            <w:pPr>
              <w:spacing w:line="360" w:lineRule="auto"/>
              <w:jc w:val="center"/>
              <w:rPr>
                <w:b/>
                <w:color w:val="auto"/>
                <w:sz w:val="22"/>
                <w:szCs w:val="21"/>
              </w:rPr>
            </w:pPr>
            <w:r>
              <w:rPr>
                <w:b/>
                <w:color w:val="auto"/>
                <w:sz w:val="24"/>
                <w:szCs w:val="24"/>
              </w:rPr>
              <w:t>准</w:t>
            </w:r>
          </w:p>
        </w:tc>
        <w:tc>
          <w:tcPr>
            <w:tcW w:w="8440" w:type="dxa"/>
            <w:tcBorders>
              <w:top w:val="single" w:color="auto" w:sz="12"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bCs/>
                <w:sz w:val="24"/>
                <w:szCs w:val="24"/>
              </w:rPr>
            </w:pPr>
            <w:r>
              <w:rPr>
                <w:b/>
                <w:bCs/>
                <w:sz w:val="24"/>
                <w:szCs w:val="24"/>
              </w:rPr>
              <w:t>1、环境空气</w:t>
            </w:r>
          </w:p>
          <w:p>
            <w:pPr>
              <w:keepNext w:val="0"/>
              <w:keepLines w:val="0"/>
              <w:pageBreakBefore w:val="0"/>
              <w:widowControl w:val="0"/>
              <w:kinsoku/>
              <w:wordWrap/>
              <w:overflowPunct/>
              <w:topLinePunct w:val="0"/>
              <w:autoSpaceDE/>
              <w:autoSpaceDN/>
              <w:bidi w:val="0"/>
              <w:spacing w:line="520" w:lineRule="exact"/>
              <w:ind w:firstLine="470" w:firstLineChars="196"/>
              <w:textAlignment w:val="auto"/>
              <w:rPr>
                <w:rFonts w:hint="eastAsia" w:eastAsia="宋体"/>
                <w:sz w:val="24"/>
                <w:szCs w:val="24"/>
                <w:lang w:eastAsia="zh-CN"/>
              </w:rPr>
            </w:pPr>
            <w:r>
              <w:rPr>
                <w:sz w:val="24"/>
                <w:szCs w:val="24"/>
              </w:rPr>
              <w:t>大气质量执行《环境空气质量标准》（GB3095-2012）二级标准</w:t>
            </w:r>
            <w:r>
              <w:rPr>
                <w:rFonts w:hint="eastAsia"/>
                <w:sz w:val="24"/>
                <w:szCs w:val="24"/>
              </w:rPr>
              <w:t>，具体</w:t>
            </w:r>
            <w:r>
              <w:rPr>
                <w:sz w:val="24"/>
                <w:szCs w:val="24"/>
              </w:rPr>
              <w:t>标准值见</w:t>
            </w:r>
            <w:r>
              <w:rPr>
                <w:rFonts w:hint="eastAsia"/>
                <w:sz w:val="24"/>
                <w:szCs w:val="24"/>
              </w:rPr>
              <w:t>下表</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cs="Times New Roman"/>
                <w:b/>
                <w:bCs/>
                <w:sz w:val="24"/>
                <w:szCs w:val="24"/>
                <w:highlight w:val="none"/>
              </w:rPr>
            </w:pPr>
            <w:r>
              <w:rPr>
                <w:rFonts w:hint="eastAsia" w:ascii="Times New Roman" w:hAnsi="Times New Roman" w:cs="Times New Roman"/>
                <w:b/>
                <w:bCs/>
                <w:sz w:val="24"/>
                <w:szCs w:val="24"/>
                <w:highlight w:val="none"/>
              </w:rPr>
              <w:t>表</w:t>
            </w:r>
            <w:r>
              <w:rPr>
                <w:rFonts w:hint="eastAsia" w:ascii="Times New Roman" w:hAnsi="Times New Roman" w:cs="Times New Roman"/>
                <w:b/>
                <w:bCs/>
                <w:sz w:val="24"/>
                <w:szCs w:val="24"/>
                <w:highlight w:val="none"/>
                <w:lang w:val="en-US" w:eastAsia="zh-CN"/>
              </w:rPr>
              <w:t xml:space="preserve">21  </w:t>
            </w:r>
            <w:r>
              <w:rPr>
                <w:rFonts w:hint="eastAsia" w:ascii="Times New Roman" w:hAnsi="Times New Roman" w:cs="Times New Roman"/>
                <w:b/>
                <w:bCs/>
                <w:sz w:val="24"/>
                <w:szCs w:val="24"/>
                <w:highlight w:val="none"/>
              </w:rPr>
              <w:t>环境空气质量标准</w:t>
            </w:r>
          </w:p>
          <w:tbl>
            <w:tblPr>
              <w:tblStyle w:val="21"/>
              <w:tblW w:w="822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46"/>
              <w:gridCol w:w="2092"/>
              <w:gridCol w:w="1118"/>
              <w:gridCol w:w="28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16" w:type="dxa"/>
                  <w:vAlign w:val="center"/>
                </w:tcPr>
                <w:p>
                  <w:pPr>
                    <w:pStyle w:val="94"/>
                  </w:pPr>
                  <w:r>
                    <w:t>序号</w:t>
                  </w:r>
                </w:p>
              </w:tc>
              <w:tc>
                <w:tcPr>
                  <w:tcW w:w="1446" w:type="dxa"/>
                  <w:vAlign w:val="center"/>
                </w:tcPr>
                <w:p>
                  <w:pPr>
                    <w:pStyle w:val="94"/>
                  </w:pPr>
                  <w:r>
                    <w:t>因子</w:t>
                  </w:r>
                </w:p>
              </w:tc>
              <w:tc>
                <w:tcPr>
                  <w:tcW w:w="2092" w:type="dxa"/>
                  <w:vAlign w:val="center"/>
                </w:tcPr>
                <w:p>
                  <w:pPr>
                    <w:pStyle w:val="94"/>
                  </w:pPr>
                  <w:r>
                    <w:t>取值时间</w:t>
                  </w:r>
                </w:p>
              </w:tc>
              <w:tc>
                <w:tcPr>
                  <w:tcW w:w="1118" w:type="dxa"/>
                  <w:vAlign w:val="center"/>
                </w:tcPr>
                <w:p>
                  <w:pPr>
                    <w:pStyle w:val="94"/>
                  </w:pPr>
                  <w:r>
                    <w:t>浓度限值</w:t>
                  </w:r>
                </w:p>
              </w:tc>
              <w:tc>
                <w:tcPr>
                  <w:tcW w:w="2852" w:type="dxa"/>
                  <w:vAlign w:val="center"/>
                </w:tcPr>
                <w:p>
                  <w:pPr>
                    <w:pStyle w:val="94"/>
                  </w:pPr>
                  <w: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6" w:type="dxa"/>
                  <w:vMerge w:val="restart"/>
                  <w:vAlign w:val="center"/>
                </w:tcPr>
                <w:p>
                  <w:pPr>
                    <w:pStyle w:val="94"/>
                  </w:pPr>
                  <w:r>
                    <w:t>1</w:t>
                  </w:r>
                </w:p>
              </w:tc>
              <w:tc>
                <w:tcPr>
                  <w:tcW w:w="1446" w:type="dxa"/>
                  <w:vMerge w:val="restart"/>
                  <w:vAlign w:val="center"/>
                </w:tcPr>
                <w:p>
                  <w:pPr>
                    <w:pStyle w:val="94"/>
                  </w:pPr>
                  <w:r>
                    <w:t>PM10</w:t>
                  </w:r>
                </w:p>
              </w:tc>
              <w:tc>
                <w:tcPr>
                  <w:tcW w:w="2092" w:type="dxa"/>
                  <w:vAlign w:val="center"/>
                </w:tcPr>
                <w:p>
                  <w:pPr>
                    <w:pStyle w:val="94"/>
                  </w:pPr>
                  <w:r>
                    <w:rPr>
                      <w:rFonts w:hint="eastAsia"/>
                    </w:rPr>
                    <w:t>24小时</w:t>
                  </w:r>
                  <w:r>
                    <w:t>平均</w:t>
                  </w:r>
                </w:p>
              </w:tc>
              <w:tc>
                <w:tcPr>
                  <w:tcW w:w="1118" w:type="dxa"/>
                  <w:vAlign w:val="center"/>
                </w:tcPr>
                <w:p>
                  <w:pPr>
                    <w:pStyle w:val="94"/>
                  </w:pPr>
                  <w:r>
                    <w:rPr>
                      <w:rFonts w:hint="eastAsia"/>
                    </w:rPr>
                    <w:t>150</w:t>
                  </w:r>
                  <w:r>
                    <w:t>μg/m3</w:t>
                  </w:r>
                </w:p>
              </w:tc>
              <w:tc>
                <w:tcPr>
                  <w:tcW w:w="2852" w:type="dxa"/>
                  <w:vMerge w:val="restart"/>
                  <w:vAlign w:val="center"/>
                </w:tcPr>
                <w:p>
                  <w:pPr>
                    <w:pStyle w:val="94"/>
                  </w:pPr>
                  <w:r>
                    <w:t>《环境空气质量标准》（GB3095-2012）二级标准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rPr>
                      <w:rFonts w:hint="eastAsia"/>
                    </w:rPr>
                    <w:t>年</w:t>
                  </w:r>
                  <w:r>
                    <w:t>平均</w:t>
                  </w:r>
                </w:p>
              </w:tc>
              <w:tc>
                <w:tcPr>
                  <w:tcW w:w="1118" w:type="dxa"/>
                  <w:vAlign w:val="center"/>
                </w:tcPr>
                <w:p>
                  <w:pPr>
                    <w:pStyle w:val="94"/>
                  </w:pPr>
                  <w:r>
                    <w:rPr>
                      <w:rFonts w:hint="eastAsia"/>
                    </w:rPr>
                    <w:t>70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16" w:type="dxa"/>
                  <w:vMerge w:val="restart"/>
                  <w:vAlign w:val="center"/>
                </w:tcPr>
                <w:p>
                  <w:pPr>
                    <w:pStyle w:val="94"/>
                  </w:pPr>
                  <w:r>
                    <w:rPr>
                      <w:rFonts w:hint="eastAsia"/>
                    </w:rPr>
                    <w:t>2</w:t>
                  </w:r>
                </w:p>
              </w:tc>
              <w:tc>
                <w:tcPr>
                  <w:tcW w:w="1446" w:type="dxa"/>
                  <w:vMerge w:val="restart"/>
                  <w:vAlign w:val="center"/>
                </w:tcPr>
                <w:p>
                  <w:pPr>
                    <w:pStyle w:val="94"/>
                  </w:pPr>
                  <w:r>
                    <w:t>PM</w:t>
                  </w:r>
                  <w:r>
                    <w:rPr>
                      <w:rFonts w:hint="eastAsia"/>
                    </w:rPr>
                    <w:t>2.5</w:t>
                  </w:r>
                </w:p>
              </w:tc>
              <w:tc>
                <w:tcPr>
                  <w:tcW w:w="2092" w:type="dxa"/>
                  <w:vAlign w:val="center"/>
                </w:tcPr>
                <w:p>
                  <w:pPr>
                    <w:pStyle w:val="94"/>
                  </w:pPr>
                  <w:r>
                    <w:rPr>
                      <w:rFonts w:hint="eastAsia"/>
                    </w:rPr>
                    <w:t>24小时</w:t>
                  </w:r>
                  <w:r>
                    <w:t>平均</w:t>
                  </w:r>
                </w:p>
              </w:tc>
              <w:tc>
                <w:tcPr>
                  <w:tcW w:w="1118" w:type="dxa"/>
                  <w:vAlign w:val="center"/>
                </w:tcPr>
                <w:p>
                  <w:pPr>
                    <w:pStyle w:val="94"/>
                  </w:pPr>
                  <w:r>
                    <w:rPr>
                      <w:rFonts w:hint="eastAsia"/>
                    </w:rPr>
                    <w:t>75</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rPr>
                      <w:rFonts w:hint="eastAsia"/>
                    </w:rPr>
                    <w:t>年</w:t>
                  </w:r>
                  <w:r>
                    <w:t>平均</w:t>
                  </w:r>
                </w:p>
              </w:tc>
              <w:tc>
                <w:tcPr>
                  <w:tcW w:w="1118" w:type="dxa"/>
                  <w:vAlign w:val="center"/>
                </w:tcPr>
                <w:p>
                  <w:pPr>
                    <w:pStyle w:val="94"/>
                  </w:pPr>
                  <w:r>
                    <w:rPr>
                      <w:rFonts w:hint="eastAsia"/>
                    </w:rPr>
                    <w:t>35</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16" w:type="dxa"/>
                  <w:vMerge w:val="restart"/>
                  <w:vAlign w:val="center"/>
                </w:tcPr>
                <w:p>
                  <w:pPr>
                    <w:pStyle w:val="94"/>
                  </w:pPr>
                  <w:r>
                    <w:rPr>
                      <w:rFonts w:hint="eastAsia"/>
                    </w:rPr>
                    <w:t>3</w:t>
                  </w:r>
                </w:p>
              </w:tc>
              <w:tc>
                <w:tcPr>
                  <w:tcW w:w="1446" w:type="dxa"/>
                  <w:vMerge w:val="restart"/>
                  <w:vAlign w:val="center"/>
                </w:tcPr>
                <w:p>
                  <w:pPr>
                    <w:pStyle w:val="94"/>
                  </w:pPr>
                  <w:r>
                    <w:t>SO2</w:t>
                  </w:r>
                </w:p>
              </w:tc>
              <w:tc>
                <w:tcPr>
                  <w:tcW w:w="2092" w:type="dxa"/>
                  <w:vAlign w:val="center"/>
                </w:tcPr>
                <w:p>
                  <w:pPr>
                    <w:pStyle w:val="94"/>
                  </w:pPr>
                  <w:r>
                    <w:rPr>
                      <w:rFonts w:hint="eastAsia"/>
                    </w:rPr>
                    <w:t>年</w:t>
                  </w:r>
                  <w:r>
                    <w:t>平均</w:t>
                  </w:r>
                </w:p>
              </w:tc>
              <w:tc>
                <w:tcPr>
                  <w:tcW w:w="1118" w:type="dxa"/>
                  <w:vAlign w:val="center"/>
                </w:tcPr>
                <w:p>
                  <w:pPr>
                    <w:pStyle w:val="94"/>
                  </w:pPr>
                  <w:r>
                    <w:rPr>
                      <w:rFonts w:hint="eastAsia"/>
                    </w:rPr>
                    <w:t>60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rPr>
                      <w:rFonts w:hint="eastAsia"/>
                    </w:rPr>
                    <w:t>24小时</w:t>
                  </w:r>
                  <w:r>
                    <w:t>平均</w:t>
                  </w:r>
                </w:p>
              </w:tc>
              <w:tc>
                <w:tcPr>
                  <w:tcW w:w="1118" w:type="dxa"/>
                  <w:vAlign w:val="center"/>
                </w:tcPr>
                <w:p>
                  <w:pPr>
                    <w:pStyle w:val="94"/>
                  </w:pPr>
                  <w:r>
                    <w:t>15</w:t>
                  </w:r>
                  <w:r>
                    <w:rPr>
                      <w:rFonts w:hint="eastAsia"/>
                    </w:rPr>
                    <w:t>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t>1小时平均</w:t>
                  </w:r>
                </w:p>
              </w:tc>
              <w:tc>
                <w:tcPr>
                  <w:tcW w:w="1118" w:type="dxa"/>
                  <w:vAlign w:val="center"/>
                </w:tcPr>
                <w:p>
                  <w:pPr>
                    <w:pStyle w:val="94"/>
                  </w:pPr>
                  <w:r>
                    <w:t>50</w:t>
                  </w:r>
                  <w:r>
                    <w:rPr>
                      <w:rFonts w:hint="eastAsia"/>
                    </w:rPr>
                    <w:t>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pStyle w:val="94"/>
                  </w:pPr>
                  <w:r>
                    <w:rPr>
                      <w:rFonts w:hint="eastAsia"/>
                    </w:rPr>
                    <w:t>4</w:t>
                  </w:r>
                </w:p>
              </w:tc>
              <w:tc>
                <w:tcPr>
                  <w:tcW w:w="1446" w:type="dxa"/>
                  <w:vMerge w:val="restart"/>
                  <w:vAlign w:val="center"/>
                </w:tcPr>
                <w:p>
                  <w:pPr>
                    <w:pStyle w:val="94"/>
                  </w:pPr>
                  <w:r>
                    <w:t>NO2</w:t>
                  </w:r>
                </w:p>
              </w:tc>
              <w:tc>
                <w:tcPr>
                  <w:tcW w:w="2092" w:type="dxa"/>
                  <w:vAlign w:val="center"/>
                </w:tcPr>
                <w:p>
                  <w:pPr>
                    <w:pStyle w:val="94"/>
                  </w:pPr>
                  <w:r>
                    <w:rPr>
                      <w:rFonts w:hint="eastAsia"/>
                    </w:rPr>
                    <w:t>年</w:t>
                  </w:r>
                  <w:r>
                    <w:t>平均</w:t>
                  </w:r>
                </w:p>
              </w:tc>
              <w:tc>
                <w:tcPr>
                  <w:tcW w:w="1118" w:type="dxa"/>
                  <w:vAlign w:val="center"/>
                </w:tcPr>
                <w:p>
                  <w:pPr>
                    <w:pStyle w:val="94"/>
                  </w:pPr>
                  <w:r>
                    <w:rPr>
                      <w:rFonts w:hint="eastAsia"/>
                    </w:rPr>
                    <w:t>40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rPr>
                      <w:rFonts w:hint="eastAsia"/>
                    </w:rPr>
                    <w:t>24小时</w:t>
                  </w:r>
                  <w:r>
                    <w:t>平均</w:t>
                  </w:r>
                </w:p>
              </w:tc>
              <w:tc>
                <w:tcPr>
                  <w:tcW w:w="1118" w:type="dxa"/>
                  <w:vAlign w:val="center"/>
                </w:tcPr>
                <w:p>
                  <w:pPr>
                    <w:pStyle w:val="94"/>
                  </w:pPr>
                  <w:r>
                    <w:rPr>
                      <w:rFonts w:hint="eastAsia"/>
                    </w:rPr>
                    <w:t>80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t>1小时平均</w:t>
                  </w:r>
                </w:p>
              </w:tc>
              <w:tc>
                <w:tcPr>
                  <w:tcW w:w="1118" w:type="dxa"/>
                  <w:vAlign w:val="center"/>
                </w:tcPr>
                <w:p>
                  <w:pPr>
                    <w:pStyle w:val="94"/>
                  </w:pPr>
                  <w:r>
                    <w:rPr>
                      <w:rFonts w:hint="eastAsia"/>
                    </w:rPr>
                    <w:t>200</w:t>
                  </w:r>
                  <w:r>
                    <w:t>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pStyle w:val="94"/>
                  </w:pPr>
                  <w:r>
                    <w:rPr>
                      <w:rFonts w:hint="eastAsia"/>
                    </w:rPr>
                    <w:t>5</w:t>
                  </w:r>
                </w:p>
              </w:tc>
              <w:tc>
                <w:tcPr>
                  <w:tcW w:w="1446" w:type="dxa"/>
                  <w:vMerge w:val="restart"/>
                  <w:vAlign w:val="center"/>
                </w:tcPr>
                <w:p>
                  <w:pPr>
                    <w:pStyle w:val="94"/>
                  </w:pPr>
                  <w:r>
                    <w:t>CO</w:t>
                  </w:r>
                </w:p>
              </w:tc>
              <w:tc>
                <w:tcPr>
                  <w:tcW w:w="2092" w:type="dxa"/>
                  <w:vAlign w:val="center"/>
                </w:tcPr>
                <w:p>
                  <w:pPr>
                    <w:pStyle w:val="94"/>
                  </w:pPr>
                  <w:r>
                    <w:rPr>
                      <w:rFonts w:hint="eastAsia"/>
                    </w:rPr>
                    <w:t>24小时</w:t>
                  </w:r>
                  <w:r>
                    <w:t>平均</w:t>
                  </w:r>
                </w:p>
              </w:tc>
              <w:tc>
                <w:tcPr>
                  <w:tcW w:w="1118" w:type="dxa"/>
                  <w:vAlign w:val="center"/>
                </w:tcPr>
                <w:p>
                  <w:pPr>
                    <w:pStyle w:val="94"/>
                  </w:pPr>
                  <w:r>
                    <w:rPr>
                      <w:rFonts w:hint="eastAsia"/>
                    </w:rPr>
                    <w:t>4mg</w:t>
                  </w:r>
                  <w:r>
                    <w:t>/</w:t>
                  </w:r>
                  <w:r>
                    <w:rPr>
                      <w:rFonts w:hint="eastAsia"/>
                    </w:rPr>
                    <w:t>m³</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t>1小时平均</w:t>
                  </w:r>
                </w:p>
              </w:tc>
              <w:tc>
                <w:tcPr>
                  <w:tcW w:w="1118" w:type="dxa"/>
                  <w:vAlign w:val="center"/>
                </w:tcPr>
                <w:p>
                  <w:pPr>
                    <w:pStyle w:val="94"/>
                  </w:pPr>
                  <w:r>
                    <w:rPr>
                      <w:rFonts w:hint="eastAsia"/>
                    </w:rPr>
                    <w:t>1</w:t>
                  </w:r>
                  <w:r>
                    <w:t>0mg/m³</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vAlign w:val="center"/>
                </w:tcPr>
                <w:p>
                  <w:pPr>
                    <w:pStyle w:val="94"/>
                  </w:pPr>
                  <w:r>
                    <w:rPr>
                      <w:rFonts w:hint="eastAsia"/>
                    </w:rPr>
                    <w:t>6</w:t>
                  </w:r>
                </w:p>
              </w:tc>
              <w:tc>
                <w:tcPr>
                  <w:tcW w:w="1446" w:type="dxa"/>
                  <w:vMerge w:val="restart"/>
                  <w:vAlign w:val="center"/>
                </w:tcPr>
                <w:p>
                  <w:pPr>
                    <w:pStyle w:val="94"/>
                  </w:pPr>
                  <w:r>
                    <w:t>O3</w:t>
                  </w:r>
                </w:p>
              </w:tc>
              <w:tc>
                <w:tcPr>
                  <w:tcW w:w="2092" w:type="dxa"/>
                  <w:vAlign w:val="center"/>
                </w:tcPr>
                <w:p>
                  <w:pPr>
                    <w:pStyle w:val="94"/>
                  </w:pPr>
                  <w:r>
                    <w:rPr>
                      <w:rFonts w:hint="eastAsia"/>
                    </w:rPr>
                    <w:t>日最大</w:t>
                  </w:r>
                  <w:r>
                    <w:t>8</w:t>
                  </w:r>
                  <w:r>
                    <w:rPr>
                      <w:rFonts w:hint="eastAsia"/>
                    </w:rPr>
                    <w:t>小时平均</w:t>
                  </w:r>
                </w:p>
              </w:tc>
              <w:tc>
                <w:tcPr>
                  <w:tcW w:w="1118" w:type="dxa"/>
                  <w:vAlign w:val="center"/>
                </w:tcPr>
                <w:p>
                  <w:pPr>
                    <w:pStyle w:val="94"/>
                  </w:pPr>
                  <w:r>
                    <w:t>160μg/m3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vAlign w:val="center"/>
                </w:tcPr>
                <w:p>
                  <w:pPr>
                    <w:pStyle w:val="94"/>
                  </w:pPr>
                </w:p>
              </w:tc>
              <w:tc>
                <w:tcPr>
                  <w:tcW w:w="1446" w:type="dxa"/>
                  <w:vMerge w:val="continue"/>
                  <w:vAlign w:val="center"/>
                </w:tcPr>
                <w:p>
                  <w:pPr>
                    <w:pStyle w:val="94"/>
                  </w:pPr>
                </w:p>
              </w:tc>
              <w:tc>
                <w:tcPr>
                  <w:tcW w:w="2092" w:type="dxa"/>
                  <w:vAlign w:val="center"/>
                </w:tcPr>
                <w:p>
                  <w:pPr>
                    <w:pStyle w:val="94"/>
                  </w:pPr>
                  <w:r>
                    <w:rPr>
                      <w:rFonts w:hint="eastAsia"/>
                    </w:rPr>
                    <w:t>1小时平均</w:t>
                  </w:r>
                </w:p>
              </w:tc>
              <w:tc>
                <w:tcPr>
                  <w:tcW w:w="1118" w:type="dxa"/>
                  <w:vAlign w:val="center"/>
                </w:tcPr>
                <w:p>
                  <w:pPr>
                    <w:pStyle w:val="94"/>
                  </w:pPr>
                  <w:r>
                    <w:t>200μg/m3</w:t>
                  </w:r>
                </w:p>
              </w:tc>
              <w:tc>
                <w:tcPr>
                  <w:tcW w:w="2852" w:type="dxa"/>
                  <w:vMerge w:val="continue"/>
                  <w:vAlign w:val="center"/>
                </w:tcPr>
                <w:p>
                  <w:pPr>
                    <w:pStyle w:val="94"/>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pStyle w:val="94"/>
                    <w:rPr>
                      <w:rFonts w:hint="eastAsia"/>
                      <w:lang w:val="en-US" w:eastAsia="zh-CN"/>
                    </w:rPr>
                  </w:pPr>
                  <w:r>
                    <w:rPr>
                      <w:rFonts w:hint="eastAsia"/>
                      <w:lang w:val="en-US" w:eastAsia="zh-CN"/>
                    </w:rPr>
                    <w:t>7</w:t>
                  </w:r>
                </w:p>
              </w:tc>
              <w:tc>
                <w:tcPr>
                  <w:tcW w:w="1446" w:type="dxa"/>
                  <w:vAlign w:val="center"/>
                </w:tcPr>
                <w:p>
                  <w:pPr>
                    <w:pStyle w:val="94"/>
                    <w:rPr>
                      <w:rFonts w:hint="eastAsia"/>
                      <w:lang w:eastAsia="zh-CN"/>
                    </w:rPr>
                  </w:pPr>
                  <w:r>
                    <w:rPr>
                      <w:rFonts w:hint="eastAsia"/>
                      <w:lang w:eastAsia="zh-CN"/>
                    </w:rPr>
                    <w:t>非甲烷总烃</w:t>
                  </w:r>
                </w:p>
              </w:tc>
              <w:tc>
                <w:tcPr>
                  <w:tcW w:w="2092" w:type="dxa"/>
                  <w:vAlign w:val="center"/>
                </w:tcPr>
                <w:p>
                  <w:pPr>
                    <w:pStyle w:val="94"/>
                    <w:rPr>
                      <w:rFonts w:hint="default"/>
                      <w:lang w:val="en-US" w:eastAsia="zh-CN"/>
                    </w:rPr>
                  </w:pPr>
                  <w:r>
                    <w:rPr>
                      <w:rFonts w:hint="eastAsia"/>
                      <w:lang w:val="en-US" w:eastAsia="zh-CN"/>
                    </w:rPr>
                    <w:t>2.0</w:t>
                  </w:r>
                </w:p>
              </w:tc>
              <w:tc>
                <w:tcPr>
                  <w:tcW w:w="1118" w:type="dxa"/>
                  <w:vAlign w:val="center"/>
                </w:tcPr>
                <w:p>
                  <w:pPr>
                    <w:pStyle w:val="94"/>
                    <w:rPr>
                      <w:rFonts w:hint="default"/>
                      <w:lang w:val="en-US" w:eastAsia="zh-CN"/>
                    </w:rPr>
                  </w:pPr>
                  <w:r>
                    <w:rPr>
                      <w:rFonts w:hint="eastAsia"/>
                      <w:lang w:val="en-US" w:eastAsia="zh-CN"/>
                    </w:rPr>
                    <w:t>mg/m3</w:t>
                  </w:r>
                </w:p>
              </w:tc>
              <w:tc>
                <w:tcPr>
                  <w:tcW w:w="2852" w:type="dxa"/>
                  <w:vAlign w:val="center"/>
                </w:tcPr>
                <w:p>
                  <w:pPr>
                    <w:pStyle w:val="94"/>
                  </w:pPr>
                  <w:r>
                    <w:t>《大气综合污染物排放标准详解》第四章标准值说明-三十一、非甲烷总烃</w:t>
                  </w:r>
                </w:p>
              </w:tc>
            </w:tr>
          </w:tbl>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bCs/>
                <w:color w:val="auto"/>
                <w:sz w:val="24"/>
              </w:rPr>
            </w:pPr>
            <w:r>
              <w:rPr>
                <w:rFonts w:hint="eastAsia"/>
                <w:b/>
                <w:bCs/>
                <w:color w:val="auto"/>
                <w:sz w:val="24"/>
                <w:lang w:val="en-US" w:eastAsia="zh-CN"/>
              </w:rPr>
              <w:t>2</w:t>
            </w:r>
            <w:r>
              <w:rPr>
                <w:b/>
                <w:bCs/>
                <w:color w:val="auto"/>
                <w:sz w:val="24"/>
              </w:rPr>
              <w:t>、地表水环境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cs="Times New Roman"/>
                <w:color w:val="auto"/>
                <w:spacing w:val="-4"/>
                <w:sz w:val="24"/>
                <w:szCs w:val="24"/>
              </w:rPr>
            </w:pPr>
            <w:r>
              <w:rPr>
                <w:rFonts w:hint="default" w:ascii="Times New Roman" w:hAnsi="Times New Roman" w:cs="Times New Roman"/>
                <w:color w:val="auto"/>
                <w:sz w:val="24"/>
                <w:szCs w:val="24"/>
              </w:rPr>
              <w:t>项目区域内的纳污河流为</w:t>
            </w:r>
            <w:r>
              <w:rPr>
                <w:rFonts w:hint="eastAsia" w:ascii="Times New Roman" w:hAnsi="Times New Roman" w:cs="Times New Roman"/>
                <w:color w:val="auto"/>
                <w:sz w:val="24"/>
                <w:szCs w:val="24"/>
                <w:lang w:eastAsia="zh-CN"/>
              </w:rPr>
              <w:t>共产主义渠</w:t>
            </w:r>
            <w:r>
              <w:rPr>
                <w:rFonts w:hint="default" w:ascii="Times New Roman" w:hAnsi="Times New Roman" w:cs="Times New Roman"/>
                <w:color w:val="auto"/>
                <w:sz w:val="24"/>
                <w:szCs w:val="24"/>
              </w:rPr>
              <w:t>，</w:t>
            </w:r>
            <w:r>
              <w:rPr>
                <w:rFonts w:hint="default" w:ascii="Times New Roman" w:hAnsi="Times New Roman" w:cs="Times New Roman"/>
                <w:color w:val="auto"/>
                <w:spacing w:val="-4"/>
                <w:sz w:val="24"/>
                <w:szCs w:val="24"/>
              </w:rPr>
              <w:t>地表水执行《地表水环境质量标准》（GB3838-2002）</w:t>
            </w:r>
            <w:r>
              <w:rPr>
                <w:rFonts w:hint="default" w:ascii="Times New Roman" w:hAnsi="Times New Roman" w:cs="Times New Roman"/>
                <w:color w:val="auto"/>
                <w:sz w:val="24"/>
                <w:szCs w:val="24"/>
              </w:rPr>
              <w:t>Ⅴ</w:t>
            </w:r>
            <w:r>
              <w:rPr>
                <w:rFonts w:hint="default" w:ascii="Times New Roman" w:hAnsi="Times New Roman" w:cs="Times New Roman"/>
                <w:color w:val="auto"/>
                <w:spacing w:val="-4"/>
                <w:sz w:val="24"/>
                <w:szCs w:val="24"/>
              </w:rPr>
              <w:t>类标准以及新乡市地表水水质目标清单中的标准。具体标准限值见下表。</w:t>
            </w:r>
          </w:p>
          <w:p>
            <w:pPr>
              <w:keepNext w:val="0"/>
              <w:keepLines w:val="0"/>
              <w:pageBreakBefore w:val="0"/>
              <w:widowControl w:val="0"/>
              <w:kinsoku/>
              <w:wordWrap/>
              <w:overflowPunct/>
              <w:topLinePunct w:val="0"/>
              <w:autoSpaceDE/>
              <w:autoSpaceDN/>
              <w:bidi w:val="0"/>
              <w:spacing w:line="520" w:lineRule="exact"/>
              <w:ind w:firstLine="482" w:firstLineChars="200"/>
              <w:jc w:val="center"/>
              <w:textAlignment w:val="auto"/>
              <w:rPr>
                <w:rFonts w:hint="eastAsia" w:ascii="Times New Roman" w:hAnsi="Times New Roman" w:cs="Times New Roman"/>
                <w:b/>
                <w:bCs w:val="0"/>
                <w:sz w:val="24"/>
                <w:szCs w:val="24"/>
                <w:lang w:val="pt-BR"/>
              </w:rPr>
            </w:pPr>
            <w:r>
              <w:rPr>
                <w:rFonts w:hint="eastAsia" w:ascii="Times New Roman" w:hAnsi="Times New Roman" w:cs="Times New Roman"/>
                <w:b/>
                <w:bCs w:val="0"/>
                <w:sz w:val="24"/>
                <w:szCs w:val="24"/>
                <w:lang w:val="pt-BR"/>
              </w:rPr>
              <w:t>表</w:t>
            </w:r>
            <w:r>
              <w:rPr>
                <w:rFonts w:hint="eastAsia" w:cs="Times New Roman"/>
                <w:b/>
                <w:bCs w:val="0"/>
                <w:sz w:val="24"/>
                <w:szCs w:val="24"/>
                <w:lang w:val="en-US" w:eastAsia="zh-CN"/>
              </w:rPr>
              <w:t>22</w:t>
            </w:r>
            <w:r>
              <w:rPr>
                <w:rFonts w:hint="eastAsia" w:ascii="Times New Roman" w:hAnsi="Times New Roman" w:cs="Times New Roman"/>
                <w:b/>
                <w:bCs w:val="0"/>
                <w:sz w:val="24"/>
                <w:szCs w:val="24"/>
                <w:lang w:val="pt-BR"/>
              </w:rPr>
              <w:t xml:space="preserve">     </w:t>
            </w:r>
            <w:r>
              <w:rPr>
                <w:rFonts w:hint="eastAsia" w:ascii="Times New Roman" w:hAnsi="Times New Roman" w:cs="Times New Roman"/>
                <w:b/>
                <w:bCs w:val="0"/>
                <w:sz w:val="24"/>
                <w:szCs w:val="24"/>
                <w:lang w:val="en-US" w:eastAsia="zh-CN"/>
              </w:rPr>
              <w:t xml:space="preserve">     </w:t>
            </w:r>
            <w:r>
              <w:rPr>
                <w:rFonts w:hint="eastAsia" w:ascii="Times New Roman" w:hAnsi="Times New Roman" w:cs="Times New Roman"/>
                <w:b/>
                <w:bCs w:val="0"/>
                <w:sz w:val="24"/>
                <w:szCs w:val="24"/>
                <w:lang w:val="pt-BR"/>
              </w:rPr>
              <w:t xml:space="preserve"> 地表水环境质量标准      单位：mg/L</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3067"/>
              <w:gridCol w:w="1870"/>
              <w:gridCol w:w="3287"/>
            </w:tblGrid>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PrEx>
              <w:trPr>
                <w:trHeight w:val="397" w:hRule="atLeast"/>
                <w:jc w:val="center"/>
              </w:trPr>
              <w:tc>
                <w:tcPr>
                  <w:tcW w:w="3237" w:type="dxa"/>
                  <w:noWrap w:val="0"/>
                  <w:vAlign w:val="center"/>
                </w:tcPr>
                <w:p>
                  <w:pPr>
                    <w:jc w:val="center"/>
                    <w:rPr>
                      <w:rFonts w:hint="default" w:ascii="Times New Roman" w:hAnsi="Times New Roman" w:eastAsia="宋体" w:cs="Times New Roman"/>
                      <w:b/>
                      <w:bCs/>
                      <w:color w:val="000000"/>
                      <w:sz w:val="21"/>
                      <w:szCs w:val="21"/>
                      <w:lang w:val="en-US" w:eastAsia="zh-CN"/>
                    </w:rPr>
                  </w:pPr>
                  <w:r>
                    <w:rPr>
                      <w:rFonts w:hint="default" w:ascii="Times New Roman" w:hAnsi="Times New Roman" w:eastAsia="宋体" w:cs="Times New Roman"/>
                      <w:b/>
                      <w:bCs/>
                      <w:color w:val="000000"/>
                      <w:sz w:val="21"/>
                      <w:szCs w:val="21"/>
                      <w:lang w:val="en-US" w:eastAsia="zh-CN"/>
                    </w:rPr>
                    <w:t>项目</w:t>
                  </w:r>
                </w:p>
              </w:tc>
              <w:tc>
                <w:tcPr>
                  <w:tcW w:w="1969" w:type="dxa"/>
                  <w:noWrap w:val="0"/>
                  <w:vAlign w:val="center"/>
                </w:tcPr>
                <w:p>
                  <w:pPr>
                    <w:tabs>
                      <w:tab w:val="left" w:pos="1332"/>
                    </w:tabs>
                    <w:jc w:val="center"/>
                    <w:rPr>
                      <w:rFonts w:hint="default" w:ascii="Times New Roman" w:hAnsi="Times New Roman" w:eastAsia="宋体" w:cs="Times New Roman"/>
                      <w:b/>
                      <w:bCs/>
                      <w:color w:val="000000"/>
                      <w:kern w:val="2"/>
                      <w:sz w:val="21"/>
                      <w:szCs w:val="21"/>
                      <w:lang w:val="en-US" w:eastAsia="zh-CN" w:bidi="ar-SA"/>
                    </w:rPr>
                  </w:pPr>
                  <w:r>
                    <w:rPr>
                      <w:rFonts w:hint="default" w:ascii="Times New Roman" w:hAnsi="Times New Roman" w:eastAsia="宋体" w:cs="Times New Roman"/>
                      <w:b/>
                      <w:bCs/>
                      <w:color w:val="000000"/>
                      <w:sz w:val="21"/>
                      <w:szCs w:val="21"/>
                    </w:rPr>
                    <w:t>标 准 限 值</w:t>
                  </w:r>
                </w:p>
              </w:tc>
              <w:tc>
                <w:tcPr>
                  <w:tcW w:w="3470" w:type="dxa"/>
                  <w:noWrap w:val="0"/>
                  <w:vAlign w:val="center"/>
                </w:tcPr>
                <w:p>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标准名称及级(类)别</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pH</w:t>
                  </w:r>
                  <w:r>
                    <w:rPr>
                      <w:color w:val="000000"/>
                      <w:sz w:val="21"/>
                      <w:szCs w:val="21"/>
                    </w:rPr>
                    <w:t>（无量纲）</w:t>
                  </w:r>
                </w:p>
              </w:tc>
              <w:tc>
                <w:tcPr>
                  <w:tcW w:w="1969" w:type="dxa"/>
                  <w:noWrap w:val="0"/>
                  <w:vAlign w:val="center"/>
                </w:tcPr>
                <w:p>
                  <w:pPr>
                    <w:jc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6-9</w:t>
                  </w:r>
                </w:p>
              </w:tc>
              <w:tc>
                <w:tcPr>
                  <w:tcW w:w="3470" w:type="dxa"/>
                  <w:vMerge w:val="restart"/>
                  <w:noWrap w:val="0"/>
                  <w:vAlign w:val="center"/>
                </w:tcPr>
                <w:p>
                  <w:pPr>
                    <w:jc w:val="center"/>
                    <w:rPr>
                      <w:color w:val="000000"/>
                      <w:sz w:val="21"/>
                      <w:szCs w:val="21"/>
                    </w:rPr>
                  </w:pPr>
                  <w:r>
                    <w:rPr>
                      <w:rFonts w:ascii="Times New Roman" w:eastAsia="宋体" w:cs="Times New Roman"/>
                      <w:color w:val="000000"/>
                      <w:sz w:val="21"/>
                      <w:szCs w:val="21"/>
                    </w:rPr>
                    <w:t>《地表水环境质量标准》（</w:t>
                  </w:r>
                  <w:r>
                    <w:rPr>
                      <w:rFonts w:ascii="Times New Roman" w:hAnsi="Times New Roman" w:eastAsia="宋体" w:cs="Times New Roman"/>
                      <w:color w:val="000000"/>
                      <w:sz w:val="21"/>
                      <w:szCs w:val="21"/>
                    </w:rPr>
                    <w:t>GB3838-2002</w:t>
                  </w:r>
                  <w:r>
                    <w:rPr>
                      <w:rFonts w:ascii="Times New Roman" w:eastAsia="宋体" w:cs="Times New Roman"/>
                      <w:color w:val="000000"/>
                      <w:sz w:val="21"/>
                      <w:szCs w:val="21"/>
                    </w:rPr>
                    <w:t>）</w:t>
                  </w:r>
                  <w:r>
                    <w:rPr>
                      <w:rFonts w:ascii="Times New Roman" w:hAnsi="Times New Roman" w:eastAsia="宋体" w:cs="Times New Roman"/>
                      <w:color w:val="000000"/>
                      <w:sz w:val="21"/>
                      <w:szCs w:val="21"/>
                    </w:rPr>
                    <w:fldChar w:fldCharType="begin"/>
                  </w:r>
                  <w:r>
                    <w:rPr>
                      <w:rFonts w:ascii="Times New Roman" w:hAnsi="Times New Roman" w:eastAsia="宋体" w:cs="Times New Roman"/>
                      <w:color w:val="000000"/>
                      <w:sz w:val="21"/>
                      <w:szCs w:val="21"/>
                    </w:rPr>
                    <w:instrText xml:space="preserve"> = 4 \* ROMAN </w:instrText>
                  </w:r>
                  <w:r>
                    <w:rPr>
                      <w:rFonts w:ascii="Times New Roman" w:hAnsi="Times New Roman" w:eastAsia="宋体" w:cs="Times New Roman"/>
                      <w:color w:val="000000"/>
                      <w:sz w:val="21"/>
                      <w:szCs w:val="21"/>
                    </w:rPr>
                    <w:fldChar w:fldCharType="separate"/>
                  </w:r>
                  <w:r>
                    <w:rPr>
                      <w:rFonts w:ascii="Times New Roman" w:hAnsi="Times New Roman" w:eastAsia="宋体" w:cs="Times New Roman"/>
                      <w:color w:val="000000"/>
                      <w:sz w:val="21"/>
                      <w:szCs w:val="21"/>
                    </w:rPr>
                    <w:t>V</w:t>
                  </w:r>
                  <w:r>
                    <w:rPr>
                      <w:rFonts w:ascii="Times New Roman" w:hAnsi="Times New Roman" w:eastAsia="宋体" w:cs="Times New Roman"/>
                      <w:color w:val="000000"/>
                      <w:sz w:val="21"/>
                      <w:szCs w:val="21"/>
                    </w:rPr>
                    <w:fldChar w:fldCharType="end"/>
                  </w:r>
                  <w:r>
                    <w:rPr>
                      <w:rFonts w:ascii="Times New Roman" w:eastAsia="宋体" w:cs="Times New Roman"/>
                      <w:color w:val="000000"/>
                      <w:sz w:val="21"/>
                      <w:szCs w:val="21"/>
                    </w:rPr>
                    <w:t>类</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COD</w:t>
                  </w:r>
                  <w:r>
                    <w:rPr>
                      <w:rFonts w:ascii="Times New Roman" w:hAnsi="Times New Roman" w:eastAsia="宋体" w:cs="Times New Roman"/>
                      <w:color w:val="000000"/>
                      <w:sz w:val="21"/>
                      <w:szCs w:val="21"/>
                      <w:vertAlign w:val="subscript"/>
                    </w:rPr>
                    <w:t>Cr</w:t>
                  </w:r>
                </w:p>
              </w:tc>
              <w:tc>
                <w:tcPr>
                  <w:tcW w:w="1969"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40mg/L</w:t>
                  </w:r>
                </w:p>
              </w:tc>
              <w:tc>
                <w:tcPr>
                  <w:tcW w:w="3470" w:type="dxa"/>
                  <w:vMerge w:val="continue"/>
                  <w:noWrap w:val="0"/>
                  <w:vAlign w:val="center"/>
                </w:tcPr>
                <w:p>
                  <w:pPr>
                    <w:jc w:val="center"/>
                    <w:rPr>
                      <w:rFonts w:hint="eastAsia"/>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BOD</w:t>
                  </w:r>
                  <w:r>
                    <w:rPr>
                      <w:rFonts w:ascii="Times New Roman" w:hAnsi="Times New Roman" w:eastAsia="宋体" w:cs="Times New Roman"/>
                      <w:color w:val="000000"/>
                      <w:sz w:val="21"/>
                      <w:szCs w:val="21"/>
                      <w:vertAlign w:val="subscript"/>
                    </w:rPr>
                    <w:t>5</w:t>
                  </w:r>
                </w:p>
              </w:tc>
              <w:tc>
                <w:tcPr>
                  <w:tcW w:w="1969"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10m</w:t>
                  </w:r>
                  <w:r>
                    <w:rPr>
                      <w:rFonts w:hint="eastAsia" w:ascii="Times New Roman" w:hAnsi="Times New Roman" w:eastAsia="宋体" w:cs="Times New Roman"/>
                      <w:color w:val="000000"/>
                      <w:sz w:val="21"/>
                      <w:szCs w:val="21"/>
                      <w:lang w:val="en-US" w:eastAsia="zh-CN"/>
                    </w:rPr>
                    <w:t>g</w:t>
                  </w:r>
                  <w:r>
                    <w:rPr>
                      <w:rFonts w:ascii="Times New Roman" w:hAnsi="Times New Roman" w:eastAsia="宋体" w:cs="Times New Roman"/>
                      <w:color w:val="000000"/>
                      <w:sz w:val="21"/>
                      <w:szCs w:val="21"/>
                    </w:rPr>
                    <w:t>/L</w:t>
                  </w:r>
                </w:p>
              </w:tc>
              <w:tc>
                <w:tcPr>
                  <w:tcW w:w="3470" w:type="dxa"/>
                  <w:vMerge w:val="continue"/>
                  <w:noWrap w:val="0"/>
                  <w:vAlign w:val="center"/>
                </w:tcPr>
                <w:p>
                  <w:pPr>
                    <w:jc w:val="center"/>
                    <w:rPr>
                      <w:rFonts w:hint="eastAsia"/>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NH</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-N</w:t>
                  </w:r>
                </w:p>
              </w:tc>
              <w:tc>
                <w:tcPr>
                  <w:tcW w:w="1969"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 xml:space="preserve">2mg/L </w:t>
                  </w:r>
                </w:p>
              </w:tc>
              <w:tc>
                <w:tcPr>
                  <w:tcW w:w="3470" w:type="dxa"/>
                  <w:vMerge w:val="continue"/>
                  <w:noWrap w:val="0"/>
                  <w:vAlign w:val="center"/>
                </w:tcPr>
                <w:p>
                  <w:pPr>
                    <w:jc w:val="center"/>
                    <w:rPr>
                      <w:rFonts w:hint="eastAsia"/>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TP</w:t>
                  </w:r>
                </w:p>
              </w:tc>
              <w:tc>
                <w:tcPr>
                  <w:tcW w:w="1969"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0.4mg/L</w:t>
                  </w:r>
                </w:p>
              </w:tc>
              <w:tc>
                <w:tcPr>
                  <w:tcW w:w="3470" w:type="dxa"/>
                  <w:vMerge w:val="continue"/>
                  <w:noWrap w:val="0"/>
                  <w:vAlign w:val="center"/>
                </w:tcPr>
                <w:p>
                  <w:pPr>
                    <w:jc w:val="center"/>
                    <w:rPr>
                      <w:rFonts w:hint="eastAsia"/>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397" w:hRule="atLeast"/>
                <w:jc w:val="center"/>
              </w:trPr>
              <w:tc>
                <w:tcPr>
                  <w:tcW w:w="3237"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TN</w:t>
                  </w:r>
                </w:p>
              </w:tc>
              <w:tc>
                <w:tcPr>
                  <w:tcW w:w="1969" w:type="dxa"/>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sz w:val="21"/>
                      <w:szCs w:val="21"/>
                    </w:rPr>
                    <w:t>2mg/L</w:t>
                  </w:r>
                </w:p>
              </w:tc>
              <w:tc>
                <w:tcPr>
                  <w:tcW w:w="3470" w:type="dxa"/>
                  <w:vMerge w:val="continue"/>
                  <w:noWrap w:val="0"/>
                  <w:vAlign w:val="center"/>
                </w:tcPr>
                <w:p>
                  <w:pPr>
                    <w:jc w:val="center"/>
                    <w:rPr>
                      <w:rFonts w:hint="eastAsia"/>
                      <w:color w:val="00000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66" w:firstLineChars="200"/>
              <w:jc w:val="left"/>
              <w:textAlignment w:val="auto"/>
              <w:rPr>
                <w:b/>
                <w:color w:val="000000"/>
                <w:spacing w:val="-4"/>
                <w:sz w:val="24"/>
              </w:rPr>
            </w:pPr>
            <w:r>
              <w:rPr>
                <w:b/>
                <w:color w:val="000000"/>
                <w:spacing w:val="-4"/>
                <w:sz w:val="24"/>
              </w:rPr>
              <w:t>3、地下水环境</w:t>
            </w:r>
          </w:p>
          <w:p>
            <w:pPr>
              <w:keepNext w:val="0"/>
              <w:keepLines w:val="0"/>
              <w:pageBreakBefore w:val="0"/>
              <w:widowControl w:val="0"/>
              <w:kinsoku/>
              <w:wordWrap/>
              <w:overflowPunct/>
              <w:topLinePunct w:val="0"/>
              <w:autoSpaceDE/>
              <w:autoSpaceDN/>
              <w:bidi w:val="0"/>
              <w:adjustRightInd w:val="0"/>
              <w:snapToGrid w:val="0"/>
              <w:spacing w:line="520" w:lineRule="exact"/>
              <w:ind w:firstLine="464" w:firstLineChars="200"/>
              <w:jc w:val="left"/>
              <w:textAlignment w:val="auto"/>
              <w:rPr>
                <w:color w:val="000000"/>
                <w:spacing w:val="-4"/>
                <w:sz w:val="24"/>
              </w:rPr>
            </w:pPr>
            <w:r>
              <w:rPr>
                <w:color w:val="000000"/>
                <w:spacing w:val="-4"/>
                <w:sz w:val="24"/>
              </w:rPr>
              <w:t>地下水执行《地下水质量标准》（GB/T14848-</w:t>
            </w:r>
            <w:r>
              <w:rPr>
                <w:rFonts w:hint="eastAsia"/>
                <w:color w:val="000000"/>
                <w:spacing w:val="-4"/>
                <w:sz w:val="24"/>
              </w:rPr>
              <w:t>2017</w:t>
            </w:r>
            <w:r>
              <w:rPr>
                <w:color w:val="000000"/>
                <w:spacing w:val="-4"/>
                <w:sz w:val="24"/>
              </w:rPr>
              <w:t>）Ⅲ类标准。标准限值见</w:t>
            </w:r>
            <w:r>
              <w:rPr>
                <w:rFonts w:hint="eastAsia"/>
                <w:color w:val="000000"/>
                <w:spacing w:val="-4"/>
                <w:sz w:val="24"/>
              </w:rPr>
              <w:t>下表</w:t>
            </w:r>
            <w:r>
              <w:rPr>
                <w:color w:val="000000"/>
                <w:spacing w:val="-4"/>
                <w:sz w:val="24"/>
              </w:rPr>
              <w:t>。</w:t>
            </w:r>
          </w:p>
          <w:p>
            <w:pPr>
              <w:keepNext w:val="0"/>
              <w:keepLines w:val="0"/>
              <w:pageBreakBefore w:val="0"/>
              <w:widowControl w:val="0"/>
              <w:kinsoku/>
              <w:wordWrap/>
              <w:overflowPunct/>
              <w:topLinePunct w:val="0"/>
              <w:autoSpaceDE/>
              <w:autoSpaceDN/>
              <w:bidi w:val="0"/>
              <w:spacing w:line="520" w:lineRule="exact"/>
              <w:ind w:firstLine="482" w:firstLineChars="200"/>
              <w:jc w:val="center"/>
              <w:textAlignment w:val="auto"/>
              <w:rPr>
                <w:rFonts w:hint="eastAsia" w:ascii="Times New Roman" w:hAnsi="Times New Roman" w:cs="Times New Roman"/>
                <w:b/>
                <w:bCs w:val="0"/>
                <w:sz w:val="24"/>
                <w:szCs w:val="24"/>
                <w:lang w:val="pt-BR"/>
              </w:rPr>
            </w:pPr>
            <w:r>
              <w:rPr>
                <w:rFonts w:hint="eastAsia" w:ascii="Times New Roman" w:hAnsi="Times New Roman" w:cs="Times New Roman"/>
                <w:b/>
                <w:bCs w:val="0"/>
                <w:sz w:val="24"/>
                <w:szCs w:val="24"/>
                <w:lang w:val="pt-BR"/>
              </w:rPr>
              <w:t>表</w:t>
            </w:r>
            <w:r>
              <w:rPr>
                <w:rFonts w:hint="eastAsia" w:ascii="Times New Roman" w:hAnsi="Times New Roman" w:cs="Times New Roman"/>
                <w:b/>
                <w:bCs w:val="0"/>
                <w:sz w:val="24"/>
                <w:szCs w:val="24"/>
                <w:lang w:val="en-US" w:eastAsia="zh-CN"/>
              </w:rPr>
              <w:t>2</w:t>
            </w:r>
            <w:r>
              <w:rPr>
                <w:rFonts w:hint="eastAsia" w:cs="Times New Roman"/>
                <w:b/>
                <w:bCs w:val="0"/>
                <w:sz w:val="24"/>
                <w:szCs w:val="24"/>
                <w:lang w:val="en-US" w:eastAsia="zh-CN"/>
              </w:rPr>
              <w:t>3</w:t>
            </w:r>
            <w:r>
              <w:rPr>
                <w:rFonts w:hint="eastAsia" w:ascii="Times New Roman" w:hAnsi="Times New Roman" w:cs="Times New Roman"/>
                <w:b/>
                <w:bCs w:val="0"/>
                <w:sz w:val="24"/>
                <w:szCs w:val="24"/>
                <w:lang w:val="pt-BR"/>
              </w:rPr>
              <w:t xml:space="preserve">       </w:t>
            </w:r>
            <w:r>
              <w:rPr>
                <w:rFonts w:hint="eastAsia" w:ascii="Times New Roman" w:hAnsi="Times New Roman" w:cs="Times New Roman"/>
                <w:b/>
                <w:bCs w:val="0"/>
                <w:sz w:val="24"/>
                <w:szCs w:val="24"/>
                <w:lang w:val="en-US" w:eastAsia="zh-CN"/>
              </w:rPr>
              <w:t xml:space="preserve">  </w:t>
            </w:r>
            <w:r>
              <w:rPr>
                <w:rFonts w:hint="eastAsia" w:ascii="Times New Roman" w:hAnsi="Times New Roman" w:cs="Times New Roman"/>
                <w:b/>
                <w:bCs w:val="0"/>
                <w:sz w:val="24"/>
                <w:szCs w:val="24"/>
                <w:lang w:val="pt-BR"/>
              </w:rPr>
              <w:t>地下水环境质量标准            单位：mg/L</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59"/>
              <w:gridCol w:w="2002"/>
              <w:gridCol w:w="296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9" w:type="dxa"/>
                  <w:tcBorders>
                    <w:top w:val="single" w:color="auto" w:sz="8" w:space="0"/>
                    <w:bottom w:val="single" w:color="auto" w:sz="8" w:space="0"/>
                  </w:tcBorders>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2002" w:type="dxa"/>
                  <w:tcBorders>
                    <w:top w:val="single" w:color="auto" w:sz="8" w:space="0"/>
                    <w:bottom w:val="single" w:color="auto" w:sz="8" w:space="0"/>
                  </w:tcBorders>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浓度限值</w:t>
                  </w:r>
                </w:p>
              </w:tc>
              <w:tc>
                <w:tcPr>
                  <w:tcW w:w="2963" w:type="dxa"/>
                  <w:tcBorders>
                    <w:top w:val="single" w:color="auto" w:sz="8" w:space="0"/>
                    <w:bottom w:val="single" w:color="auto" w:sz="8" w:space="0"/>
                  </w:tcBorders>
                  <w:noWrap w:val="0"/>
                  <w:vAlign w:val="center"/>
                </w:tcPr>
                <w:p>
                  <w:pPr>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标准来源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59" w:type="dxa"/>
                  <w:tcBorders>
                    <w:top w:val="single" w:color="auto" w:sz="8" w:space="0"/>
                  </w:tcBorders>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pH（无量纲）</w:t>
                  </w:r>
                </w:p>
              </w:tc>
              <w:tc>
                <w:tcPr>
                  <w:tcW w:w="2002" w:type="dxa"/>
                  <w:tcBorders>
                    <w:top w:val="single" w:color="auto" w:sz="8" w:space="0"/>
                  </w:tcBorders>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6.5～8.5</w:t>
                  </w:r>
                </w:p>
              </w:tc>
              <w:tc>
                <w:tcPr>
                  <w:tcW w:w="2963" w:type="dxa"/>
                  <w:vMerge w:val="restart"/>
                  <w:tcBorders>
                    <w:top w:val="single" w:color="auto" w:sz="8" w:space="0"/>
                  </w:tcBorders>
                  <w:noWrap w:val="0"/>
                  <w:vAlign w:val="center"/>
                </w:tcPr>
                <w:p>
                  <w:pPr>
                    <w:jc w:val="center"/>
                    <w:rPr>
                      <w:color w:val="000000"/>
                      <w:sz w:val="21"/>
                      <w:szCs w:val="21"/>
                    </w:rPr>
                  </w:pPr>
                  <w:r>
                    <w:rPr>
                      <w:color w:val="000000"/>
                      <w:sz w:val="21"/>
                      <w:szCs w:val="21"/>
                    </w:rPr>
                    <w:t>《地下水质量标准》（GB/T14848-</w:t>
                  </w:r>
                  <w:r>
                    <w:rPr>
                      <w:rFonts w:hint="eastAsia"/>
                      <w:color w:val="000000"/>
                      <w:sz w:val="21"/>
                      <w:szCs w:val="21"/>
                    </w:rPr>
                    <w:t>2017</w:t>
                  </w:r>
                  <w:r>
                    <w:rPr>
                      <w:color w:val="000000"/>
                      <w:sz w:val="21"/>
                      <w:szCs w:val="21"/>
                    </w:rPr>
                    <w:t>）Ⅲ类标准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总硬度</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450mg/L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耗氧量</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3mg/L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氨氮</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w:t>
                  </w:r>
                  <w:r>
                    <w:rPr>
                      <w:rFonts w:hint="eastAsia" w:ascii="Times New Roman" w:hAnsi="Times New Roman" w:cs="Times New Roman"/>
                      <w:color w:val="auto"/>
                      <w:sz w:val="21"/>
                      <w:szCs w:val="21"/>
                    </w:rPr>
                    <w:t>5</w:t>
                  </w:r>
                  <w:r>
                    <w:rPr>
                      <w:rFonts w:ascii="Times New Roman" w:hAnsi="Times New Roman" w:cs="Times New Roman"/>
                      <w:color w:val="auto"/>
                      <w:sz w:val="21"/>
                      <w:szCs w:val="21"/>
                    </w:rPr>
                    <w:t>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sz w:val="21"/>
                      <w:szCs w:val="21"/>
                    </w:rPr>
                    <w:t>硫酸盐</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250mg/L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sz w:val="21"/>
                      <w:szCs w:val="21"/>
                    </w:rPr>
                    <w:t>氯化物</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250mg/L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sz w:val="21"/>
                      <w:szCs w:val="21"/>
                    </w:rPr>
                    <w:t>溶解性总固体</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1000mg/L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钴</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0.05mg/L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rPr>
                    <w:t>锰</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0.10mg/L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rPr>
                    <w:t>砷</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0.01mg/L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rPr>
                    <w:t>铅</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0.01mg/L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bCs/>
                      <w:color w:val="auto"/>
                      <w:sz w:val="21"/>
                      <w:szCs w:val="21"/>
                    </w:rPr>
                    <w:t>铁</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0.3mg/L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color w:val="auto"/>
                      <w:sz w:val="21"/>
                      <w:szCs w:val="21"/>
                    </w:rPr>
                    <w:t>总大肠菌群</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3.0mg/L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sz w:val="21"/>
                      <w:szCs w:val="21"/>
                    </w:rPr>
                    <w:t>挥发酚</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0.002mg/L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sz w:val="21"/>
                      <w:szCs w:val="21"/>
                    </w:rPr>
                    <w:t>汞</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0.001mg/L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银</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0.05mg/L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总镍</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002mg/L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镉</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0.00</w:t>
                  </w:r>
                  <w:r>
                    <w:rPr>
                      <w:rFonts w:hint="eastAsia" w:ascii="Times New Roman" w:hAnsi="Times New Roman" w:cs="Times New Roman"/>
                      <w:color w:val="auto"/>
                      <w:sz w:val="21"/>
                      <w:szCs w:val="21"/>
                    </w:rPr>
                    <w:t>5</w:t>
                  </w:r>
                  <w:r>
                    <w:rPr>
                      <w:rFonts w:ascii="Times New Roman" w:hAnsi="Times New Roman" w:cs="Times New Roman"/>
                      <w:color w:val="auto"/>
                      <w:sz w:val="21"/>
                      <w:szCs w:val="21"/>
                    </w:rPr>
                    <w:t>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六价铬</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0.05mg/L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氰化物</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0.05mg/L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rPr>
                    <w:t>硝酸盐</w:t>
                  </w:r>
                </w:p>
              </w:tc>
              <w:tc>
                <w:tcPr>
                  <w:tcW w:w="2002" w:type="dxa"/>
                  <w:noWrap w:val="0"/>
                  <w:vAlign w:val="center"/>
                </w:tcPr>
                <w:p>
                  <w:pPr>
                    <w:tabs>
                      <w:tab w:val="left" w:pos="5910"/>
                    </w:tabs>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20mg/L</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K</w:t>
                  </w:r>
                  <w:r>
                    <w:rPr>
                      <w:rFonts w:ascii="Times New Roman" w:hAnsi="Times New Roman" w:eastAsia="宋体" w:cs="Times New Roman"/>
                      <w:b w:val="0"/>
                      <w:sz w:val="21"/>
                      <w:szCs w:val="21"/>
                      <w:vertAlign w:val="superscript"/>
                    </w:rPr>
                    <w:t>+</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Na</w:t>
                  </w:r>
                  <w:r>
                    <w:rPr>
                      <w:rFonts w:ascii="Times New Roman" w:hAnsi="Times New Roman" w:eastAsia="宋体" w:cs="Times New Roman"/>
                      <w:b w:val="0"/>
                      <w:sz w:val="21"/>
                      <w:szCs w:val="21"/>
                      <w:vertAlign w:val="superscript"/>
                    </w:rPr>
                    <w:t>+</w:t>
                  </w:r>
                </w:p>
              </w:tc>
              <w:tc>
                <w:tcPr>
                  <w:tcW w:w="2002"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200</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Ca</w:t>
                  </w:r>
                  <w:r>
                    <w:rPr>
                      <w:rFonts w:ascii="Times New Roman" w:hAnsi="Times New Roman" w:eastAsia="宋体" w:cs="Times New Roman"/>
                      <w:b w:val="0"/>
                      <w:sz w:val="21"/>
                      <w:szCs w:val="21"/>
                      <w:vertAlign w:val="superscript"/>
                    </w:rPr>
                    <w:t>2+</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Mg</w:t>
                  </w:r>
                  <w:r>
                    <w:rPr>
                      <w:rFonts w:ascii="Times New Roman" w:hAnsi="Times New Roman" w:eastAsia="宋体" w:cs="Times New Roman"/>
                      <w:b w:val="0"/>
                      <w:sz w:val="21"/>
                      <w:szCs w:val="21"/>
                      <w:vertAlign w:val="superscript"/>
                    </w:rPr>
                    <w:t>2+</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CO</w:t>
                  </w:r>
                  <w:r>
                    <w:rPr>
                      <w:rFonts w:ascii="Times New Roman" w:hAnsi="Times New Roman" w:eastAsia="宋体" w:cs="Times New Roman"/>
                      <w:b w:val="0"/>
                      <w:sz w:val="21"/>
                      <w:szCs w:val="21"/>
                      <w:vertAlign w:val="subscript"/>
                    </w:rPr>
                    <w:t>3</w:t>
                  </w:r>
                  <w:r>
                    <w:rPr>
                      <w:rFonts w:ascii="Times New Roman" w:hAnsi="Times New Roman" w:eastAsia="宋体" w:cs="Times New Roman"/>
                      <w:b w:val="0"/>
                      <w:sz w:val="21"/>
                      <w:szCs w:val="21"/>
                      <w:vertAlign w:val="superscript"/>
                    </w:rPr>
                    <w:t>2-</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w:t>
                  </w:r>
                </w:p>
              </w:tc>
              <w:tc>
                <w:tcPr>
                  <w:tcW w:w="2963" w:type="dxa"/>
                  <w:vMerge w:val="continue"/>
                  <w:noWrap w:val="0"/>
                  <w:vAlign w:val="center"/>
                </w:tcPr>
                <w:p>
                  <w:pPr>
                    <w:jc w:val="center"/>
                    <w:rPr>
                      <w:color w:val="000000"/>
                      <w:sz w:val="21"/>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397" w:hRule="atLeast"/>
                <w:jc w:val="center"/>
              </w:trPr>
              <w:tc>
                <w:tcPr>
                  <w:tcW w:w="3259" w:type="dxa"/>
                  <w:noWrap w:val="0"/>
                  <w:vAlign w:val="center"/>
                </w:tcPr>
                <w:p>
                  <w:pPr>
                    <w:pStyle w:val="146"/>
                    <w:ind w:firstLine="0" w:firstLineChars="0"/>
                    <w:jc w:val="center"/>
                    <w:rPr>
                      <w:rFonts w:ascii="Times New Roman" w:hAnsi="Times New Roman" w:eastAsia="宋体" w:cs="Times New Roman"/>
                      <w:b w:val="0"/>
                      <w:color w:val="auto"/>
                      <w:kern w:val="2"/>
                      <w:sz w:val="21"/>
                      <w:szCs w:val="21"/>
                      <w:lang w:val="en-US" w:eastAsia="zh-CN" w:bidi="ar-SA"/>
                    </w:rPr>
                  </w:pPr>
                  <w:r>
                    <w:rPr>
                      <w:rFonts w:ascii="Times New Roman" w:hAnsi="Times New Roman" w:eastAsia="宋体" w:cs="Times New Roman"/>
                      <w:b w:val="0"/>
                      <w:sz w:val="21"/>
                      <w:szCs w:val="21"/>
                    </w:rPr>
                    <w:t>HCO</w:t>
                  </w:r>
                  <w:r>
                    <w:rPr>
                      <w:rFonts w:ascii="Times New Roman" w:hAnsi="Times New Roman" w:eastAsia="宋体" w:cs="Times New Roman"/>
                      <w:b w:val="0"/>
                      <w:sz w:val="21"/>
                      <w:szCs w:val="21"/>
                      <w:vertAlign w:val="subscript"/>
                    </w:rPr>
                    <w:t>3</w:t>
                  </w:r>
                  <w:r>
                    <w:rPr>
                      <w:rFonts w:ascii="Times New Roman" w:hAnsi="Times New Roman" w:eastAsia="宋体" w:cs="Times New Roman"/>
                      <w:b w:val="0"/>
                      <w:sz w:val="21"/>
                      <w:szCs w:val="21"/>
                      <w:vertAlign w:val="superscript"/>
                    </w:rPr>
                    <w:t>-</w:t>
                  </w:r>
                </w:p>
              </w:tc>
              <w:tc>
                <w:tcPr>
                  <w:tcW w:w="2002" w:type="dxa"/>
                  <w:noWrap w:val="0"/>
                  <w:vAlign w:val="center"/>
                </w:tcPr>
                <w:p>
                  <w:pPr>
                    <w:jc w:val="center"/>
                    <w:rPr>
                      <w:rFonts w:ascii="Times New Roman" w:hAnsi="Times New Roman" w:eastAsia="宋体" w:cs="Times New Roman"/>
                      <w:color w:val="auto"/>
                      <w:kern w:val="2"/>
                      <w:sz w:val="21"/>
                      <w:szCs w:val="21"/>
                      <w:lang w:val="en-US" w:eastAsia="zh-CN" w:bidi="ar-SA"/>
                    </w:rPr>
                  </w:pPr>
                  <w:r>
                    <w:rPr>
                      <w:rFonts w:ascii="Times New Roman" w:hAnsi="Times New Roman" w:cs="Times New Roman"/>
                      <w:color w:val="auto"/>
                      <w:sz w:val="21"/>
                      <w:szCs w:val="21"/>
                    </w:rPr>
                    <w:t>/</w:t>
                  </w:r>
                </w:p>
              </w:tc>
              <w:tc>
                <w:tcPr>
                  <w:tcW w:w="2963" w:type="dxa"/>
                  <w:vMerge w:val="continue"/>
                  <w:noWrap w:val="0"/>
                  <w:vAlign w:val="center"/>
                </w:tcPr>
                <w:p>
                  <w:pPr>
                    <w:jc w:val="center"/>
                    <w:rPr>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b/>
                <w:bCs/>
                <w:sz w:val="24"/>
                <w:szCs w:val="24"/>
              </w:rPr>
            </w:pPr>
            <w:r>
              <w:rPr>
                <w:rFonts w:hint="eastAsia"/>
                <w:b/>
                <w:bCs/>
                <w:sz w:val="24"/>
                <w:szCs w:val="24"/>
                <w:lang w:val="en-US" w:eastAsia="zh-CN"/>
              </w:rPr>
              <w:t>4</w:t>
            </w:r>
            <w:r>
              <w:rPr>
                <w:b/>
                <w:bCs/>
                <w:sz w:val="24"/>
                <w:szCs w:val="24"/>
              </w:rPr>
              <w:t>、声环境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sz w:val="24"/>
                <w:szCs w:val="24"/>
              </w:rPr>
              <w:t>项目区域</w:t>
            </w:r>
            <w:r>
              <w:rPr>
                <w:sz w:val="24"/>
                <w:szCs w:val="24"/>
              </w:rPr>
              <w:t>执行《声环境质量标准》（GB3096-2008）</w:t>
            </w:r>
            <w:r>
              <w:rPr>
                <w:rFonts w:hint="eastAsia"/>
                <w:sz w:val="24"/>
                <w:szCs w:val="24"/>
                <w:lang w:val="en-US" w:eastAsia="zh-CN"/>
              </w:rPr>
              <w:t>2</w:t>
            </w:r>
            <w:r>
              <w:rPr>
                <w:sz w:val="24"/>
                <w:szCs w:val="24"/>
              </w:rPr>
              <w:t>类标准</w:t>
            </w:r>
            <w:r>
              <w:rPr>
                <w:rFonts w:hint="eastAsia"/>
                <w:sz w:val="24"/>
                <w:szCs w:val="24"/>
              </w:rPr>
              <w:t>，</w:t>
            </w:r>
            <w:r>
              <w:rPr>
                <w:sz w:val="24"/>
                <w:szCs w:val="24"/>
              </w:rPr>
              <w:t>相关标准值见表</w:t>
            </w:r>
            <w:r>
              <w:rPr>
                <w:rFonts w:hint="eastAsia"/>
                <w:sz w:val="24"/>
                <w:szCs w:val="24"/>
                <w:lang w:val="en-US" w:eastAsia="zh-CN"/>
              </w:rPr>
              <w:t>24</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center"/>
              <w:textAlignment w:val="auto"/>
              <w:rPr>
                <w:rFonts w:hint="eastAsia" w:ascii="Times New Roman" w:hAnsi="Times New Roman" w:cs="Times New Roman"/>
                <w:b/>
                <w:bCs w:val="0"/>
                <w:sz w:val="24"/>
                <w:szCs w:val="24"/>
                <w:lang w:val="pt-BR"/>
              </w:rPr>
            </w:pPr>
            <w:r>
              <w:rPr>
                <w:rFonts w:hint="eastAsia" w:ascii="Times New Roman" w:hAnsi="Times New Roman" w:cs="Times New Roman"/>
                <w:b/>
                <w:bCs w:val="0"/>
                <w:sz w:val="24"/>
                <w:szCs w:val="24"/>
                <w:lang w:val="pt-BR"/>
              </w:rPr>
              <w:t>表</w:t>
            </w:r>
            <w:r>
              <w:rPr>
                <w:rFonts w:hint="eastAsia" w:cs="Times New Roman"/>
                <w:b/>
                <w:bCs w:val="0"/>
                <w:sz w:val="24"/>
                <w:szCs w:val="24"/>
                <w:lang w:val="en-US" w:eastAsia="zh-CN"/>
              </w:rPr>
              <w:t xml:space="preserve">24 </w:t>
            </w:r>
            <w:r>
              <w:rPr>
                <w:rFonts w:hint="eastAsia" w:ascii="Times New Roman" w:hAnsi="Times New Roman" w:cs="Times New Roman"/>
                <w:b/>
                <w:bCs w:val="0"/>
                <w:sz w:val="24"/>
                <w:szCs w:val="24"/>
                <w:lang w:val="en-US" w:eastAsia="zh-CN"/>
              </w:rPr>
              <w:t xml:space="preserve">  </w:t>
            </w:r>
            <w:r>
              <w:rPr>
                <w:rFonts w:hint="eastAsia" w:ascii="Times New Roman" w:hAnsi="Times New Roman" w:cs="Times New Roman"/>
                <w:b/>
                <w:bCs w:val="0"/>
                <w:sz w:val="24"/>
                <w:szCs w:val="24"/>
                <w:lang w:val="pt-BR"/>
              </w:rPr>
              <w:t>声环境质量标准</w:t>
            </w:r>
            <w:r>
              <w:rPr>
                <w:rFonts w:hint="eastAsia" w:ascii="Times New Roman" w:hAnsi="Times New Roman" w:cs="Times New Roman"/>
                <w:b/>
                <w:bCs w:val="0"/>
                <w:sz w:val="24"/>
                <w:szCs w:val="24"/>
                <w:lang w:val="en-US" w:eastAsia="zh-CN"/>
              </w:rPr>
              <w:t xml:space="preserve">  </w:t>
            </w:r>
            <w:r>
              <w:rPr>
                <w:rFonts w:hint="eastAsia" w:ascii="Times New Roman" w:hAnsi="Times New Roman" w:cs="Times New Roman"/>
                <w:b/>
                <w:bCs w:val="0"/>
                <w:sz w:val="24"/>
                <w:szCs w:val="24"/>
                <w:lang w:val="pt-BR"/>
              </w:rPr>
              <w:t>单位：dB（A）</w:t>
            </w:r>
          </w:p>
          <w:tbl>
            <w:tblPr>
              <w:tblStyle w:val="21"/>
              <w:tblW w:w="822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929"/>
              <w:gridCol w:w="27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2586" w:type="dxa"/>
                  <w:tcBorders>
                    <w:tl2br w:val="nil"/>
                    <w:tr2bl w:val="nil"/>
                  </w:tcBorders>
                  <w:vAlign w:val="center"/>
                </w:tcPr>
                <w:p>
                  <w:pPr>
                    <w:spacing w:line="360" w:lineRule="exact"/>
                    <w:jc w:val="center"/>
                    <w:rPr>
                      <w:b/>
                      <w:bCs/>
                    </w:rPr>
                  </w:pPr>
                  <w:r>
                    <w:rPr>
                      <w:b/>
                      <w:bCs/>
                    </w:rPr>
                    <w:t>类</w:t>
                  </w:r>
                  <w:r>
                    <w:rPr>
                      <w:rFonts w:hint="eastAsia"/>
                      <w:b/>
                      <w:bCs/>
                    </w:rPr>
                    <w:t>别</w:t>
                  </w:r>
                </w:p>
              </w:tc>
              <w:tc>
                <w:tcPr>
                  <w:tcW w:w="2929" w:type="dxa"/>
                  <w:tcBorders>
                    <w:tl2br w:val="nil"/>
                    <w:tr2bl w:val="nil"/>
                  </w:tcBorders>
                  <w:vAlign w:val="center"/>
                </w:tcPr>
                <w:p>
                  <w:pPr>
                    <w:spacing w:line="360" w:lineRule="exact"/>
                    <w:jc w:val="center"/>
                    <w:rPr>
                      <w:b/>
                      <w:bCs/>
                    </w:rPr>
                  </w:pPr>
                  <w:r>
                    <w:rPr>
                      <w:b/>
                      <w:bCs/>
                    </w:rPr>
                    <w:t>昼间</w:t>
                  </w:r>
                </w:p>
              </w:tc>
              <w:tc>
                <w:tcPr>
                  <w:tcW w:w="2709" w:type="dxa"/>
                  <w:tcBorders>
                    <w:tl2br w:val="nil"/>
                    <w:tr2bl w:val="nil"/>
                  </w:tcBorders>
                  <w:vAlign w:val="center"/>
                </w:tcPr>
                <w:p>
                  <w:pPr>
                    <w:spacing w:line="360" w:lineRule="exact"/>
                    <w:jc w:val="center"/>
                    <w:rPr>
                      <w:b/>
                      <w:bCs/>
                    </w:rPr>
                  </w:pPr>
                  <w:r>
                    <w:rPr>
                      <w:b/>
                      <w:bCs/>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2586" w:type="dxa"/>
                  <w:tcBorders>
                    <w:tl2br w:val="nil"/>
                    <w:tr2bl w:val="nil"/>
                  </w:tcBorders>
                  <w:vAlign w:val="center"/>
                </w:tcPr>
                <w:p>
                  <w:pPr>
                    <w:spacing w:line="360" w:lineRule="exact"/>
                    <w:jc w:val="center"/>
                  </w:pPr>
                  <w:r>
                    <w:rPr>
                      <w:rFonts w:hint="eastAsia"/>
                      <w:lang w:val="en-US" w:eastAsia="zh-CN"/>
                    </w:rPr>
                    <w:t>2</w:t>
                  </w:r>
                  <w:r>
                    <w:t>类</w:t>
                  </w:r>
                </w:p>
              </w:tc>
              <w:tc>
                <w:tcPr>
                  <w:tcW w:w="2929" w:type="dxa"/>
                  <w:tcBorders>
                    <w:tl2br w:val="nil"/>
                    <w:tr2bl w:val="nil"/>
                  </w:tcBorders>
                  <w:vAlign w:val="center"/>
                </w:tcPr>
                <w:p>
                  <w:pPr>
                    <w:spacing w:line="360" w:lineRule="exact"/>
                    <w:jc w:val="center"/>
                    <w:rPr>
                      <w:rFonts w:hint="default"/>
                      <w:lang w:val="en-US" w:eastAsia="zh-CN"/>
                    </w:rPr>
                  </w:pPr>
                  <w:r>
                    <w:rPr>
                      <w:rFonts w:hint="eastAsia"/>
                      <w:lang w:val="en-US" w:eastAsia="zh-CN"/>
                    </w:rPr>
                    <w:t>60</w:t>
                  </w:r>
                </w:p>
              </w:tc>
              <w:tc>
                <w:tcPr>
                  <w:tcW w:w="2709" w:type="dxa"/>
                  <w:tcBorders>
                    <w:tl2br w:val="nil"/>
                    <w:tr2bl w:val="nil"/>
                  </w:tcBorders>
                  <w:vAlign w:val="center"/>
                </w:tcPr>
                <w:p>
                  <w:pPr>
                    <w:spacing w:line="360" w:lineRule="exact"/>
                    <w:jc w:val="center"/>
                    <w:rPr>
                      <w:rFonts w:hint="default"/>
                      <w:lang w:val="en-US" w:eastAsia="zh-CN"/>
                    </w:rPr>
                  </w:pPr>
                  <w:r>
                    <w:rPr>
                      <w:rFonts w:hint="eastAsia"/>
                      <w:lang w:val="en-US" w:eastAsia="zh-CN"/>
                    </w:rPr>
                    <w:t>50</w:t>
                  </w:r>
                </w:p>
              </w:tc>
            </w:tr>
          </w:tbl>
          <w:p>
            <w:pPr>
              <w:keepNext w:val="0"/>
              <w:keepLines w:val="0"/>
              <w:pageBreakBefore w:val="0"/>
              <w:widowControl w:val="0"/>
              <w:tabs>
                <w:tab w:val="left" w:pos="792"/>
              </w:tabs>
              <w:kinsoku/>
              <w:wordWrap/>
              <w:overflowPunct/>
              <w:topLinePunct w:val="0"/>
              <w:autoSpaceDE/>
              <w:autoSpaceDN/>
              <w:bidi w:val="0"/>
              <w:adjustRightInd/>
              <w:snapToGrid/>
              <w:spacing w:line="500" w:lineRule="exact"/>
              <w:ind w:firstLine="482" w:firstLineChars="200"/>
              <w:textAlignment w:val="auto"/>
              <w:rPr>
                <w:b/>
                <w:sz w:val="24"/>
                <w:szCs w:val="24"/>
              </w:rPr>
            </w:pPr>
            <w:r>
              <w:rPr>
                <w:rFonts w:hint="eastAsia"/>
                <w:b/>
                <w:sz w:val="24"/>
                <w:szCs w:val="24"/>
              </w:rPr>
              <w:t>5、土壤环境</w:t>
            </w:r>
          </w:p>
          <w:p>
            <w:pPr>
              <w:keepNext w:val="0"/>
              <w:keepLines w:val="0"/>
              <w:pageBreakBefore w:val="0"/>
              <w:widowControl w:val="0"/>
              <w:tabs>
                <w:tab w:val="left" w:pos="792"/>
              </w:tabs>
              <w:kinsoku/>
              <w:wordWrap/>
              <w:overflowPunct/>
              <w:topLinePunct w:val="0"/>
              <w:autoSpaceDE/>
              <w:autoSpaceDN/>
              <w:bidi w:val="0"/>
              <w:adjustRightInd/>
              <w:snapToGrid/>
              <w:spacing w:line="500" w:lineRule="exact"/>
              <w:ind w:firstLine="480" w:firstLineChars="200"/>
              <w:textAlignment w:val="auto"/>
              <w:rPr>
                <w:sz w:val="24"/>
                <w:szCs w:val="24"/>
              </w:rPr>
            </w:pPr>
            <w:r>
              <w:rPr>
                <w:rFonts w:hint="eastAsia"/>
                <w:sz w:val="24"/>
                <w:szCs w:val="24"/>
                <w:highlight w:val="none"/>
              </w:rPr>
              <w:t>本项目所在区域为建设用地，</w:t>
            </w:r>
            <w:r>
              <w:rPr>
                <w:rFonts w:hint="eastAsia"/>
                <w:sz w:val="24"/>
                <w:szCs w:val="24"/>
              </w:rPr>
              <w:t>执行《土壤环境质量  建设用地土壤污染风险管控标准（试行）》（GB36600-2018）筛选值第二类用地标准，其标准限值见下表。</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Times New Roman" w:hAnsi="Times New Roman" w:cs="Times New Roman"/>
                <w:b/>
                <w:bCs w:val="0"/>
                <w:sz w:val="24"/>
                <w:szCs w:val="24"/>
                <w:lang w:val="pt-BR"/>
              </w:rPr>
            </w:pPr>
            <w:r>
              <w:rPr>
                <w:rFonts w:hint="eastAsia" w:ascii="Times New Roman" w:hAnsi="Times New Roman" w:cs="Times New Roman"/>
                <w:b/>
                <w:bCs w:val="0"/>
                <w:sz w:val="24"/>
                <w:szCs w:val="24"/>
                <w:lang w:val="pt-BR"/>
              </w:rPr>
              <w:t>表</w:t>
            </w:r>
            <w:r>
              <w:rPr>
                <w:rFonts w:hint="eastAsia" w:cs="Times New Roman"/>
                <w:b/>
                <w:bCs w:val="0"/>
                <w:sz w:val="24"/>
                <w:szCs w:val="24"/>
                <w:lang w:val="en-US" w:eastAsia="zh-CN"/>
              </w:rPr>
              <w:t>25</w:t>
            </w:r>
            <w:r>
              <w:rPr>
                <w:rFonts w:hint="eastAsia" w:ascii="Times New Roman" w:hAnsi="Times New Roman" w:cs="Times New Roman"/>
                <w:b/>
                <w:bCs w:val="0"/>
                <w:sz w:val="24"/>
                <w:szCs w:val="24"/>
                <w:lang w:val="pt-BR"/>
              </w:rPr>
              <w:t xml:space="preserve">  《土壤环境质量建设用地土壤污染风险管控标准》 单位：mg/Kg</w:t>
            </w:r>
          </w:p>
          <w:tbl>
            <w:tblPr>
              <w:tblStyle w:val="2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294"/>
              <w:gridCol w:w="4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top w:val="single" w:color="auto" w:sz="8" w:space="0"/>
                    <w:left w:val="nil"/>
                    <w:bottom w:val="single" w:color="auto" w:sz="8" w:space="0"/>
                  </w:tcBorders>
                  <w:noWrap w:val="0"/>
                  <w:vAlign w:val="center"/>
                </w:tcPr>
                <w:p>
                  <w:pPr>
                    <w:adjustRightInd w:val="0"/>
                    <w:snapToGrid w:val="0"/>
                    <w:jc w:val="center"/>
                    <w:rPr>
                      <w:b/>
                      <w:szCs w:val="21"/>
                    </w:rPr>
                  </w:pPr>
                  <w:r>
                    <w:rPr>
                      <w:rFonts w:hAnsi="宋体"/>
                      <w:b/>
                      <w:szCs w:val="21"/>
                    </w:rPr>
                    <w:t>序号</w:t>
                  </w:r>
                </w:p>
              </w:tc>
              <w:tc>
                <w:tcPr>
                  <w:tcW w:w="2295" w:type="dxa"/>
                  <w:tcBorders>
                    <w:top w:val="single" w:color="auto" w:sz="8" w:space="0"/>
                    <w:left w:val="nil"/>
                    <w:bottom w:val="single" w:color="auto" w:sz="8" w:space="0"/>
                  </w:tcBorders>
                  <w:noWrap w:val="0"/>
                  <w:vAlign w:val="center"/>
                </w:tcPr>
                <w:p>
                  <w:pPr>
                    <w:adjustRightInd w:val="0"/>
                    <w:snapToGrid w:val="0"/>
                    <w:jc w:val="center"/>
                    <w:rPr>
                      <w:b/>
                      <w:szCs w:val="21"/>
                    </w:rPr>
                  </w:pPr>
                  <w:r>
                    <w:rPr>
                      <w:rFonts w:hAnsi="宋体"/>
                      <w:b/>
                      <w:szCs w:val="21"/>
                    </w:rPr>
                    <w:t>污染物</w:t>
                  </w:r>
                </w:p>
              </w:tc>
              <w:tc>
                <w:tcPr>
                  <w:tcW w:w="4327" w:type="dxa"/>
                  <w:tcBorders>
                    <w:top w:val="single" w:color="auto" w:sz="8" w:space="0"/>
                    <w:bottom w:val="single" w:color="auto" w:sz="8" w:space="0"/>
                    <w:right w:val="nil"/>
                  </w:tcBorders>
                  <w:noWrap w:val="0"/>
                  <w:vAlign w:val="center"/>
                </w:tcPr>
                <w:p>
                  <w:pPr>
                    <w:adjustRightInd w:val="0"/>
                    <w:snapToGrid w:val="0"/>
                    <w:jc w:val="center"/>
                    <w:rPr>
                      <w:b/>
                      <w:szCs w:val="21"/>
                    </w:rPr>
                  </w:pPr>
                  <w:r>
                    <w:rPr>
                      <w:rFonts w:hAnsi="宋体"/>
                      <w:b/>
                      <w:szCs w:val="21"/>
                    </w:rPr>
                    <w:t>筛选值第二类用地标准限值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w:t>
                  </w:r>
                </w:p>
              </w:tc>
              <w:tc>
                <w:tcPr>
                  <w:tcW w:w="2295" w:type="dxa"/>
                  <w:tcBorders>
                    <w:left w:val="nil"/>
                  </w:tcBorders>
                  <w:noWrap w:val="0"/>
                  <w:vAlign w:val="center"/>
                </w:tcPr>
                <w:p>
                  <w:pPr>
                    <w:adjustRightInd w:val="0"/>
                    <w:snapToGrid w:val="0"/>
                    <w:jc w:val="center"/>
                    <w:rPr>
                      <w:szCs w:val="21"/>
                    </w:rPr>
                  </w:pPr>
                  <w:r>
                    <w:rPr>
                      <w:szCs w:val="21"/>
                    </w:rPr>
                    <w:t>pH</w:t>
                  </w:r>
                </w:p>
              </w:tc>
              <w:tc>
                <w:tcPr>
                  <w:tcW w:w="4327" w:type="dxa"/>
                  <w:tcBorders>
                    <w:top w:val="single" w:color="auto" w:sz="8" w:space="0"/>
                    <w:bottom w:val="single" w:color="auto" w:sz="4" w:space="0"/>
                    <w:right w:val="nil"/>
                  </w:tcBorders>
                  <w:noWrap w:val="0"/>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w:t>
                  </w:r>
                </w:p>
              </w:tc>
              <w:tc>
                <w:tcPr>
                  <w:tcW w:w="2295" w:type="dxa"/>
                  <w:tcBorders>
                    <w:left w:val="nil"/>
                  </w:tcBorders>
                  <w:noWrap w:val="0"/>
                  <w:vAlign w:val="center"/>
                </w:tcPr>
                <w:p>
                  <w:pPr>
                    <w:adjustRightInd w:val="0"/>
                    <w:snapToGrid w:val="0"/>
                    <w:jc w:val="center"/>
                    <w:rPr>
                      <w:szCs w:val="21"/>
                    </w:rPr>
                  </w:pPr>
                  <w:r>
                    <w:rPr>
                      <w:rFonts w:hAnsi="宋体"/>
                      <w:szCs w:val="21"/>
                    </w:rPr>
                    <w:t>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w:t>
                  </w:r>
                </w:p>
              </w:tc>
              <w:tc>
                <w:tcPr>
                  <w:tcW w:w="2295" w:type="dxa"/>
                  <w:tcBorders>
                    <w:left w:val="nil"/>
                  </w:tcBorders>
                  <w:noWrap w:val="0"/>
                  <w:vAlign w:val="center"/>
                </w:tcPr>
                <w:p>
                  <w:pPr>
                    <w:adjustRightInd w:val="0"/>
                    <w:snapToGrid w:val="0"/>
                    <w:jc w:val="center"/>
                    <w:rPr>
                      <w:szCs w:val="21"/>
                    </w:rPr>
                  </w:pPr>
                  <w:r>
                    <w:rPr>
                      <w:rFonts w:hAnsi="宋体"/>
                      <w:szCs w:val="21"/>
                    </w:rPr>
                    <w:t>镉</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w:t>
                  </w:r>
                </w:p>
              </w:tc>
              <w:tc>
                <w:tcPr>
                  <w:tcW w:w="2295" w:type="dxa"/>
                  <w:tcBorders>
                    <w:left w:val="nil"/>
                  </w:tcBorders>
                  <w:noWrap w:val="0"/>
                  <w:vAlign w:val="center"/>
                </w:tcPr>
                <w:p>
                  <w:pPr>
                    <w:adjustRightInd w:val="0"/>
                    <w:snapToGrid w:val="0"/>
                    <w:jc w:val="center"/>
                    <w:rPr>
                      <w:szCs w:val="21"/>
                    </w:rPr>
                  </w:pPr>
                  <w:r>
                    <w:rPr>
                      <w:rFonts w:hAnsi="宋体"/>
                      <w:szCs w:val="21"/>
                    </w:rPr>
                    <w:t>六价铬</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5</w:t>
                  </w:r>
                </w:p>
              </w:tc>
              <w:tc>
                <w:tcPr>
                  <w:tcW w:w="2295" w:type="dxa"/>
                  <w:tcBorders>
                    <w:left w:val="nil"/>
                  </w:tcBorders>
                  <w:noWrap w:val="0"/>
                  <w:vAlign w:val="center"/>
                </w:tcPr>
                <w:p>
                  <w:pPr>
                    <w:adjustRightInd w:val="0"/>
                    <w:snapToGrid w:val="0"/>
                    <w:jc w:val="center"/>
                    <w:rPr>
                      <w:szCs w:val="21"/>
                    </w:rPr>
                  </w:pPr>
                  <w:r>
                    <w:rPr>
                      <w:rFonts w:hAnsi="宋体"/>
                      <w:szCs w:val="21"/>
                    </w:rPr>
                    <w:t>铜</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18000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6</w:t>
                  </w:r>
                </w:p>
              </w:tc>
              <w:tc>
                <w:tcPr>
                  <w:tcW w:w="2295" w:type="dxa"/>
                  <w:tcBorders>
                    <w:left w:val="nil"/>
                  </w:tcBorders>
                  <w:noWrap w:val="0"/>
                  <w:vAlign w:val="center"/>
                </w:tcPr>
                <w:p>
                  <w:pPr>
                    <w:adjustRightInd w:val="0"/>
                    <w:snapToGrid w:val="0"/>
                    <w:jc w:val="center"/>
                    <w:rPr>
                      <w:szCs w:val="21"/>
                    </w:rPr>
                  </w:pPr>
                  <w:r>
                    <w:rPr>
                      <w:rFonts w:hAnsi="宋体"/>
                      <w:szCs w:val="21"/>
                    </w:rPr>
                    <w:t>铅</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7</w:t>
                  </w:r>
                </w:p>
              </w:tc>
              <w:tc>
                <w:tcPr>
                  <w:tcW w:w="2295" w:type="dxa"/>
                  <w:tcBorders>
                    <w:left w:val="nil"/>
                  </w:tcBorders>
                  <w:noWrap w:val="0"/>
                  <w:vAlign w:val="center"/>
                </w:tcPr>
                <w:p>
                  <w:pPr>
                    <w:adjustRightInd w:val="0"/>
                    <w:snapToGrid w:val="0"/>
                    <w:jc w:val="center"/>
                    <w:rPr>
                      <w:szCs w:val="21"/>
                    </w:rPr>
                  </w:pPr>
                  <w:r>
                    <w:rPr>
                      <w:rFonts w:hAnsi="宋体"/>
                      <w:szCs w:val="21"/>
                    </w:rPr>
                    <w:t>汞</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8</w:t>
                  </w:r>
                </w:p>
              </w:tc>
              <w:tc>
                <w:tcPr>
                  <w:tcW w:w="2295" w:type="dxa"/>
                  <w:tcBorders>
                    <w:left w:val="nil"/>
                  </w:tcBorders>
                  <w:noWrap w:val="0"/>
                  <w:vAlign w:val="center"/>
                </w:tcPr>
                <w:p>
                  <w:pPr>
                    <w:adjustRightInd w:val="0"/>
                    <w:snapToGrid w:val="0"/>
                    <w:jc w:val="center"/>
                    <w:rPr>
                      <w:szCs w:val="21"/>
                    </w:rPr>
                  </w:pPr>
                  <w:r>
                    <w:rPr>
                      <w:rFonts w:hAnsi="宋体"/>
                      <w:szCs w:val="21"/>
                    </w:rPr>
                    <w:t>镍</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9</w:t>
                  </w:r>
                </w:p>
              </w:tc>
              <w:tc>
                <w:tcPr>
                  <w:tcW w:w="2295" w:type="dxa"/>
                  <w:tcBorders>
                    <w:left w:val="nil"/>
                  </w:tcBorders>
                  <w:noWrap w:val="0"/>
                  <w:vAlign w:val="center"/>
                </w:tcPr>
                <w:p>
                  <w:pPr>
                    <w:adjustRightInd w:val="0"/>
                    <w:snapToGrid w:val="0"/>
                    <w:jc w:val="center"/>
                    <w:rPr>
                      <w:szCs w:val="21"/>
                    </w:rPr>
                  </w:pPr>
                  <w:r>
                    <w:rPr>
                      <w:rFonts w:hAnsi="宋体"/>
                      <w:szCs w:val="21"/>
                    </w:rPr>
                    <w:t>四氯化碳</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10</w:t>
                  </w:r>
                </w:p>
              </w:tc>
              <w:tc>
                <w:tcPr>
                  <w:tcW w:w="2295" w:type="dxa"/>
                  <w:tcBorders>
                    <w:left w:val="nil"/>
                  </w:tcBorders>
                  <w:noWrap w:val="0"/>
                  <w:vAlign w:val="center"/>
                </w:tcPr>
                <w:p>
                  <w:pPr>
                    <w:adjustRightInd w:val="0"/>
                    <w:snapToGrid w:val="0"/>
                    <w:jc w:val="center"/>
                    <w:rPr>
                      <w:szCs w:val="21"/>
                    </w:rPr>
                  </w:pPr>
                  <w:r>
                    <w:rPr>
                      <w:rFonts w:hAnsi="宋体"/>
                      <w:szCs w:val="21"/>
                    </w:rPr>
                    <w:t>氯仿</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11</w:t>
                  </w:r>
                </w:p>
              </w:tc>
              <w:tc>
                <w:tcPr>
                  <w:tcW w:w="2295" w:type="dxa"/>
                  <w:tcBorders>
                    <w:left w:val="nil"/>
                  </w:tcBorders>
                  <w:noWrap w:val="0"/>
                  <w:vAlign w:val="center"/>
                </w:tcPr>
                <w:p>
                  <w:pPr>
                    <w:adjustRightInd w:val="0"/>
                    <w:snapToGrid w:val="0"/>
                    <w:jc w:val="center"/>
                    <w:rPr>
                      <w:szCs w:val="21"/>
                    </w:rPr>
                  </w:pPr>
                  <w:r>
                    <w:rPr>
                      <w:rFonts w:hAnsi="宋体"/>
                      <w:szCs w:val="21"/>
                    </w:rPr>
                    <w:t>氯甲烷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12</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二氯乙烷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13</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2-</w:t>
                  </w:r>
                  <w:r>
                    <w:rPr>
                      <w:rFonts w:hAnsi="宋体"/>
                      <w:szCs w:val="21"/>
                    </w:rPr>
                    <w:t>二氯乙烷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bottom w:val="single" w:color="auto" w:sz="4" w:space="0"/>
                  </w:tcBorders>
                  <w:noWrap w:val="0"/>
                  <w:vAlign w:val="center"/>
                </w:tcPr>
                <w:p>
                  <w:pPr>
                    <w:adjustRightInd w:val="0"/>
                    <w:snapToGrid w:val="0"/>
                    <w:jc w:val="center"/>
                    <w:rPr>
                      <w:szCs w:val="21"/>
                    </w:rPr>
                  </w:pPr>
                  <w:r>
                    <w:rPr>
                      <w:rFonts w:hint="eastAsia"/>
                      <w:szCs w:val="21"/>
                    </w:rPr>
                    <w:t>14</w:t>
                  </w:r>
                </w:p>
              </w:tc>
              <w:tc>
                <w:tcPr>
                  <w:tcW w:w="2295" w:type="dxa"/>
                  <w:tcBorders>
                    <w:left w:val="nil"/>
                    <w:bottom w:val="single" w:color="auto" w:sz="4" w:space="0"/>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二氯乙烯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top w:val="single" w:color="auto" w:sz="4" w:space="0"/>
                    <w:left w:val="nil"/>
                  </w:tcBorders>
                  <w:noWrap w:val="0"/>
                  <w:vAlign w:val="center"/>
                </w:tcPr>
                <w:p>
                  <w:pPr>
                    <w:adjustRightInd w:val="0"/>
                    <w:snapToGrid w:val="0"/>
                    <w:jc w:val="center"/>
                    <w:rPr>
                      <w:szCs w:val="21"/>
                    </w:rPr>
                  </w:pPr>
                  <w:r>
                    <w:rPr>
                      <w:rFonts w:hint="eastAsia"/>
                      <w:szCs w:val="21"/>
                    </w:rPr>
                    <w:t>15</w:t>
                  </w:r>
                </w:p>
              </w:tc>
              <w:tc>
                <w:tcPr>
                  <w:tcW w:w="2295" w:type="dxa"/>
                  <w:tcBorders>
                    <w:top w:val="single" w:color="auto" w:sz="4" w:space="0"/>
                    <w:left w:val="nil"/>
                  </w:tcBorders>
                  <w:noWrap w:val="0"/>
                  <w:vAlign w:val="center"/>
                </w:tcPr>
                <w:p>
                  <w:pPr>
                    <w:adjustRightInd w:val="0"/>
                    <w:snapToGrid w:val="0"/>
                    <w:jc w:val="center"/>
                    <w:rPr>
                      <w:szCs w:val="21"/>
                    </w:rPr>
                  </w:pPr>
                  <w:r>
                    <w:rPr>
                      <w:rFonts w:hAnsi="宋体"/>
                      <w:szCs w:val="21"/>
                    </w:rPr>
                    <w:t>顺</w:t>
                  </w:r>
                  <w:r>
                    <w:rPr>
                      <w:szCs w:val="21"/>
                    </w:rPr>
                    <w:t>-1</w:t>
                  </w:r>
                  <w:r>
                    <w:rPr>
                      <w:rFonts w:hAnsi="宋体"/>
                      <w:szCs w:val="21"/>
                    </w:rPr>
                    <w:t>，</w:t>
                  </w:r>
                  <w:r>
                    <w:rPr>
                      <w:szCs w:val="21"/>
                    </w:rPr>
                    <w:t>2-</w:t>
                  </w:r>
                  <w:r>
                    <w:rPr>
                      <w:rFonts w:hAnsi="宋体"/>
                      <w:szCs w:val="21"/>
                    </w:rPr>
                    <w:t>二氯乙烯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top w:val="single" w:color="auto" w:sz="4" w:space="0"/>
                    <w:left w:val="nil"/>
                  </w:tcBorders>
                  <w:noWrap w:val="0"/>
                  <w:vAlign w:val="center"/>
                </w:tcPr>
                <w:p>
                  <w:pPr>
                    <w:adjustRightInd w:val="0"/>
                    <w:snapToGrid w:val="0"/>
                    <w:jc w:val="center"/>
                    <w:rPr>
                      <w:szCs w:val="21"/>
                    </w:rPr>
                  </w:pPr>
                  <w:r>
                    <w:rPr>
                      <w:rFonts w:hint="eastAsia"/>
                      <w:szCs w:val="21"/>
                    </w:rPr>
                    <w:t>16</w:t>
                  </w:r>
                </w:p>
              </w:tc>
              <w:tc>
                <w:tcPr>
                  <w:tcW w:w="2295" w:type="dxa"/>
                  <w:tcBorders>
                    <w:top w:val="single" w:color="auto" w:sz="4" w:space="0"/>
                    <w:left w:val="nil"/>
                  </w:tcBorders>
                  <w:noWrap w:val="0"/>
                  <w:vAlign w:val="center"/>
                </w:tcPr>
                <w:p>
                  <w:pPr>
                    <w:adjustRightInd w:val="0"/>
                    <w:snapToGrid w:val="0"/>
                    <w:jc w:val="center"/>
                    <w:rPr>
                      <w:szCs w:val="21"/>
                    </w:rPr>
                  </w:pPr>
                  <w:r>
                    <w:rPr>
                      <w:rFonts w:hAnsi="宋体"/>
                      <w:szCs w:val="21"/>
                    </w:rPr>
                    <w:t>反</w:t>
                  </w:r>
                  <w:r>
                    <w:rPr>
                      <w:szCs w:val="21"/>
                    </w:rPr>
                    <w:t>-1</w:t>
                  </w:r>
                  <w:r>
                    <w:rPr>
                      <w:rFonts w:hAnsi="宋体"/>
                      <w:szCs w:val="21"/>
                    </w:rPr>
                    <w:t>，</w:t>
                  </w:r>
                  <w:r>
                    <w:rPr>
                      <w:szCs w:val="21"/>
                    </w:rPr>
                    <w:t>2-</w:t>
                  </w:r>
                  <w:r>
                    <w:rPr>
                      <w:rFonts w:hAnsi="宋体"/>
                      <w:szCs w:val="21"/>
                    </w:rPr>
                    <w:t>二氯乙烯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top w:val="single" w:color="auto" w:sz="4" w:space="0"/>
                    <w:left w:val="nil"/>
                  </w:tcBorders>
                  <w:noWrap w:val="0"/>
                  <w:vAlign w:val="center"/>
                </w:tcPr>
                <w:p>
                  <w:pPr>
                    <w:adjustRightInd w:val="0"/>
                    <w:snapToGrid w:val="0"/>
                    <w:jc w:val="center"/>
                    <w:rPr>
                      <w:szCs w:val="21"/>
                    </w:rPr>
                  </w:pPr>
                  <w:r>
                    <w:rPr>
                      <w:rFonts w:hint="eastAsia"/>
                      <w:szCs w:val="21"/>
                    </w:rPr>
                    <w:t>17</w:t>
                  </w:r>
                </w:p>
              </w:tc>
              <w:tc>
                <w:tcPr>
                  <w:tcW w:w="2295" w:type="dxa"/>
                  <w:tcBorders>
                    <w:top w:val="single" w:color="auto" w:sz="4" w:space="0"/>
                    <w:left w:val="nil"/>
                  </w:tcBorders>
                  <w:noWrap w:val="0"/>
                  <w:vAlign w:val="center"/>
                </w:tcPr>
                <w:p>
                  <w:pPr>
                    <w:adjustRightInd w:val="0"/>
                    <w:snapToGrid w:val="0"/>
                    <w:jc w:val="center"/>
                    <w:rPr>
                      <w:szCs w:val="21"/>
                    </w:rPr>
                  </w:pPr>
                  <w:r>
                    <w:rPr>
                      <w:rFonts w:hAnsi="宋体"/>
                      <w:szCs w:val="21"/>
                    </w:rPr>
                    <w:t>二氯甲烷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18</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2-</w:t>
                  </w:r>
                  <w:r>
                    <w:rPr>
                      <w:rFonts w:hAnsi="宋体"/>
                      <w:szCs w:val="21"/>
                    </w:rPr>
                    <w:t>二氯丙烷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19</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w:t>
                  </w:r>
                  <w:r>
                    <w:rPr>
                      <w:szCs w:val="21"/>
                    </w:rPr>
                    <w:t>1</w:t>
                  </w:r>
                  <w:r>
                    <w:rPr>
                      <w:rFonts w:hAnsi="宋体"/>
                      <w:szCs w:val="21"/>
                    </w:rPr>
                    <w:t>，</w:t>
                  </w:r>
                  <w:r>
                    <w:rPr>
                      <w:szCs w:val="21"/>
                    </w:rPr>
                    <w:t>2-</w:t>
                  </w:r>
                  <w:r>
                    <w:rPr>
                      <w:rFonts w:hAnsi="宋体"/>
                      <w:szCs w:val="21"/>
                    </w:rPr>
                    <w:t>四氯乙烷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20</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w:t>
                  </w:r>
                  <w:r>
                    <w:rPr>
                      <w:szCs w:val="21"/>
                    </w:rPr>
                    <w:t>2</w:t>
                  </w:r>
                  <w:r>
                    <w:rPr>
                      <w:rFonts w:hAnsi="宋体"/>
                      <w:szCs w:val="21"/>
                    </w:rPr>
                    <w:t>，</w:t>
                  </w:r>
                  <w:r>
                    <w:rPr>
                      <w:szCs w:val="21"/>
                    </w:rPr>
                    <w:t>2-</w:t>
                  </w:r>
                  <w:r>
                    <w:rPr>
                      <w:rFonts w:hAnsi="宋体"/>
                      <w:szCs w:val="21"/>
                    </w:rPr>
                    <w:t>四氯乙烷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21</w:t>
                  </w:r>
                </w:p>
              </w:tc>
              <w:tc>
                <w:tcPr>
                  <w:tcW w:w="2295" w:type="dxa"/>
                  <w:tcBorders>
                    <w:left w:val="nil"/>
                  </w:tcBorders>
                  <w:noWrap w:val="0"/>
                  <w:vAlign w:val="center"/>
                </w:tcPr>
                <w:p>
                  <w:pPr>
                    <w:adjustRightInd w:val="0"/>
                    <w:snapToGrid w:val="0"/>
                    <w:jc w:val="center"/>
                    <w:rPr>
                      <w:szCs w:val="21"/>
                    </w:rPr>
                  </w:pPr>
                  <w:r>
                    <w:rPr>
                      <w:rFonts w:hAnsi="宋体"/>
                      <w:szCs w:val="21"/>
                    </w:rPr>
                    <w:t>四氯乙烯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22</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w:t>
                  </w:r>
                  <w:r>
                    <w:rPr>
                      <w:szCs w:val="21"/>
                    </w:rPr>
                    <w:t>1-</w:t>
                  </w:r>
                  <w:r>
                    <w:rPr>
                      <w:rFonts w:hAnsi="宋体"/>
                      <w:szCs w:val="21"/>
                    </w:rPr>
                    <w:t>三氯乙烷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840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23</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1</w:t>
                  </w:r>
                  <w:r>
                    <w:rPr>
                      <w:rFonts w:hAnsi="宋体"/>
                      <w:szCs w:val="21"/>
                    </w:rPr>
                    <w:t>，</w:t>
                  </w:r>
                  <w:r>
                    <w:rPr>
                      <w:szCs w:val="21"/>
                    </w:rPr>
                    <w:t>2-</w:t>
                  </w:r>
                  <w:r>
                    <w:rPr>
                      <w:rFonts w:hAnsi="宋体"/>
                      <w:szCs w:val="21"/>
                    </w:rPr>
                    <w:t>三氯乙烷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24</w:t>
                  </w:r>
                </w:p>
              </w:tc>
              <w:tc>
                <w:tcPr>
                  <w:tcW w:w="2295" w:type="dxa"/>
                  <w:tcBorders>
                    <w:left w:val="nil"/>
                  </w:tcBorders>
                  <w:noWrap w:val="0"/>
                  <w:vAlign w:val="center"/>
                </w:tcPr>
                <w:p>
                  <w:pPr>
                    <w:adjustRightInd w:val="0"/>
                    <w:snapToGrid w:val="0"/>
                    <w:jc w:val="center"/>
                    <w:rPr>
                      <w:szCs w:val="21"/>
                    </w:rPr>
                  </w:pPr>
                  <w:r>
                    <w:rPr>
                      <w:rFonts w:hAnsi="宋体"/>
                      <w:szCs w:val="21"/>
                    </w:rPr>
                    <w:t>三氯乙烯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25</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2</w:t>
                  </w:r>
                  <w:r>
                    <w:rPr>
                      <w:rFonts w:hAnsi="宋体"/>
                      <w:szCs w:val="21"/>
                    </w:rPr>
                    <w:t>，</w:t>
                  </w:r>
                  <w:r>
                    <w:rPr>
                      <w:szCs w:val="21"/>
                    </w:rPr>
                    <w:t>3-</w:t>
                  </w:r>
                  <w:r>
                    <w:rPr>
                      <w:rFonts w:hAnsi="宋体"/>
                      <w:szCs w:val="21"/>
                    </w:rPr>
                    <w:t>三氯丙烷</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26</w:t>
                  </w:r>
                </w:p>
              </w:tc>
              <w:tc>
                <w:tcPr>
                  <w:tcW w:w="2295" w:type="dxa"/>
                  <w:tcBorders>
                    <w:left w:val="nil"/>
                  </w:tcBorders>
                  <w:noWrap w:val="0"/>
                  <w:vAlign w:val="center"/>
                </w:tcPr>
                <w:p>
                  <w:pPr>
                    <w:adjustRightInd w:val="0"/>
                    <w:snapToGrid w:val="0"/>
                    <w:jc w:val="center"/>
                    <w:rPr>
                      <w:szCs w:val="21"/>
                    </w:rPr>
                  </w:pPr>
                  <w:r>
                    <w:rPr>
                      <w:rFonts w:hAnsi="宋体"/>
                      <w:szCs w:val="21"/>
                    </w:rPr>
                    <w:t>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0.43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27</w:t>
                  </w:r>
                </w:p>
              </w:tc>
              <w:tc>
                <w:tcPr>
                  <w:tcW w:w="2295" w:type="dxa"/>
                  <w:tcBorders>
                    <w:left w:val="nil"/>
                  </w:tcBorders>
                  <w:noWrap w:val="0"/>
                  <w:vAlign w:val="center"/>
                </w:tcPr>
                <w:p>
                  <w:pPr>
                    <w:adjustRightInd w:val="0"/>
                    <w:snapToGrid w:val="0"/>
                    <w:jc w:val="center"/>
                    <w:rPr>
                      <w:szCs w:val="21"/>
                    </w:rPr>
                  </w:pPr>
                  <w:r>
                    <w:rPr>
                      <w:rFonts w:hAnsi="宋体"/>
                      <w:szCs w:val="21"/>
                    </w:rPr>
                    <w:t>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28</w:t>
                  </w:r>
                </w:p>
              </w:tc>
              <w:tc>
                <w:tcPr>
                  <w:tcW w:w="2295" w:type="dxa"/>
                  <w:tcBorders>
                    <w:left w:val="nil"/>
                  </w:tcBorders>
                  <w:noWrap w:val="0"/>
                  <w:vAlign w:val="center"/>
                </w:tcPr>
                <w:p>
                  <w:pPr>
                    <w:adjustRightInd w:val="0"/>
                    <w:snapToGrid w:val="0"/>
                    <w:jc w:val="center"/>
                    <w:rPr>
                      <w:szCs w:val="21"/>
                    </w:rPr>
                  </w:pPr>
                  <w:r>
                    <w:rPr>
                      <w:rFonts w:hAnsi="宋体"/>
                      <w:szCs w:val="21"/>
                    </w:rPr>
                    <w:t>氯苯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29</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2-</w:t>
                  </w:r>
                  <w:r>
                    <w:rPr>
                      <w:rFonts w:hAnsi="宋体"/>
                      <w:szCs w:val="21"/>
                    </w:rPr>
                    <w:t>二氯苯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30</w:t>
                  </w:r>
                </w:p>
              </w:tc>
              <w:tc>
                <w:tcPr>
                  <w:tcW w:w="2295" w:type="dxa"/>
                  <w:tcBorders>
                    <w:left w:val="nil"/>
                  </w:tcBorders>
                  <w:noWrap w:val="0"/>
                  <w:vAlign w:val="center"/>
                </w:tcPr>
                <w:p>
                  <w:pPr>
                    <w:adjustRightInd w:val="0"/>
                    <w:snapToGrid w:val="0"/>
                    <w:jc w:val="center"/>
                    <w:rPr>
                      <w:szCs w:val="21"/>
                    </w:rPr>
                  </w:pPr>
                  <w:r>
                    <w:rPr>
                      <w:szCs w:val="21"/>
                    </w:rPr>
                    <w:t>1</w:t>
                  </w:r>
                  <w:r>
                    <w:rPr>
                      <w:rFonts w:hAnsi="宋体"/>
                      <w:szCs w:val="21"/>
                    </w:rPr>
                    <w:t>，</w:t>
                  </w:r>
                  <w:r>
                    <w:rPr>
                      <w:szCs w:val="21"/>
                    </w:rPr>
                    <w:t>4-</w:t>
                  </w:r>
                  <w:r>
                    <w:rPr>
                      <w:rFonts w:hAnsi="宋体"/>
                      <w:szCs w:val="21"/>
                    </w:rPr>
                    <w:t>二氯苯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rFonts w:hint="eastAsia"/>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31</w:t>
                  </w:r>
                </w:p>
              </w:tc>
              <w:tc>
                <w:tcPr>
                  <w:tcW w:w="2295" w:type="dxa"/>
                  <w:tcBorders>
                    <w:left w:val="nil"/>
                  </w:tcBorders>
                  <w:noWrap w:val="0"/>
                  <w:vAlign w:val="center"/>
                </w:tcPr>
                <w:p>
                  <w:pPr>
                    <w:adjustRightInd w:val="0"/>
                    <w:snapToGrid w:val="0"/>
                    <w:jc w:val="center"/>
                    <w:rPr>
                      <w:szCs w:val="21"/>
                    </w:rPr>
                  </w:pPr>
                  <w:r>
                    <w:rPr>
                      <w:rFonts w:hAnsi="宋体"/>
                      <w:szCs w:val="21"/>
                    </w:rPr>
                    <w:t>乙苯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32</w:t>
                  </w:r>
                </w:p>
              </w:tc>
              <w:tc>
                <w:tcPr>
                  <w:tcW w:w="2295" w:type="dxa"/>
                  <w:tcBorders>
                    <w:left w:val="nil"/>
                  </w:tcBorders>
                  <w:noWrap w:val="0"/>
                  <w:vAlign w:val="center"/>
                </w:tcPr>
                <w:p>
                  <w:pPr>
                    <w:adjustRightInd w:val="0"/>
                    <w:snapToGrid w:val="0"/>
                    <w:jc w:val="center"/>
                    <w:rPr>
                      <w:szCs w:val="21"/>
                    </w:rPr>
                  </w:pPr>
                  <w:r>
                    <w:rPr>
                      <w:rFonts w:hAnsi="宋体"/>
                      <w:szCs w:val="21"/>
                    </w:rPr>
                    <w:t>苯乙烯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33</w:t>
                  </w:r>
                </w:p>
              </w:tc>
              <w:tc>
                <w:tcPr>
                  <w:tcW w:w="2295" w:type="dxa"/>
                  <w:tcBorders>
                    <w:left w:val="nil"/>
                  </w:tcBorders>
                  <w:noWrap w:val="0"/>
                  <w:vAlign w:val="center"/>
                </w:tcPr>
                <w:p>
                  <w:pPr>
                    <w:adjustRightInd w:val="0"/>
                    <w:snapToGrid w:val="0"/>
                    <w:jc w:val="center"/>
                    <w:rPr>
                      <w:szCs w:val="21"/>
                    </w:rPr>
                  </w:pPr>
                  <w:r>
                    <w:rPr>
                      <w:rFonts w:hAnsi="宋体"/>
                      <w:szCs w:val="21"/>
                    </w:rPr>
                    <w:t>甲苯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34</w:t>
                  </w:r>
                </w:p>
              </w:tc>
              <w:tc>
                <w:tcPr>
                  <w:tcW w:w="2295" w:type="dxa"/>
                  <w:tcBorders>
                    <w:left w:val="nil"/>
                  </w:tcBorders>
                  <w:noWrap w:val="0"/>
                  <w:vAlign w:val="center"/>
                </w:tcPr>
                <w:p>
                  <w:pPr>
                    <w:adjustRightInd w:val="0"/>
                    <w:snapToGrid w:val="0"/>
                    <w:jc w:val="center"/>
                    <w:rPr>
                      <w:szCs w:val="21"/>
                    </w:rPr>
                  </w:pPr>
                  <w:r>
                    <w:rPr>
                      <w:rFonts w:hAnsi="宋体"/>
                      <w:szCs w:val="21"/>
                    </w:rPr>
                    <w:t>间二甲苯</w:t>
                  </w:r>
                  <w:r>
                    <w:rPr>
                      <w:szCs w:val="21"/>
                    </w:rPr>
                    <w:t>+</w:t>
                  </w:r>
                  <w:r>
                    <w:rPr>
                      <w:rFonts w:hAnsi="宋体"/>
                      <w:szCs w:val="21"/>
                    </w:rPr>
                    <w:t>对二甲苯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570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35</w:t>
                  </w:r>
                </w:p>
              </w:tc>
              <w:tc>
                <w:tcPr>
                  <w:tcW w:w="2295" w:type="dxa"/>
                  <w:tcBorders>
                    <w:left w:val="nil"/>
                  </w:tcBorders>
                  <w:noWrap w:val="0"/>
                  <w:vAlign w:val="center"/>
                </w:tcPr>
                <w:p>
                  <w:pPr>
                    <w:adjustRightInd w:val="0"/>
                    <w:snapToGrid w:val="0"/>
                    <w:jc w:val="center"/>
                    <w:rPr>
                      <w:szCs w:val="21"/>
                    </w:rPr>
                  </w:pPr>
                  <w:r>
                    <w:rPr>
                      <w:rFonts w:hAnsi="宋体"/>
                      <w:szCs w:val="21"/>
                    </w:rPr>
                    <w:t>邻二甲苯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36</w:t>
                  </w:r>
                </w:p>
              </w:tc>
              <w:tc>
                <w:tcPr>
                  <w:tcW w:w="2295" w:type="dxa"/>
                  <w:tcBorders>
                    <w:left w:val="nil"/>
                  </w:tcBorders>
                  <w:noWrap w:val="0"/>
                  <w:vAlign w:val="center"/>
                </w:tcPr>
                <w:p>
                  <w:pPr>
                    <w:adjustRightInd w:val="0"/>
                    <w:snapToGrid w:val="0"/>
                    <w:jc w:val="center"/>
                    <w:rPr>
                      <w:szCs w:val="21"/>
                    </w:rPr>
                  </w:pPr>
                  <w:r>
                    <w:rPr>
                      <w:rFonts w:hAnsi="宋体"/>
                      <w:szCs w:val="21"/>
                    </w:rPr>
                    <w:t>硝基苯</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37</w:t>
                  </w:r>
                </w:p>
              </w:tc>
              <w:tc>
                <w:tcPr>
                  <w:tcW w:w="2295" w:type="dxa"/>
                  <w:tcBorders>
                    <w:left w:val="nil"/>
                  </w:tcBorders>
                  <w:noWrap w:val="0"/>
                  <w:vAlign w:val="center"/>
                </w:tcPr>
                <w:p>
                  <w:pPr>
                    <w:adjustRightInd w:val="0"/>
                    <w:snapToGrid w:val="0"/>
                    <w:jc w:val="center"/>
                    <w:rPr>
                      <w:szCs w:val="21"/>
                    </w:rPr>
                  </w:pPr>
                  <w:r>
                    <w:rPr>
                      <w:rFonts w:hAnsi="宋体"/>
                      <w:szCs w:val="21"/>
                    </w:rPr>
                    <w:t>苯胺</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38</w:t>
                  </w:r>
                </w:p>
              </w:tc>
              <w:tc>
                <w:tcPr>
                  <w:tcW w:w="2295" w:type="dxa"/>
                  <w:tcBorders>
                    <w:left w:val="nil"/>
                  </w:tcBorders>
                  <w:noWrap w:val="0"/>
                  <w:vAlign w:val="center"/>
                </w:tcPr>
                <w:p>
                  <w:pPr>
                    <w:adjustRightInd w:val="0"/>
                    <w:snapToGrid w:val="0"/>
                    <w:jc w:val="center"/>
                    <w:rPr>
                      <w:szCs w:val="21"/>
                    </w:rPr>
                  </w:pPr>
                  <w:r>
                    <w:rPr>
                      <w:szCs w:val="21"/>
                    </w:rPr>
                    <w:t>2-</w:t>
                  </w:r>
                  <w:r>
                    <w:rPr>
                      <w:rFonts w:hAnsi="宋体"/>
                      <w:szCs w:val="21"/>
                    </w:rPr>
                    <w:t>氯酚</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2256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39</w:t>
                  </w:r>
                </w:p>
              </w:tc>
              <w:tc>
                <w:tcPr>
                  <w:tcW w:w="2295" w:type="dxa"/>
                  <w:tcBorders>
                    <w:left w:val="nil"/>
                  </w:tcBorders>
                  <w:noWrap w:val="0"/>
                  <w:vAlign w:val="center"/>
                </w:tcPr>
                <w:p>
                  <w:pPr>
                    <w:adjustRightInd w:val="0"/>
                    <w:snapToGrid w:val="0"/>
                    <w:jc w:val="center"/>
                    <w:rPr>
                      <w:szCs w:val="21"/>
                    </w:rPr>
                  </w:pPr>
                  <w:r>
                    <w:rPr>
                      <w:rFonts w:hAnsi="宋体"/>
                      <w:szCs w:val="21"/>
                    </w:rPr>
                    <w:t>苯并［</w:t>
                  </w:r>
                  <w:r>
                    <w:rPr>
                      <w:szCs w:val="21"/>
                    </w:rPr>
                    <w:t>a</w:t>
                  </w:r>
                  <w:r>
                    <w:rPr>
                      <w:rFonts w:hAnsi="宋体"/>
                      <w:szCs w:val="21"/>
                    </w:rPr>
                    <w:t>］蒽</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40</w:t>
                  </w:r>
                </w:p>
              </w:tc>
              <w:tc>
                <w:tcPr>
                  <w:tcW w:w="2295" w:type="dxa"/>
                  <w:tcBorders>
                    <w:left w:val="nil"/>
                  </w:tcBorders>
                  <w:noWrap w:val="0"/>
                  <w:vAlign w:val="center"/>
                </w:tcPr>
                <w:p>
                  <w:pPr>
                    <w:adjustRightInd w:val="0"/>
                    <w:snapToGrid w:val="0"/>
                    <w:jc w:val="center"/>
                    <w:rPr>
                      <w:szCs w:val="21"/>
                    </w:rPr>
                  </w:pPr>
                  <w:r>
                    <w:rPr>
                      <w:rFonts w:hAnsi="宋体"/>
                      <w:szCs w:val="21"/>
                    </w:rPr>
                    <w:t>苯并［</w:t>
                  </w:r>
                  <w:r>
                    <w:rPr>
                      <w:szCs w:val="21"/>
                    </w:rPr>
                    <w:t>a</w:t>
                  </w:r>
                  <w:r>
                    <w:rPr>
                      <w:rFonts w:hAnsi="宋体"/>
                      <w:szCs w:val="21"/>
                    </w:rPr>
                    <w:t>］芘</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41</w:t>
                  </w:r>
                </w:p>
              </w:tc>
              <w:tc>
                <w:tcPr>
                  <w:tcW w:w="2295" w:type="dxa"/>
                  <w:tcBorders>
                    <w:left w:val="nil"/>
                  </w:tcBorders>
                  <w:noWrap w:val="0"/>
                  <w:vAlign w:val="center"/>
                </w:tcPr>
                <w:p>
                  <w:pPr>
                    <w:adjustRightInd w:val="0"/>
                    <w:snapToGrid w:val="0"/>
                    <w:jc w:val="center"/>
                    <w:rPr>
                      <w:szCs w:val="21"/>
                    </w:rPr>
                  </w:pPr>
                  <w:r>
                    <w:rPr>
                      <w:rFonts w:hAnsi="宋体"/>
                      <w:szCs w:val="21"/>
                    </w:rPr>
                    <w:t>苯并［</w:t>
                  </w:r>
                  <w:r>
                    <w:rPr>
                      <w:szCs w:val="21"/>
                    </w:rPr>
                    <w:t>b</w:t>
                  </w:r>
                  <w:r>
                    <w:rPr>
                      <w:rFonts w:hAnsi="宋体"/>
                      <w:szCs w:val="21"/>
                    </w:rPr>
                    <w:t>］荧蒽</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42</w:t>
                  </w:r>
                </w:p>
              </w:tc>
              <w:tc>
                <w:tcPr>
                  <w:tcW w:w="2295" w:type="dxa"/>
                  <w:tcBorders>
                    <w:left w:val="nil"/>
                  </w:tcBorders>
                  <w:noWrap w:val="0"/>
                  <w:vAlign w:val="center"/>
                </w:tcPr>
                <w:p>
                  <w:pPr>
                    <w:adjustRightInd w:val="0"/>
                    <w:snapToGrid w:val="0"/>
                    <w:jc w:val="center"/>
                    <w:rPr>
                      <w:szCs w:val="21"/>
                    </w:rPr>
                  </w:pPr>
                  <w:r>
                    <w:rPr>
                      <w:rFonts w:hAnsi="宋体"/>
                      <w:szCs w:val="21"/>
                    </w:rPr>
                    <w:t>苯并［</w:t>
                  </w:r>
                  <w:r>
                    <w:rPr>
                      <w:szCs w:val="21"/>
                    </w:rPr>
                    <w:t>k</w:t>
                  </w:r>
                  <w:r>
                    <w:rPr>
                      <w:rFonts w:hAnsi="宋体"/>
                      <w:szCs w:val="21"/>
                    </w:rPr>
                    <w:t>］荧蒽</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43</w:t>
                  </w:r>
                </w:p>
              </w:tc>
              <w:tc>
                <w:tcPr>
                  <w:tcW w:w="2295" w:type="dxa"/>
                  <w:tcBorders>
                    <w:left w:val="nil"/>
                  </w:tcBorders>
                  <w:noWrap w:val="0"/>
                  <w:vAlign w:val="center"/>
                </w:tcPr>
                <w:p>
                  <w:pPr>
                    <w:adjustRightInd w:val="0"/>
                    <w:snapToGrid w:val="0"/>
                    <w:jc w:val="center"/>
                    <w:rPr>
                      <w:szCs w:val="21"/>
                    </w:rPr>
                  </w:pPr>
                  <w:r>
                    <w:rPr>
                      <w:rFonts w:hAnsi="宋体"/>
                      <w:szCs w:val="21"/>
                    </w:rPr>
                    <w:t>䓛</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44</w:t>
                  </w:r>
                </w:p>
              </w:tc>
              <w:tc>
                <w:tcPr>
                  <w:tcW w:w="2295" w:type="dxa"/>
                  <w:tcBorders>
                    <w:left w:val="nil"/>
                  </w:tcBorders>
                  <w:noWrap w:val="0"/>
                  <w:vAlign w:val="center"/>
                </w:tcPr>
                <w:p>
                  <w:pPr>
                    <w:adjustRightInd w:val="0"/>
                    <w:snapToGrid w:val="0"/>
                    <w:jc w:val="center"/>
                    <w:rPr>
                      <w:szCs w:val="21"/>
                    </w:rPr>
                  </w:pPr>
                  <w:r>
                    <w:rPr>
                      <w:rFonts w:hAnsi="宋体"/>
                      <w:szCs w:val="21"/>
                    </w:rPr>
                    <w:t>二苯并［</w:t>
                  </w:r>
                  <w:r>
                    <w:rPr>
                      <w:szCs w:val="21"/>
                    </w:rPr>
                    <w:t>a</w:t>
                  </w:r>
                  <w:r>
                    <w:rPr>
                      <w:rFonts w:hAnsi="宋体"/>
                      <w:szCs w:val="21"/>
                    </w:rPr>
                    <w:t>，</w:t>
                  </w:r>
                  <w:r>
                    <w:rPr>
                      <w:szCs w:val="21"/>
                    </w:rPr>
                    <w:t>h</w:t>
                  </w:r>
                  <w:r>
                    <w:rPr>
                      <w:rFonts w:hAnsi="宋体"/>
                      <w:szCs w:val="21"/>
                    </w:rPr>
                    <w:t>］蒽</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45</w:t>
                  </w:r>
                </w:p>
              </w:tc>
              <w:tc>
                <w:tcPr>
                  <w:tcW w:w="2295" w:type="dxa"/>
                  <w:tcBorders>
                    <w:left w:val="nil"/>
                  </w:tcBorders>
                  <w:noWrap w:val="0"/>
                  <w:vAlign w:val="center"/>
                </w:tcPr>
                <w:p>
                  <w:pPr>
                    <w:adjustRightInd w:val="0"/>
                    <w:snapToGrid w:val="0"/>
                    <w:jc w:val="center"/>
                    <w:rPr>
                      <w:szCs w:val="21"/>
                    </w:rPr>
                  </w:pPr>
                  <w:r>
                    <w:rPr>
                      <w:rFonts w:hAnsi="宋体"/>
                      <w:szCs w:val="21"/>
                    </w:rPr>
                    <w:t>茚并［</w:t>
                  </w:r>
                  <w:r>
                    <w:rPr>
                      <w:szCs w:val="21"/>
                    </w:rPr>
                    <w:t>1</w:t>
                  </w:r>
                  <w:r>
                    <w:rPr>
                      <w:rFonts w:hAnsi="宋体"/>
                      <w:szCs w:val="21"/>
                    </w:rPr>
                    <w:t>，</w:t>
                  </w:r>
                  <w:r>
                    <w:rPr>
                      <w:szCs w:val="21"/>
                    </w:rPr>
                    <w:t>2</w:t>
                  </w:r>
                  <w:r>
                    <w:rPr>
                      <w:rFonts w:hAnsi="宋体"/>
                      <w:szCs w:val="21"/>
                    </w:rPr>
                    <w:t>，</w:t>
                  </w:r>
                  <w:r>
                    <w:rPr>
                      <w:szCs w:val="21"/>
                    </w:rPr>
                    <w:t>3-cd</w:t>
                  </w:r>
                  <w:r>
                    <w:rPr>
                      <w:rFonts w:hAnsi="宋体"/>
                      <w:szCs w:val="21"/>
                    </w:rPr>
                    <w:t>］芘</w:t>
                  </w:r>
                </w:p>
              </w:tc>
              <w:tc>
                <w:tcPr>
                  <w:tcW w:w="4327" w:type="dxa"/>
                  <w:tcBorders>
                    <w:top w:val="single" w:color="auto" w:sz="4" w:space="0"/>
                    <w:bottom w:val="single" w:color="auto" w:sz="4" w:space="0"/>
                    <w:right w:val="nil"/>
                  </w:tcBorders>
                  <w:noWrap w:val="0"/>
                  <w:vAlign w:val="center"/>
                </w:tcPr>
                <w:p>
                  <w:pPr>
                    <w:adjustRightInd w:val="0"/>
                    <w:snapToGrid w:val="0"/>
                    <w:jc w:val="center"/>
                    <w:rPr>
                      <w:szCs w:val="21"/>
                    </w:rPr>
                  </w:pPr>
                  <w:r>
                    <w:rPr>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85" w:type="dxa"/>
                  <w:tcBorders>
                    <w:left w:val="nil"/>
                  </w:tcBorders>
                  <w:noWrap w:val="0"/>
                  <w:vAlign w:val="center"/>
                </w:tcPr>
                <w:p>
                  <w:pPr>
                    <w:adjustRightInd w:val="0"/>
                    <w:snapToGrid w:val="0"/>
                    <w:jc w:val="center"/>
                    <w:rPr>
                      <w:szCs w:val="21"/>
                    </w:rPr>
                  </w:pPr>
                  <w:r>
                    <w:rPr>
                      <w:rFonts w:hint="eastAsia"/>
                      <w:szCs w:val="21"/>
                    </w:rPr>
                    <w:t>46</w:t>
                  </w:r>
                </w:p>
              </w:tc>
              <w:tc>
                <w:tcPr>
                  <w:tcW w:w="2295" w:type="dxa"/>
                  <w:tcBorders>
                    <w:left w:val="nil"/>
                  </w:tcBorders>
                  <w:noWrap w:val="0"/>
                  <w:vAlign w:val="center"/>
                </w:tcPr>
                <w:p>
                  <w:pPr>
                    <w:adjustRightInd w:val="0"/>
                    <w:snapToGrid w:val="0"/>
                    <w:jc w:val="center"/>
                    <w:rPr>
                      <w:szCs w:val="21"/>
                    </w:rPr>
                  </w:pPr>
                  <w:r>
                    <w:rPr>
                      <w:rFonts w:hAnsi="宋体"/>
                      <w:szCs w:val="21"/>
                    </w:rPr>
                    <w:t>萘</w:t>
                  </w:r>
                </w:p>
              </w:tc>
              <w:tc>
                <w:tcPr>
                  <w:tcW w:w="4327" w:type="dxa"/>
                  <w:tcBorders>
                    <w:top w:val="single" w:color="auto" w:sz="4" w:space="0"/>
                    <w:bottom w:val="single" w:color="auto" w:sz="8" w:space="0"/>
                    <w:right w:val="nil"/>
                  </w:tcBorders>
                  <w:noWrap w:val="0"/>
                  <w:vAlign w:val="center"/>
                </w:tcPr>
                <w:p>
                  <w:pPr>
                    <w:adjustRightInd w:val="0"/>
                    <w:snapToGrid w:val="0"/>
                    <w:jc w:val="center"/>
                    <w:rPr>
                      <w:szCs w:val="21"/>
                    </w:rPr>
                  </w:pPr>
                  <w:r>
                    <w:rPr>
                      <w:szCs w:val="21"/>
                    </w:rPr>
                    <w:t>70</w:t>
                  </w:r>
                </w:p>
              </w:tc>
            </w:tr>
          </w:tbl>
          <w:p>
            <w:pPr>
              <w:pStyle w:val="2"/>
              <w:ind w:left="0" w:leftChars="0" w:firstLine="0" w:firstLineChars="0"/>
              <w:jc w:val="both"/>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5" w:hRule="atLeast"/>
        </w:trPr>
        <w:tc>
          <w:tcPr>
            <w:tcW w:w="506"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b/>
                <w:color w:val="auto"/>
                <w:sz w:val="24"/>
                <w:szCs w:val="24"/>
              </w:rPr>
            </w:pPr>
            <w:r>
              <w:rPr>
                <w:b/>
                <w:color w:val="auto"/>
                <w:sz w:val="24"/>
                <w:szCs w:val="24"/>
              </w:rPr>
              <w:t>污</w:t>
            </w:r>
          </w:p>
          <w:p>
            <w:pPr>
              <w:adjustRightInd w:val="0"/>
              <w:snapToGrid w:val="0"/>
              <w:jc w:val="center"/>
              <w:rPr>
                <w:b/>
                <w:color w:val="auto"/>
                <w:sz w:val="24"/>
                <w:szCs w:val="24"/>
              </w:rPr>
            </w:pPr>
            <w:r>
              <w:rPr>
                <w:b/>
                <w:color w:val="auto"/>
                <w:sz w:val="24"/>
                <w:szCs w:val="24"/>
              </w:rPr>
              <w:t>染</w:t>
            </w:r>
          </w:p>
          <w:p>
            <w:pPr>
              <w:adjustRightInd w:val="0"/>
              <w:snapToGrid w:val="0"/>
              <w:jc w:val="center"/>
              <w:rPr>
                <w:b/>
                <w:color w:val="auto"/>
                <w:sz w:val="24"/>
                <w:szCs w:val="24"/>
              </w:rPr>
            </w:pPr>
            <w:r>
              <w:rPr>
                <w:b/>
                <w:color w:val="auto"/>
                <w:sz w:val="24"/>
                <w:szCs w:val="24"/>
              </w:rPr>
              <w:t>物</w:t>
            </w:r>
          </w:p>
          <w:p>
            <w:pPr>
              <w:adjustRightInd w:val="0"/>
              <w:snapToGrid w:val="0"/>
              <w:jc w:val="center"/>
              <w:rPr>
                <w:b/>
                <w:color w:val="auto"/>
                <w:sz w:val="24"/>
                <w:szCs w:val="24"/>
              </w:rPr>
            </w:pPr>
            <w:r>
              <w:rPr>
                <w:b/>
                <w:color w:val="auto"/>
                <w:sz w:val="24"/>
                <w:szCs w:val="24"/>
              </w:rPr>
              <w:t>排</w:t>
            </w:r>
          </w:p>
          <w:p>
            <w:pPr>
              <w:adjustRightInd w:val="0"/>
              <w:snapToGrid w:val="0"/>
              <w:jc w:val="center"/>
              <w:rPr>
                <w:b/>
                <w:color w:val="auto"/>
                <w:sz w:val="24"/>
                <w:szCs w:val="24"/>
              </w:rPr>
            </w:pPr>
            <w:r>
              <w:rPr>
                <w:b/>
                <w:color w:val="auto"/>
                <w:sz w:val="24"/>
                <w:szCs w:val="24"/>
              </w:rPr>
              <w:t>放</w:t>
            </w:r>
          </w:p>
          <w:p>
            <w:pPr>
              <w:adjustRightInd w:val="0"/>
              <w:snapToGrid w:val="0"/>
              <w:jc w:val="center"/>
              <w:rPr>
                <w:b/>
                <w:color w:val="auto"/>
                <w:sz w:val="24"/>
                <w:szCs w:val="24"/>
              </w:rPr>
            </w:pPr>
            <w:r>
              <w:rPr>
                <w:b/>
                <w:color w:val="auto"/>
                <w:sz w:val="24"/>
                <w:szCs w:val="24"/>
              </w:rPr>
              <w:t>标</w:t>
            </w:r>
          </w:p>
          <w:p>
            <w:pPr>
              <w:adjustRightInd w:val="0"/>
              <w:snapToGrid w:val="0"/>
              <w:jc w:val="center"/>
              <w:rPr>
                <w:b/>
                <w:color w:val="auto"/>
                <w:sz w:val="22"/>
                <w:szCs w:val="21"/>
              </w:rPr>
            </w:pPr>
            <w:r>
              <w:rPr>
                <w:b/>
                <w:color w:val="auto"/>
                <w:sz w:val="24"/>
                <w:szCs w:val="24"/>
              </w:rPr>
              <w:t>准</w:t>
            </w:r>
          </w:p>
        </w:tc>
        <w:tc>
          <w:tcPr>
            <w:tcW w:w="8440" w:type="dxa"/>
            <w:tcBorders>
              <w:top w:val="single" w:color="auto" w:sz="6" w:space="0"/>
              <w:left w:val="single" w:color="auto" w:sz="6" w:space="0"/>
              <w:bottom w:val="single" w:color="auto" w:sz="6"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center"/>
              <w:textAlignment w:val="auto"/>
              <w:rPr>
                <w:rFonts w:hint="eastAsia"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表26   污染物排放标准</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033"/>
              <w:gridCol w:w="1140"/>
              <w:gridCol w:w="29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3" w:type="pct"/>
                  <w:tcBorders>
                    <w:tl2br w:val="nil"/>
                    <w:tr2bl w:val="nil"/>
                  </w:tcBorders>
                  <w:noWrap w:val="0"/>
                  <w:vAlign w:val="center"/>
                </w:tcPr>
                <w:p>
                  <w:pPr>
                    <w:jc w:val="center"/>
                    <w:rPr>
                      <w:b/>
                      <w:bCs w:val="0"/>
                      <w:color w:val="auto"/>
                      <w:sz w:val="21"/>
                      <w:szCs w:val="21"/>
                    </w:rPr>
                  </w:pPr>
                  <w:r>
                    <w:rPr>
                      <w:rFonts w:hint="eastAsia"/>
                      <w:b/>
                      <w:bCs w:val="0"/>
                      <w:color w:val="auto"/>
                      <w:sz w:val="21"/>
                      <w:szCs w:val="21"/>
                    </w:rPr>
                    <w:t>污染因素</w:t>
                  </w:r>
                </w:p>
              </w:tc>
              <w:tc>
                <w:tcPr>
                  <w:tcW w:w="1843" w:type="pct"/>
                  <w:tcBorders>
                    <w:tl2br w:val="nil"/>
                    <w:tr2bl w:val="nil"/>
                  </w:tcBorders>
                  <w:noWrap w:val="0"/>
                  <w:vAlign w:val="center"/>
                </w:tcPr>
                <w:p>
                  <w:pPr>
                    <w:jc w:val="center"/>
                    <w:rPr>
                      <w:b/>
                      <w:bCs w:val="0"/>
                      <w:color w:val="auto"/>
                      <w:sz w:val="21"/>
                      <w:szCs w:val="21"/>
                    </w:rPr>
                  </w:pPr>
                  <w:r>
                    <w:rPr>
                      <w:rFonts w:hint="eastAsia"/>
                      <w:b/>
                      <w:bCs w:val="0"/>
                      <w:color w:val="auto"/>
                      <w:sz w:val="21"/>
                      <w:szCs w:val="21"/>
                    </w:rPr>
                    <w:t>标准名称及级</w:t>
                  </w:r>
                  <w:r>
                    <w:rPr>
                      <w:b/>
                      <w:bCs w:val="0"/>
                      <w:color w:val="auto"/>
                      <w:sz w:val="21"/>
                      <w:szCs w:val="21"/>
                    </w:rPr>
                    <w:t>(</w:t>
                  </w:r>
                  <w:r>
                    <w:rPr>
                      <w:rFonts w:hint="eastAsia"/>
                      <w:b/>
                      <w:bCs w:val="0"/>
                      <w:color w:val="auto"/>
                      <w:sz w:val="21"/>
                      <w:szCs w:val="21"/>
                    </w:rPr>
                    <w:t>类</w:t>
                  </w:r>
                  <w:r>
                    <w:rPr>
                      <w:b/>
                      <w:bCs w:val="0"/>
                      <w:color w:val="auto"/>
                      <w:sz w:val="21"/>
                      <w:szCs w:val="21"/>
                    </w:rPr>
                    <w:t>)</w:t>
                  </w:r>
                  <w:r>
                    <w:rPr>
                      <w:rFonts w:hint="eastAsia"/>
                      <w:b/>
                      <w:bCs w:val="0"/>
                      <w:color w:val="auto"/>
                      <w:sz w:val="21"/>
                      <w:szCs w:val="21"/>
                    </w:rPr>
                    <w:t>别</w:t>
                  </w:r>
                </w:p>
              </w:tc>
              <w:tc>
                <w:tcPr>
                  <w:tcW w:w="693" w:type="pct"/>
                  <w:tcBorders>
                    <w:tl2br w:val="nil"/>
                    <w:tr2bl w:val="nil"/>
                  </w:tcBorders>
                  <w:noWrap w:val="0"/>
                  <w:vAlign w:val="center"/>
                </w:tcPr>
                <w:p>
                  <w:pPr>
                    <w:jc w:val="center"/>
                    <w:rPr>
                      <w:b/>
                      <w:bCs w:val="0"/>
                      <w:color w:val="auto"/>
                      <w:sz w:val="21"/>
                      <w:szCs w:val="21"/>
                    </w:rPr>
                  </w:pPr>
                  <w:r>
                    <w:rPr>
                      <w:rFonts w:hint="eastAsia"/>
                      <w:b/>
                      <w:bCs w:val="0"/>
                      <w:color w:val="auto"/>
                      <w:sz w:val="21"/>
                      <w:szCs w:val="21"/>
                    </w:rPr>
                    <w:t>污染因子</w:t>
                  </w:r>
                </w:p>
              </w:tc>
              <w:tc>
                <w:tcPr>
                  <w:tcW w:w="1789" w:type="pct"/>
                  <w:tcBorders>
                    <w:tl2br w:val="nil"/>
                    <w:tr2bl w:val="nil"/>
                  </w:tcBorders>
                  <w:noWrap w:val="0"/>
                  <w:vAlign w:val="center"/>
                </w:tcPr>
                <w:p>
                  <w:pPr>
                    <w:tabs>
                      <w:tab w:val="left" w:pos="1332"/>
                    </w:tabs>
                    <w:jc w:val="center"/>
                    <w:rPr>
                      <w:b/>
                      <w:bCs w:val="0"/>
                      <w:color w:val="auto"/>
                      <w:sz w:val="21"/>
                      <w:szCs w:val="21"/>
                    </w:rPr>
                  </w:pPr>
                  <w:r>
                    <w:rPr>
                      <w:rFonts w:hint="eastAsia"/>
                      <w:b/>
                      <w:bCs w:val="0"/>
                      <w:color w:val="auto"/>
                      <w:sz w:val="21"/>
                      <w:szCs w:val="21"/>
                    </w:rPr>
                    <w:t>标</w:t>
                  </w:r>
                  <w:r>
                    <w:rPr>
                      <w:b/>
                      <w:bCs w:val="0"/>
                      <w:color w:val="auto"/>
                      <w:sz w:val="21"/>
                      <w:szCs w:val="21"/>
                    </w:rPr>
                    <w:t xml:space="preserve"> </w:t>
                  </w:r>
                  <w:r>
                    <w:rPr>
                      <w:rFonts w:hint="eastAsia"/>
                      <w:b/>
                      <w:bCs w:val="0"/>
                      <w:color w:val="auto"/>
                      <w:sz w:val="21"/>
                      <w:szCs w:val="21"/>
                    </w:rPr>
                    <w:t>准</w:t>
                  </w:r>
                  <w:r>
                    <w:rPr>
                      <w:b/>
                      <w:bCs w:val="0"/>
                      <w:color w:val="auto"/>
                      <w:sz w:val="21"/>
                      <w:szCs w:val="21"/>
                    </w:rPr>
                    <w:t xml:space="preserve"> </w:t>
                  </w:r>
                  <w:r>
                    <w:rPr>
                      <w:rFonts w:hint="eastAsia"/>
                      <w:b/>
                      <w:bCs w:val="0"/>
                      <w:color w:val="auto"/>
                      <w:sz w:val="21"/>
                      <w:szCs w:val="21"/>
                    </w:rPr>
                    <w:t>限</w:t>
                  </w:r>
                  <w:r>
                    <w:rPr>
                      <w:b/>
                      <w:bCs w:val="0"/>
                      <w:color w:val="auto"/>
                      <w:sz w:val="21"/>
                      <w:szCs w:val="21"/>
                    </w:rPr>
                    <w:t xml:space="preserve"> </w:t>
                  </w:r>
                  <w:r>
                    <w:rPr>
                      <w:rFonts w:hint="eastAsia"/>
                      <w:b/>
                      <w:bCs w:val="0"/>
                      <w:color w:val="auto"/>
                      <w:sz w:val="21"/>
                      <w:szCs w:val="21"/>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673" w:type="pct"/>
                  <w:vMerge w:val="restart"/>
                  <w:tcBorders>
                    <w:tl2br w:val="nil"/>
                    <w:tr2bl w:val="nil"/>
                  </w:tcBorders>
                  <w:noWrap w:val="0"/>
                  <w:vAlign w:val="center"/>
                </w:tcPr>
                <w:p>
                  <w:pPr>
                    <w:jc w:val="center"/>
                    <w:rPr>
                      <w:color w:val="auto"/>
                      <w:sz w:val="21"/>
                      <w:szCs w:val="21"/>
                    </w:rPr>
                  </w:pPr>
                  <w:r>
                    <w:rPr>
                      <w:rFonts w:hint="eastAsia"/>
                      <w:color w:val="auto"/>
                      <w:sz w:val="21"/>
                      <w:szCs w:val="21"/>
                    </w:rPr>
                    <w:t>废气</w:t>
                  </w:r>
                </w:p>
              </w:tc>
              <w:tc>
                <w:tcPr>
                  <w:tcW w:w="1843" w:type="pct"/>
                  <w:tcBorders>
                    <w:tl2br w:val="nil"/>
                    <w:tr2bl w:val="nil"/>
                  </w:tcBorders>
                  <w:noWrap w:val="0"/>
                  <w:vAlign w:val="center"/>
                </w:tcPr>
                <w:p>
                  <w:pPr>
                    <w:jc w:val="center"/>
                    <w:rPr>
                      <w:color w:val="auto"/>
                      <w:sz w:val="21"/>
                      <w:szCs w:val="21"/>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二级</w:t>
                  </w:r>
                </w:p>
              </w:tc>
              <w:tc>
                <w:tcPr>
                  <w:tcW w:w="693" w:type="pct"/>
                  <w:vMerge w:val="restart"/>
                  <w:tcBorders>
                    <w:tl2br w:val="nil"/>
                    <w:tr2bl w:val="nil"/>
                  </w:tcBorders>
                  <w:noWrap w:val="0"/>
                  <w:vAlign w:val="center"/>
                </w:tcPr>
                <w:p>
                  <w:pPr>
                    <w:jc w:val="center"/>
                    <w:rPr>
                      <w:color w:val="auto"/>
                      <w:sz w:val="21"/>
                      <w:szCs w:val="21"/>
                    </w:rPr>
                  </w:pPr>
                  <w:r>
                    <w:rPr>
                      <w:rFonts w:hint="eastAsia"/>
                      <w:color w:val="auto"/>
                      <w:sz w:val="21"/>
                      <w:szCs w:val="21"/>
                    </w:rPr>
                    <w:t>非甲烷</w:t>
                  </w:r>
                </w:p>
                <w:p>
                  <w:pPr>
                    <w:jc w:val="center"/>
                    <w:rPr>
                      <w:color w:val="auto"/>
                      <w:sz w:val="21"/>
                      <w:szCs w:val="21"/>
                    </w:rPr>
                  </w:pPr>
                  <w:r>
                    <w:rPr>
                      <w:rFonts w:hint="eastAsia"/>
                      <w:color w:val="auto"/>
                      <w:sz w:val="21"/>
                      <w:szCs w:val="21"/>
                    </w:rPr>
                    <w:t>总烃</w:t>
                  </w:r>
                </w:p>
              </w:tc>
              <w:tc>
                <w:tcPr>
                  <w:tcW w:w="1789" w:type="pct"/>
                  <w:tcBorders>
                    <w:tl2br w:val="nil"/>
                    <w:tr2bl w:val="nil"/>
                  </w:tcBorders>
                  <w:noWrap w:val="0"/>
                  <w:vAlign w:val="center"/>
                </w:tcPr>
                <w:p>
                  <w:pPr>
                    <w:jc w:val="center"/>
                    <w:rPr>
                      <w:bCs/>
                      <w:color w:val="auto"/>
                      <w:sz w:val="21"/>
                      <w:szCs w:val="21"/>
                    </w:rPr>
                  </w:pPr>
                  <w:r>
                    <w:rPr>
                      <w:rFonts w:hint="eastAsia"/>
                      <w:color w:val="auto"/>
                      <w:sz w:val="21"/>
                      <w:szCs w:val="21"/>
                    </w:rPr>
                    <w:t>周界外浓度最高点</w:t>
                  </w:r>
                  <w:r>
                    <w:rPr>
                      <w:bCs/>
                      <w:color w:val="auto"/>
                      <w:sz w:val="21"/>
                      <w:szCs w:val="21"/>
                    </w:rPr>
                    <w:t>4.0mg/m</w:t>
                  </w:r>
                  <w:r>
                    <w:rPr>
                      <w:bCs/>
                      <w:color w:val="auto"/>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673" w:type="pct"/>
                  <w:vMerge w:val="continue"/>
                  <w:tcBorders>
                    <w:tl2br w:val="nil"/>
                    <w:tr2bl w:val="nil"/>
                  </w:tcBorders>
                  <w:noWrap w:val="0"/>
                  <w:vAlign w:val="center"/>
                </w:tcPr>
                <w:p>
                  <w:pPr>
                    <w:jc w:val="center"/>
                    <w:rPr>
                      <w:rFonts w:hint="eastAsia"/>
                      <w:color w:val="auto"/>
                      <w:sz w:val="21"/>
                      <w:szCs w:val="21"/>
                    </w:rPr>
                  </w:pPr>
                </w:p>
              </w:tc>
              <w:tc>
                <w:tcPr>
                  <w:tcW w:w="1843" w:type="pct"/>
                  <w:tcBorders>
                    <w:tl2br w:val="nil"/>
                    <w:tr2bl w:val="nil"/>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《关于全省开展工业企业挥发性有机物专项治理工作中排放建议值的通知》（豫环攻坚办</w:t>
                  </w:r>
                  <w:r>
                    <w:rPr>
                      <w:color w:val="auto"/>
                      <w:sz w:val="21"/>
                      <w:szCs w:val="21"/>
                    </w:rPr>
                    <w:t>[2017]162</w:t>
                  </w:r>
                  <w:r>
                    <w:rPr>
                      <w:rFonts w:hint="eastAsia"/>
                      <w:color w:val="auto"/>
                      <w:sz w:val="21"/>
                      <w:szCs w:val="21"/>
                    </w:rPr>
                    <w:t>号）</w:t>
                  </w:r>
                </w:p>
              </w:tc>
              <w:tc>
                <w:tcPr>
                  <w:tcW w:w="693" w:type="pct"/>
                  <w:vMerge w:val="continue"/>
                  <w:tcBorders>
                    <w:tl2br w:val="nil"/>
                    <w:tr2bl w:val="nil"/>
                  </w:tcBorders>
                  <w:noWrap w:val="0"/>
                  <w:vAlign w:val="center"/>
                </w:tcPr>
                <w:p>
                  <w:pPr>
                    <w:widowControl/>
                    <w:jc w:val="left"/>
                    <w:rPr>
                      <w:rFonts w:hint="eastAsia" w:ascii="Times New Roman" w:hAnsi="Times New Roman" w:eastAsia="宋体" w:cs="Times New Roman"/>
                      <w:color w:val="auto"/>
                      <w:kern w:val="2"/>
                      <w:sz w:val="21"/>
                      <w:szCs w:val="21"/>
                      <w:lang w:val="en-US" w:eastAsia="zh-CN" w:bidi="ar-SA"/>
                    </w:rPr>
                  </w:pPr>
                </w:p>
              </w:tc>
              <w:tc>
                <w:tcPr>
                  <w:tcW w:w="1789" w:type="pct"/>
                  <w:tcBorders>
                    <w:tl2br w:val="nil"/>
                    <w:tr2bl w:val="nil"/>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color w:val="auto"/>
                      <w:sz w:val="21"/>
                      <w:szCs w:val="21"/>
                    </w:rPr>
                    <w:t>工业企业边界挥发性有机物排放建议值其他企业非甲烷总烃2.0mg/m</w:t>
                  </w:r>
                  <w:r>
                    <w:rPr>
                      <w:color w:val="auto"/>
                      <w:sz w:val="2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673" w:type="pct"/>
                  <w:vMerge w:val="continue"/>
                  <w:tcBorders>
                    <w:tl2br w:val="nil"/>
                    <w:tr2bl w:val="nil"/>
                  </w:tcBorders>
                  <w:noWrap w:val="0"/>
                  <w:vAlign w:val="center"/>
                </w:tcPr>
                <w:p>
                  <w:pPr>
                    <w:widowControl/>
                    <w:jc w:val="left"/>
                    <w:rPr>
                      <w:color w:val="auto"/>
                      <w:sz w:val="21"/>
                      <w:szCs w:val="21"/>
                    </w:rPr>
                  </w:pPr>
                </w:p>
              </w:tc>
              <w:tc>
                <w:tcPr>
                  <w:tcW w:w="1843" w:type="pct"/>
                  <w:tcBorders>
                    <w:tl2br w:val="nil"/>
                    <w:tr2bl w:val="nil"/>
                  </w:tcBorders>
                  <w:noWrap w:val="0"/>
                  <w:vAlign w:val="center"/>
                </w:tcPr>
                <w:p>
                  <w:pPr>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rPr>
                    <w:t>《加油站大气污染物排放标准》</w:t>
                  </w:r>
                  <w:r>
                    <w:rPr>
                      <w:color w:val="000000"/>
                      <w:sz w:val="21"/>
                      <w:szCs w:val="21"/>
                    </w:rPr>
                    <w:t>(GB20952-2007)</w:t>
                  </w:r>
                </w:p>
              </w:tc>
              <w:tc>
                <w:tcPr>
                  <w:tcW w:w="693" w:type="pct"/>
                  <w:tcBorders>
                    <w:tl2br w:val="nil"/>
                    <w:tr2bl w:val="nil"/>
                  </w:tcBorders>
                  <w:noWrap w:val="0"/>
                  <w:vAlign w:val="center"/>
                </w:tcPr>
                <w:p>
                  <w:pPr>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rPr>
                    <w:t>油气</w:t>
                  </w:r>
                </w:p>
              </w:tc>
              <w:tc>
                <w:tcPr>
                  <w:tcW w:w="1789" w:type="pct"/>
                  <w:tcBorders>
                    <w:tl2br w:val="nil"/>
                    <w:tr2bl w:val="nil"/>
                  </w:tcBorders>
                  <w:noWrap w:val="0"/>
                  <w:vAlign w:val="center"/>
                </w:tcPr>
                <w:p>
                  <w:pPr>
                    <w:jc w:val="center"/>
                    <w:rPr>
                      <w:rFonts w:ascii="Times New Roman" w:hAnsi="Times New Roman" w:eastAsia="宋体" w:cs="Times New Roman"/>
                      <w:color w:val="000000"/>
                      <w:kern w:val="2"/>
                      <w:sz w:val="21"/>
                      <w:szCs w:val="21"/>
                      <w:lang w:val="en-US" w:eastAsia="zh-CN" w:bidi="ar-SA"/>
                    </w:rPr>
                  </w:pPr>
                  <w:r>
                    <w:rPr>
                      <w:rFonts w:hint="eastAsia"/>
                      <w:color w:val="000000"/>
                      <w:sz w:val="21"/>
                      <w:szCs w:val="21"/>
                    </w:rPr>
                    <w:t>排放浓度≦</w:t>
                  </w:r>
                  <w:r>
                    <w:rPr>
                      <w:color w:val="000000"/>
                      <w:sz w:val="21"/>
                      <w:szCs w:val="21"/>
                    </w:rPr>
                    <w:t>25g/m</w:t>
                  </w:r>
                  <w:r>
                    <w:rPr>
                      <w:color w:val="000000"/>
                      <w:sz w:val="21"/>
                      <w:szCs w:val="21"/>
                      <w:vertAlign w:val="superscript"/>
                    </w:rPr>
                    <w:t>3</w:t>
                  </w:r>
                  <w:r>
                    <w:rPr>
                      <w:rFonts w:hint="eastAsia"/>
                      <w:color w:val="000000"/>
                      <w:sz w:val="21"/>
                      <w:szCs w:val="21"/>
                    </w:rPr>
                    <w:t>、排放口距地面高度不低于</w:t>
                  </w:r>
                  <w:r>
                    <w:rPr>
                      <w:color w:val="000000"/>
                      <w:sz w:val="21"/>
                      <w:szCs w:val="21"/>
                    </w:rPr>
                    <w:t>4m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673" w:type="pct"/>
                  <w:tcBorders>
                    <w:tl2br w:val="nil"/>
                    <w:tr2bl w:val="nil"/>
                  </w:tcBorders>
                  <w:noWrap w:val="0"/>
                  <w:vAlign w:val="center"/>
                </w:tcPr>
                <w:p>
                  <w:pPr>
                    <w:jc w:val="center"/>
                    <w:rPr>
                      <w:color w:val="auto"/>
                      <w:sz w:val="21"/>
                      <w:szCs w:val="21"/>
                    </w:rPr>
                  </w:pPr>
                  <w:r>
                    <w:rPr>
                      <w:rFonts w:hint="eastAsia"/>
                      <w:color w:val="auto"/>
                      <w:sz w:val="21"/>
                      <w:szCs w:val="21"/>
                    </w:rPr>
                    <w:t>噪声</w:t>
                  </w:r>
                </w:p>
              </w:tc>
              <w:tc>
                <w:tcPr>
                  <w:tcW w:w="1843" w:type="pct"/>
                  <w:tcBorders>
                    <w:tl2br w:val="nil"/>
                    <w:tr2bl w:val="nil"/>
                  </w:tcBorders>
                  <w:noWrap w:val="0"/>
                  <w:vAlign w:val="center"/>
                </w:tcPr>
                <w:p>
                  <w:pPr>
                    <w:tabs>
                      <w:tab w:val="left" w:pos="792"/>
                    </w:tabs>
                    <w:jc w:val="center"/>
                    <w:rPr>
                      <w:color w:val="auto"/>
                      <w:sz w:val="21"/>
                      <w:szCs w:val="21"/>
                    </w:rPr>
                  </w:pPr>
                  <w:r>
                    <w:rPr>
                      <w:rFonts w:hint="eastAsia"/>
                      <w:color w:val="auto"/>
                      <w:sz w:val="21"/>
                      <w:szCs w:val="21"/>
                    </w:rPr>
                    <w:t>《工业企业厂界环境噪声排放标准》（</w:t>
                  </w:r>
                  <w:r>
                    <w:rPr>
                      <w:color w:val="auto"/>
                      <w:sz w:val="21"/>
                      <w:szCs w:val="21"/>
                    </w:rPr>
                    <w:t>GB12348-2008</w:t>
                  </w:r>
                  <w:r>
                    <w:rPr>
                      <w:rFonts w:hint="eastAsia"/>
                      <w:color w:val="auto"/>
                      <w:sz w:val="21"/>
                      <w:szCs w:val="21"/>
                    </w:rPr>
                    <w:t>）</w:t>
                  </w:r>
                  <w:r>
                    <w:rPr>
                      <w:color w:val="auto"/>
                      <w:sz w:val="21"/>
                      <w:szCs w:val="21"/>
                    </w:rPr>
                    <w:t>2</w:t>
                  </w:r>
                  <w:r>
                    <w:rPr>
                      <w:rFonts w:hint="eastAsia"/>
                      <w:color w:val="auto"/>
                      <w:sz w:val="21"/>
                      <w:szCs w:val="21"/>
                    </w:rPr>
                    <w:t>类</w:t>
                  </w:r>
                </w:p>
              </w:tc>
              <w:tc>
                <w:tcPr>
                  <w:tcW w:w="693" w:type="pct"/>
                  <w:tcBorders>
                    <w:tl2br w:val="nil"/>
                    <w:tr2bl w:val="nil"/>
                  </w:tcBorders>
                  <w:noWrap w:val="0"/>
                  <w:vAlign w:val="center"/>
                </w:tcPr>
                <w:p>
                  <w:pPr>
                    <w:jc w:val="center"/>
                    <w:rPr>
                      <w:color w:val="auto"/>
                      <w:sz w:val="21"/>
                      <w:szCs w:val="21"/>
                    </w:rPr>
                  </w:pPr>
                  <w:r>
                    <w:rPr>
                      <w:rFonts w:hint="eastAsia"/>
                      <w:color w:val="auto"/>
                      <w:sz w:val="21"/>
                      <w:szCs w:val="21"/>
                    </w:rPr>
                    <w:t>噪声</w:t>
                  </w:r>
                </w:p>
              </w:tc>
              <w:tc>
                <w:tcPr>
                  <w:tcW w:w="1789" w:type="pct"/>
                  <w:tcBorders>
                    <w:tl2br w:val="nil"/>
                    <w:tr2bl w:val="nil"/>
                  </w:tcBorders>
                  <w:noWrap w:val="0"/>
                  <w:vAlign w:val="center"/>
                </w:tcPr>
                <w:p>
                  <w:pPr>
                    <w:jc w:val="center"/>
                    <w:rPr>
                      <w:rFonts w:hint="eastAsia"/>
                      <w:color w:val="auto"/>
                      <w:sz w:val="21"/>
                      <w:szCs w:val="21"/>
                    </w:rPr>
                  </w:pPr>
                  <w:r>
                    <w:rPr>
                      <w:rFonts w:hint="eastAsia"/>
                      <w:color w:val="auto"/>
                      <w:sz w:val="21"/>
                      <w:szCs w:val="21"/>
                    </w:rPr>
                    <w:t>昼间</w:t>
                  </w:r>
                  <w:r>
                    <w:rPr>
                      <w:color w:val="auto"/>
                      <w:sz w:val="21"/>
                      <w:szCs w:val="21"/>
                    </w:rPr>
                    <w:t xml:space="preserve"> 60dB(A)</w:t>
                  </w:r>
                </w:p>
                <w:p>
                  <w:pPr>
                    <w:jc w:val="center"/>
                    <w:rPr>
                      <w:color w:val="auto"/>
                      <w:sz w:val="21"/>
                      <w:szCs w:val="21"/>
                    </w:rPr>
                  </w:pPr>
                  <w:r>
                    <w:rPr>
                      <w:rFonts w:hint="eastAsia"/>
                      <w:color w:val="auto"/>
                      <w:sz w:val="21"/>
                      <w:szCs w:val="21"/>
                    </w:rPr>
                    <w:t>夜间 50</w:t>
                  </w:r>
                  <w:r>
                    <w:rPr>
                      <w:color w:val="auto"/>
                      <w:sz w:val="21"/>
                      <w:szCs w:val="21"/>
                    </w:rPr>
                    <w:t xml:space="preserve"> 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73" w:type="pct"/>
                  <w:tcBorders>
                    <w:tl2br w:val="nil"/>
                    <w:tr2bl w:val="nil"/>
                  </w:tcBorders>
                  <w:noWrap w:val="0"/>
                  <w:vAlign w:val="center"/>
                </w:tcPr>
                <w:p>
                  <w:pPr>
                    <w:jc w:val="center"/>
                    <w:rPr>
                      <w:color w:val="auto"/>
                      <w:sz w:val="21"/>
                      <w:szCs w:val="21"/>
                    </w:rPr>
                  </w:pPr>
                  <w:r>
                    <w:rPr>
                      <w:rFonts w:hint="eastAsia"/>
                      <w:color w:val="auto"/>
                      <w:sz w:val="21"/>
                      <w:szCs w:val="21"/>
                    </w:rPr>
                    <w:t>固废</w:t>
                  </w:r>
                </w:p>
              </w:tc>
              <w:tc>
                <w:tcPr>
                  <w:tcW w:w="4326" w:type="pct"/>
                  <w:gridSpan w:val="3"/>
                  <w:tcBorders>
                    <w:tl2br w:val="nil"/>
                    <w:tr2bl w:val="nil"/>
                  </w:tcBorders>
                  <w:noWrap w:val="0"/>
                  <w:vAlign w:val="center"/>
                </w:tcPr>
                <w:p>
                  <w:pPr>
                    <w:tabs>
                      <w:tab w:val="left" w:pos="481"/>
                      <w:tab w:val="left" w:pos="3777"/>
                    </w:tabs>
                    <w:jc w:val="center"/>
                    <w:rPr>
                      <w:rFonts w:hint="eastAsia"/>
                      <w:color w:val="auto"/>
                      <w:spacing w:val="-4"/>
                      <w:sz w:val="21"/>
                      <w:szCs w:val="21"/>
                    </w:rPr>
                  </w:pPr>
                  <w:r>
                    <w:rPr>
                      <w:rFonts w:hint="eastAsia"/>
                      <w:color w:val="auto"/>
                      <w:spacing w:val="-4"/>
                      <w:sz w:val="21"/>
                      <w:szCs w:val="21"/>
                    </w:rPr>
                    <w:t>《一般工业固体废物贮存、处置场污染控制标准》（</w:t>
                  </w:r>
                  <w:r>
                    <w:rPr>
                      <w:color w:val="auto"/>
                      <w:spacing w:val="-4"/>
                      <w:sz w:val="21"/>
                      <w:szCs w:val="21"/>
                    </w:rPr>
                    <w:t>GB18599-2001</w:t>
                  </w:r>
                  <w:r>
                    <w:rPr>
                      <w:rFonts w:hint="eastAsia"/>
                      <w:color w:val="auto"/>
                      <w:spacing w:val="-4"/>
                      <w:sz w:val="21"/>
                      <w:szCs w:val="21"/>
                    </w:rPr>
                    <w:t>及</w:t>
                  </w:r>
                  <w:r>
                    <w:rPr>
                      <w:color w:val="auto"/>
                      <w:spacing w:val="-4"/>
                      <w:sz w:val="21"/>
                      <w:szCs w:val="21"/>
                    </w:rPr>
                    <w:t>2013</w:t>
                  </w:r>
                  <w:r>
                    <w:rPr>
                      <w:rFonts w:hint="eastAsia"/>
                      <w:color w:val="auto"/>
                      <w:spacing w:val="-4"/>
                      <w:sz w:val="21"/>
                      <w:szCs w:val="21"/>
                    </w:rPr>
                    <w:t>修改单）、</w:t>
                  </w:r>
                </w:p>
                <w:p>
                  <w:pPr>
                    <w:tabs>
                      <w:tab w:val="left" w:pos="481"/>
                      <w:tab w:val="left" w:pos="3777"/>
                    </w:tabs>
                    <w:jc w:val="center"/>
                    <w:rPr>
                      <w:color w:val="auto"/>
                      <w:spacing w:val="-4"/>
                      <w:sz w:val="21"/>
                      <w:szCs w:val="21"/>
                    </w:rPr>
                  </w:pPr>
                  <w:r>
                    <w:rPr>
                      <w:rFonts w:hint="eastAsia"/>
                      <w:color w:val="auto"/>
                      <w:spacing w:val="-4"/>
                      <w:sz w:val="21"/>
                      <w:szCs w:val="21"/>
                    </w:rPr>
                    <w:t>《危险废物贮存污染控制标准》（</w:t>
                  </w:r>
                  <w:r>
                    <w:rPr>
                      <w:color w:val="auto"/>
                      <w:spacing w:val="-4"/>
                      <w:sz w:val="21"/>
                      <w:szCs w:val="21"/>
                    </w:rPr>
                    <w:t>GB18597-2001</w:t>
                  </w:r>
                  <w:r>
                    <w:rPr>
                      <w:rFonts w:hint="eastAsia"/>
                      <w:color w:val="auto"/>
                      <w:spacing w:val="-4"/>
                      <w:sz w:val="21"/>
                      <w:szCs w:val="21"/>
                    </w:rPr>
                    <w:t>及</w:t>
                  </w:r>
                  <w:r>
                    <w:rPr>
                      <w:color w:val="auto"/>
                      <w:spacing w:val="-4"/>
                      <w:sz w:val="21"/>
                      <w:szCs w:val="21"/>
                    </w:rPr>
                    <w:t>2013</w:t>
                  </w:r>
                  <w:r>
                    <w:rPr>
                      <w:rFonts w:hint="eastAsia"/>
                      <w:color w:val="auto"/>
                      <w:spacing w:val="-4"/>
                      <w:sz w:val="21"/>
                      <w:szCs w:val="21"/>
                    </w:rPr>
                    <w:t>修改单）</w:t>
                  </w:r>
                </w:p>
              </w:tc>
            </w:tr>
          </w:tbl>
          <w:p>
            <w:pPr>
              <w:spacing w:line="520" w:lineRule="exact"/>
              <w:rPr>
                <w:color w:val="auto"/>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506" w:type="dxa"/>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b/>
                <w:color w:val="auto"/>
                <w:sz w:val="24"/>
                <w:szCs w:val="24"/>
              </w:rPr>
            </w:pPr>
            <w:r>
              <w:rPr>
                <w:b/>
                <w:color w:val="auto"/>
                <w:sz w:val="24"/>
                <w:szCs w:val="24"/>
              </w:rPr>
              <w:t>总</w:t>
            </w:r>
          </w:p>
          <w:p>
            <w:pPr>
              <w:adjustRightInd w:val="0"/>
              <w:snapToGrid w:val="0"/>
              <w:jc w:val="center"/>
              <w:rPr>
                <w:b/>
                <w:color w:val="auto"/>
                <w:sz w:val="24"/>
                <w:szCs w:val="24"/>
              </w:rPr>
            </w:pPr>
            <w:r>
              <w:rPr>
                <w:b/>
                <w:color w:val="auto"/>
                <w:sz w:val="24"/>
                <w:szCs w:val="24"/>
              </w:rPr>
              <w:t>量</w:t>
            </w:r>
          </w:p>
          <w:p>
            <w:pPr>
              <w:adjustRightInd w:val="0"/>
              <w:snapToGrid w:val="0"/>
              <w:jc w:val="center"/>
              <w:rPr>
                <w:b/>
                <w:color w:val="auto"/>
                <w:sz w:val="24"/>
                <w:szCs w:val="24"/>
              </w:rPr>
            </w:pPr>
            <w:r>
              <w:rPr>
                <w:b/>
                <w:color w:val="auto"/>
                <w:sz w:val="24"/>
                <w:szCs w:val="24"/>
              </w:rPr>
              <w:t>控</w:t>
            </w:r>
          </w:p>
          <w:p>
            <w:pPr>
              <w:adjustRightInd w:val="0"/>
              <w:snapToGrid w:val="0"/>
              <w:jc w:val="center"/>
              <w:rPr>
                <w:b/>
                <w:color w:val="auto"/>
                <w:sz w:val="24"/>
                <w:szCs w:val="24"/>
              </w:rPr>
            </w:pPr>
            <w:r>
              <w:rPr>
                <w:b/>
                <w:color w:val="auto"/>
                <w:sz w:val="24"/>
                <w:szCs w:val="24"/>
              </w:rPr>
              <w:t>制</w:t>
            </w:r>
          </w:p>
          <w:p>
            <w:pPr>
              <w:adjustRightInd w:val="0"/>
              <w:snapToGrid w:val="0"/>
              <w:jc w:val="center"/>
              <w:rPr>
                <w:b/>
                <w:color w:val="auto"/>
                <w:sz w:val="24"/>
                <w:szCs w:val="24"/>
              </w:rPr>
            </w:pPr>
            <w:r>
              <w:rPr>
                <w:b/>
                <w:color w:val="auto"/>
                <w:sz w:val="24"/>
                <w:szCs w:val="24"/>
              </w:rPr>
              <w:t>指</w:t>
            </w:r>
          </w:p>
          <w:p>
            <w:pPr>
              <w:adjustRightInd w:val="0"/>
              <w:snapToGrid w:val="0"/>
              <w:jc w:val="center"/>
              <w:rPr>
                <w:b/>
                <w:color w:val="auto"/>
                <w:sz w:val="22"/>
                <w:szCs w:val="21"/>
              </w:rPr>
            </w:pPr>
            <w:r>
              <w:rPr>
                <w:b/>
                <w:color w:val="auto"/>
                <w:sz w:val="24"/>
                <w:szCs w:val="24"/>
              </w:rPr>
              <w:t>标</w:t>
            </w:r>
          </w:p>
        </w:tc>
        <w:tc>
          <w:tcPr>
            <w:tcW w:w="8440" w:type="dxa"/>
            <w:tcBorders>
              <w:top w:val="single" w:color="auto" w:sz="6" w:space="0"/>
              <w:left w:val="single" w:color="auto" w:sz="6" w:space="0"/>
              <w:bottom w:val="single" w:color="auto" w:sz="12" w:space="0"/>
              <w:right w:val="single" w:color="auto" w:sz="12" w:space="0"/>
            </w:tcBorders>
            <w:vAlign w:val="center"/>
          </w:tcPr>
          <w:p>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482"/>
              <w:textAlignment w:val="auto"/>
              <w:rPr>
                <w:rFonts w:hint="eastAsia" w:ascii="TimesNewRomanPSMT" w:hAnsi="TimesNewRomanPSMT" w:cs="TimesNewRomanPSMT"/>
                <w:kern w:val="0"/>
                <w:sz w:val="24"/>
              </w:rPr>
            </w:pPr>
            <w:r>
              <w:rPr>
                <w:rFonts w:hint="default" w:ascii="Times New Roman" w:hAnsi="Times New Roman" w:eastAsia="宋体" w:cs="Times New Roman"/>
                <w:bCs/>
                <w:color w:val="auto"/>
                <w:sz w:val="24"/>
                <w:szCs w:val="24"/>
                <w:lang w:val="en-US" w:eastAsia="zh-CN"/>
              </w:rPr>
              <w:t>本项目生活污水经化粪池处理后</w:t>
            </w:r>
            <w:r>
              <w:rPr>
                <w:rFonts w:hint="eastAsia" w:ascii="Times New Roman" w:hAnsi="Times New Roman" w:eastAsia="宋体" w:cs="Times New Roman"/>
                <w:bCs/>
                <w:color w:val="auto"/>
                <w:sz w:val="24"/>
                <w:szCs w:val="24"/>
                <w:lang w:val="en-US" w:eastAsia="zh-CN"/>
              </w:rPr>
              <w:t>定期清运处置</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不外排；洗车废水经隔油沉淀池处理后循环使用，不外排，</w:t>
            </w:r>
            <w:r>
              <w:rPr>
                <w:rFonts w:hint="default" w:ascii="Times New Roman" w:hAnsi="Times New Roman" w:eastAsia="宋体" w:cs="Times New Roman"/>
                <w:bCs/>
                <w:color w:val="auto"/>
                <w:sz w:val="24"/>
                <w:szCs w:val="24"/>
                <w:lang w:val="en-US" w:eastAsia="zh-CN"/>
              </w:rPr>
              <w:t>因此</w:t>
            </w:r>
            <w:r>
              <w:rPr>
                <w:rFonts w:hint="eastAsia" w:ascii="Times New Roman" w:hAnsi="Times New Roman" w:eastAsia="宋体" w:cs="Times New Roman"/>
                <w:bCs/>
                <w:color w:val="auto"/>
                <w:sz w:val="24"/>
                <w:szCs w:val="24"/>
                <w:lang w:val="en-US" w:eastAsia="zh-CN"/>
              </w:rPr>
              <w:t>本项目</w:t>
            </w:r>
            <w:r>
              <w:rPr>
                <w:rFonts w:hint="default" w:ascii="Times New Roman" w:hAnsi="Times New Roman" w:eastAsia="宋体" w:cs="Times New Roman"/>
                <w:bCs/>
                <w:color w:val="auto"/>
                <w:sz w:val="24"/>
                <w:szCs w:val="24"/>
                <w:lang w:val="en-US" w:eastAsia="zh-CN"/>
              </w:rPr>
              <w:t>不需</w:t>
            </w:r>
            <w:r>
              <w:rPr>
                <w:rFonts w:hint="eastAsia" w:ascii="Times New Roman" w:hAnsi="Times New Roman" w:eastAsia="宋体" w:cs="Times New Roman"/>
                <w:bCs/>
                <w:color w:val="auto"/>
                <w:sz w:val="24"/>
                <w:szCs w:val="24"/>
                <w:lang w:val="en-US" w:eastAsia="zh-CN"/>
              </w:rPr>
              <w:t>设置废水</w:t>
            </w:r>
            <w:r>
              <w:rPr>
                <w:rFonts w:hint="default" w:ascii="Times New Roman" w:hAnsi="Times New Roman" w:eastAsia="宋体" w:cs="Times New Roman"/>
                <w:bCs/>
                <w:color w:val="auto"/>
                <w:sz w:val="24"/>
                <w:szCs w:val="24"/>
                <w:lang w:val="en-US" w:eastAsia="zh-CN"/>
              </w:rPr>
              <w:t>总量控制指标；废</w:t>
            </w:r>
            <w:r>
              <w:rPr>
                <w:rFonts w:hint="default" w:ascii="Times New Roman" w:hAnsi="Times New Roman" w:eastAsia="宋体" w:cs="Times New Roman"/>
                <w:bCs/>
                <w:color w:val="auto"/>
                <w:sz w:val="24"/>
                <w:szCs w:val="24"/>
                <w:highlight w:val="none"/>
                <w:lang w:val="en-US" w:eastAsia="zh-CN"/>
              </w:rPr>
              <w:t>气无二氧化硫、氮氧化物产生，运营期大气污染物主要为非甲烷总烃，排放量为</w:t>
            </w:r>
            <w:r>
              <w:rPr>
                <w:rFonts w:hint="eastAsia" w:ascii="TimesNewRomanPSMT" w:hAnsi="TimesNewRomanPSMT" w:cs="TimesNewRomanPSMT"/>
                <w:kern w:val="0"/>
                <w:sz w:val="24"/>
                <w:highlight w:val="none"/>
                <w:lang w:val="en-US" w:eastAsia="zh-CN"/>
              </w:rPr>
              <w:t>0.0757</w:t>
            </w:r>
            <w:r>
              <w:rPr>
                <w:rFonts w:hint="eastAsia" w:ascii="TimesNewRomanPSMT" w:hAnsi="TimesNewRomanPSMT" w:cs="TimesNewRomanPSMT"/>
                <w:kern w:val="0"/>
                <w:sz w:val="24"/>
                <w:highlight w:val="none"/>
              </w:rPr>
              <w:t>t/a。</w:t>
            </w:r>
          </w:p>
          <w:p>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482"/>
              <w:textAlignment w:val="auto"/>
              <w:rPr>
                <w:rFonts w:hint="eastAsia" w:ascii="TimesNewRomanPSMT" w:hAnsi="TimesNewRomanPSMT" w:cs="TimesNewRomanPSMT"/>
                <w:kern w:val="0"/>
                <w:sz w:val="24"/>
              </w:rPr>
            </w:pPr>
            <w:r>
              <w:rPr>
                <w:rFonts w:hint="eastAsia" w:ascii="TimesNewRomanPSMT" w:hAnsi="TimesNewRomanPSMT" w:cs="TimesNewRomanPSMT"/>
                <w:kern w:val="0"/>
                <w:sz w:val="24"/>
              </w:rPr>
              <w:t>因此，本项目主要污染物总量控制指标为</w:t>
            </w:r>
            <w:r>
              <w:rPr>
                <w:rFonts w:ascii="TimesNewRomanPSMT" w:hAnsi="TimesNewRomanPSMT" w:cs="TimesNewRomanPSMT"/>
                <w:kern w:val="0"/>
                <w:sz w:val="24"/>
              </w:rPr>
              <w:t>COD</w:t>
            </w:r>
            <w:r>
              <w:rPr>
                <w:rFonts w:hint="eastAsia" w:ascii="TimesNewRomanPSMT" w:hAnsi="TimesNewRomanPSMT" w:cs="TimesNewRomanPSMT"/>
                <w:kern w:val="0"/>
                <w:sz w:val="24"/>
                <w:lang w:val="en-US" w:eastAsia="zh-CN"/>
              </w:rPr>
              <w:t>0</w:t>
            </w:r>
            <w:r>
              <w:rPr>
                <w:rFonts w:hint="eastAsia" w:ascii="TimesNewRomanPSMT" w:hAnsi="TimesNewRomanPSMT" w:cs="TimesNewRomanPSMT"/>
                <w:kern w:val="0"/>
                <w:sz w:val="24"/>
              </w:rPr>
              <w:t>t/a</w:t>
            </w:r>
            <w:r>
              <w:rPr>
                <w:rFonts w:hint="eastAsia" w:ascii="宋体" w:cs="宋体"/>
                <w:kern w:val="0"/>
                <w:sz w:val="24"/>
              </w:rPr>
              <w:t>，</w:t>
            </w:r>
            <w:r>
              <w:rPr>
                <w:rFonts w:ascii="TimesNewRomanPSMT" w:hAnsi="TimesNewRomanPSMT" w:cs="TimesNewRomanPSMT"/>
                <w:kern w:val="0"/>
                <w:sz w:val="24"/>
              </w:rPr>
              <w:t>NH</w:t>
            </w:r>
            <w:r>
              <w:rPr>
                <w:rFonts w:ascii="TimesNewRomanPSMT" w:hAnsi="TimesNewRomanPSMT" w:cs="TimesNewRomanPSMT"/>
                <w:kern w:val="0"/>
                <w:sz w:val="24"/>
                <w:vertAlign w:val="subscript"/>
              </w:rPr>
              <w:t>3</w:t>
            </w:r>
            <w:r>
              <w:rPr>
                <w:rFonts w:ascii="TimesNewRomanPSMT" w:hAnsi="TimesNewRomanPSMT" w:cs="TimesNewRomanPSMT"/>
                <w:kern w:val="0"/>
                <w:sz w:val="24"/>
              </w:rPr>
              <w:t>-N</w:t>
            </w:r>
            <w:r>
              <w:rPr>
                <w:rFonts w:hint="eastAsia" w:ascii="TimesNewRomanPSMT" w:hAnsi="TimesNewRomanPSMT" w:cs="TimesNewRomanPSMT"/>
                <w:kern w:val="0"/>
                <w:sz w:val="24"/>
                <w:lang w:val="en-US" w:eastAsia="zh-CN"/>
              </w:rPr>
              <w:t>0</w:t>
            </w:r>
            <w:r>
              <w:rPr>
                <w:rFonts w:hint="eastAsia" w:ascii="TimesNewRomanPSMT" w:hAnsi="TimesNewRomanPSMT" w:cs="TimesNewRomanPSMT"/>
                <w:kern w:val="0"/>
                <w:sz w:val="24"/>
              </w:rPr>
              <w:t>t/a，</w:t>
            </w:r>
            <w:r>
              <w:rPr>
                <w:rFonts w:ascii="TimesNewRomanPSMT" w:hAnsi="TimesNewRomanPSMT" w:cs="TimesNewRomanPSMT"/>
                <w:kern w:val="0"/>
                <w:sz w:val="24"/>
              </w:rPr>
              <w:t>VOCs</w:t>
            </w:r>
            <w:r>
              <w:rPr>
                <w:rFonts w:hint="eastAsia" w:ascii="TimesNewRomanPSMT" w:hAnsi="TimesNewRomanPSMT" w:cs="TimesNewRomanPSMT"/>
                <w:kern w:val="0"/>
                <w:sz w:val="24"/>
                <w:lang w:val="en-US" w:eastAsia="zh-CN"/>
              </w:rPr>
              <w:t>0.0757</w:t>
            </w:r>
            <w:r>
              <w:rPr>
                <w:rFonts w:hint="eastAsia" w:ascii="TimesNewRomanPSMT" w:hAnsi="TimesNewRomanPSMT" w:cs="TimesNewRomanPSMT"/>
                <w:kern w:val="0"/>
                <w:sz w:val="24"/>
              </w:rPr>
              <w:t>t/a。</w:t>
            </w:r>
          </w:p>
          <w:p>
            <w:pPr>
              <w:tabs>
                <w:tab w:val="right" w:leader="dot" w:pos="8721"/>
              </w:tabs>
              <w:adjustRightInd w:val="0"/>
              <w:snapToGrid w:val="0"/>
              <w:spacing w:line="360" w:lineRule="exact"/>
              <w:jc w:val="both"/>
              <w:rPr>
                <w:rFonts w:hint="eastAsia"/>
                <w:color w:val="auto"/>
                <w:szCs w:val="21"/>
                <w:lang w:val="en-US" w:eastAsia="zh-CN"/>
              </w:rPr>
            </w:pPr>
          </w:p>
          <w:p>
            <w:pPr>
              <w:tabs>
                <w:tab w:val="right" w:leader="dot" w:pos="8721"/>
              </w:tabs>
              <w:adjustRightInd w:val="0"/>
              <w:snapToGrid w:val="0"/>
              <w:spacing w:line="360" w:lineRule="exact"/>
              <w:jc w:val="both"/>
              <w:rPr>
                <w:rFonts w:hint="eastAsia"/>
                <w:color w:val="auto"/>
                <w:szCs w:val="21"/>
                <w:lang w:val="en-US" w:eastAsia="zh-CN"/>
              </w:rPr>
            </w:pPr>
            <w:bookmarkStart w:id="3" w:name="_GoBack"/>
            <w:bookmarkEnd w:id="3"/>
          </w:p>
          <w:p>
            <w:pPr>
              <w:tabs>
                <w:tab w:val="right" w:leader="dot" w:pos="8721"/>
              </w:tabs>
              <w:adjustRightInd w:val="0"/>
              <w:snapToGrid w:val="0"/>
              <w:spacing w:line="360" w:lineRule="exact"/>
              <w:jc w:val="both"/>
              <w:rPr>
                <w:rFonts w:hint="eastAsia"/>
                <w:color w:val="auto"/>
                <w:szCs w:val="21"/>
                <w:lang w:val="en-US" w:eastAsia="zh-CN"/>
              </w:rPr>
            </w:pPr>
          </w:p>
          <w:p>
            <w:pPr>
              <w:tabs>
                <w:tab w:val="right" w:leader="dot" w:pos="8721"/>
              </w:tabs>
              <w:adjustRightInd w:val="0"/>
              <w:snapToGrid w:val="0"/>
              <w:spacing w:line="360" w:lineRule="exact"/>
              <w:jc w:val="both"/>
              <w:rPr>
                <w:rFonts w:hint="eastAsia"/>
                <w:color w:val="auto"/>
                <w:szCs w:val="21"/>
                <w:lang w:val="en-US" w:eastAsia="zh-CN"/>
              </w:rPr>
            </w:pPr>
          </w:p>
          <w:p>
            <w:pPr>
              <w:tabs>
                <w:tab w:val="right" w:leader="dot" w:pos="8721"/>
              </w:tabs>
              <w:adjustRightInd w:val="0"/>
              <w:snapToGrid w:val="0"/>
              <w:spacing w:line="360" w:lineRule="exact"/>
              <w:jc w:val="both"/>
              <w:rPr>
                <w:rFonts w:hint="default" w:eastAsia="宋体"/>
                <w:color w:val="auto"/>
                <w:szCs w:val="21"/>
                <w:lang w:val="en-US" w:eastAsia="zh-CN"/>
              </w:rPr>
            </w:pPr>
          </w:p>
        </w:tc>
      </w:tr>
    </w:tbl>
    <w:p>
      <w:pPr>
        <w:adjustRightInd w:val="0"/>
        <w:snapToGrid w:val="0"/>
        <w:rPr>
          <w:rFonts w:eastAsia="黑体"/>
          <w:b/>
          <w:color w:val="auto"/>
          <w:sz w:val="30"/>
        </w:rPr>
      </w:pPr>
    </w:p>
    <w:p>
      <w:pPr>
        <w:adjustRightInd w:val="0"/>
        <w:snapToGrid w:val="0"/>
        <w:rPr>
          <w:rFonts w:eastAsia="黑体"/>
          <w:b/>
          <w:color w:val="auto"/>
          <w:sz w:val="30"/>
        </w:rPr>
      </w:pPr>
      <w:r>
        <w:rPr>
          <w:rFonts w:eastAsia="黑体"/>
          <w:b/>
          <w:color w:val="auto"/>
          <w:sz w:val="30"/>
        </w:rPr>
        <w:t>建设项目工程分析</w:t>
      </w:r>
    </w:p>
    <w:tbl>
      <w:tblPr>
        <w:tblStyle w:val="21"/>
        <w:tblW w:w="91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26" w:type="dxa"/>
          </w:tcPr>
          <w:p>
            <w:pPr>
              <w:adjustRightInd w:val="0"/>
              <w:snapToGrid w:val="0"/>
              <w:spacing w:line="520" w:lineRule="exact"/>
              <w:rPr>
                <w:b/>
                <w:bCs/>
                <w:color w:val="auto"/>
                <w:sz w:val="24"/>
              </w:rPr>
            </w:pPr>
            <w:r>
              <w:rPr>
                <w:b/>
                <w:bCs/>
                <w:color w:val="auto"/>
                <w:sz w:val="24"/>
              </w:rPr>
              <w:t>工艺流程简述(图示)：</w:t>
            </w:r>
          </w:p>
          <w:p>
            <w:pPr>
              <w:tabs>
                <w:tab w:val="left" w:pos="601"/>
              </w:tabs>
              <w:spacing w:line="520" w:lineRule="exact"/>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sz w:val="24"/>
              </w:rPr>
              <w:t>1、汽油加工工艺流程及产污环节</w:t>
            </w:r>
          </w:p>
          <w:p>
            <w:pPr>
              <w:tabs>
                <w:tab w:val="left" w:pos="601"/>
              </w:tabs>
              <w:spacing w:line="520" w:lineRule="exact"/>
              <w:rPr>
                <w:rFonts w:hint="eastAsia" w:eastAsia="黑体"/>
                <w:color w:val="000000"/>
                <w:sz w:val="24"/>
              </w:rPr>
            </w:pPr>
          </w:p>
          <w:p>
            <w:pPr>
              <w:tabs>
                <w:tab w:val="left" w:pos="601"/>
              </w:tabs>
              <w:spacing w:line="520" w:lineRule="exact"/>
              <w:rPr>
                <w:rFonts w:hint="eastAsia" w:eastAsia="黑体"/>
                <w:color w:val="000000"/>
                <w:sz w:val="24"/>
              </w:rPr>
            </w:pPr>
            <w:r>
              <w:rPr>
                <w:rFonts w:hint="eastAsia"/>
                <w:b/>
                <w:sz w:val="28"/>
                <w:szCs w:val="28"/>
              </w:rPr>
              <w:pict>
                <v:group id="_x0000_s1072" o:spid="_x0000_s1072" o:spt="203" style="position:absolute;left:0pt;margin-left:5.9pt;margin-top:54.05pt;height:213.75pt;width:406.6pt;mso-position-horizontal-relative:page;mso-position-vertical-relative:page;z-index:251676672;mso-width-relative:page;mso-height-relative:page;" coordorigin="2001,9275" coordsize="8132,4112">
                  <o:lock v:ext="edit" aspectratio="f"/>
                  <v:shape id="_x0000_s1073" o:spid="_x0000_s1073" o:spt="75" type="#_x0000_t75" style="position:absolute;left:2001;top:9275;height:4112;width:8132;" filled="f" o:preferrelative="t" stroked="f" coordsize="21600,21600">
                    <v:path/>
                    <v:fill on="f" focussize="0,0"/>
                    <v:stroke on="f"/>
                    <v:imagedata r:id="rId8" o:title=""/>
                    <o:lock v:ext="edit" aspectratio="t"/>
                  </v:shape>
                  <v:shape id="_x0000_s1074" o:spid="_x0000_s1074" o:spt="202" type="#_x0000_t202" style="position:absolute;left:4879;top:9481;height:240;width:48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油气</w:t>
                          </w:r>
                        </w:p>
                      </w:txbxContent>
                    </v:textbox>
                  </v:shape>
                  <v:shape id="_x0000_s1075" o:spid="_x0000_s1075" o:spt="202" type="#_x0000_t202" style="position:absolute;left:7716;top:9320;height:552;width:960;" filled="f" stroked="f" coordsize="21600,21600">
                    <v:path/>
                    <v:fill on="f" focussize="0,0"/>
                    <v:stroke on="f"/>
                    <v:imagedata o:title=""/>
                    <o:lock v:ext="edit" aspectratio="f"/>
                    <v:textbox inset="0mm,0mm,0mm,0mm">
                      <w:txbxContent>
                        <w:p>
                          <w:pPr>
                            <w:spacing w:line="239" w:lineRule="exact"/>
                            <w:jc w:val="center"/>
                            <w:rPr>
                              <w:rFonts w:ascii="宋体" w:hAnsi="宋体" w:cs="宋体"/>
                              <w:sz w:val="24"/>
                              <w:szCs w:val="24"/>
                            </w:rPr>
                          </w:pPr>
                          <w:r>
                            <w:rPr>
                              <w:rFonts w:ascii="宋体" w:hAnsi="宋体" w:cs="宋体"/>
                              <w:sz w:val="24"/>
                              <w:szCs w:val="24"/>
                            </w:rPr>
                            <w:t>少量逸散</w:t>
                          </w:r>
                        </w:p>
                        <w:p>
                          <w:pPr>
                            <w:spacing w:line="313" w:lineRule="exact"/>
                            <w:jc w:val="center"/>
                            <w:rPr>
                              <w:rFonts w:ascii="宋体" w:hAnsi="宋体" w:cs="宋体"/>
                              <w:sz w:val="24"/>
                              <w:szCs w:val="24"/>
                            </w:rPr>
                          </w:pPr>
                          <w:r>
                            <w:rPr>
                              <w:rFonts w:ascii="宋体" w:hAnsi="宋体" w:cs="宋体"/>
                              <w:sz w:val="24"/>
                              <w:szCs w:val="24"/>
                            </w:rPr>
                            <w:t>油气</w:t>
                          </w:r>
                        </w:p>
                      </w:txbxContent>
                    </v:textbox>
                  </v:shape>
                  <v:shape id="_x0000_s1076" o:spid="_x0000_s1076" o:spt="202" type="#_x0000_t202" style="position:absolute;left:5112;top:10103;height:240;width:96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呼吸作用</w:t>
                          </w:r>
                        </w:p>
                      </w:txbxContent>
                    </v:textbox>
                  </v:shape>
                  <v:shape id="_x0000_s1077" o:spid="_x0000_s1077" o:spt="202" type="#_x0000_t202" style="position:absolute;left:2414;top:10650;height:240;width:144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一次油气回收</w:t>
                          </w:r>
                        </w:p>
                      </w:txbxContent>
                    </v:textbox>
                  </v:shape>
                  <v:shape id="_x0000_s1078" o:spid="_x0000_s1078" o:spt="202" type="#_x0000_t202" style="position:absolute;left:8515;top:10650;height:240;width:144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加油车辆尾气</w:t>
                          </w:r>
                        </w:p>
                      </w:txbxContent>
                    </v:textbox>
                  </v:shape>
                  <v:shape id="_x0000_s1079" o:spid="_x0000_s1079" o:spt="202" type="#_x0000_t202" style="position:absolute;left:5669;top:10895;height:240;width:144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二次油气回收</w:t>
                          </w:r>
                        </w:p>
                      </w:txbxContent>
                    </v:textbox>
                  </v:shape>
                  <v:shape id="_x0000_s1080" o:spid="_x0000_s1080" o:spt="202" type="#_x0000_t202" style="position:absolute;left:3828;top:11504;height:240;width:48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卸油</w:t>
                          </w:r>
                        </w:p>
                      </w:txbxContent>
                    </v:textbox>
                  </v:shape>
                  <v:shape id="_x0000_s1081" o:spid="_x0000_s1081" o:spt="202" type="#_x0000_t202" style="position:absolute;left:2654;top:11742;height:240;width:72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油罐车</w:t>
                          </w:r>
                        </w:p>
                      </w:txbxContent>
                    </v:textbox>
                  </v:shape>
                  <v:shape id="_x0000_s1082" o:spid="_x0000_s1082" o:spt="202" type="#_x0000_t202" style="position:absolute;left:4879;top:11742;height:240;width:48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油罐</w:t>
                          </w:r>
                        </w:p>
                      </w:txbxContent>
                    </v:textbox>
                  </v:shape>
                  <v:shape id="_x0000_s1083" o:spid="_x0000_s1083" o:spt="202" type="#_x0000_t202" style="position:absolute;left:6864;top:11742;height:240;width:72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加油机</w:t>
                          </w:r>
                        </w:p>
                      </w:txbxContent>
                    </v:textbox>
                  </v:shape>
                  <v:shape id="_x0000_s1084" o:spid="_x0000_s1084" o:spt="202" type="#_x0000_t202" style="position:absolute;left:7973;top:11550;height:240;width:48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w:t>
                          </w:r>
                        </w:p>
                      </w:txbxContent>
                    </v:textbox>
                  </v:shape>
                  <v:shape id="_x0000_s1085" o:spid="_x0000_s1085" o:spt="202" type="#_x0000_t202" style="position:absolute;left:8830;top:11742;height:240;width:96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加油车辆</w:t>
                          </w:r>
                        </w:p>
                      </w:txbxContent>
                    </v:textbox>
                  </v:shape>
                  <v:shape id="_x0000_s1086" o:spid="_x0000_s1086" o:spt="202" type="#_x0000_t202" style="position:absolute;left:2534;top:12757;height:552;width:960;" filled="f" stroked="f" coordsize="21600,21600">
                    <v:path/>
                    <v:fill on="f" focussize="0,0"/>
                    <v:stroke on="f"/>
                    <v:imagedata o:title=""/>
                    <o:lock v:ext="edit" aspectratio="f"/>
                    <v:textbox inset="0mm,0mm,0mm,0mm">
                      <w:txbxContent>
                        <w:p>
                          <w:pPr>
                            <w:spacing w:line="239" w:lineRule="exact"/>
                            <w:jc w:val="center"/>
                            <w:rPr>
                              <w:rFonts w:ascii="宋体" w:hAnsi="宋体" w:cs="宋体"/>
                              <w:sz w:val="24"/>
                              <w:szCs w:val="24"/>
                            </w:rPr>
                          </w:pPr>
                          <w:r>
                            <w:rPr>
                              <w:rFonts w:ascii="宋体" w:hAnsi="宋体" w:cs="宋体"/>
                              <w:sz w:val="24"/>
                              <w:szCs w:val="24"/>
                            </w:rPr>
                            <w:t>少量逸散</w:t>
                          </w:r>
                        </w:p>
                        <w:p>
                          <w:pPr>
                            <w:spacing w:line="313" w:lineRule="exact"/>
                            <w:jc w:val="center"/>
                            <w:rPr>
                              <w:rFonts w:ascii="宋体" w:hAnsi="宋体" w:cs="宋体"/>
                              <w:sz w:val="24"/>
                              <w:szCs w:val="24"/>
                            </w:rPr>
                          </w:pPr>
                          <w:r>
                            <w:rPr>
                              <w:rFonts w:ascii="宋体" w:hAnsi="宋体" w:cs="宋体"/>
                              <w:sz w:val="24"/>
                              <w:szCs w:val="24"/>
                            </w:rPr>
                            <w:t>油气</w:t>
                          </w:r>
                        </w:p>
                      </w:txbxContent>
                    </v:textbox>
                  </v:shape>
                  <v:shape id="_x0000_s1087" o:spid="_x0000_s1087" o:spt="202" type="#_x0000_t202" style="position:absolute;left:4673;top:12834;height:240;width:96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清罐油泥</w:t>
                          </w:r>
                        </w:p>
                      </w:txbxContent>
                    </v:textbox>
                  </v:shape>
                  <v:shape id="_x0000_s1088" o:spid="_x0000_s1088" o:spt="202" type="#_x0000_t202" style="position:absolute;left:6665;top:12834;height:240;width:120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加油机噪声</w:t>
                          </w:r>
                        </w:p>
                      </w:txbxContent>
                    </v:textbox>
                  </v:shape>
                  <v:shape id="_x0000_s1089" o:spid="_x0000_s1089" o:spt="202" type="#_x0000_t202" style="position:absolute;left:8515;top:12834;height:240;width:1440;" filled="f" stroked="f" coordsize="21600,21600">
                    <v:path/>
                    <v:fill on="f" focussize="0,0"/>
                    <v:stroke on="f"/>
                    <v:imagedata o:title=""/>
                    <o:lock v:ext="edit" aspectratio="f"/>
                    <v:textbox inset="0mm,0mm,0mm,0mm">
                      <w:txbxContent>
                        <w:p>
                          <w:pPr>
                            <w:spacing w:line="240" w:lineRule="exact"/>
                            <w:rPr>
                              <w:rFonts w:ascii="宋体" w:hAnsi="宋体" w:cs="宋体"/>
                              <w:sz w:val="24"/>
                              <w:szCs w:val="24"/>
                            </w:rPr>
                          </w:pPr>
                          <w:r>
                            <w:rPr>
                              <w:rFonts w:ascii="宋体" w:hAnsi="宋体" w:cs="宋体"/>
                              <w:sz w:val="24"/>
                              <w:szCs w:val="24"/>
                            </w:rPr>
                            <w:t>加油车辆噪声</w:t>
                          </w:r>
                        </w:p>
                      </w:txbxContent>
                    </v:textbox>
                  </v:shape>
                </v:group>
              </w:pict>
            </w:r>
          </w:p>
          <w:p>
            <w:pPr>
              <w:tabs>
                <w:tab w:val="left" w:pos="601"/>
              </w:tabs>
              <w:spacing w:line="520" w:lineRule="exact"/>
              <w:rPr>
                <w:rFonts w:hint="eastAsia" w:eastAsia="黑体"/>
                <w:color w:val="000000"/>
                <w:sz w:val="24"/>
              </w:rPr>
            </w:pPr>
          </w:p>
          <w:p>
            <w:pPr>
              <w:tabs>
                <w:tab w:val="left" w:pos="601"/>
              </w:tabs>
              <w:spacing w:line="520" w:lineRule="exact"/>
              <w:rPr>
                <w:rFonts w:hint="eastAsia" w:eastAsia="黑体"/>
                <w:color w:val="000000"/>
                <w:sz w:val="24"/>
              </w:rPr>
            </w:pPr>
          </w:p>
          <w:p>
            <w:pPr>
              <w:tabs>
                <w:tab w:val="left" w:pos="601"/>
              </w:tabs>
              <w:spacing w:line="520" w:lineRule="exact"/>
              <w:rPr>
                <w:rFonts w:hint="eastAsia" w:eastAsia="黑体"/>
                <w:color w:val="000000"/>
                <w:sz w:val="24"/>
              </w:rPr>
            </w:pPr>
          </w:p>
          <w:p>
            <w:pPr>
              <w:tabs>
                <w:tab w:val="left" w:pos="601"/>
              </w:tabs>
              <w:spacing w:line="520" w:lineRule="exact"/>
              <w:rPr>
                <w:rFonts w:hint="eastAsia" w:eastAsia="黑体"/>
                <w:color w:val="000000"/>
                <w:sz w:val="24"/>
              </w:rPr>
            </w:pPr>
          </w:p>
          <w:p>
            <w:pPr>
              <w:pStyle w:val="2"/>
              <w:rPr>
                <w:rFonts w:hint="eastAsia"/>
              </w:rPr>
            </w:pPr>
          </w:p>
          <w:p>
            <w:pPr>
              <w:tabs>
                <w:tab w:val="left" w:pos="601"/>
              </w:tabs>
              <w:spacing w:line="520" w:lineRule="exact"/>
              <w:rPr>
                <w:rFonts w:hint="eastAsia" w:eastAsia="黑体"/>
                <w:color w:val="000000"/>
                <w:sz w:val="24"/>
              </w:rPr>
            </w:pPr>
            <w:r>
              <w:rPr>
                <w:rFonts w:hint="eastAsia" w:eastAsia="黑体"/>
                <w:color w:val="000000"/>
                <w:sz w:val="24"/>
              </w:rPr>
              <w:pict>
                <v:shape id="_x0000_s1044" o:spid="_x0000_s1044" o:spt="202" type="#_x0000_t202" style="position:absolute;left:0pt;margin-left:93.2pt;margin-top:8.6pt;height:28.8pt;width:246.65pt;z-index:251663360;mso-width-relative:page;mso-height-relative:page;" filled="f" stroked="f" coordsize="21600,21600">
                  <v:path/>
                  <v:fill on="f" focussize="0,0"/>
                  <v:stroke on="f"/>
                  <v:imagedata o:title=""/>
                  <o:lock v:ext="edit"/>
                  <v:textbox>
                    <w:txbxContent>
                      <w:p>
                        <w:pP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图1    汽油加工工艺流程及产污环节图</w:t>
                        </w:r>
                      </w:p>
                    </w:txbxContent>
                  </v:textbox>
                </v:shape>
              </w:pic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工艺流程详述：</w: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rFonts w:hint="eastAsia"/>
                <w:color w:val="000000"/>
                <w:sz w:val="24"/>
              </w:rPr>
            </w:pPr>
            <w:r>
              <w:rPr>
                <w:rFonts w:hint="eastAsia"/>
                <w:color w:val="000000"/>
                <w:sz w:val="24"/>
              </w:rPr>
              <w:t>（1）卸油过程</w:t>
            </w:r>
          </w:p>
          <w:p>
            <w:pPr>
              <w:keepNext w:val="0"/>
              <w:keepLines w:val="0"/>
              <w:pageBreakBefore w:val="0"/>
              <w:widowControl w:val="0"/>
              <w:kinsoku/>
              <w:wordWrap/>
              <w:overflowPunct/>
              <w:topLinePunct w:val="0"/>
              <w:autoSpaceDE/>
              <w:autoSpaceDN/>
              <w:bidi w:val="0"/>
              <w:adjustRightInd/>
              <w:snapToGrid/>
              <w:spacing w:line="520" w:lineRule="exact"/>
              <w:ind w:firstLine="460" w:firstLineChars="200"/>
              <w:textAlignment w:val="auto"/>
              <w:rPr>
                <w:rFonts w:ascii="宋体" w:hAnsi="宋体" w:cs="宋体"/>
                <w:sz w:val="24"/>
                <w:szCs w:val="24"/>
              </w:rPr>
            </w:pPr>
            <w:r>
              <w:rPr>
                <w:rFonts w:ascii="宋体" w:hAnsi="宋体" w:cs="宋体"/>
                <w:spacing w:val="-5"/>
                <w:sz w:val="24"/>
                <w:szCs w:val="24"/>
              </w:rPr>
              <w:t>本</w:t>
            </w:r>
            <w:r>
              <w:rPr>
                <w:rFonts w:ascii="宋体" w:hAnsi="宋体" w:cs="宋体"/>
                <w:spacing w:val="-3"/>
                <w:sz w:val="24"/>
                <w:szCs w:val="24"/>
              </w:rPr>
              <w:t>项</w:t>
            </w:r>
            <w:r>
              <w:rPr>
                <w:rFonts w:hAnsi="宋体"/>
                <w:spacing w:val="-5"/>
                <w:sz w:val="24"/>
                <w:szCs w:val="24"/>
              </w:rPr>
              <w:t>目成</w:t>
            </w:r>
            <w:r>
              <w:rPr>
                <w:rFonts w:hAnsi="宋体"/>
                <w:spacing w:val="-3"/>
                <w:sz w:val="24"/>
                <w:szCs w:val="24"/>
              </w:rPr>
              <w:t>品</w:t>
            </w:r>
            <w:r>
              <w:rPr>
                <w:rFonts w:hAnsi="宋体"/>
                <w:spacing w:val="-5"/>
                <w:sz w:val="24"/>
                <w:szCs w:val="24"/>
              </w:rPr>
              <w:t>油由</w:t>
            </w:r>
            <w:r>
              <w:rPr>
                <w:rFonts w:hAnsi="宋体"/>
                <w:spacing w:val="-3"/>
                <w:sz w:val="24"/>
                <w:szCs w:val="24"/>
              </w:rPr>
              <w:t>汽</w:t>
            </w:r>
            <w:r>
              <w:rPr>
                <w:rFonts w:hAnsi="宋体"/>
                <w:spacing w:val="-5"/>
                <w:sz w:val="24"/>
                <w:szCs w:val="24"/>
              </w:rPr>
              <w:t>车槽车</w:t>
            </w:r>
            <w:r>
              <w:rPr>
                <w:rFonts w:hint="eastAsia" w:hAnsi="宋体"/>
                <w:spacing w:val="-5"/>
                <w:sz w:val="24"/>
                <w:szCs w:val="24"/>
              </w:rPr>
              <w:t>（油罐车）</w:t>
            </w:r>
            <w:r>
              <w:rPr>
                <w:rFonts w:hAnsi="宋体"/>
                <w:spacing w:val="-5"/>
                <w:sz w:val="24"/>
                <w:szCs w:val="24"/>
              </w:rPr>
              <w:t>运来，采用密闭卸油方式从槽车自流卸入成品油储罐储存。</w:t>
            </w:r>
            <w:r>
              <w:rPr>
                <w:rFonts w:hint="eastAsia" w:hAnsi="宋体"/>
                <w:spacing w:val="-5"/>
                <w:sz w:val="24"/>
                <w:szCs w:val="24"/>
              </w:rPr>
              <w:t>加油时车辆、操作人员均设置防静电装置，周围布置好消防设施，</w:t>
            </w:r>
            <w:r>
              <w:rPr>
                <w:rFonts w:hAnsi="宋体"/>
                <w:spacing w:val="-5"/>
                <w:sz w:val="24"/>
                <w:szCs w:val="24"/>
              </w:rPr>
              <w:t>油罐车用导静电软管连接埋地储罐卸油阀门，</w:t>
            </w:r>
            <w:r>
              <w:rPr>
                <w:rFonts w:hint="eastAsia" w:hAnsi="宋体"/>
                <w:spacing w:val="-5"/>
                <w:sz w:val="24"/>
                <w:szCs w:val="24"/>
              </w:rPr>
              <w:t>采用</w:t>
            </w:r>
            <w:r>
              <w:rPr>
                <w:rFonts w:hAnsi="宋体"/>
                <w:spacing w:val="-5"/>
                <w:sz w:val="24"/>
                <w:szCs w:val="24"/>
              </w:rPr>
              <w:t>分品种独立卸油方式，配备快速接头和卸油软管，利用位差，油料自流到地下储罐中。</w:t>
            </w:r>
            <w:r>
              <w:rPr>
                <w:rFonts w:ascii="宋体" w:hAnsi="宋体" w:cs="宋体"/>
                <w:sz w:val="24"/>
                <w:szCs w:val="24"/>
              </w:rPr>
              <w:t>由于汽油挥发性较强</w:t>
            </w:r>
            <w:r>
              <w:rPr>
                <w:rFonts w:ascii="宋体" w:hAnsi="宋体" w:cs="宋体"/>
                <w:spacing w:val="-8"/>
                <w:sz w:val="24"/>
                <w:szCs w:val="24"/>
              </w:rPr>
              <w:t>，</w:t>
            </w:r>
            <w:r>
              <w:rPr>
                <w:rFonts w:ascii="宋体" w:hAnsi="宋体" w:cs="宋体"/>
                <w:sz w:val="24"/>
                <w:szCs w:val="24"/>
              </w:rPr>
              <w:t>本项目安装卸油</w:t>
            </w:r>
            <w:r>
              <w:rPr>
                <w:rFonts w:hint="eastAsia" w:ascii="宋体" w:hAnsi="宋体" w:cs="宋体"/>
                <w:sz w:val="24"/>
                <w:szCs w:val="24"/>
              </w:rPr>
              <w:t>油</w:t>
            </w:r>
            <w:r>
              <w:rPr>
                <w:rFonts w:ascii="宋体" w:hAnsi="宋体" w:cs="宋体"/>
                <w:sz w:val="24"/>
                <w:szCs w:val="24"/>
              </w:rPr>
              <w:t>气回收系统</w:t>
            </w:r>
            <w:r>
              <w:rPr>
                <w:rFonts w:ascii="宋体" w:hAnsi="宋体" w:cs="宋体"/>
                <w:spacing w:val="-8"/>
                <w:sz w:val="24"/>
                <w:szCs w:val="24"/>
              </w:rPr>
              <w:t>，</w:t>
            </w:r>
            <w:r>
              <w:rPr>
                <w:rFonts w:ascii="宋体" w:hAnsi="宋体" w:cs="宋体"/>
                <w:sz w:val="24"/>
                <w:szCs w:val="24"/>
              </w:rPr>
              <w:t>即一次油气回收系统，对汽油在卸油过程中产生的油气进行回收。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auto"/>
                <w:sz w:val="24"/>
                <w:szCs w:val="24"/>
              </w:rPr>
            </w:pPr>
            <w:r>
              <w:rPr>
                <w:color w:val="auto"/>
                <w:sz w:val="24"/>
                <w:szCs w:val="24"/>
              </w:rPr>
              <w:t>一次油气回收阶段是通过压力平衡原理，将在卸油过程中挥发的油气收集到油罐车内，运回储油库进行油气回收处理的过程。该阶段油气回收实现过程：在油罐车卸油过程中，储油车内压力减小，地下储罐内压力增加，地下储罐与油罐车内的压力差，使卸油过程中挥发的油气通过管线回到油罐车内，达到油气收集的目的。待卸油结束，地下储罐与油罐车内压力达到平衡状态，一次油气回收阶段结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sz w:val="24"/>
                <w:szCs w:val="24"/>
              </w:rPr>
            </w:pPr>
            <w:r>
              <w:rPr>
                <w:rFonts w:hint="eastAsia" w:ascii="宋体" w:hAnsi="宋体" w:cs="宋体"/>
                <w:sz w:val="24"/>
                <w:szCs w:val="24"/>
              </w:rPr>
              <w:t>油气回收装置避免了空气进入罐车罐体，同时也避免了储罐内油气通过呼吸阀进入空气，减少了油气外溢进入大气中，即保护了环境又减少了油品损失，形成油气循环系统。卸油完毕后由卸油人员检查罐车，打好铅封，送罐车出站。在卸油期间暂停营业，雷电期间停止卸油、加油作业。一次油气回收系统工艺流程图见</w:t>
            </w:r>
            <w:r>
              <w:rPr>
                <w:rFonts w:hint="eastAsia" w:ascii="宋体" w:hAnsi="宋体" w:cs="宋体"/>
                <w:sz w:val="24"/>
                <w:szCs w:val="24"/>
                <w:lang w:val="en-US" w:eastAsia="zh-CN"/>
              </w:rPr>
              <w:t>下</w:t>
            </w:r>
            <w:r>
              <w:rPr>
                <w:rFonts w:hAnsi="宋体"/>
                <w:sz w:val="24"/>
                <w:szCs w:val="24"/>
              </w:rPr>
              <w:t>图</w:t>
            </w:r>
            <w:r>
              <w:rPr>
                <w:rFonts w:hint="eastAsia" w:hAnsi="宋体"/>
                <w:sz w:val="24"/>
                <w:szCs w:val="24"/>
              </w:rPr>
              <w:t>。</w:t>
            </w:r>
          </w:p>
          <w:p>
            <w:pPr>
              <w:spacing w:line="520" w:lineRule="exact"/>
              <w:ind w:firstLine="480" w:firstLineChars="200"/>
              <w:rPr>
                <w:rFonts w:hint="eastAsia" w:hAnsi="宋体"/>
                <w:sz w:val="24"/>
                <w:szCs w:val="24"/>
              </w:rPr>
            </w:pPr>
          </w:p>
          <w:p>
            <w:pPr>
              <w:spacing w:line="520" w:lineRule="exact"/>
              <w:ind w:firstLine="420" w:firstLineChars="200"/>
              <w:rPr>
                <w:rFonts w:hint="eastAsia" w:hAnsi="宋体"/>
                <w:sz w:val="24"/>
                <w:szCs w:val="24"/>
              </w:rPr>
            </w:pPr>
            <w:r>
              <w:drawing>
                <wp:anchor distT="0" distB="0" distL="114300" distR="114300" simplePos="0" relativeHeight="251665408" behindDoc="0" locked="0" layoutInCell="1" allowOverlap="1">
                  <wp:simplePos x="0" y="0"/>
                  <wp:positionH relativeFrom="column">
                    <wp:posOffset>381635</wp:posOffset>
                  </wp:positionH>
                  <wp:positionV relativeFrom="paragraph">
                    <wp:posOffset>44450</wp:posOffset>
                  </wp:positionV>
                  <wp:extent cx="5147945" cy="2437130"/>
                  <wp:effectExtent l="0" t="0" r="14605" b="1270"/>
                  <wp:wrapNone/>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9">
                            <a:lum bright="26001"/>
                          </a:blip>
                          <a:stretch>
                            <a:fillRect/>
                          </a:stretch>
                        </pic:blipFill>
                        <pic:spPr>
                          <a:xfrm>
                            <a:off x="0" y="0"/>
                            <a:ext cx="5147945" cy="2437130"/>
                          </a:xfrm>
                          <a:prstGeom prst="rect">
                            <a:avLst/>
                          </a:prstGeom>
                          <a:noFill/>
                          <a:ln>
                            <a:noFill/>
                          </a:ln>
                        </pic:spPr>
                      </pic:pic>
                    </a:graphicData>
                  </a:graphic>
                </wp:anchor>
              </w:drawing>
            </w:r>
          </w:p>
          <w:p>
            <w:pPr>
              <w:spacing w:line="520" w:lineRule="exact"/>
              <w:ind w:firstLine="480" w:firstLineChars="200"/>
              <w:rPr>
                <w:rFonts w:hint="eastAsia" w:hAnsi="宋体"/>
                <w:sz w:val="24"/>
                <w:szCs w:val="24"/>
              </w:rPr>
            </w:pPr>
          </w:p>
          <w:p>
            <w:pPr>
              <w:spacing w:line="520" w:lineRule="exact"/>
              <w:ind w:firstLine="480" w:firstLineChars="200"/>
              <w:rPr>
                <w:rFonts w:hint="eastAsia" w:hAnsi="宋体"/>
                <w:sz w:val="24"/>
                <w:szCs w:val="24"/>
              </w:rPr>
            </w:pPr>
          </w:p>
          <w:p>
            <w:pPr>
              <w:spacing w:line="520" w:lineRule="exact"/>
              <w:ind w:firstLine="480" w:firstLineChars="200"/>
              <w:rPr>
                <w:rFonts w:hint="eastAsia" w:hAnsi="宋体"/>
                <w:sz w:val="24"/>
                <w:szCs w:val="24"/>
              </w:rPr>
            </w:pPr>
          </w:p>
          <w:p>
            <w:pPr>
              <w:spacing w:line="520" w:lineRule="exact"/>
              <w:ind w:firstLine="480" w:firstLineChars="200"/>
              <w:rPr>
                <w:rFonts w:hint="eastAsia" w:hAnsi="宋体"/>
                <w:sz w:val="24"/>
                <w:szCs w:val="24"/>
              </w:rPr>
            </w:pPr>
          </w:p>
          <w:p>
            <w:pPr>
              <w:spacing w:line="520" w:lineRule="exact"/>
              <w:ind w:firstLine="480" w:firstLineChars="200"/>
              <w:rPr>
                <w:rFonts w:hint="eastAsia" w:hAnsi="宋体"/>
                <w:sz w:val="24"/>
                <w:szCs w:val="24"/>
              </w:rPr>
            </w:pPr>
          </w:p>
          <w:p>
            <w:pPr>
              <w:spacing w:line="520" w:lineRule="exact"/>
              <w:ind w:firstLine="480" w:firstLineChars="200"/>
              <w:rPr>
                <w:rFonts w:hint="eastAsia" w:hAnsi="宋体"/>
                <w:sz w:val="24"/>
                <w:szCs w:val="24"/>
              </w:rPr>
            </w:pPr>
          </w:p>
          <w:p>
            <w:pPr>
              <w:spacing w:line="520" w:lineRule="exact"/>
              <w:ind w:firstLine="562" w:firstLineChars="200"/>
              <w:rPr>
                <w:rFonts w:hint="eastAsia" w:ascii="宋体" w:hAnsi="宋体" w:cs="宋体"/>
                <w:sz w:val="24"/>
                <w:szCs w:val="24"/>
              </w:rPr>
            </w:pPr>
            <w:r>
              <w:rPr>
                <w:rFonts w:hint="eastAsia"/>
                <w:b/>
                <w:sz w:val="28"/>
                <w:szCs w:val="28"/>
              </w:rPr>
              <w:pict>
                <v:shape id="_x0000_s1045" o:spid="_x0000_s1045" o:spt="202" type="#_x0000_t202" style="position:absolute;left:0pt;margin-left:116.95pt;margin-top:10.05pt;height:28.8pt;width:246.65pt;z-index:251666432;mso-width-relative:page;mso-height-relative:page;" filled="f" stroked="f" coordsize="21600,21600">
                  <v:path/>
                  <v:fill on="f" focussize="0,0"/>
                  <v:stroke on="f"/>
                  <v:imagedata o:title=""/>
                  <o:lock v:ext="edit"/>
                  <v:textbox>
                    <w:txbxContent>
                      <w:p>
                        <w:pPr>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图2    一次油气回收系统工艺流程图</w:t>
                        </w:r>
                      </w:p>
                    </w:txbxContent>
                  </v:textbox>
                </v:shape>
              </w:pic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sz w:val="24"/>
                <w:szCs w:val="24"/>
              </w:rPr>
            </w:pPr>
            <w:r>
              <w:rPr>
                <w:rFonts w:hAnsi="宋体"/>
                <w:sz w:val="24"/>
                <w:szCs w:val="24"/>
              </w:rPr>
              <w:t>（</w:t>
            </w:r>
            <w:r>
              <w:rPr>
                <w:sz w:val="24"/>
                <w:szCs w:val="24"/>
              </w:rPr>
              <w:t>2</w:t>
            </w:r>
            <w:r>
              <w:rPr>
                <w:rFonts w:hAnsi="宋体"/>
                <w:sz w:val="24"/>
                <w:szCs w:val="24"/>
              </w:rPr>
              <w:t>）</w:t>
            </w:r>
            <w:r>
              <w:rPr>
                <w:rFonts w:hint="eastAsia" w:hAnsi="宋体"/>
                <w:sz w:val="24"/>
                <w:szCs w:val="24"/>
              </w:rPr>
              <w:t>储油工艺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sz w:val="24"/>
                <w:szCs w:val="24"/>
              </w:rPr>
            </w:pPr>
            <w:r>
              <w:rPr>
                <w:rFonts w:ascii="宋体" w:hAnsi="宋体" w:cs="宋体"/>
                <w:sz w:val="24"/>
                <w:szCs w:val="24"/>
              </w:rPr>
              <w:t>油品在储存罐中常压储</w:t>
            </w:r>
            <w:r>
              <w:rPr>
                <w:rFonts w:hAnsi="宋体"/>
                <w:sz w:val="24"/>
                <w:szCs w:val="24"/>
              </w:rPr>
              <w:t>存</w:t>
            </w:r>
            <w:r>
              <w:rPr>
                <w:rFonts w:hint="eastAsia" w:hAnsi="宋体"/>
                <w:sz w:val="24"/>
                <w:szCs w:val="24"/>
              </w:rPr>
              <w:t>，设置</w:t>
            </w:r>
            <w:r>
              <w:rPr>
                <w:sz w:val="24"/>
                <w:szCs w:val="24"/>
              </w:rPr>
              <w:t>4</w:t>
            </w:r>
            <w:r>
              <w:rPr>
                <w:rFonts w:hAnsi="宋体"/>
                <w:sz w:val="24"/>
                <w:szCs w:val="24"/>
              </w:rPr>
              <w:t>个</w:t>
            </w:r>
            <w:r>
              <w:rPr>
                <w:sz w:val="24"/>
                <w:szCs w:val="24"/>
              </w:rPr>
              <w:t>20m</w:t>
            </w:r>
            <w:r>
              <w:rPr>
                <w:sz w:val="24"/>
                <w:szCs w:val="24"/>
                <w:vertAlign w:val="superscript"/>
              </w:rPr>
              <w:t>3</w:t>
            </w:r>
            <w:r>
              <w:rPr>
                <w:rFonts w:hAnsi="宋体"/>
                <w:sz w:val="24"/>
                <w:szCs w:val="24"/>
              </w:rPr>
              <w:t>埋地卧式</w:t>
            </w:r>
            <w:r>
              <w:rPr>
                <w:rFonts w:hint="eastAsia" w:hAnsi="宋体"/>
                <w:sz w:val="24"/>
                <w:szCs w:val="24"/>
                <w:lang w:val="en-US" w:eastAsia="zh-CN"/>
              </w:rPr>
              <w:t>钢制</w:t>
            </w:r>
            <w:r>
              <w:rPr>
                <w:rFonts w:hAnsi="宋体"/>
                <w:sz w:val="24"/>
                <w:szCs w:val="24"/>
              </w:rPr>
              <w:t>油罐，并考虑油罐</w:t>
            </w:r>
            <w:r>
              <w:rPr>
                <w:rFonts w:hint="eastAsia" w:hAnsi="宋体"/>
                <w:sz w:val="24"/>
                <w:szCs w:val="24"/>
              </w:rPr>
              <w:t>受地下水或雨水作用有上浮可能</w:t>
            </w:r>
            <w:r>
              <w:rPr>
                <w:rFonts w:hAnsi="宋体"/>
                <w:sz w:val="24"/>
                <w:szCs w:val="24"/>
              </w:rPr>
              <w:t>时采取防止油罐上浮的抗浮措施。直埋地下油罐的外表面进行防腐处理。卸油管向下伸至罐内距罐底</w:t>
            </w:r>
            <w:r>
              <w:rPr>
                <w:sz w:val="24"/>
                <w:szCs w:val="24"/>
              </w:rPr>
              <w:t xml:space="preserve"> 0.20m</w:t>
            </w:r>
            <w:r>
              <w:rPr>
                <w:rFonts w:hAnsi="宋体"/>
                <w:sz w:val="24"/>
                <w:szCs w:val="24"/>
              </w:rPr>
              <w:t>处，</w:t>
            </w:r>
            <w:r>
              <w:rPr>
                <w:rFonts w:hint="eastAsia" w:hAnsi="宋体"/>
                <w:sz w:val="24"/>
                <w:szCs w:val="24"/>
              </w:rPr>
              <w:t>并设置四根通气管，高度为4.5m，每根通气管口安装阻火器。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Ansi="宋体"/>
                <w:sz w:val="24"/>
                <w:szCs w:val="24"/>
              </w:rPr>
              <w:t>（</w:t>
            </w:r>
            <w:r>
              <w:rPr>
                <w:sz w:val="24"/>
                <w:szCs w:val="24"/>
              </w:rPr>
              <w:t>3</w:t>
            </w:r>
            <w:r>
              <w:rPr>
                <w:rFonts w:hAnsi="宋体"/>
                <w:sz w:val="24"/>
                <w:szCs w:val="24"/>
              </w:rPr>
              <w:t>）加油工艺</w: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color w:val="000000"/>
                <w:sz w:val="24"/>
              </w:rPr>
            </w:pPr>
            <w:r>
              <w:rPr>
                <w:color w:val="000000"/>
                <w:sz w:val="24"/>
              </w:rPr>
              <w:t>加油站的加油机均为潜油泵式税控加油机。工作人员根据顾客需要的品种和数量在加油机上预置，确认油品无误，提枪加油。提枪加油时，控制系统启动安装在油罐人孔上的潜油泵将油品经加油枪向汽车油箱加油，加油完毕后收枪复位，控制系统终止潜油泵运行。</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hAnsi="宋体"/>
                <w:spacing w:val="-17"/>
                <w:sz w:val="24"/>
                <w:szCs w:val="24"/>
              </w:rPr>
            </w:pPr>
            <w:r>
              <w:rPr>
                <w:color w:val="auto"/>
                <w:sz w:val="24"/>
                <w:szCs w:val="24"/>
              </w:rPr>
              <w:t>二次油气回收阶段是采用真空辅助式油气回收设备，将在加油过程中挥发的油气通过地下油气回收管线收集到地下储罐内的油气回收过程。该阶段油气回收实现过程：</w:t>
            </w:r>
            <w:r>
              <w:rPr>
                <w:rFonts w:ascii="宋体" w:hAnsi="宋体" w:cs="宋体"/>
                <w:sz w:val="24"/>
                <w:szCs w:val="24"/>
              </w:rPr>
              <w:t>在加油枪给车辆加注汽油</w:t>
            </w:r>
            <w:r>
              <w:rPr>
                <w:rFonts w:ascii="宋体" w:hAnsi="宋体" w:cs="宋体"/>
                <w:spacing w:val="-1"/>
                <w:sz w:val="24"/>
                <w:szCs w:val="24"/>
              </w:rPr>
              <w:t>时</w:t>
            </w:r>
            <w:r>
              <w:rPr>
                <w:rFonts w:ascii="宋体" w:hAnsi="宋体" w:cs="宋体"/>
                <w:spacing w:val="-12"/>
                <w:sz w:val="24"/>
                <w:szCs w:val="24"/>
              </w:rPr>
              <w:t>，</w:t>
            </w:r>
            <w:r>
              <w:rPr>
                <w:rFonts w:hint="eastAsia" w:ascii="宋体" w:hAnsi="宋体"/>
                <w:sz w:val="24"/>
                <w:szCs w:val="24"/>
              </w:rPr>
              <w:t>通过真空泵产生一定真空度，经过加油枪、油气回收管、真空泵等油气回收设备</w:t>
            </w:r>
            <w:r>
              <w:rPr>
                <w:rFonts w:ascii="宋体" w:hAnsi="宋体" w:cs="宋体"/>
                <w:sz w:val="24"/>
                <w:szCs w:val="24"/>
              </w:rPr>
              <w:t>，按照</w:t>
            </w:r>
            <w:r>
              <w:rPr>
                <w:rFonts w:hint="eastAsia" w:ascii="宋体" w:hAnsi="宋体" w:cs="宋体"/>
                <w:sz w:val="24"/>
                <w:szCs w:val="24"/>
              </w:rPr>
              <w:t>气液比控制</w:t>
            </w:r>
            <w:r>
              <w:rPr>
                <w:rFonts w:hAnsi="宋体"/>
                <w:sz w:val="24"/>
                <w:szCs w:val="24"/>
              </w:rPr>
              <w:t>在</w:t>
            </w:r>
            <w:r>
              <w:rPr>
                <w:sz w:val="24"/>
                <w:szCs w:val="24"/>
              </w:rPr>
              <w:t>1.0-1.2</w:t>
            </w:r>
            <w:r>
              <w:rPr>
                <w:rFonts w:hAnsi="宋体"/>
                <w:sz w:val="24"/>
                <w:szCs w:val="24"/>
              </w:rPr>
              <w:t>之间的要求</w:t>
            </w:r>
            <w:r>
              <w:rPr>
                <w:rFonts w:ascii="宋体" w:hAnsi="宋体" w:cs="宋体"/>
                <w:sz w:val="24"/>
                <w:szCs w:val="24"/>
              </w:rPr>
              <w:t>，将加油过程中车辆油箱内挥发的油气收集到汽油罐内</w:t>
            </w:r>
            <w:r>
              <w:rPr>
                <w:rFonts w:ascii="宋体" w:hAnsi="宋体" w:cs="宋体"/>
                <w:spacing w:val="-53"/>
                <w:sz w:val="24"/>
                <w:szCs w:val="24"/>
              </w:rPr>
              <w:t>，</w:t>
            </w:r>
            <w:r>
              <w:rPr>
                <w:rFonts w:ascii="宋体" w:hAnsi="宋体" w:cs="宋体"/>
                <w:sz w:val="24"/>
                <w:szCs w:val="24"/>
              </w:rPr>
              <w:t>从而实现加油过程的油气回收</w:t>
            </w:r>
            <w:r>
              <w:rPr>
                <w:rFonts w:hint="eastAsia" w:ascii="宋体" w:hAnsi="宋体" w:cs="宋体"/>
                <w:sz w:val="24"/>
                <w:szCs w:val="24"/>
              </w:rPr>
              <w:t>（二次油气回收）</w:t>
            </w:r>
            <w:r>
              <w:rPr>
                <w:rFonts w:ascii="宋体" w:hAnsi="宋体" w:cs="宋体"/>
                <w:spacing w:val="-17"/>
                <w:sz w:val="24"/>
                <w:szCs w:val="24"/>
              </w:rPr>
              <w:t>。</w:t>
            </w:r>
            <w:r>
              <w:rPr>
                <w:rFonts w:hint="eastAsia" w:ascii="宋体" w:hAnsi="宋体" w:cs="宋体"/>
                <w:spacing w:val="-17"/>
                <w:sz w:val="24"/>
                <w:szCs w:val="24"/>
              </w:rPr>
              <w:t>二次油气回收系统工艺流</w:t>
            </w:r>
            <w:r>
              <w:rPr>
                <w:rFonts w:hAnsi="宋体"/>
                <w:spacing w:val="-17"/>
                <w:sz w:val="24"/>
                <w:szCs w:val="24"/>
              </w:rPr>
              <w:t>程见图</w:t>
            </w:r>
            <w:r>
              <w:rPr>
                <w:spacing w:val="-17"/>
                <w:sz w:val="24"/>
                <w:szCs w:val="24"/>
              </w:rPr>
              <w:t>3</w:t>
            </w:r>
            <w:r>
              <w:rPr>
                <w:rFonts w:hAnsi="宋体"/>
                <w:spacing w:val="-17"/>
                <w:sz w:val="24"/>
                <w:szCs w:val="24"/>
              </w:rPr>
              <w:t>。</w:t>
            </w:r>
          </w:p>
          <w:p>
            <w:pPr>
              <w:spacing w:line="520" w:lineRule="exact"/>
              <w:ind w:firstLine="480"/>
              <w:rPr>
                <w:rFonts w:hint="eastAsia" w:hAnsi="宋体"/>
                <w:spacing w:val="-17"/>
                <w:sz w:val="24"/>
                <w:szCs w:val="24"/>
              </w:rPr>
            </w:pPr>
            <w:r>
              <w:drawing>
                <wp:anchor distT="0" distB="0" distL="114300" distR="114300" simplePos="0" relativeHeight="251667456" behindDoc="0" locked="0" layoutInCell="1" allowOverlap="1">
                  <wp:simplePos x="0" y="0"/>
                  <wp:positionH relativeFrom="column">
                    <wp:posOffset>313690</wp:posOffset>
                  </wp:positionH>
                  <wp:positionV relativeFrom="paragraph">
                    <wp:posOffset>52705</wp:posOffset>
                  </wp:positionV>
                  <wp:extent cx="5327015" cy="2712720"/>
                  <wp:effectExtent l="0" t="0" r="6985" b="11430"/>
                  <wp:wrapNone/>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pic:cNvPicPr>
                            <a:picLocks noChangeAspect="1"/>
                          </pic:cNvPicPr>
                        </pic:nvPicPr>
                        <pic:blipFill>
                          <a:blip r:embed="rId10">
                            <a:lum bright="23999"/>
                          </a:blip>
                          <a:stretch>
                            <a:fillRect/>
                          </a:stretch>
                        </pic:blipFill>
                        <pic:spPr>
                          <a:xfrm>
                            <a:off x="0" y="0"/>
                            <a:ext cx="5327015" cy="2712720"/>
                          </a:xfrm>
                          <a:prstGeom prst="rect">
                            <a:avLst/>
                          </a:prstGeom>
                          <a:noFill/>
                          <a:ln>
                            <a:noFill/>
                          </a:ln>
                        </pic:spPr>
                      </pic:pic>
                    </a:graphicData>
                  </a:graphic>
                </wp:anchor>
              </w:drawing>
            </w: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hAnsi="宋体"/>
                <w:spacing w:val="-17"/>
                <w:sz w:val="24"/>
                <w:szCs w:val="24"/>
              </w:rPr>
            </w:pPr>
          </w:p>
          <w:p>
            <w:pPr>
              <w:spacing w:line="520" w:lineRule="exact"/>
              <w:ind w:firstLine="480"/>
              <w:rPr>
                <w:rFonts w:hint="eastAsia" w:ascii="宋体" w:hAnsi="宋体" w:cs="宋体"/>
                <w:sz w:val="24"/>
                <w:szCs w:val="24"/>
              </w:rPr>
            </w:pPr>
            <w:r>
              <w:rPr>
                <w:rFonts w:hint="eastAsia"/>
                <w:b/>
                <w:sz w:val="28"/>
                <w:szCs w:val="28"/>
              </w:rPr>
              <w:pict>
                <v:shape id="_x0000_s1046" o:spid="_x0000_s1046" o:spt="202" type="#_x0000_t202" style="position:absolute;left:0pt;margin-left:140.95pt;margin-top:4.7pt;height:28.8pt;width:246.65pt;z-index:251668480;mso-width-relative:page;mso-height-relative:page;" filled="f" stroked="f" coordsize="21600,21600">
                  <v:path/>
                  <v:fill on="f" focussize="0,0"/>
                  <v:stroke on="f"/>
                  <v:imagedata o:title=""/>
                  <o:lock v:ext="edit"/>
                  <v:textbox>
                    <w:txbxContent>
                      <w:p>
                        <w:pPr>
                          <w:rPr>
                            <w:rFonts w:eastAsia="黑体"/>
                            <w:sz w:val="24"/>
                            <w:szCs w:val="24"/>
                          </w:rPr>
                        </w:pPr>
                        <w:r>
                          <w:rPr>
                            <w:rFonts w:hint="eastAsia" w:ascii="Times New Roman" w:hAnsi="Times New Roman" w:eastAsia="宋体" w:cs="Times New Roman"/>
                            <w:b/>
                            <w:bCs/>
                            <w:sz w:val="24"/>
                            <w:szCs w:val="24"/>
                          </w:rPr>
                          <w:t>图3    二次油气回收系统工艺流程图</w:t>
                        </w:r>
                      </w:p>
                    </w:txbxContent>
                  </v:textbox>
                </v:shape>
              </w:pict>
            </w:r>
          </w:p>
          <w:p>
            <w:pPr>
              <w:tabs>
                <w:tab w:val="left" w:pos="601"/>
              </w:tabs>
              <w:spacing w:line="520" w:lineRule="exact"/>
              <w:rPr>
                <w:rFonts w:hint="eastAsia" w:ascii="Times New Roman" w:hAnsi="Times New Roman" w:eastAsia="宋体" w:cs="Times New Roman"/>
                <w:b/>
                <w:bCs/>
                <w:color w:val="000000"/>
                <w:sz w:val="24"/>
              </w:rPr>
            </w:pPr>
            <w:r>
              <w:rPr>
                <w:rFonts w:hint="eastAsia" w:ascii="Times New Roman" w:hAnsi="Times New Roman" w:eastAsia="宋体" w:cs="Times New Roman"/>
                <w:b/>
                <w:bCs/>
                <w:color w:val="000000"/>
                <w:sz w:val="24"/>
              </w:rPr>
              <w:t>2、柴油加油工艺流程及产污环节</w:t>
            </w:r>
          </w:p>
          <w:p>
            <w:pPr>
              <w:tabs>
                <w:tab w:val="left" w:pos="601"/>
              </w:tabs>
              <w:spacing w:line="520" w:lineRule="exact"/>
              <w:rPr>
                <w:rFonts w:hint="eastAsia"/>
                <w:bCs/>
                <w:sz w:val="24"/>
                <w:szCs w:val="24"/>
              </w:rPr>
            </w:pPr>
            <w:r>
              <w:rPr>
                <w:rFonts w:hint="eastAsia"/>
                <w:b/>
                <w:sz w:val="28"/>
                <w:szCs w:val="28"/>
              </w:rPr>
              <w:pict>
                <v:group id="_x0000_s1047" o:spid="_x0000_s1047" o:spt="203" style="position:absolute;left:0pt;margin-left:42.7pt;margin-top:10.9pt;height:141.25pt;width:392.7pt;z-index:251662336;mso-width-relative:page;mso-height-relative:page;" coordorigin="2096,10479" coordsize="7854,2825">
                  <o:lock v:ext="edit"/>
                  <v:shape id="_x0000_s1048" o:spid="_x0000_s1048" o:spt="75" type="#_x0000_t75" style="position:absolute;left:2096;top:10479;height:2825;width:7854;" filled="f" stroked="f" coordsize="21600,21600">
                    <v:path/>
                    <v:fill on="f" focussize="0,0"/>
                    <v:stroke on="f"/>
                    <v:imagedata r:id="rId11" o:title=""/>
                    <o:lock v:ext="edit" aspectratio="t"/>
                  </v:shape>
                  <v:shape id="_x0000_s1049" o:spid="_x0000_s1049" o:spt="202" type="#_x0000_t202" style="position:absolute;left:2275;top:10524;height:552;width:960;" filled="f" stroked="f" coordsize="21600,21600">
                    <v:path/>
                    <v:fill on="f" focussize="0,0"/>
                    <v:stroke on="f"/>
                    <v:imagedata o:title=""/>
                    <o:lock v:ext="edit"/>
                    <v:textbox inset="0mm,0mm,0mm,0mm">
                      <w:txbxContent>
                        <w:p>
                          <w:pPr>
                            <w:spacing w:line="239" w:lineRule="exact"/>
                            <w:jc w:val="center"/>
                            <w:rPr>
                              <w:rFonts w:ascii="宋体" w:hAnsi="宋体" w:cs="宋体"/>
                              <w:sz w:val="24"/>
                              <w:szCs w:val="24"/>
                            </w:rPr>
                          </w:pPr>
                          <w:r>
                            <w:rPr>
                              <w:rFonts w:ascii="宋体" w:hAnsi="宋体" w:cs="宋体"/>
                              <w:sz w:val="24"/>
                              <w:szCs w:val="24"/>
                            </w:rPr>
                            <w:t>卸车损耗</w:t>
                          </w:r>
                        </w:p>
                        <w:p>
                          <w:pPr>
                            <w:spacing w:line="313" w:lineRule="exact"/>
                            <w:jc w:val="center"/>
                            <w:rPr>
                              <w:rFonts w:ascii="宋体" w:hAnsi="宋体" w:cs="宋体"/>
                              <w:sz w:val="24"/>
                              <w:szCs w:val="24"/>
                            </w:rPr>
                          </w:pPr>
                          <w:r>
                            <w:rPr>
                              <w:rFonts w:ascii="宋体" w:hAnsi="宋体" w:cs="宋体"/>
                              <w:sz w:val="24"/>
                              <w:szCs w:val="24"/>
                            </w:rPr>
                            <w:t>油气</w:t>
                          </w:r>
                        </w:p>
                      </w:txbxContent>
                    </v:textbox>
                  </v:shape>
                  <v:shape id="_x0000_s1050" o:spid="_x0000_s1050" o:spt="202" type="#_x0000_t202" style="position:absolute;left:4639;top:10764;height:240;width:48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油气</w:t>
                          </w:r>
                        </w:p>
                      </w:txbxContent>
                    </v:textbox>
                  </v:shape>
                  <v:shape id="_x0000_s1051" o:spid="_x0000_s1051" o:spt="202" type="#_x0000_t202" style="position:absolute;left:6513;top:10524;height:552;width:960;" filled="f" stroked="f" coordsize="21600,21600">
                    <v:path/>
                    <v:fill on="f" focussize="0,0"/>
                    <v:stroke on="f"/>
                    <v:imagedata o:title=""/>
                    <o:lock v:ext="edit"/>
                    <v:textbox inset="0mm,0mm,0mm,0mm">
                      <w:txbxContent>
                        <w:p>
                          <w:pPr>
                            <w:spacing w:line="239" w:lineRule="exact"/>
                            <w:jc w:val="center"/>
                            <w:rPr>
                              <w:rFonts w:ascii="宋体" w:hAnsi="宋体" w:cs="宋体"/>
                              <w:sz w:val="24"/>
                              <w:szCs w:val="24"/>
                            </w:rPr>
                          </w:pPr>
                          <w:r>
                            <w:rPr>
                              <w:rFonts w:ascii="宋体" w:hAnsi="宋体" w:cs="宋体"/>
                              <w:sz w:val="24"/>
                              <w:szCs w:val="24"/>
                            </w:rPr>
                            <w:t>加油损耗</w:t>
                          </w:r>
                        </w:p>
                        <w:p>
                          <w:pPr>
                            <w:spacing w:line="313" w:lineRule="exact"/>
                            <w:jc w:val="center"/>
                            <w:rPr>
                              <w:rFonts w:ascii="宋体" w:hAnsi="宋体" w:cs="宋体"/>
                              <w:sz w:val="24"/>
                              <w:szCs w:val="24"/>
                            </w:rPr>
                          </w:pPr>
                          <w:r>
                            <w:rPr>
                              <w:rFonts w:ascii="宋体" w:hAnsi="宋体" w:cs="宋体"/>
                              <w:sz w:val="24"/>
                              <w:szCs w:val="24"/>
                            </w:rPr>
                            <w:t>油气</w:t>
                          </w:r>
                        </w:p>
                      </w:txbxContent>
                    </v:textbox>
                  </v:shape>
                  <v:shape id="_x0000_s1052" o:spid="_x0000_s1052" o:spt="202" type="#_x0000_t202" style="position:absolute;left:8381;top:10764;height:240;width:144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加油车辆尾气</w:t>
                          </w:r>
                        </w:p>
                      </w:txbxContent>
                    </v:textbox>
                  </v:shape>
                  <v:shape id="_x0000_s1053" o:spid="_x0000_s1053" o:spt="202" type="#_x0000_t202" style="position:absolute;left:3581;top:11561;height:240;width:48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卸油</w:t>
                          </w:r>
                        </w:p>
                      </w:txbxContent>
                    </v:textbox>
                  </v:shape>
                  <v:shape id="_x0000_s1054" o:spid="_x0000_s1054" o:spt="202" type="#_x0000_t202" style="position:absolute;left:2395;top:11856;height:240;width:72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油罐车</w:t>
                          </w:r>
                        </w:p>
                      </w:txbxContent>
                    </v:textbox>
                  </v:shape>
                  <v:shape id="_x0000_s1055" o:spid="_x0000_s1055" o:spt="202" type="#_x0000_t202" style="position:absolute;left:4679;top:11445;height:810;width:1284;" filled="f" stroked="f" coordsize="21600,21600">
                    <v:path/>
                    <v:fill on="f" focussize="0,0"/>
                    <v:stroke on="f"/>
                    <v:imagedata o:title=""/>
                    <o:lock v:ext="edit"/>
                    <v:textbox inset="0mm,0mm,0mm,0mm">
                      <w:txbxContent>
                        <w:p>
                          <w:pPr>
                            <w:ind w:firstLine="324"/>
                            <w:rPr>
                              <w:rFonts w:ascii="宋体" w:hAnsi="宋体" w:cs="宋体"/>
                              <w:sz w:val="24"/>
                              <w:szCs w:val="24"/>
                            </w:rPr>
                          </w:pPr>
                          <w:r>
                            <w:rPr>
                              <w:rFonts w:ascii="宋体" w:hAnsi="宋体" w:cs="宋体"/>
                              <w:sz w:val="24"/>
                              <w:szCs w:val="24"/>
                            </w:rPr>
                            <w:t>呼吸作用</w:t>
                          </w:r>
                        </w:p>
                        <w:p>
                          <w:pPr>
                            <w:spacing w:before="79"/>
                            <w:rPr>
                              <w:rFonts w:ascii="宋体" w:hAnsi="宋体" w:cs="宋体"/>
                              <w:sz w:val="24"/>
                              <w:szCs w:val="24"/>
                            </w:rPr>
                          </w:pPr>
                          <w:r>
                            <w:rPr>
                              <w:rFonts w:ascii="宋体" w:hAnsi="宋体" w:cs="宋体"/>
                              <w:sz w:val="24"/>
                              <w:szCs w:val="24"/>
                            </w:rPr>
                            <w:t>油罐</w:t>
                          </w:r>
                        </w:p>
                      </w:txbxContent>
                    </v:textbox>
                  </v:shape>
                  <v:shape id="_x0000_s1056" o:spid="_x0000_s1056" o:spt="202" type="#_x0000_t202" style="position:absolute;left:7826;top:11618;height:240;width:48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w:t>
                          </w:r>
                        </w:p>
                      </w:txbxContent>
                    </v:textbox>
                  </v:shape>
                  <v:shape id="_x0000_s1057" o:spid="_x0000_s1057" o:spt="202" type="#_x0000_t202" style="position:absolute;left:6643;top:11856;height:240;width:72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加油机</w:t>
                          </w:r>
                        </w:p>
                      </w:txbxContent>
                    </v:textbox>
                  </v:shape>
                  <v:shape id="_x0000_s1058" o:spid="_x0000_s1058" o:spt="202" type="#_x0000_t202" style="position:absolute;left:8645;top:11856;height:240;width:96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加油车辆</w:t>
                          </w:r>
                        </w:p>
                      </w:txbxContent>
                    </v:textbox>
                  </v:shape>
                  <v:shape id="_x0000_s1059" o:spid="_x0000_s1059" o:spt="202" type="#_x0000_t202" style="position:absolute;left:4437;top:12871;height:240;width:96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清罐油泥</w:t>
                          </w:r>
                        </w:p>
                      </w:txbxContent>
                    </v:textbox>
                  </v:shape>
                  <v:shape id="_x0000_s1060" o:spid="_x0000_s1060" o:spt="202" type="#_x0000_t202" style="position:absolute;left:6309;top:12950;height:240;width:120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加油机噪声</w:t>
                          </w:r>
                        </w:p>
                      </w:txbxContent>
                    </v:textbox>
                  </v:shape>
                  <v:shape id="_x0000_s1061" o:spid="_x0000_s1061" o:spt="202" type="#_x0000_t202" style="position:absolute;left:8210;top:12948;height:240;width:1440;" filled="f" stroked="f" coordsize="21600,21600">
                    <v:path/>
                    <v:fill on="f" focussize="0,0"/>
                    <v:stroke on="f"/>
                    <v:imagedata o:title=""/>
                    <o:lock v:ext="edit"/>
                    <v:textbox inset="0mm,0mm,0mm,0mm">
                      <w:txbxContent>
                        <w:p>
                          <w:pPr>
                            <w:spacing w:line="240" w:lineRule="exact"/>
                            <w:rPr>
                              <w:rFonts w:ascii="宋体" w:hAnsi="宋体" w:cs="宋体"/>
                              <w:sz w:val="24"/>
                              <w:szCs w:val="24"/>
                            </w:rPr>
                          </w:pPr>
                          <w:r>
                            <w:rPr>
                              <w:rFonts w:ascii="宋体" w:hAnsi="宋体" w:cs="宋体"/>
                              <w:sz w:val="24"/>
                              <w:szCs w:val="24"/>
                            </w:rPr>
                            <w:t>加油车辆噪声</w:t>
                          </w:r>
                        </w:p>
                      </w:txbxContent>
                    </v:textbox>
                  </v:shape>
                </v:group>
              </w:pict>
            </w:r>
          </w:p>
          <w:p>
            <w:pPr>
              <w:tabs>
                <w:tab w:val="left" w:pos="601"/>
              </w:tabs>
              <w:spacing w:line="520" w:lineRule="exact"/>
              <w:rPr>
                <w:rFonts w:hint="eastAsia"/>
                <w:bCs/>
                <w:sz w:val="24"/>
                <w:szCs w:val="24"/>
              </w:rPr>
            </w:pPr>
          </w:p>
          <w:p>
            <w:pPr>
              <w:tabs>
                <w:tab w:val="left" w:pos="601"/>
              </w:tabs>
              <w:spacing w:line="520" w:lineRule="exact"/>
              <w:rPr>
                <w:rFonts w:hint="eastAsia"/>
                <w:bCs/>
                <w:sz w:val="24"/>
                <w:szCs w:val="24"/>
              </w:rPr>
            </w:pPr>
          </w:p>
          <w:p>
            <w:pPr>
              <w:tabs>
                <w:tab w:val="left" w:pos="601"/>
              </w:tabs>
              <w:spacing w:line="520" w:lineRule="exact"/>
              <w:rPr>
                <w:rFonts w:hint="eastAsia"/>
                <w:bCs/>
                <w:sz w:val="24"/>
                <w:szCs w:val="24"/>
              </w:rPr>
            </w:pPr>
          </w:p>
          <w:p>
            <w:pPr>
              <w:tabs>
                <w:tab w:val="left" w:pos="601"/>
              </w:tabs>
              <w:spacing w:line="520" w:lineRule="exact"/>
              <w:rPr>
                <w:rFonts w:hint="eastAsia"/>
                <w:bCs/>
                <w:sz w:val="24"/>
                <w:szCs w:val="24"/>
              </w:rPr>
            </w:pPr>
          </w:p>
          <w:p>
            <w:pPr>
              <w:tabs>
                <w:tab w:val="left" w:pos="601"/>
              </w:tabs>
              <w:spacing w:line="520" w:lineRule="exact"/>
              <w:rPr>
                <w:rFonts w:hint="eastAsia"/>
                <w:bCs/>
                <w:sz w:val="24"/>
                <w:szCs w:val="24"/>
              </w:rPr>
            </w:pPr>
          </w:p>
          <w:p>
            <w:pPr>
              <w:tabs>
                <w:tab w:val="left" w:pos="601"/>
              </w:tabs>
              <w:spacing w:line="240" w:lineRule="exact"/>
              <w:ind w:firstLine="562" w:firstLineChars="200"/>
              <w:rPr>
                <w:rFonts w:hint="eastAsia" w:eastAsia="黑体"/>
                <w:color w:val="000000"/>
                <w:sz w:val="24"/>
              </w:rPr>
            </w:pPr>
            <w:r>
              <w:rPr>
                <w:rFonts w:hint="eastAsia"/>
                <w:b/>
                <w:sz w:val="28"/>
                <w:szCs w:val="28"/>
              </w:rPr>
              <w:pict>
                <v:shape id="_x0000_s1062" o:spid="_x0000_s1062" o:spt="202" type="#_x0000_t202" style="position:absolute;left:0pt;margin-left:116.95pt;margin-top:0.8pt;height:28.8pt;width:246.65pt;z-index:251664384;mso-width-relative:page;mso-height-relative:page;" filled="f" stroked="f" coordsize="21600,21600">
                  <v:path/>
                  <v:fill on="f" focussize="0,0"/>
                  <v:stroke on="f"/>
                  <v:imagedata o:title=""/>
                  <o:lock v:ext="edit"/>
                  <v:textbox>
                    <w:txbxContent>
                      <w:p>
                        <w:pP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图</w:t>
                        </w:r>
                        <w:r>
                          <w:rPr>
                            <w:rFonts w:hint="eastAsia" w:cs="Times New Roman"/>
                            <w:b/>
                            <w:bCs/>
                            <w:sz w:val="24"/>
                            <w:szCs w:val="24"/>
                            <w:lang w:val="en-US" w:eastAsia="zh-CN"/>
                          </w:rPr>
                          <w:t>4</w:t>
                        </w:r>
                        <w:r>
                          <w:rPr>
                            <w:rFonts w:hint="eastAsia" w:ascii="Times New Roman" w:hAnsi="Times New Roman" w:eastAsia="宋体" w:cs="Times New Roman"/>
                            <w:b/>
                            <w:bCs/>
                            <w:sz w:val="24"/>
                            <w:szCs w:val="24"/>
                          </w:rPr>
                          <w:t xml:space="preserve">   柴油加工工艺流程及产污环节图</w:t>
                        </w:r>
                      </w:p>
                    </w:txbxContent>
                  </v:textbox>
                </v:shape>
              </w:pic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工艺流程详述：</w: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bCs/>
                <w:sz w:val="24"/>
                <w:szCs w:val="24"/>
              </w:rPr>
            </w:pPr>
            <w:r>
              <w:rPr>
                <w:bCs/>
                <w:sz w:val="24"/>
                <w:szCs w:val="24"/>
              </w:rPr>
              <w:t>（1）卸油过程：油罐车将柴油运至场地内，通过密闭卸油点把柴油卸至埋地卧式油罐内。在油罐车卸油过程中，油罐车内压力减少，地下油罐内压力增加，油罐车与地下油罐内产生压力差，卸油过程中地下油罐内产生的油气通过放空管排放。</w:t>
            </w:r>
          </w:p>
          <w:p>
            <w:pPr>
              <w:keepNext w:val="0"/>
              <w:keepLines w:val="0"/>
              <w:pageBreakBefore w:val="0"/>
              <w:widowControl w:val="0"/>
              <w:tabs>
                <w:tab w:val="left" w:pos="601"/>
              </w:tabs>
              <w:kinsoku/>
              <w:wordWrap/>
              <w:overflowPunct/>
              <w:topLinePunct w:val="0"/>
              <w:autoSpaceDE/>
              <w:autoSpaceDN/>
              <w:bidi w:val="0"/>
              <w:adjustRightInd/>
              <w:snapToGrid/>
              <w:spacing w:line="520" w:lineRule="exact"/>
              <w:ind w:firstLine="480" w:firstLineChars="200"/>
              <w:textAlignment w:val="auto"/>
              <w:rPr>
                <w:bCs/>
                <w:sz w:val="24"/>
                <w:szCs w:val="24"/>
              </w:rPr>
            </w:pPr>
            <w:r>
              <w:rPr>
                <w:rFonts w:hint="eastAsia"/>
                <w:bCs/>
                <w:sz w:val="24"/>
                <w:szCs w:val="24"/>
              </w:rPr>
              <w:t>（2）</w:t>
            </w:r>
            <w:r>
              <w:rPr>
                <w:bCs/>
                <w:sz w:val="24"/>
                <w:szCs w:val="24"/>
              </w:rPr>
              <w:t>加油过程：加油机通过加油枪给车辆油箱加油，油通过潜泵从埋地油罐内输送至加油机，通过计量器进行计量后加入到车辆油箱内。加油车辆油箱随着柴油的注入，车辆油罐内产生的微量油雾逸散至大气中。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color w:val="auto"/>
                <w:sz w:val="24"/>
                <w:szCs w:val="24"/>
                <w:highlight w:val="none"/>
              </w:rPr>
            </w:pPr>
            <w:r>
              <w:rPr>
                <w:rFonts w:hint="eastAsia"/>
                <w:color w:val="auto"/>
                <w:sz w:val="24"/>
                <w:szCs w:val="24"/>
                <w:highlight w:val="none"/>
              </w:rPr>
              <w:t>由于柴油沸点较高，挥发量较小，</w:t>
            </w:r>
            <w:r>
              <w:rPr>
                <w:bCs/>
                <w:sz w:val="24"/>
                <w:szCs w:val="24"/>
                <w:highlight w:val="none"/>
              </w:rPr>
              <w:t>油气产生量极少</w:t>
            </w:r>
            <w:r>
              <w:rPr>
                <w:rFonts w:hint="eastAsia"/>
                <w:bCs/>
                <w:sz w:val="24"/>
                <w:szCs w:val="24"/>
                <w:highlight w:val="none"/>
                <w:lang w:eastAsia="zh-CN"/>
              </w:rPr>
              <w:t>，</w:t>
            </w:r>
            <w:r>
              <w:rPr>
                <w:rFonts w:hint="eastAsia"/>
                <w:color w:val="auto"/>
                <w:sz w:val="24"/>
                <w:szCs w:val="24"/>
                <w:highlight w:val="none"/>
              </w:rPr>
              <w:t>故目前国家并未要求柴油装配油气回收装置。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宋体"/>
                <w:color w:val="auto"/>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26" w:hRule="atLeast"/>
          <w:jc w:val="center"/>
        </w:trPr>
        <w:tc>
          <w:tcPr>
            <w:tcW w:w="9126" w:type="dxa"/>
          </w:tcPr>
          <w:p>
            <w:pPr>
              <w:spacing w:line="500" w:lineRule="exac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主要污染工序：</w:t>
            </w:r>
          </w:p>
          <w:p>
            <w:pPr>
              <w:keepNext w:val="0"/>
              <w:keepLines w:val="0"/>
              <w:pageBreakBefore w:val="0"/>
              <w:widowControl w:val="0"/>
              <w:kinsoku/>
              <w:wordWrap/>
              <w:overflowPunct/>
              <w:topLinePunct w:val="0"/>
              <w:autoSpaceDE/>
              <w:autoSpaceDN/>
              <w:bidi w:val="0"/>
              <w:adjustRightInd/>
              <w:spacing w:line="520" w:lineRule="exact"/>
              <w:contextualSpacing/>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一、施工期</w:t>
            </w:r>
          </w:p>
          <w:p>
            <w:pPr>
              <w:pStyle w:val="109"/>
              <w:keepNext w:val="0"/>
              <w:keepLines w:val="0"/>
              <w:pageBreakBefore w:val="0"/>
              <w:widowControl w:val="0"/>
              <w:kinsoku/>
              <w:wordWrap/>
              <w:overflowPunct/>
              <w:topLinePunct w:val="0"/>
              <w:autoSpaceDE/>
              <w:autoSpaceDN/>
              <w:bidi w:val="0"/>
              <w:adjustRightInd/>
              <w:spacing w:line="520" w:lineRule="exact"/>
              <w:ind w:firstLine="48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项目</w:t>
            </w:r>
            <w:r>
              <w:rPr>
                <w:rFonts w:hint="default" w:ascii="Times New Roman" w:hAnsi="Times New Roman" w:eastAsia="宋体" w:cs="Times New Roman"/>
                <w:color w:val="auto"/>
                <w:lang w:val="en-US" w:eastAsia="zh-CN"/>
              </w:rPr>
              <w:t>已于2015年</w:t>
            </w:r>
            <w:r>
              <w:rPr>
                <w:rFonts w:hint="default" w:ascii="Times New Roman" w:hAnsi="Times New Roman" w:eastAsia="宋体" w:cs="Times New Roman"/>
                <w:strike w:val="0"/>
                <w:dstrike w:val="0"/>
                <w:color w:val="auto"/>
                <w:sz w:val="24"/>
              </w:rPr>
              <w:t>投入</w:t>
            </w:r>
            <w:r>
              <w:rPr>
                <w:rFonts w:hint="default" w:ascii="Times New Roman" w:hAnsi="Times New Roman" w:eastAsia="宋体" w:cs="Times New Roman"/>
                <w:strike w:val="0"/>
                <w:dstrike w:val="0"/>
                <w:color w:val="auto"/>
                <w:sz w:val="24"/>
                <w:lang w:val="en-US" w:eastAsia="zh-CN"/>
              </w:rPr>
              <w:t>运营</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为补办环评手续。</w:t>
            </w:r>
            <w:r>
              <w:rPr>
                <w:rFonts w:hint="default" w:ascii="Times New Roman" w:hAnsi="Times New Roman" w:eastAsia="宋体" w:cs="Times New Roman"/>
                <w:color w:val="auto"/>
              </w:rPr>
              <w:t>因此，本次环评不再对项目施工期进行环境影响分析。</w:t>
            </w:r>
            <w:bookmarkStart w:id="0" w:name="_Ref307839175"/>
            <w:bookmarkStart w:id="1" w:name="_Ref307839181"/>
          </w:p>
          <w:bookmarkEnd w:id="0"/>
          <w:bookmarkEnd w:id="1"/>
          <w:p>
            <w:pPr>
              <w:keepNext w:val="0"/>
              <w:keepLines w:val="0"/>
              <w:pageBreakBefore w:val="0"/>
              <w:widowControl w:val="0"/>
              <w:kinsoku/>
              <w:wordWrap/>
              <w:overflowPunct/>
              <w:topLinePunct w:val="0"/>
              <w:autoSpaceDE/>
              <w:autoSpaceDN/>
              <w:bidi w:val="0"/>
              <w:adjustRightInd/>
              <w:spacing w:line="520" w:lineRule="exact"/>
              <w:contextualSpacing/>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二、营运期</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本项目营运期产污环节如下。</w:t>
            </w:r>
          </w:p>
          <w:p>
            <w:pPr>
              <w:pStyle w:val="120"/>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表27  运营期产污环节一览表</w:t>
            </w:r>
          </w:p>
          <w:tbl>
            <w:tblPr>
              <w:tblStyle w:val="21"/>
              <w:tblW w:w="88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130"/>
              <w:gridCol w:w="2835"/>
              <w:gridCol w:w="24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80" w:type="dxa"/>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ascii="黑体" w:hAnsi="黑体" w:eastAsia="黑体" w:cs="黑体"/>
                      <w:b/>
                      <w:bCs w:val="0"/>
                      <w:color w:val="auto"/>
                      <w:szCs w:val="21"/>
                    </w:rPr>
                  </w:pPr>
                  <w:r>
                    <w:rPr>
                      <w:b/>
                      <w:bCs w:val="0"/>
                      <w:color w:val="auto"/>
                      <w:sz w:val="21"/>
                      <w:szCs w:val="21"/>
                    </w:rPr>
                    <w:t>污染因素</w:t>
                  </w:r>
                </w:p>
              </w:tc>
              <w:tc>
                <w:tcPr>
                  <w:tcW w:w="2130" w:type="dxa"/>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ascii="黑体" w:hAnsi="黑体" w:eastAsia="黑体" w:cs="黑体"/>
                      <w:b/>
                      <w:bCs w:val="0"/>
                      <w:color w:val="auto"/>
                      <w:szCs w:val="21"/>
                    </w:rPr>
                  </w:pPr>
                  <w:r>
                    <w:rPr>
                      <w:b/>
                      <w:bCs w:val="0"/>
                      <w:color w:val="auto"/>
                      <w:sz w:val="21"/>
                      <w:szCs w:val="21"/>
                    </w:rPr>
                    <w:t>产污环节</w:t>
                  </w:r>
                </w:p>
              </w:tc>
              <w:tc>
                <w:tcPr>
                  <w:tcW w:w="2835" w:type="dxa"/>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ascii="黑体" w:hAnsi="黑体" w:eastAsia="黑体" w:cs="黑体"/>
                      <w:b/>
                      <w:bCs w:val="0"/>
                      <w:color w:val="auto"/>
                      <w:szCs w:val="21"/>
                    </w:rPr>
                  </w:pPr>
                  <w:r>
                    <w:rPr>
                      <w:b/>
                      <w:bCs w:val="0"/>
                      <w:color w:val="auto"/>
                      <w:sz w:val="21"/>
                      <w:szCs w:val="21"/>
                    </w:rPr>
                    <w:t>污染物</w:t>
                  </w:r>
                </w:p>
              </w:tc>
              <w:tc>
                <w:tcPr>
                  <w:tcW w:w="2499" w:type="dxa"/>
                  <w:tcBorders>
                    <w:tl2br w:val="nil"/>
                    <w:tr2bl w:val="nil"/>
                  </w:tcBorders>
                  <w:vAlign w:val="center"/>
                </w:tcPr>
                <w:p>
                  <w:pPr>
                    <w:keepNext w:val="0"/>
                    <w:keepLines w:val="0"/>
                    <w:pageBreakBefore w:val="0"/>
                    <w:widowControl w:val="0"/>
                    <w:kinsoku/>
                    <w:wordWrap/>
                    <w:overflowPunct/>
                    <w:topLinePunct w:val="0"/>
                    <w:autoSpaceDE/>
                    <w:autoSpaceDN/>
                    <w:bidi w:val="0"/>
                    <w:jc w:val="center"/>
                    <w:textAlignment w:val="auto"/>
                    <w:rPr>
                      <w:rFonts w:eastAsia="黑体"/>
                      <w:b/>
                      <w:bCs w:val="0"/>
                      <w:color w:val="auto"/>
                      <w:szCs w:val="21"/>
                    </w:rPr>
                  </w:pPr>
                  <w:r>
                    <w:rPr>
                      <w:b/>
                      <w:bCs w:val="0"/>
                      <w:color w:val="auto"/>
                      <w:sz w:val="21"/>
                      <w:szCs w:val="21"/>
                    </w:rPr>
                    <w:t>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0" w:type="dxa"/>
                  <w:vMerge w:val="restart"/>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废水</w:t>
                  </w:r>
                </w:p>
              </w:tc>
              <w:tc>
                <w:tcPr>
                  <w:tcW w:w="2130"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职工及顾客</w:t>
                  </w:r>
                  <w:r>
                    <w:rPr>
                      <w:rFonts w:hint="eastAsia" w:ascii="Times New Roman" w:hAnsi="Times New Roman" w:eastAsia="宋体" w:cs="Times New Roman"/>
                      <w:color w:val="auto"/>
                      <w:szCs w:val="21"/>
                      <w:lang w:val="en-US" w:eastAsia="zh-CN"/>
                    </w:rPr>
                    <w:t>生活污水</w:t>
                  </w:r>
                </w:p>
              </w:tc>
              <w:tc>
                <w:tcPr>
                  <w:tcW w:w="2835"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COD、SS、NH</w:t>
                  </w:r>
                  <w:r>
                    <w:rPr>
                      <w:rFonts w:hint="eastAsia" w:ascii="Times New Roman" w:hAnsi="Times New Roman" w:eastAsia="宋体" w:cs="Times New Roman"/>
                      <w:color w:val="auto"/>
                      <w:szCs w:val="21"/>
                      <w:vertAlign w:val="subscript"/>
                      <w:lang w:val="en-US" w:eastAsia="zh-CN"/>
                    </w:rPr>
                    <w:t>3</w:t>
                  </w:r>
                  <w:r>
                    <w:rPr>
                      <w:rFonts w:hint="eastAsia" w:ascii="Times New Roman" w:hAnsi="Times New Roman" w:eastAsia="宋体" w:cs="Times New Roman"/>
                      <w:color w:val="auto"/>
                      <w:szCs w:val="21"/>
                      <w:lang w:val="en-US" w:eastAsia="zh-CN"/>
                    </w:rPr>
                    <w:t>-N、TP</w:t>
                  </w:r>
                  <w:r>
                    <w:rPr>
                      <w:rFonts w:hint="eastAsia" w:cs="Times New Roman"/>
                      <w:color w:val="auto"/>
                      <w:szCs w:val="21"/>
                      <w:lang w:val="en-US" w:eastAsia="zh-CN"/>
                    </w:rPr>
                    <w:t>等</w:t>
                  </w:r>
                </w:p>
              </w:tc>
              <w:tc>
                <w:tcPr>
                  <w:tcW w:w="2499"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化粪池处理后定期清运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380" w:type="dxa"/>
                  <w:vMerge w:val="continue"/>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p>
              </w:tc>
              <w:tc>
                <w:tcPr>
                  <w:tcW w:w="2130" w:type="dxa"/>
                  <w:tcBorders>
                    <w:tl2br w:val="nil"/>
                    <w:tr2bl w:val="nil"/>
                  </w:tcBorders>
                  <w:vAlign w:val="center"/>
                </w:tcPr>
                <w:p>
                  <w:pPr>
                    <w:contextualSpacing/>
                    <w:jc w:val="center"/>
                    <w:rPr>
                      <w:rFonts w:hint="default" w:cs="Times New Roman"/>
                      <w:color w:val="auto"/>
                      <w:szCs w:val="21"/>
                      <w:lang w:val="en-US" w:eastAsia="zh-CN"/>
                    </w:rPr>
                  </w:pPr>
                  <w:r>
                    <w:rPr>
                      <w:rFonts w:hint="eastAsia" w:cs="Times New Roman"/>
                      <w:color w:val="auto"/>
                      <w:szCs w:val="21"/>
                      <w:lang w:val="en-US" w:eastAsia="zh-CN"/>
                    </w:rPr>
                    <w:t>洗车废水</w:t>
                  </w:r>
                </w:p>
              </w:tc>
              <w:tc>
                <w:tcPr>
                  <w:tcW w:w="2835"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COD、</w:t>
                  </w:r>
                  <w:r>
                    <w:rPr>
                      <w:rFonts w:hint="eastAsia" w:cs="Times New Roman"/>
                      <w:color w:val="auto"/>
                      <w:szCs w:val="21"/>
                      <w:lang w:val="en-US" w:eastAsia="zh-CN"/>
                    </w:rPr>
                    <w:t>BOD</w:t>
                  </w:r>
                  <w:r>
                    <w:rPr>
                      <w:rFonts w:hint="eastAsia" w:cs="Times New Roman"/>
                      <w:color w:val="auto"/>
                      <w:szCs w:val="21"/>
                      <w:vertAlign w:val="subscript"/>
                      <w:lang w:val="en-US" w:eastAsia="zh-CN"/>
                    </w:rPr>
                    <w:t>5</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SS、NH</w:t>
                  </w:r>
                  <w:r>
                    <w:rPr>
                      <w:rFonts w:hint="eastAsia" w:ascii="Times New Roman" w:hAnsi="Times New Roman" w:eastAsia="宋体" w:cs="Times New Roman"/>
                      <w:color w:val="auto"/>
                      <w:szCs w:val="21"/>
                      <w:vertAlign w:val="subscript"/>
                      <w:lang w:val="en-US" w:eastAsia="zh-CN"/>
                    </w:rPr>
                    <w:t>3</w:t>
                  </w:r>
                  <w:r>
                    <w:rPr>
                      <w:rFonts w:hint="eastAsia" w:ascii="Times New Roman" w:hAnsi="Times New Roman" w:eastAsia="宋体" w:cs="Times New Roman"/>
                      <w:color w:val="auto"/>
                      <w:szCs w:val="21"/>
                      <w:lang w:val="en-US" w:eastAsia="zh-CN"/>
                    </w:rPr>
                    <w:t>-N、TP</w:t>
                  </w:r>
                  <w:r>
                    <w:rPr>
                      <w:rFonts w:hint="eastAsia" w:cs="Times New Roman"/>
                      <w:color w:val="auto"/>
                      <w:szCs w:val="21"/>
                      <w:lang w:val="en-US" w:eastAsia="zh-CN"/>
                    </w:rPr>
                    <w:t>、石油类等</w:t>
                  </w:r>
                </w:p>
              </w:tc>
              <w:tc>
                <w:tcPr>
                  <w:tcW w:w="2499"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隔油沉淀池处理后，循环使用，不外排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380"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废气</w:t>
                  </w:r>
                </w:p>
              </w:tc>
              <w:tc>
                <w:tcPr>
                  <w:tcW w:w="2130"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油罐车卸油、汽车加</w:t>
                  </w:r>
                  <w:r>
                    <w:rPr>
                      <w:rFonts w:hint="eastAsia" w:cs="Times New Roman"/>
                      <w:color w:val="auto"/>
                      <w:sz w:val="21"/>
                      <w:szCs w:val="21"/>
                      <w:lang w:val="en-US" w:eastAsia="zh-CN"/>
                    </w:rPr>
                    <w:t>油过程、储油过程</w:t>
                  </w:r>
                  <w:r>
                    <w:rPr>
                      <w:rFonts w:hint="eastAsia"/>
                      <w:sz w:val="21"/>
                      <w:szCs w:val="21"/>
                    </w:rPr>
                    <w:t>产生的油气</w:t>
                  </w:r>
                </w:p>
              </w:tc>
              <w:tc>
                <w:tcPr>
                  <w:tcW w:w="2835"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非甲烷总烃</w:t>
                  </w:r>
                </w:p>
              </w:tc>
              <w:tc>
                <w:tcPr>
                  <w:tcW w:w="2499"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加油</w:t>
                  </w:r>
                  <w:r>
                    <w:rPr>
                      <w:rFonts w:hint="eastAsia" w:ascii="Times New Roman" w:hAnsi="Times New Roman" w:eastAsia="宋体" w:cs="Times New Roman"/>
                      <w:color w:val="auto"/>
                      <w:szCs w:val="21"/>
                      <w:lang w:val="en-US" w:eastAsia="zh-CN"/>
                    </w:rPr>
                    <w:t>油气回收装置</w:t>
                  </w:r>
                  <w:r>
                    <w:rPr>
                      <w:rFonts w:hint="eastAsia" w:cs="Times New Roman"/>
                      <w:color w:val="auto"/>
                      <w:szCs w:val="21"/>
                      <w:lang w:val="en-US" w:eastAsia="zh-CN"/>
                    </w:rPr>
                    <w:t>+卸油油气回收装置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380"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噪声</w:t>
                  </w:r>
                </w:p>
              </w:tc>
              <w:tc>
                <w:tcPr>
                  <w:tcW w:w="2130"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color w:val="000000"/>
                      <w:szCs w:val="21"/>
                    </w:rPr>
                    <w:t>加油机</w:t>
                  </w:r>
                  <w:r>
                    <w:rPr>
                      <w:rFonts w:hint="eastAsia"/>
                      <w:color w:val="000000"/>
                      <w:szCs w:val="21"/>
                    </w:rPr>
                    <w:t>油泵</w:t>
                  </w:r>
                  <w:r>
                    <w:rPr>
                      <w:rFonts w:hint="eastAsia"/>
                      <w:color w:val="000000"/>
                      <w:szCs w:val="21"/>
                      <w:lang w:eastAsia="zh-CN"/>
                    </w:rPr>
                    <w:t>、进出</w:t>
                  </w:r>
                  <w:r>
                    <w:rPr>
                      <w:rFonts w:hint="eastAsia" w:ascii="Times New Roman" w:hAnsi="Times New Roman" w:cs="Times New Roman"/>
                      <w:color w:val="auto"/>
                      <w:szCs w:val="21"/>
                      <w:lang w:val="en-US" w:eastAsia="zh-CN"/>
                    </w:rPr>
                    <w:t>车辆</w:t>
                  </w:r>
                </w:p>
              </w:tc>
              <w:tc>
                <w:tcPr>
                  <w:tcW w:w="2835"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噪声</w:t>
                  </w:r>
                </w:p>
              </w:tc>
              <w:tc>
                <w:tcPr>
                  <w:tcW w:w="2499"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基础减振、距离衰减</w:t>
                  </w:r>
                  <w:r>
                    <w:rPr>
                      <w:rFonts w:hint="eastAsia" w:ascii="Times New Roman" w:hAnsi="Times New Roman" w:cs="Times New Roman"/>
                      <w:color w:val="auto"/>
                      <w:szCs w:val="21"/>
                      <w:lang w:val="en-US" w:eastAsia="zh-CN"/>
                    </w:rPr>
                    <w:t>、加强管理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380" w:type="dxa"/>
                  <w:vMerge w:val="restart"/>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固废</w:t>
                  </w:r>
                </w:p>
              </w:tc>
              <w:tc>
                <w:tcPr>
                  <w:tcW w:w="2130"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职工及顾客生活垃圾</w:t>
                  </w:r>
                </w:p>
              </w:tc>
              <w:tc>
                <w:tcPr>
                  <w:tcW w:w="2835" w:type="dxa"/>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生活垃圾</w:t>
                  </w:r>
                </w:p>
              </w:tc>
              <w:tc>
                <w:tcPr>
                  <w:tcW w:w="2499" w:type="dxa"/>
                  <w:tcBorders>
                    <w:tl2br w:val="nil"/>
                    <w:tr2bl w:val="nil"/>
                  </w:tcBorders>
                  <w:vAlign w:val="center"/>
                </w:tcPr>
                <w:p>
                  <w:pPr>
                    <w:contextualSpacing/>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垃圾桶收集定期交由环卫部门清运处置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380" w:type="dxa"/>
                  <w:vMerge w:val="continue"/>
                  <w:tcBorders>
                    <w:tl2br w:val="nil"/>
                    <w:tr2bl w:val="nil"/>
                  </w:tcBorders>
                  <w:vAlign w:val="center"/>
                </w:tcPr>
                <w:p>
                  <w:pPr>
                    <w:contextualSpacing/>
                    <w:jc w:val="center"/>
                    <w:rPr>
                      <w:rFonts w:hint="eastAsia" w:ascii="Times New Roman" w:hAnsi="Times New Roman" w:eastAsia="宋体" w:cs="Times New Roman"/>
                      <w:color w:val="auto"/>
                      <w:szCs w:val="21"/>
                      <w:lang w:val="en-US" w:eastAsia="zh-CN"/>
                    </w:rPr>
                  </w:pPr>
                </w:p>
              </w:tc>
              <w:tc>
                <w:tcPr>
                  <w:tcW w:w="2130" w:type="dxa"/>
                  <w:tcBorders>
                    <w:tl2br w:val="nil"/>
                    <w:tr2bl w:val="nil"/>
                  </w:tcBorders>
                  <w:vAlign w:val="center"/>
                </w:tcPr>
                <w:p>
                  <w:pPr>
                    <w:contextualSpacing/>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油罐清</w:t>
                  </w:r>
                  <w:r>
                    <w:rPr>
                      <w:rFonts w:hint="eastAsia" w:ascii="Times New Roman" w:hAnsi="Times New Roman" w:cs="Times New Roman"/>
                      <w:color w:val="auto"/>
                      <w:szCs w:val="21"/>
                      <w:lang w:val="en-US" w:eastAsia="zh-CN"/>
                    </w:rPr>
                    <w:t>理</w:t>
                  </w:r>
                </w:p>
              </w:tc>
              <w:tc>
                <w:tcPr>
                  <w:tcW w:w="2835" w:type="dxa"/>
                  <w:tcBorders>
                    <w:tl2br w:val="nil"/>
                    <w:tr2bl w:val="nil"/>
                  </w:tcBorders>
                  <w:vAlign w:val="center"/>
                </w:tcPr>
                <w:p>
                  <w:pPr>
                    <w:contextualSpacing/>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油罐</w:t>
                  </w:r>
                  <w:r>
                    <w:rPr>
                      <w:rFonts w:hint="eastAsia" w:ascii="Times New Roman" w:hAnsi="Times New Roman" w:eastAsia="宋体" w:cs="Times New Roman"/>
                      <w:color w:val="auto"/>
                      <w:szCs w:val="21"/>
                      <w:lang w:val="en-US" w:eastAsia="zh-CN"/>
                    </w:rPr>
                    <w:t>清洗废水和</w:t>
                  </w:r>
                  <w:r>
                    <w:rPr>
                      <w:rFonts w:hint="eastAsia" w:ascii="Times New Roman" w:hAnsi="Times New Roman" w:cs="Times New Roman"/>
                      <w:color w:val="auto"/>
                      <w:szCs w:val="21"/>
                      <w:lang w:val="en-US" w:eastAsia="zh-CN"/>
                    </w:rPr>
                    <w:t>罐底</w:t>
                  </w:r>
                  <w:r>
                    <w:rPr>
                      <w:rFonts w:hint="eastAsia" w:ascii="Times New Roman" w:hAnsi="Times New Roman" w:eastAsia="宋体" w:cs="Times New Roman"/>
                      <w:color w:val="auto"/>
                      <w:szCs w:val="21"/>
                      <w:lang w:val="en-US" w:eastAsia="zh-CN"/>
                    </w:rPr>
                    <w:t>油泥</w:t>
                  </w:r>
                </w:p>
              </w:tc>
              <w:tc>
                <w:tcPr>
                  <w:tcW w:w="2499" w:type="dxa"/>
                  <w:tcBorders>
                    <w:tl2br w:val="nil"/>
                    <w:tr2bl w:val="nil"/>
                  </w:tcBorders>
                  <w:vAlign w:val="center"/>
                </w:tcPr>
                <w:p>
                  <w:pPr>
                    <w:contextualSpacing/>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暂存于危废暂存间，及时</w:t>
                  </w:r>
                  <w:r>
                    <w:rPr>
                      <w:rFonts w:hint="eastAsia" w:ascii="Times New Roman" w:hAnsi="Times New Roman" w:eastAsia="宋体" w:cs="Times New Roman"/>
                      <w:color w:val="auto"/>
                      <w:szCs w:val="21"/>
                      <w:lang w:val="en-US" w:eastAsia="zh-CN"/>
                    </w:rPr>
                    <w:t>委托有相应危废资质的单位进行</w:t>
                  </w:r>
                  <w:r>
                    <w:rPr>
                      <w:rFonts w:hint="eastAsia" w:cs="Times New Roman"/>
                      <w:color w:val="auto"/>
                      <w:szCs w:val="21"/>
                      <w:lang w:val="en-US" w:eastAsia="zh-CN"/>
                    </w:rPr>
                    <w:t>清运处置</w:t>
                  </w:r>
                </w:p>
              </w:tc>
            </w:tr>
          </w:tbl>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eastAsia"/>
                <w:color w:val="auto"/>
                <w:sz w:val="24"/>
                <w:lang w:val="en-US" w:eastAsia="zh-CN"/>
              </w:rPr>
            </w:pPr>
          </w:p>
          <w:p>
            <w:pPr>
              <w:rPr>
                <w:rFonts w:hint="default" w:eastAsia="宋体"/>
                <w:color w:val="auto"/>
                <w:sz w:val="24"/>
                <w:lang w:val="en-US" w:eastAsia="zh-CN"/>
              </w:rPr>
            </w:pPr>
          </w:p>
        </w:tc>
      </w:tr>
    </w:tbl>
    <w:p>
      <w:pPr>
        <w:adjustRightInd w:val="0"/>
        <w:snapToGrid w:val="0"/>
        <w:rPr>
          <w:rFonts w:eastAsia="黑体"/>
          <w:b/>
          <w:color w:val="auto"/>
          <w:sz w:val="30"/>
        </w:rPr>
        <w:sectPr>
          <w:pgSz w:w="11906" w:h="16838"/>
          <w:pgMar w:top="1701" w:right="1588" w:bottom="1985" w:left="1588"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rPr>
          <w:rFonts w:eastAsia="黑体"/>
          <w:b/>
          <w:color w:val="auto"/>
          <w:sz w:val="30"/>
          <w:highlight w:val="none"/>
        </w:rPr>
      </w:pPr>
      <w:r>
        <w:rPr>
          <w:rFonts w:eastAsia="黑体"/>
          <w:b/>
          <w:color w:val="auto"/>
          <w:sz w:val="30"/>
          <w:highlight w:val="none"/>
        </w:rPr>
        <w:t>项目主要污染物产生及预计排放情况</w:t>
      </w:r>
    </w:p>
    <w:tbl>
      <w:tblPr>
        <w:tblStyle w:val="21"/>
        <w:tblW w:w="8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1107"/>
        <w:gridCol w:w="1650"/>
        <w:gridCol w:w="1545"/>
        <w:gridCol w:w="2175"/>
        <w:gridCol w:w="2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941" w:hRule="atLeast"/>
          <w:jc w:val="center"/>
        </w:trPr>
        <w:tc>
          <w:tcPr>
            <w:tcW w:w="1107" w:type="dxa"/>
            <w:tcBorders>
              <w:top w:val="single" w:color="auto" w:sz="12" w:space="0"/>
              <w:tl2br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right="105"/>
              <w:jc w:val="right"/>
              <w:textAlignment w:val="auto"/>
              <w:rPr>
                <w:b/>
                <w:bCs/>
                <w:color w:val="auto"/>
                <w:sz w:val="24"/>
                <w:szCs w:val="24"/>
              </w:rPr>
            </w:pPr>
            <w:r>
              <w:rPr>
                <w:b/>
                <w:bCs/>
                <w:color w:val="auto"/>
                <w:sz w:val="24"/>
                <w:szCs w:val="24"/>
              </w:rPr>
              <w:t>内容</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b/>
                <w:bCs/>
                <w:color w:val="auto"/>
                <w:sz w:val="24"/>
                <w:szCs w:val="24"/>
              </w:rPr>
            </w:pPr>
            <w:r>
              <w:rPr>
                <w:b/>
                <w:bCs/>
                <w:color w:val="auto"/>
                <w:sz w:val="24"/>
                <w:szCs w:val="24"/>
              </w:rPr>
              <w:t>类别</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排放源</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（编号）</w:t>
            </w:r>
          </w:p>
        </w:tc>
        <w:tc>
          <w:tcPr>
            <w:tcW w:w="1545"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污染物</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名称</w:t>
            </w:r>
          </w:p>
        </w:tc>
        <w:tc>
          <w:tcPr>
            <w:tcW w:w="2175"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b/>
                <w:color w:val="auto"/>
                <w:sz w:val="24"/>
                <w:szCs w:val="24"/>
              </w:rPr>
            </w:pPr>
            <w:r>
              <w:rPr>
                <w:b/>
                <w:color w:val="auto"/>
                <w:sz w:val="24"/>
                <w:szCs w:val="24"/>
              </w:rPr>
              <w:t>产生浓度及产生量</w:t>
            </w:r>
          </w:p>
        </w:tc>
        <w:tc>
          <w:tcPr>
            <w:tcW w:w="2162"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b/>
                <w:color w:val="auto"/>
                <w:sz w:val="24"/>
                <w:szCs w:val="24"/>
              </w:rPr>
            </w:pPr>
            <w:r>
              <w:rPr>
                <w:b/>
                <w:color w:val="auto"/>
                <w:sz w:val="24"/>
                <w:szCs w:val="24"/>
              </w:rPr>
              <w:t>排放浓度及排放量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221" w:hRule="atLeast"/>
          <w:jc w:val="center"/>
        </w:trPr>
        <w:tc>
          <w:tcPr>
            <w:tcW w:w="110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eastAsia="宋体"/>
                <w:b/>
                <w:bCs/>
                <w:color w:val="auto"/>
                <w:sz w:val="24"/>
                <w:szCs w:val="24"/>
                <w:lang w:val="en-US" w:eastAsia="zh-CN"/>
              </w:rPr>
            </w:pPr>
            <w:r>
              <w:rPr>
                <w:rFonts w:hint="eastAsia"/>
                <w:b/>
                <w:bCs/>
                <w:color w:val="auto"/>
                <w:sz w:val="24"/>
                <w:szCs w:val="24"/>
                <w:lang w:val="en-US" w:eastAsia="zh-CN"/>
              </w:rPr>
              <w:t>大气污染物</w:t>
            </w:r>
          </w:p>
        </w:tc>
        <w:tc>
          <w:tcPr>
            <w:tcW w:w="1650" w:type="dxa"/>
            <w:vAlign w:val="center"/>
          </w:tcPr>
          <w:p>
            <w:pPr>
              <w:pStyle w:val="147"/>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eastAsia="宋体" w:cs="Times New Roman"/>
                <w:color w:val="000000"/>
                <w:kern w:val="2"/>
                <w:sz w:val="24"/>
                <w:szCs w:val="24"/>
                <w:lang w:val="en-US" w:eastAsia="zh-CN" w:bidi="ar-SA"/>
              </w:rPr>
            </w:pPr>
            <w:r>
              <w:rPr>
                <w:rFonts w:hint="eastAsia" w:hAnsi="Times New Roman" w:eastAsia="宋体" w:cs="Times New Roman"/>
                <w:sz w:val="24"/>
                <w:szCs w:val="24"/>
              </w:rPr>
              <w:t>油罐车卸油</w:t>
            </w:r>
          </w:p>
        </w:tc>
        <w:tc>
          <w:tcPr>
            <w:tcW w:w="1545" w:type="dxa"/>
            <w:vAlign w:val="center"/>
          </w:tcPr>
          <w:p>
            <w:pPr>
              <w:keepNext w:val="0"/>
              <w:keepLines w:val="0"/>
              <w:pageBreakBefore w:val="0"/>
              <w:widowControl w:val="0"/>
              <w:tabs>
                <w:tab w:val="left" w:pos="1970"/>
              </w:tabs>
              <w:kinsoku/>
              <w:wordWrap/>
              <w:overflowPunct/>
              <w:topLinePunct w:val="0"/>
              <w:autoSpaceDE/>
              <w:autoSpaceDN/>
              <w:bidi w:val="0"/>
              <w:spacing w:line="380" w:lineRule="exact"/>
              <w:jc w:val="center"/>
              <w:textAlignment w:val="auto"/>
              <w:rPr>
                <w:rFonts w:ascii="Times New Roman" w:hAnsi="Times New Roman" w:eastAsia="宋体" w:cs="Times New Roman"/>
                <w:kern w:val="2"/>
                <w:sz w:val="24"/>
                <w:szCs w:val="24"/>
                <w:lang w:val="en-US" w:eastAsia="zh-CN" w:bidi="ar-SA"/>
              </w:rPr>
            </w:pPr>
            <w:r>
              <w:rPr>
                <w:rFonts w:hint="eastAsia"/>
                <w:sz w:val="24"/>
                <w:szCs w:val="24"/>
              </w:rPr>
              <w:t>非甲烷总烃</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color w:val="auto"/>
                <w:sz w:val="24"/>
                <w:szCs w:val="24"/>
                <w:lang w:val="en-US" w:eastAsia="zh-CN"/>
              </w:rPr>
            </w:pPr>
            <w:r>
              <w:rPr>
                <w:rFonts w:hint="eastAsia"/>
                <w:color w:val="auto"/>
                <w:sz w:val="24"/>
                <w:szCs w:val="24"/>
                <w:lang w:val="en-US" w:eastAsia="zh-CN"/>
              </w:rPr>
              <w:t>0.134</w:t>
            </w:r>
            <w:r>
              <w:rPr>
                <w:bCs/>
                <w:sz w:val="24"/>
                <w:szCs w:val="24"/>
              </w:rPr>
              <w:t>t/a</w:t>
            </w:r>
          </w:p>
        </w:tc>
        <w:tc>
          <w:tcPr>
            <w:tcW w:w="2162" w:type="dxa"/>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color w:val="auto"/>
                <w:sz w:val="24"/>
                <w:szCs w:val="24"/>
                <w:lang w:val="en-US" w:eastAsia="zh-CN"/>
              </w:rPr>
            </w:pPr>
            <w:r>
              <w:rPr>
                <w:rFonts w:hint="eastAsia" w:hAnsi="黑体"/>
                <w:bCs/>
                <w:sz w:val="24"/>
                <w:szCs w:val="24"/>
                <w:lang w:val="en-US" w:eastAsia="zh-CN"/>
              </w:rPr>
              <w:t>0.0257</w:t>
            </w:r>
            <w:r>
              <w:rPr>
                <w:bCs/>
                <w:sz w:val="24"/>
                <w:szCs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221"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Align w:val="center"/>
          </w:tcPr>
          <w:p>
            <w:pPr>
              <w:pStyle w:val="147"/>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eastAsia="宋体" w:cs="Times New Roman"/>
                <w:color w:val="000000"/>
                <w:kern w:val="2"/>
                <w:sz w:val="24"/>
                <w:szCs w:val="24"/>
                <w:lang w:val="en-US" w:eastAsia="zh-CN" w:bidi="ar-SA"/>
              </w:rPr>
            </w:pPr>
            <w:r>
              <w:rPr>
                <w:rFonts w:hint="eastAsia" w:hAnsi="Times New Roman" w:eastAsia="宋体" w:cs="Times New Roman"/>
                <w:sz w:val="24"/>
                <w:szCs w:val="24"/>
              </w:rPr>
              <w:t>汽车加油</w:t>
            </w:r>
          </w:p>
        </w:tc>
        <w:tc>
          <w:tcPr>
            <w:tcW w:w="1545" w:type="dxa"/>
            <w:vAlign w:val="center"/>
          </w:tcPr>
          <w:p>
            <w:pPr>
              <w:keepNext w:val="0"/>
              <w:keepLines w:val="0"/>
              <w:pageBreakBefore w:val="0"/>
              <w:widowControl w:val="0"/>
              <w:tabs>
                <w:tab w:val="left" w:pos="1970"/>
              </w:tabs>
              <w:kinsoku/>
              <w:wordWrap/>
              <w:overflowPunct/>
              <w:topLinePunct w:val="0"/>
              <w:autoSpaceDE/>
              <w:autoSpaceDN/>
              <w:bidi w:val="0"/>
              <w:spacing w:line="380" w:lineRule="exact"/>
              <w:jc w:val="center"/>
              <w:textAlignment w:val="auto"/>
              <w:rPr>
                <w:rFonts w:hint="eastAsia" w:ascii="Times New Roman" w:hAnsi="Times New Roman" w:eastAsia="宋体" w:cs="Times New Roman"/>
                <w:kern w:val="2"/>
                <w:sz w:val="24"/>
                <w:szCs w:val="24"/>
                <w:lang w:val="en-US" w:eastAsia="zh-CN" w:bidi="ar-SA"/>
              </w:rPr>
            </w:pPr>
            <w:r>
              <w:rPr>
                <w:rFonts w:hint="eastAsia"/>
                <w:sz w:val="24"/>
                <w:szCs w:val="24"/>
              </w:rPr>
              <w:t>非甲烷总烃</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color w:val="auto"/>
                <w:sz w:val="24"/>
                <w:szCs w:val="24"/>
                <w:lang w:val="en-US" w:eastAsia="zh-CN"/>
              </w:rPr>
            </w:pPr>
            <w:r>
              <w:rPr>
                <w:rFonts w:hint="eastAsia"/>
                <w:color w:val="auto"/>
                <w:sz w:val="24"/>
                <w:szCs w:val="24"/>
                <w:lang w:val="en-US" w:eastAsia="zh-CN"/>
              </w:rPr>
              <w:t>0.1973</w:t>
            </w:r>
            <w:r>
              <w:rPr>
                <w:bCs/>
                <w:sz w:val="24"/>
                <w:szCs w:val="24"/>
              </w:rPr>
              <w:t>t/a</w:t>
            </w:r>
          </w:p>
        </w:tc>
        <w:tc>
          <w:tcPr>
            <w:tcW w:w="2162" w:type="dxa"/>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color w:val="auto"/>
                <w:sz w:val="24"/>
                <w:szCs w:val="24"/>
                <w:lang w:val="en-US" w:eastAsia="zh-CN"/>
              </w:rPr>
            </w:pPr>
            <w:r>
              <w:rPr>
                <w:rFonts w:hint="eastAsia"/>
                <w:color w:val="auto"/>
                <w:sz w:val="24"/>
                <w:szCs w:val="24"/>
                <w:lang w:val="en-US" w:eastAsia="zh-CN"/>
              </w:rPr>
              <w:t>0.0403</w:t>
            </w:r>
            <w:r>
              <w:rPr>
                <w:bCs/>
                <w:sz w:val="24"/>
                <w:szCs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221"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Align w:val="center"/>
          </w:tcPr>
          <w:p>
            <w:pPr>
              <w:pStyle w:val="147"/>
              <w:keepNext w:val="0"/>
              <w:keepLines w:val="0"/>
              <w:pageBreakBefore w:val="0"/>
              <w:widowControl w:val="0"/>
              <w:kinsoku/>
              <w:wordWrap/>
              <w:overflowPunct/>
              <w:topLinePunct w:val="0"/>
              <w:autoSpaceDE/>
              <w:autoSpaceDN/>
              <w:bidi w:val="0"/>
              <w:spacing w:line="380" w:lineRule="exact"/>
              <w:textAlignment w:val="auto"/>
              <w:rPr>
                <w:rFonts w:hint="eastAsia" w:ascii="Times New Roman" w:hAnsi="Times New Roman" w:eastAsia="宋体" w:cs="Times New Roman"/>
                <w:color w:val="000000"/>
                <w:kern w:val="2"/>
                <w:sz w:val="24"/>
                <w:szCs w:val="24"/>
                <w:lang w:val="en-US" w:eastAsia="zh-CN" w:bidi="ar-SA"/>
              </w:rPr>
            </w:pPr>
            <w:r>
              <w:rPr>
                <w:rFonts w:hint="eastAsia" w:hAnsi="Times New Roman" w:eastAsia="宋体" w:cs="Times New Roman"/>
                <w:sz w:val="24"/>
                <w:szCs w:val="24"/>
                <w:lang w:val="en-US" w:eastAsia="zh-CN"/>
              </w:rPr>
              <w:t>油罐</w:t>
            </w:r>
            <w:r>
              <w:rPr>
                <w:rFonts w:hint="eastAsia" w:hAnsi="Times New Roman" w:eastAsia="宋体" w:cs="Times New Roman"/>
                <w:sz w:val="24"/>
                <w:szCs w:val="24"/>
              </w:rPr>
              <w:t>储油</w:t>
            </w:r>
          </w:p>
        </w:tc>
        <w:tc>
          <w:tcPr>
            <w:tcW w:w="1545" w:type="dxa"/>
            <w:vAlign w:val="center"/>
          </w:tcPr>
          <w:p>
            <w:pPr>
              <w:keepNext w:val="0"/>
              <w:keepLines w:val="0"/>
              <w:pageBreakBefore w:val="0"/>
              <w:widowControl w:val="0"/>
              <w:tabs>
                <w:tab w:val="left" w:pos="1970"/>
              </w:tabs>
              <w:kinsoku/>
              <w:wordWrap/>
              <w:overflowPunct/>
              <w:topLinePunct w:val="0"/>
              <w:autoSpaceDE/>
              <w:autoSpaceDN/>
              <w:bidi w:val="0"/>
              <w:spacing w:line="380" w:lineRule="exact"/>
              <w:jc w:val="center"/>
              <w:textAlignment w:val="auto"/>
              <w:rPr>
                <w:rFonts w:hint="eastAsia" w:ascii="Times New Roman" w:hAnsi="Times New Roman" w:eastAsia="宋体" w:cs="Times New Roman"/>
                <w:kern w:val="2"/>
                <w:sz w:val="24"/>
                <w:szCs w:val="24"/>
                <w:lang w:val="en-US" w:eastAsia="zh-CN" w:bidi="ar-SA"/>
              </w:rPr>
            </w:pPr>
            <w:r>
              <w:rPr>
                <w:rFonts w:hint="eastAsia"/>
                <w:sz w:val="24"/>
                <w:szCs w:val="24"/>
              </w:rPr>
              <w:t>非甲烷总烃</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color w:val="auto"/>
                <w:sz w:val="24"/>
                <w:szCs w:val="24"/>
                <w:lang w:val="en-US" w:eastAsia="zh-CN"/>
              </w:rPr>
            </w:pPr>
            <w:r>
              <w:rPr>
                <w:rFonts w:hint="eastAsia"/>
                <w:color w:val="auto"/>
                <w:sz w:val="24"/>
                <w:szCs w:val="24"/>
                <w:lang w:val="en-US" w:eastAsia="zh-CN"/>
              </w:rPr>
              <w:t>0.0097</w:t>
            </w:r>
            <w:r>
              <w:rPr>
                <w:bCs/>
                <w:sz w:val="24"/>
                <w:szCs w:val="24"/>
              </w:rPr>
              <w:t>t/a</w:t>
            </w:r>
          </w:p>
        </w:tc>
        <w:tc>
          <w:tcPr>
            <w:tcW w:w="2162" w:type="dxa"/>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color w:val="auto"/>
                <w:sz w:val="24"/>
                <w:szCs w:val="24"/>
                <w:lang w:val="en-US" w:eastAsia="zh-CN"/>
              </w:rPr>
            </w:pPr>
            <w:r>
              <w:rPr>
                <w:rFonts w:hint="eastAsia"/>
                <w:color w:val="auto"/>
                <w:sz w:val="24"/>
                <w:szCs w:val="24"/>
                <w:lang w:val="en-US" w:eastAsia="zh-CN"/>
              </w:rPr>
              <w:t>0.0097</w:t>
            </w:r>
            <w:r>
              <w:rPr>
                <w:bCs/>
                <w:sz w:val="24"/>
                <w:szCs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378" w:hRule="atLeast"/>
          <w:jc w:val="center"/>
        </w:trPr>
        <w:tc>
          <w:tcPr>
            <w:tcW w:w="110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水</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污</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染</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物</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eastAsia="宋体"/>
                <w:color w:val="auto"/>
                <w:sz w:val="24"/>
                <w:szCs w:val="24"/>
                <w:lang w:val="en-US" w:eastAsia="zh-CN"/>
              </w:rPr>
            </w:pPr>
            <w:r>
              <w:rPr>
                <w:bCs/>
                <w:color w:val="auto"/>
                <w:sz w:val="24"/>
                <w:szCs w:val="24"/>
              </w:rPr>
              <w:t>职工</w:t>
            </w:r>
            <w:r>
              <w:rPr>
                <w:rFonts w:hint="eastAsia"/>
                <w:bCs/>
                <w:color w:val="auto"/>
                <w:sz w:val="24"/>
                <w:szCs w:val="24"/>
                <w:lang w:val="en-US" w:eastAsia="zh-CN"/>
              </w:rPr>
              <w:t>和顾客生活污水</w:t>
            </w: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color w:val="auto"/>
                <w:sz w:val="24"/>
                <w:szCs w:val="24"/>
              </w:rPr>
              <w:t>废水量</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rFonts w:hint="eastAsia"/>
                <w:color w:val="000000"/>
                <w:sz w:val="24"/>
                <w:szCs w:val="24"/>
                <w:lang w:val="en-US" w:eastAsia="zh-CN"/>
              </w:rPr>
              <w:t>201.48</w:t>
            </w:r>
            <w:r>
              <w:rPr>
                <w:color w:val="000000"/>
                <w:sz w:val="24"/>
                <w:szCs w:val="24"/>
              </w:rPr>
              <w:t>m</w:t>
            </w:r>
            <w:r>
              <w:rPr>
                <w:color w:val="000000"/>
                <w:sz w:val="24"/>
                <w:szCs w:val="24"/>
                <w:vertAlign w:val="superscript"/>
              </w:rPr>
              <w:t>3</w:t>
            </w:r>
            <w:r>
              <w:rPr>
                <w:color w:val="000000"/>
                <w:sz w:val="24"/>
                <w:szCs w:val="24"/>
              </w:rPr>
              <w:t>/a</w:t>
            </w:r>
          </w:p>
        </w:tc>
        <w:tc>
          <w:tcPr>
            <w:tcW w:w="2162" w:type="dxa"/>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339"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color w:val="auto"/>
                <w:sz w:val="24"/>
                <w:szCs w:val="24"/>
              </w:rPr>
            </w:pP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color w:val="auto"/>
                <w:sz w:val="24"/>
                <w:szCs w:val="24"/>
              </w:rPr>
              <w:t>COD</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宋体" w:cs="Times New Roman"/>
                <w:color w:val="auto"/>
                <w:kern w:val="0"/>
                <w:sz w:val="24"/>
                <w:szCs w:val="24"/>
                <w:lang w:val="en-US" w:eastAsia="zh-CN" w:bidi="ar-SA"/>
              </w:rPr>
            </w:pPr>
            <w:r>
              <w:rPr>
                <w:color w:val="auto"/>
                <w:kern w:val="0"/>
                <w:sz w:val="24"/>
                <w:szCs w:val="24"/>
              </w:rPr>
              <w:t>300mg/L，</w:t>
            </w:r>
            <w:r>
              <w:rPr>
                <w:rFonts w:hint="eastAsia" w:ascii="Times New Roman" w:hAnsi="Times New Roman" w:cs="Times New Roman"/>
                <w:color w:val="auto"/>
                <w:kern w:val="0"/>
                <w:sz w:val="24"/>
                <w:szCs w:val="24"/>
                <w:lang w:val="en-US" w:eastAsia="zh-CN" w:bidi="ar"/>
              </w:rPr>
              <w:t>0.0604</w:t>
            </w:r>
            <w:r>
              <w:rPr>
                <w:color w:val="auto"/>
                <w:kern w:val="0"/>
                <w:sz w:val="24"/>
                <w:szCs w:val="24"/>
              </w:rPr>
              <w:t>t/a</w:t>
            </w:r>
          </w:p>
        </w:tc>
        <w:tc>
          <w:tcPr>
            <w:tcW w:w="2162" w:type="dxa"/>
            <w:vMerge w:val="continue"/>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247"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color w:val="auto"/>
                <w:sz w:val="24"/>
                <w:szCs w:val="24"/>
              </w:rPr>
            </w:pP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color w:val="auto"/>
                <w:sz w:val="24"/>
                <w:szCs w:val="24"/>
              </w:rPr>
              <w:t>SS</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宋体" w:cs="Times New Roman"/>
                <w:color w:val="auto"/>
                <w:kern w:val="0"/>
                <w:sz w:val="24"/>
                <w:szCs w:val="24"/>
                <w:lang w:val="en-US" w:eastAsia="zh-CN" w:bidi="ar-SA"/>
              </w:rPr>
            </w:pPr>
            <w:r>
              <w:rPr>
                <w:color w:val="auto"/>
                <w:kern w:val="0"/>
                <w:sz w:val="24"/>
                <w:szCs w:val="24"/>
              </w:rPr>
              <w:t>250mg/L，</w:t>
            </w:r>
            <w:r>
              <w:rPr>
                <w:rFonts w:hint="eastAsia" w:ascii="Times New Roman" w:hAnsi="Times New Roman" w:cs="Times New Roman"/>
                <w:color w:val="auto"/>
                <w:kern w:val="0"/>
                <w:sz w:val="24"/>
                <w:szCs w:val="24"/>
                <w:lang w:val="en-US" w:eastAsia="zh-CN" w:bidi="ar"/>
              </w:rPr>
              <w:t>0.0504</w:t>
            </w:r>
            <w:r>
              <w:rPr>
                <w:color w:val="auto"/>
                <w:kern w:val="0"/>
                <w:sz w:val="24"/>
                <w:szCs w:val="24"/>
              </w:rPr>
              <w:t>t/a</w:t>
            </w:r>
          </w:p>
        </w:tc>
        <w:tc>
          <w:tcPr>
            <w:tcW w:w="2162" w:type="dxa"/>
            <w:vMerge w:val="continue"/>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87"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color w:val="auto"/>
                <w:sz w:val="24"/>
                <w:szCs w:val="24"/>
              </w:rPr>
            </w:pP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color w:val="auto"/>
                <w:sz w:val="24"/>
                <w:szCs w:val="24"/>
              </w:rPr>
              <w:t>NH</w:t>
            </w:r>
            <w:r>
              <w:rPr>
                <w:color w:val="auto"/>
                <w:sz w:val="24"/>
                <w:szCs w:val="24"/>
                <w:vertAlign w:val="subscript"/>
              </w:rPr>
              <w:t>3</w:t>
            </w:r>
            <w:r>
              <w:rPr>
                <w:color w:val="auto"/>
                <w:sz w:val="24"/>
                <w:szCs w:val="24"/>
              </w:rPr>
              <w:t>-N</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宋体" w:cs="Times New Roman"/>
                <w:color w:val="auto"/>
                <w:kern w:val="0"/>
                <w:sz w:val="24"/>
                <w:szCs w:val="24"/>
                <w:lang w:val="en-US" w:eastAsia="zh-CN" w:bidi="ar-SA"/>
              </w:rPr>
            </w:pPr>
            <w:r>
              <w:rPr>
                <w:color w:val="auto"/>
                <w:kern w:val="0"/>
                <w:sz w:val="24"/>
                <w:szCs w:val="24"/>
              </w:rPr>
              <w:t>25mg/L，</w:t>
            </w:r>
            <w:r>
              <w:rPr>
                <w:rFonts w:hint="eastAsia" w:ascii="Times New Roman" w:hAnsi="Times New Roman" w:cs="Times New Roman"/>
                <w:color w:val="auto"/>
                <w:kern w:val="0"/>
                <w:sz w:val="24"/>
                <w:szCs w:val="24"/>
                <w:lang w:val="en-US" w:eastAsia="zh-CN" w:bidi="ar"/>
              </w:rPr>
              <w:t>0.005</w:t>
            </w:r>
            <w:r>
              <w:rPr>
                <w:color w:val="auto"/>
                <w:kern w:val="0"/>
                <w:sz w:val="24"/>
                <w:szCs w:val="24"/>
              </w:rPr>
              <w:t>t/a</w:t>
            </w:r>
          </w:p>
        </w:tc>
        <w:tc>
          <w:tcPr>
            <w:tcW w:w="2162" w:type="dxa"/>
            <w:vMerge w:val="continue"/>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90"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color w:val="auto"/>
                <w:sz w:val="24"/>
                <w:szCs w:val="24"/>
              </w:rPr>
            </w:pP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rFonts w:hint="eastAsia"/>
                <w:color w:val="auto"/>
                <w:sz w:val="24"/>
                <w:szCs w:val="24"/>
              </w:rPr>
              <w:t>TP</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ascii="Times New Roman" w:hAnsi="Times New Roman" w:eastAsia="宋体" w:cs="Times New Roman"/>
                <w:color w:val="auto"/>
                <w:kern w:val="0"/>
                <w:sz w:val="24"/>
                <w:szCs w:val="24"/>
                <w:lang w:val="en-US" w:eastAsia="zh-CN" w:bidi="ar-SA"/>
              </w:rPr>
            </w:pPr>
            <w:r>
              <w:rPr>
                <w:color w:val="auto"/>
                <w:kern w:val="0"/>
                <w:sz w:val="24"/>
                <w:szCs w:val="24"/>
              </w:rPr>
              <w:t>3mg/L，</w:t>
            </w:r>
            <w:r>
              <w:rPr>
                <w:rFonts w:hint="eastAsia"/>
                <w:color w:val="auto"/>
                <w:kern w:val="0"/>
                <w:sz w:val="24"/>
                <w:szCs w:val="24"/>
                <w:lang w:val="en-US" w:eastAsia="zh-CN"/>
              </w:rPr>
              <w:t xml:space="preserve"> </w:t>
            </w:r>
            <w:r>
              <w:rPr>
                <w:rFonts w:ascii="Times New Roman" w:hAnsi="Times New Roman" w:eastAsia="宋体" w:cs="Times New Roman"/>
                <w:color w:val="auto"/>
                <w:kern w:val="0"/>
                <w:sz w:val="24"/>
                <w:szCs w:val="24"/>
                <w:lang w:bidi="ar"/>
              </w:rPr>
              <w:t>0.000</w:t>
            </w:r>
            <w:r>
              <w:rPr>
                <w:rFonts w:hint="eastAsia" w:ascii="Times New Roman" w:hAnsi="Times New Roman" w:eastAsia="宋体" w:cs="Times New Roman"/>
                <w:color w:val="auto"/>
                <w:kern w:val="0"/>
                <w:sz w:val="24"/>
                <w:szCs w:val="24"/>
                <w:lang w:bidi="ar"/>
              </w:rPr>
              <w:t>6</w:t>
            </w:r>
            <w:r>
              <w:rPr>
                <w:color w:val="auto"/>
                <w:kern w:val="0"/>
                <w:sz w:val="24"/>
                <w:szCs w:val="24"/>
              </w:rPr>
              <w:t>t/a</w:t>
            </w:r>
          </w:p>
        </w:tc>
        <w:tc>
          <w:tcPr>
            <w:tcW w:w="2162" w:type="dxa"/>
            <w:vMerge w:val="continue"/>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879" w:hRule="atLeast"/>
          <w:jc w:val="center"/>
        </w:trPr>
        <w:tc>
          <w:tcPr>
            <w:tcW w:w="110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default" w:eastAsia="宋体"/>
                <w:color w:val="auto"/>
                <w:sz w:val="24"/>
                <w:szCs w:val="24"/>
                <w:lang w:val="en-US" w:eastAsia="zh-CN"/>
              </w:rPr>
            </w:pPr>
            <w:r>
              <w:rPr>
                <w:rFonts w:hint="eastAsia"/>
                <w:color w:val="auto"/>
                <w:sz w:val="24"/>
                <w:szCs w:val="24"/>
                <w:lang w:val="en-US" w:eastAsia="zh-CN"/>
              </w:rPr>
              <w:t>洗车废水</w:t>
            </w: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color w:val="auto"/>
                <w:sz w:val="24"/>
                <w:szCs w:val="24"/>
              </w:rPr>
            </w:pPr>
            <w:r>
              <w:rPr>
                <w:rFonts w:hint="eastAsia" w:ascii="Times New Roman" w:hAnsi="Times New Roman" w:eastAsia="宋体" w:cs="Times New Roman"/>
                <w:color w:val="auto"/>
                <w:sz w:val="24"/>
                <w:szCs w:val="24"/>
                <w:lang w:val="en-US" w:eastAsia="zh-CN"/>
              </w:rPr>
              <w:t>COD、</w:t>
            </w:r>
            <w:r>
              <w:rPr>
                <w:rFonts w:hint="eastAsia" w:cs="Times New Roman"/>
                <w:color w:val="auto"/>
                <w:sz w:val="24"/>
                <w:szCs w:val="24"/>
                <w:lang w:val="en-US" w:eastAsia="zh-CN"/>
              </w:rPr>
              <w:t>BOD</w:t>
            </w:r>
            <w:r>
              <w:rPr>
                <w:rFonts w:hint="eastAsia" w:cs="Times New Roman"/>
                <w:color w:val="auto"/>
                <w:sz w:val="24"/>
                <w:szCs w:val="24"/>
                <w:vertAlign w:val="subscript"/>
                <w:lang w:val="en-US" w:eastAsia="zh-CN"/>
              </w:rPr>
              <w:t>5</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SS、NH</w:t>
            </w:r>
            <w:r>
              <w:rPr>
                <w:rFonts w:hint="eastAsia" w:ascii="Times New Roman" w:hAnsi="Times New Roman" w:eastAsia="宋体" w:cs="Times New Roman"/>
                <w:color w:val="auto"/>
                <w:sz w:val="24"/>
                <w:szCs w:val="24"/>
                <w:vertAlign w:val="subscript"/>
                <w:lang w:val="en-US" w:eastAsia="zh-CN"/>
              </w:rPr>
              <w:t>3</w:t>
            </w:r>
            <w:r>
              <w:rPr>
                <w:rFonts w:hint="eastAsia" w:ascii="Times New Roman" w:hAnsi="Times New Roman" w:eastAsia="宋体" w:cs="Times New Roman"/>
                <w:color w:val="auto"/>
                <w:sz w:val="24"/>
                <w:szCs w:val="24"/>
                <w:lang w:val="en-US" w:eastAsia="zh-CN"/>
              </w:rPr>
              <w:t>-N、TP</w:t>
            </w:r>
            <w:r>
              <w:rPr>
                <w:rFonts w:hint="eastAsia" w:cs="Times New Roman"/>
                <w:color w:val="auto"/>
                <w:sz w:val="24"/>
                <w:szCs w:val="24"/>
                <w:lang w:val="en-US" w:eastAsia="zh-CN"/>
              </w:rPr>
              <w:t>、石油类等</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default" w:eastAsia="宋体"/>
                <w:color w:val="auto"/>
                <w:sz w:val="24"/>
                <w:szCs w:val="24"/>
                <w:lang w:val="en-US" w:eastAsia="zh-CN"/>
              </w:rPr>
            </w:pPr>
            <w:r>
              <w:rPr>
                <w:rFonts w:hint="eastAsia"/>
                <w:color w:val="000000"/>
                <w:sz w:val="24"/>
                <w:szCs w:val="24"/>
                <w:lang w:val="en-US" w:eastAsia="zh-CN"/>
              </w:rPr>
              <w:t>438</w:t>
            </w:r>
            <w:r>
              <w:rPr>
                <w:rFonts w:hint="eastAsia"/>
                <w:color w:val="000000"/>
                <w:sz w:val="24"/>
                <w:szCs w:val="24"/>
              </w:rPr>
              <w:t xml:space="preserve"> t/a</w:t>
            </w:r>
          </w:p>
        </w:tc>
        <w:tc>
          <w:tcPr>
            <w:tcW w:w="2162"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404" w:hRule="atLeast"/>
          <w:jc w:val="center"/>
        </w:trPr>
        <w:tc>
          <w:tcPr>
            <w:tcW w:w="1107" w:type="dxa"/>
            <w:vMerge w:val="restart"/>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w w:val="95"/>
                <w:sz w:val="24"/>
                <w:szCs w:val="24"/>
              </w:rPr>
            </w:pPr>
            <w:r>
              <w:rPr>
                <w:b/>
                <w:bCs/>
                <w:color w:val="auto"/>
                <w:w w:val="95"/>
                <w:sz w:val="24"/>
                <w:szCs w:val="24"/>
              </w:rPr>
              <w:t>固</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w w:val="95"/>
                <w:sz w:val="24"/>
                <w:szCs w:val="24"/>
              </w:rPr>
            </w:pPr>
            <w:r>
              <w:rPr>
                <w:b/>
                <w:bCs/>
                <w:color w:val="auto"/>
                <w:w w:val="95"/>
                <w:sz w:val="24"/>
                <w:szCs w:val="24"/>
              </w:rPr>
              <w:t>体</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w w:val="95"/>
                <w:sz w:val="24"/>
                <w:szCs w:val="24"/>
              </w:rPr>
            </w:pPr>
            <w:r>
              <w:rPr>
                <w:b/>
                <w:bCs/>
                <w:color w:val="auto"/>
                <w:w w:val="95"/>
                <w:sz w:val="24"/>
                <w:szCs w:val="24"/>
              </w:rPr>
              <w:t>废</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w w:val="95"/>
                <w:sz w:val="24"/>
                <w:szCs w:val="24"/>
              </w:rPr>
            </w:pPr>
            <w:r>
              <w:rPr>
                <w:b/>
                <w:bCs/>
                <w:color w:val="auto"/>
                <w:w w:val="95"/>
                <w:sz w:val="24"/>
                <w:szCs w:val="24"/>
              </w:rPr>
              <w:t>物</w:t>
            </w:r>
          </w:p>
        </w:tc>
        <w:tc>
          <w:tcPr>
            <w:tcW w:w="1650"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bCs/>
                <w:color w:val="auto"/>
                <w:sz w:val="24"/>
                <w:szCs w:val="24"/>
              </w:rPr>
            </w:pPr>
            <w:r>
              <w:rPr>
                <w:rFonts w:hint="eastAsia"/>
                <w:color w:val="auto"/>
                <w:sz w:val="24"/>
                <w:szCs w:val="24"/>
              </w:rPr>
              <w:t>油罐定期清洗</w:t>
            </w: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bCs/>
                <w:color w:val="auto"/>
                <w:sz w:val="24"/>
                <w:szCs w:val="24"/>
              </w:rPr>
            </w:pPr>
            <w:r>
              <w:rPr>
                <w:rFonts w:hint="eastAsia"/>
                <w:color w:val="auto"/>
                <w:sz w:val="24"/>
                <w:szCs w:val="24"/>
                <w:lang w:val="en-US" w:eastAsia="zh-CN"/>
              </w:rPr>
              <w:t>罐底</w:t>
            </w:r>
            <w:r>
              <w:rPr>
                <w:rFonts w:hint="eastAsia"/>
                <w:color w:val="auto"/>
                <w:sz w:val="24"/>
                <w:szCs w:val="24"/>
              </w:rPr>
              <w:t>油泥</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rFonts w:hint="eastAsia"/>
                <w:snapToGrid w:val="0"/>
                <w:color w:val="000000"/>
                <w:kern w:val="0"/>
                <w:sz w:val="24"/>
                <w:szCs w:val="24"/>
                <w:lang w:val="en-US" w:eastAsia="zh-CN" w:bidi="ar"/>
              </w:rPr>
              <w:t>0.44</w:t>
            </w:r>
            <w:r>
              <w:rPr>
                <w:snapToGrid w:val="0"/>
                <w:color w:val="000000"/>
                <w:kern w:val="0"/>
                <w:sz w:val="24"/>
                <w:szCs w:val="24"/>
                <w:lang w:bidi="ar"/>
              </w:rPr>
              <w:t>t/</w:t>
            </w:r>
            <w:r>
              <w:rPr>
                <w:rFonts w:hint="eastAsia"/>
                <w:snapToGrid w:val="0"/>
                <w:color w:val="000000"/>
                <w:kern w:val="0"/>
                <w:sz w:val="24"/>
                <w:szCs w:val="24"/>
                <w:lang w:val="en-US" w:eastAsia="zh-CN" w:bidi="ar"/>
              </w:rPr>
              <w:t>5</w:t>
            </w:r>
            <w:r>
              <w:rPr>
                <w:snapToGrid w:val="0"/>
                <w:color w:val="000000"/>
                <w:kern w:val="0"/>
                <w:sz w:val="24"/>
                <w:szCs w:val="24"/>
                <w:lang w:bidi="ar"/>
              </w:rPr>
              <w:t>a</w:t>
            </w:r>
          </w:p>
        </w:tc>
        <w:tc>
          <w:tcPr>
            <w:tcW w:w="2162" w:type="dxa"/>
            <w:tcBorders>
              <w:top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801" w:hRule="atLeast"/>
          <w:jc w:val="center"/>
        </w:trPr>
        <w:tc>
          <w:tcPr>
            <w:tcW w:w="1107" w:type="dxa"/>
            <w:vMerge w:val="continue"/>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w w:val="95"/>
                <w:sz w:val="24"/>
                <w:szCs w:val="24"/>
              </w:rPr>
            </w:pPr>
          </w:p>
        </w:tc>
        <w:tc>
          <w:tcPr>
            <w:tcW w:w="1650"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宋体" w:cs="Times New Roman"/>
                <w:bCs/>
                <w:color w:val="auto"/>
                <w:kern w:val="2"/>
                <w:sz w:val="24"/>
                <w:szCs w:val="24"/>
                <w:lang w:val="en-US" w:eastAsia="zh-CN" w:bidi="ar-SA"/>
              </w:rPr>
            </w:pPr>
            <w:r>
              <w:rPr>
                <w:bCs/>
                <w:color w:val="auto"/>
                <w:sz w:val="24"/>
                <w:szCs w:val="24"/>
              </w:rPr>
              <w:t>职工</w:t>
            </w:r>
            <w:r>
              <w:rPr>
                <w:rFonts w:hint="eastAsia"/>
                <w:bCs/>
                <w:color w:val="auto"/>
                <w:sz w:val="24"/>
                <w:szCs w:val="24"/>
                <w:lang w:val="en-US" w:eastAsia="zh-CN"/>
              </w:rPr>
              <w:t>和顾客生活垃圾</w:t>
            </w:r>
          </w:p>
        </w:tc>
        <w:tc>
          <w:tcPr>
            <w:tcW w:w="154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ascii="Times New Roman" w:hAnsi="Times New Roman" w:eastAsia="宋体" w:cs="Times New Roman"/>
                <w:bCs/>
                <w:color w:val="auto"/>
                <w:kern w:val="2"/>
                <w:sz w:val="24"/>
                <w:szCs w:val="24"/>
                <w:lang w:val="en-US" w:eastAsia="zh-CN" w:bidi="ar-SA"/>
              </w:rPr>
            </w:pPr>
            <w:r>
              <w:rPr>
                <w:rFonts w:hint="eastAsia"/>
                <w:color w:val="auto"/>
                <w:sz w:val="24"/>
                <w:szCs w:val="24"/>
              </w:rPr>
              <w:t>生活垃圾</w:t>
            </w:r>
          </w:p>
        </w:tc>
        <w:tc>
          <w:tcPr>
            <w:tcW w:w="2175" w:type="dxa"/>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color w:val="auto"/>
                <w:sz w:val="24"/>
                <w:szCs w:val="24"/>
              </w:rPr>
            </w:pPr>
            <w:r>
              <w:rPr>
                <w:rFonts w:hint="eastAsia"/>
                <w:color w:val="000000"/>
                <w:sz w:val="24"/>
                <w:szCs w:val="24"/>
                <w:lang w:val="en-US" w:eastAsia="zh-CN"/>
              </w:rPr>
              <w:t>1</w:t>
            </w:r>
            <w:r>
              <w:rPr>
                <w:rFonts w:hint="eastAsia"/>
                <w:color w:val="000000"/>
                <w:sz w:val="24"/>
                <w:szCs w:val="24"/>
              </w:rPr>
              <w:t>t/</w:t>
            </w:r>
            <w:r>
              <w:rPr>
                <w:rFonts w:hint="eastAsia"/>
                <w:color w:val="000000"/>
                <w:sz w:val="24"/>
                <w:szCs w:val="24"/>
                <w:lang w:val="en-US" w:eastAsia="zh-CN"/>
              </w:rPr>
              <w:t>5a</w:t>
            </w:r>
          </w:p>
        </w:tc>
        <w:tc>
          <w:tcPr>
            <w:tcW w:w="2162" w:type="dxa"/>
            <w:tcBorders>
              <w:top w:val="single" w:color="auto" w:sz="4" w:space="0"/>
            </w:tcBorders>
            <w:vAlign w:val="center"/>
          </w:tcPr>
          <w:p>
            <w:pPr>
              <w:keepNext w:val="0"/>
              <w:keepLines w:val="0"/>
              <w:pageBreakBefore w:val="0"/>
              <w:widowControl w:val="0"/>
              <w:kinsoku/>
              <w:wordWrap/>
              <w:overflowPunct/>
              <w:topLinePunct w:val="0"/>
              <w:autoSpaceDE/>
              <w:autoSpaceDN/>
              <w:bidi w:val="0"/>
              <w:spacing w:line="380" w:lineRule="exact"/>
              <w:jc w:val="center"/>
              <w:textAlignment w:val="auto"/>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1804" w:hRule="atLeast"/>
          <w:jc w:val="center"/>
        </w:trPr>
        <w:tc>
          <w:tcPr>
            <w:tcW w:w="110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b/>
                <w:bCs/>
                <w:color w:val="auto"/>
                <w:sz w:val="24"/>
                <w:szCs w:val="24"/>
              </w:rPr>
            </w:pPr>
            <w:r>
              <w:rPr>
                <w:b/>
                <w:bCs/>
                <w:color w:val="auto"/>
                <w:sz w:val="24"/>
                <w:szCs w:val="24"/>
              </w:rPr>
              <w:t>噪声</w:t>
            </w:r>
          </w:p>
        </w:tc>
        <w:tc>
          <w:tcPr>
            <w:tcW w:w="7532"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snapToGrid w:val="0"/>
                <w:color w:val="auto"/>
                <w:kern w:val="0"/>
                <w:sz w:val="24"/>
                <w:szCs w:val="24"/>
              </w:rPr>
            </w:pPr>
            <w:r>
              <w:rPr>
                <w:color w:val="auto"/>
                <w:sz w:val="24"/>
                <w:szCs w:val="24"/>
              </w:rPr>
              <w:t>主要噪声设备为</w:t>
            </w:r>
            <w:r>
              <w:rPr>
                <w:color w:val="000000"/>
                <w:sz w:val="24"/>
                <w:szCs w:val="24"/>
              </w:rPr>
              <w:t>加油机</w:t>
            </w:r>
            <w:r>
              <w:rPr>
                <w:rFonts w:hint="eastAsia"/>
                <w:color w:val="000000"/>
                <w:sz w:val="24"/>
                <w:szCs w:val="24"/>
              </w:rPr>
              <w:t>油泵</w:t>
            </w:r>
            <w:r>
              <w:rPr>
                <w:color w:val="auto"/>
                <w:sz w:val="24"/>
                <w:szCs w:val="24"/>
              </w:rPr>
              <w:t>、</w:t>
            </w:r>
            <w:r>
              <w:rPr>
                <w:rFonts w:hint="eastAsia"/>
                <w:color w:val="auto"/>
                <w:sz w:val="24"/>
                <w:szCs w:val="24"/>
                <w:lang w:val="en-US" w:eastAsia="zh-CN"/>
              </w:rPr>
              <w:t>进出车辆</w:t>
            </w:r>
            <w:r>
              <w:rPr>
                <w:color w:val="auto"/>
                <w:sz w:val="24"/>
                <w:szCs w:val="24"/>
              </w:rPr>
              <w:t>等，源强</w:t>
            </w:r>
            <w:r>
              <w:rPr>
                <w:rFonts w:hint="eastAsia"/>
                <w:color w:val="auto"/>
                <w:sz w:val="24"/>
                <w:szCs w:val="24"/>
                <w:lang w:val="en-US" w:eastAsia="zh-CN"/>
              </w:rPr>
              <w:t>在60</w:t>
            </w:r>
            <w:r>
              <w:rPr>
                <w:color w:val="auto"/>
                <w:sz w:val="24"/>
                <w:szCs w:val="24"/>
              </w:rPr>
              <w:t>-</w:t>
            </w:r>
            <w:r>
              <w:rPr>
                <w:rFonts w:hint="eastAsia"/>
                <w:color w:val="auto"/>
                <w:sz w:val="24"/>
                <w:szCs w:val="24"/>
                <w:lang w:val="en-US" w:eastAsia="zh-CN"/>
              </w:rPr>
              <w:t>80</w:t>
            </w:r>
            <w:r>
              <w:rPr>
                <w:color w:val="auto"/>
                <w:sz w:val="24"/>
                <w:szCs w:val="24"/>
              </w:rPr>
              <w:t>dB之间，</w:t>
            </w:r>
            <w:r>
              <w:rPr>
                <w:rFonts w:hint="eastAsia"/>
                <w:color w:val="auto"/>
                <w:sz w:val="24"/>
                <w:szCs w:val="24"/>
                <w:lang w:val="en-US" w:eastAsia="zh-CN"/>
              </w:rPr>
              <w:t>经</w:t>
            </w:r>
            <w:r>
              <w:rPr>
                <w:color w:val="auto"/>
                <w:sz w:val="24"/>
                <w:szCs w:val="24"/>
              </w:rPr>
              <w:t>采取</w:t>
            </w:r>
            <w:r>
              <w:rPr>
                <w:rFonts w:hint="eastAsia"/>
                <w:color w:val="auto"/>
                <w:sz w:val="24"/>
                <w:szCs w:val="24"/>
              </w:rPr>
              <w:t>减振</w:t>
            </w:r>
            <w:r>
              <w:rPr>
                <w:color w:val="auto"/>
                <w:sz w:val="24"/>
                <w:szCs w:val="24"/>
              </w:rPr>
              <w:t>隔音</w:t>
            </w:r>
            <w:r>
              <w:rPr>
                <w:rFonts w:hint="eastAsia"/>
                <w:color w:val="auto"/>
                <w:sz w:val="24"/>
                <w:szCs w:val="24"/>
                <w:lang w:eastAsia="zh-CN"/>
              </w:rPr>
              <w:t>、</w:t>
            </w:r>
            <w:r>
              <w:rPr>
                <w:rFonts w:hint="eastAsia"/>
                <w:color w:val="auto"/>
                <w:sz w:val="24"/>
                <w:szCs w:val="24"/>
                <w:lang w:val="en-US" w:eastAsia="zh-CN"/>
              </w:rPr>
              <w:t>距离衰减、加强管理</w:t>
            </w:r>
            <w:r>
              <w:rPr>
                <w:color w:val="auto"/>
                <w:sz w:val="24"/>
                <w:szCs w:val="24"/>
              </w:rPr>
              <w:t>措施后，预测各厂界噪声能达到《工业企业厂界环境噪声排放标准》（GB12348-2008）2类标准：昼间60dB（A）</w:t>
            </w:r>
            <w:r>
              <w:rPr>
                <w:rFonts w:hint="eastAsia"/>
                <w:color w:val="auto"/>
                <w:sz w:val="24"/>
                <w:szCs w:val="24"/>
              </w:rPr>
              <w:t>、夜间50</w:t>
            </w:r>
            <w:r>
              <w:rPr>
                <w:color w:val="auto"/>
                <w:sz w:val="24"/>
                <w:szCs w:val="24"/>
              </w:rPr>
              <w:t xml:space="preserve"> dB（A）。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349" w:hRule="atLeast"/>
          <w:jc w:val="center"/>
        </w:trPr>
        <w:tc>
          <w:tcPr>
            <w:tcW w:w="1107" w:type="dxa"/>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eastAsia="宋体"/>
                <w:b/>
                <w:bCs/>
                <w:color w:val="auto"/>
                <w:sz w:val="24"/>
                <w:szCs w:val="24"/>
                <w:lang w:val="en-US" w:eastAsia="zh-CN"/>
              </w:rPr>
            </w:pPr>
            <w:r>
              <w:rPr>
                <w:rFonts w:hint="eastAsia"/>
                <w:b/>
                <w:bCs/>
                <w:color w:val="auto"/>
                <w:sz w:val="24"/>
                <w:szCs w:val="24"/>
                <w:lang w:val="en-US" w:eastAsia="zh-CN"/>
              </w:rPr>
              <w:t>其他</w:t>
            </w:r>
          </w:p>
        </w:tc>
        <w:tc>
          <w:tcPr>
            <w:tcW w:w="7532" w:type="dxa"/>
            <w:gridSpan w:val="4"/>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eastAsia="宋体"/>
                <w:color w:val="auto"/>
                <w:sz w:val="24"/>
                <w:szCs w:val="24"/>
                <w:lang w:val="en-US" w:eastAsia="zh-CN"/>
              </w:rPr>
            </w:pPr>
            <w:r>
              <w:rPr>
                <w:rFonts w:hint="eastAsia"/>
                <w:color w:val="auto"/>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cantSplit/>
          <w:trHeight w:val="2038" w:hRule="atLeast"/>
          <w:jc w:val="center"/>
        </w:trPr>
        <w:tc>
          <w:tcPr>
            <w:tcW w:w="8639" w:type="dxa"/>
            <w:gridSpan w:val="5"/>
            <w:tcMar>
              <w:left w:w="0" w:type="dxa"/>
              <w:right w:w="0" w:type="dxa"/>
            </w:tcMar>
            <w:vAlign w:val="center"/>
          </w:tcPr>
          <w:p>
            <w:pPr>
              <w:keepNext w:val="0"/>
              <w:keepLines w:val="0"/>
              <w:pageBreakBefore w:val="0"/>
              <w:widowControl w:val="0"/>
              <w:kinsoku/>
              <w:wordWrap/>
              <w:overflowPunct/>
              <w:topLinePunct w:val="0"/>
              <w:autoSpaceDE/>
              <w:autoSpaceDN/>
              <w:bidi w:val="0"/>
              <w:spacing w:line="380" w:lineRule="exact"/>
              <w:textAlignment w:val="auto"/>
              <w:rPr>
                <w:rFonts w:hint="eastAsia"/>
                <w:b/>
                <w:sz w:val="24"/>
                <w:szCs w:val="24"/>
              </w:rPr>
            </w:pPr>
            <w:r>
              <w:rPr>
                <w:b/>
                <w:sz w:val="24"/>
                <w:szCs w:val="24"/>
              </w:rPr>
              <w:t>主要生态影响（不够时可附另页）</w:t>
            </w:r>
            <w:r>
              <w:rPr>
                <w:rFonts w:hint="eastAsia"/>
                <w:b/>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color w:val="000000"/>
                <w:sz w:val="24"/>
                <w:szCs w:val="24"/>
              </w:rPr>
            </w:pPr>
            <w:r>
              <w:rPr>
                <w:color w:val="000000"/>
                <w:sz w:val="24"/>
                <w:szCs w:val="24"/>
              </w:rPr>
              <w:t>该项目属于成品油网络建设，目前已建设完成。根据现场环境的调查，本项目周围环境属于人工生态系统</w:t>
            </w:r>
            <w:r>
              <w:rPr>
                <w:rFonts w:hint="eastAsia"/>
                <w:color w:val="000000"/>
                <w:sz w:val="24"/>
                <w:szCs w:val="24"/>
                <w:lang w:eastAsia="zh-CN"/>
              </w:rPr>
              <w:t>，</w:t>
            </w:r>
            <w:r>
              <w:rPr>
                <w:rFonts w:hint="eastAsia"/>
                <w:sz w:val="24"/>
                <w:szCs w:val="24"/>
              </w:rPr>
              <w:t>项目</w:t>
            </w:r>
            <w:r>
              <w:rPr>
                <w:rFonts w:hint="eastAsia"/>
                <w:sz w:val="24"/>
                <w:szCs w:val="24"/>
                <w:lang w:val="en-US" w:eastAsia="zh-CN"/>
              </w:rPr>
              <w:t>周围无特殊要求的生态保护区。</w:t>
            </w:r>
            <w:r>
              <w:rPr>
                <w:color w:val="000000"/>
                <w:sz w:val="24"/>
                <w:szCs w:val="24"/>
              </w:rPr>
              <w:t>项目运营期产生的污染因素均采取有效措施进行防治，对周围生态环境影响较小。</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color w:val="auto"/>
                <w:sz w:val="24"/>
                <w:szCs w:val="24"/>
                <w:lang w:val="en-US" w:eastAsia="zh-CN"/>
              </w:rPr>
            </w:pPr>
          </w:p>
        </w:tc>
      </w:tr>
    </w:tbl>
    <w:p>
      <w:pPr>
        <w:adjustRightInd w:val="0"/>
        <w:snapToGrid w:val="0"/>
        <w:spacing w:line="520" w:lineRule="exact"/>
        <w:rPr>
          <w:rFonts w:hint="default" w:ascii="Times New Roman" w:hAnsi="Times New Roman" w:eastAsia="宋体" w:cs="Times New Roman"/>
          <w:b/>
          <w:strike w:val="0"/>
          <w:dstrike w:val="0"/>
          <w:color w:val="auto"/>
          <w:sz w:val="30"/>
        </w:rPr>
      </w:pPr>
      <w:r>
        <w:rPr>
          <w:rFonts w:hint="default" w:ascii="Times New Roman" w:hAnsi="Times New Roman" w:eastAsia="宋体" w:cs="Times New Roman"/>
          <w:b/>
          <w:strike w:val="0"/>
          <w:dstrike w:val="0"/>
          <w:color w:val="auto"/>
          <w:sz w:val="30"/>
        </w:rPr>
        <w:t>环境影响分析</w:t>
      </w:r>
    </w:p>
    <w:tbl>
      <w:tblPr>
        <w:tblStyle w:val="21"/>
        <w:tblW w:w="8839" w:type="dxa"/>
        <w:tblInd w:w="10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839" w:type="dxa"/>
            <w:tcBorders>
              <w:tl2br w:val="nil"/>
              <w:tr2bl w:val="nil"/>
            </w:tcBorders>
          </w:tcPr>
          <w:p>
            <w:pPr>
              <w:adjustRightInd w:val="0"/>
              <w:snapToGrid w:val="0"/>
              <w:spacing w:line="520" w:lineRule="exact"/>
              <w:rPr>
                <w:rFonts w:hint="default" w:ascii="Times New Roman" w:hAnsi="Times New Roman" w:eastAsia="宋体" w:cs="Times New Roman"/>
                <w:b/>
                <w:bCs/>
                <w:strike w:val="0"/>
                <w:dstrike w:val="0"/>
                <w:color w:val="auto"/>
                <w:sz w:val="24"/>
              </w:rPr>
            </w:pPr>
            <w:r>
              <w:rPr>
                <w:rFonts w:hint="default" w:ascii="Times New Roman" w:hAnsi="Times New Roman" w:eastAsia="宋体" w:cs="Times New Roman"/>
                <w:b/>
                <w:bCs/>
                <w:strike w:val="0"/>
                <w:dstrike w:val="0"/>
                <w:color w:val="auto"/>
                <w:sz w:val="24"/>
              </w:rPr>
              <w:t>施工期环境影响分析：</w:t>
            </w:r>
          </w:p>
          <w:p>
            <w:pPr>
              <w:adjustRightInd w:val="0"/>
              <w:snapToGrid w:val="0"/>
              <w:spacing w:line="520" w:lineRule="exact"/>
              <w:rPr>
                <w:rFonts w:hint="eastAsia"/>
                <w:color w:val="auto"/>
                <w:sz w:val="24"/>
                <w:lang w:val="en-US" w:eastAsia="zh-CN"/>
              </w:rPr>
            </w:pPr>
            <w:r>
              <w:rPr>
                <w:color w:val="000000"/>
                <w:sz w:val="24"/>
                <w:szCs w:val="24"/>
                <w:highlight w:val="none"/>
              </w:rPr>
              <w:t>本项目已建成，经调查，项目施工期未发生过污染事故，未发生纠纷及投诉情况，因此不再对项目施工期进行环境影响分析。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1" w:hRule="atLeast"/>
        </w:trPr>
        <w:tc>
          <w:tcPr>
            <w:tcW w:w="8839"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strike w:val="0"/>
                <w:dstrike w:val="0"/>
                <w:color w:val="auto"/>
                <w:sz w:val="24"/>
              </w:rPr>
            </w:pPr>
            <w:r>
              <w:rPr>
                <w:rFonts w:hint="default" w:ascii="Times New Roman" w:hAnsi="Times New Roman" w:eastAsia="宋体" w:cs="Times New Roman"/>
                <w:b/>
                <w:bCs/>
                <w:strike w:val="0"/>
                <w:dstrike w:val="0"/>
                <w:color w:val="auto"/>
                <w:sz w:val="24"/>
              </w:rPr>
              <w:t>营运期环境影响分析：</w:t>
            </w:r>
          </w:p>
          <w:p>
            <w:pPr>
              <w:pStyle w:val="60"/>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bCs/>
                <w:strike w:val="0"/>
                <w:dstrike w:val="0"/>
                <w:color w:val="auto"/>
                <w:sz w:val="24"/>
              </w:rPr>
            </w:pPr>
            <w:r>
              <w:rPr>
                <w:rFonts w:hint="eastAsia" w:cs="Times New Roman"/>
                <w:b/>
                <w:bCs/>
                <w:strike w:val="0"/>
                <w:dstrike w:val="0"/>
                <w:color w:val="auto"/>
                <w:sz w:val="24"/>
                <w:lang w:val="en-US" w:eastAsia="zh-CN"/>
              </w:rPr>
              <w:t>1</w:t>
            </w:r>
            <w:r>
              <w:rPr>
                <w:rFonts w:hint="default" w:ascii="Times New Roman" w:hAnsi="Times New Roman" w:eastAsia="宋体" w:cs="Times New Roman"/>
                <w:b/>
                <w:bCs/>
                <w:strike w:val="0"/>
                <w:dstrike w:val="0"/>
                <w:color w:val="auto"/>
                <w:sz w:val="24"/>
              </w:rPr>
              <w:t>、大气环境影响分析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cs="黑体"/>
                <w:bCs/>
                <w:sz w:val="24"/>
                <w:szCs w:val="24"/>
              </w:rPr>
            </w:pPr>
            <w:r>
              <w:rPr>
                <w:rFonts w:hint="eastAsia" w:ascii="黑体" w:hAnsi="黑体" w:cs="黑体"/>
                <w:bCs/>
                <w:sz w:val="24"/>
                <w:szCs w:val="24"/>
              </w:rPr>
              <w:t>项目营运期产生的大气污染物主要为油罐车卸油、汽车加油过程、储油过程产生的油气及来往加油车辆汽车尾气。</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b/>
                <w:bCs/>
                <w:sz w:val="24"/>
                <w:szCs w:val="24"/>
              </w:rPr>
            </w:pPr>
            <w:r>
              <w:rPr>
                <w:rFonts w:hint="eastAsia"/>
                <w:b/>
                <w:bCs/>
                <w:sz w:val="24"/>
                <w:szCs w:val="24"/>
                <w:lang w:val="en-US" w:eastAsia="zh-CN"/>
              </w:rPr>
              <w:t>1.1</w:t>
            </w:r>
            <w:r>
              <w:rPr>
                <w:rFonts w:hAnsi="黑体"/>
                <w:b/>
                <w:bCs/>
                <w:sz w:val="24"/>
                <w:szCs w:val="24"/>
              </w:rPr>
              <w:t>油罐车卸油废气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bCs/>
                <w:sz w:val="24"/>
                <w:szCs w:val="24"/>
                <w:highlight w:val="none"/>
              </w:rPr>
            </w:pPr>
            <w:r>
              <w:rPr>
                <w:rFonts w:hint="eastAsia" w:ascii="黑体" w:hAnsi="黑体" w:cs="黑体"/>
                <w:bCs/>
                <w:sz w:val="24"/>
                <w:szCs w:val="24"/>
              </w:rPr>
              <w:t>卸油损失（大呼吸损失）是指油罐卸油时所呼出的油蒸气而造成的油品蒸发损失。油罐进油时，由于油面逐渐升高，气体空间逐渐减小，罐内压力增大，当压力超过呼吸阀控制压力时，一定浓度的油蒸气开始从呼吸阀呼出，直到油罐停止收油。本项目油罐采用地埋卧式油罐，</w:t>
            </w:r>
            <w:r>
              <w:rPr>
                <w:bCs/>
                <w:sz w:val="24"/>
                <w:szCs w:val="24"/>
              </w:rPr>
              <w:t>根据《散装液态石油产品损耗》（GB11085-89）中的损耗标准</w:t>
            </w:r>
            <w:r>
              <w:rPr>
                <w:rFonts w:hint="eastAsia"/>
                <w:bCs/>
                <w:sz w:val="24"/>
                <w:szCs w:val="24"/>
              </w:rPr>
              <w:t>，汽油损耗率为0.20%，柴油损耗率为0.05%，根据企</w:t>
            </w:r>
            <w:r>
              <w:rPr>
                <w:rFonts w:hint="eastAsia"/>
                <w:bCs/>
                <w:sz w:val="24"/>
                <w:szCs w:val="24"/>
                <w:highlight w:val="none"/>
              </w:rPr>
              <w:t>业提供资料，汽油年卸油量</w:t>
            </w:r>
            <w:r>
              <w:rPr>
                <w:rFonts w:hint="eastAsia"/>
                <w:bCs/>
                <w:sz w:val="24"/>
                <w:szCs w:val="24"/>
                <w:highlight w:val="none"/>
                <w:lang w:val="en-US" w:eastAsia="zh-CN"/>
              </w:rPr>
              <w:t>57</w:t>
            </w:r>
            <w:r>
              <w:rPr>
                <w:rFonts w:hint="eastAsia"/>
                <w:bCs/>
                <w:sz w:val="24"/>
                <w:szCs w:val="24"/>
                <w:highlight w:val="none"/>
              </w:rPr>
              <w:t>t，柴油年卸油量</w:t>
            </w:r>
            <w:r>
              <w:rPr>
                <w:rFonts w:hint="eastAsia"/>
                <w:bCs/>
                <w:sz w:val="24"/>
                <w:szCs w:val="24"/>
                <w:highlight w:val="none"/>
                <w:lang w:val="en-US" w:eastAsia="zh-CN"/>
              </w:rPr>
              <w:t>4</w:t>
            </w:r>
            <w:r>
              <w:rPr>
                <w:rFonts w:hint="eastAsia"/>
                <w:bCs/>
                <w:sz w:val="24"/>
                <w:szCs w:val="24"/>
                <w:highlight w:val="none"/>
              </w:rPr>
              <w:t>0t，则汽油损耗量为</w:t>
            </w:r>
            <w:r>
              <w:rPr>
                <w:rFonts w:hint="eastAsia"/>
                <w:bCs/>
                <w:sz w:val="24"/>
                <w:szCs w:val="24"/>
                <w:highlight w:val="none"/>
                <w:lang w:val="en-US" w:eastAsia="zh-CN"/>
              </w:rPr>
              <w:t>0.114</w:t>
            </w:r>
            <w:r>
              <w:rPr>
                <w:rFonts w:hint="eastAsia"/>
                <w:bCs/>
                <w:sz w:val="24"/>
                <w:szCs w:val="24"/>
                <w:highlight w:val="none"/>
              </w:rPr>
              <w:t>t/a，柴油损耗率</w:t>
            </w:r>
            <w:r>
              <w:rPr>
                <w:rFonts w:hint="eastAsia"/>
                <w:bCs/>
                <w:sz w:val="24"/>
                <w:szCs w:val="24"/>
                <w:highlight w:val="none"/>
                <w:lang w:val="en-US" w:eastAsia="zh-CN"/>
              </w:rPr>
              <w:t>0.02</w:t>
            </w:r>
            <w:r>
              <w:rPr>
                <w:rFonts w:hint="eastAsia"/>
                <w:bCs/>
                <w:sz w:val="24"/>
                <w:szCs w:val="24"/>
                <w:highlight w:val="none"/>
              </w:rPr>
              <w:t>t/a。</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bCs/>
                <w:sz w:val="24"/>
                <w:szCs w:val="24"/>
              </w:rPr>
            </w:pPr>
            <w:r>
              <w:rPr>
                <w:rFonts w:hint="eastAsia" w:ascii="黑体" w:hAnsi="黑体" w:cs="黑体"/>
                <w:bCs/>
                <w:sz w:val="24"/>
                <w:szCs w:val="24"/>
                <w:highlight w:val="none"/>
              </w:rPr>
              <w:t>为保证卸</w:t>
            </w:r>
            <w:r>
              <w:rPr>
                <w:rFonts w:hAnsi="黑体"/>
                <w:bCs/>
                <w:sz w:val="24"/>
                <w:szCs w:val="24"/>
                <w:highlight w:val="none"/>
              </w:rPr>
              <w:t>油过程中的油气回收，本加油站设置密闭卸油口，采取</w:t>
            </w:r>
            <w:r>
              <w:rPr>
                <w:rFonts w:hAnsi="黑体"/>
                <w:bCs/>
                <w:sz w:val="24"/>
                <w:szCs w:val="24"/>
              </w:rPr>
              <w:t>密闭卸油方式，其中汽油卸油时油气由罐车自带油气回收系统（收油效率按</w:t>
            </w:r>
            <w:r>
              <w:rPr>
                <w:bCs/>
                <w:sz w:val="24"/>
                <w:szCs w:val="24"/>
              </w:rPr>
              <w:t>9</w:t>
            </w:r>
            <w:r>
              <w:rPr>
                <w:rFonts w:hint="eastAsia"/>
                <w:bCs/>
                <w:sz w:val="24"/>
                <w:szCs w:val="24"/>
                <w:lang w:val="en-US" w:eastAsia="zh-CN"/>
              </w:rPr>
              <w:t>5</w:t>
            </w:r>
            <w:r>
              <w:rPr>
                <w:bCs/>
                <w:sz w:val="24"/>
                <w:szCs w:val="24"/>
              </w:rPr>
              <w:t>%</w:t>
            </w:r>
            <w:r>
              <w:rPr>
                <w:rFonts w:hAnsi="黑体"/>
                <w:bCs/>
                <w:sz w:val="24"/>
                <w:szCs w:val="24"/>
              </w:rPr>
              <w:t>计）回收至油罐车中，只是在卸油结束时油管接头处和加油结束时油枪抽出时有少量残留油品无组织挥发，则汽油卸油油气经回收系统后，排放量为</w:t>
            </w:r>
            <w:r>
              <w:rPr>
                <w:rFonts w:hint="eastAsia" w:hAnsi="黑体"/>
                <w:bCs/>
                <w:sz w:val="24"/>
                <w:szCs w:val="24"/>
                <w:lang w:val="en-US" w:eastAsia="zh-CN"/>
              </w:rPr>
              <w:t>0.0057</w:t>
            </w:r>
            <w:r>
              <w:rPr>
                <w:bCs/>
                <w:sz w:val="24"/>
                <w:szCs w:val="24"/>
              </w:rPr>
              <w:t>t/a</w:t>
            </w:r>
            <w:r>
              <w:rPr>
                <w:rFonts w:hAnsi="黑体"/>
                <w:bCs/>
                <w:sz w:val="24"/>
                <w:szCs w:val="24"/>
              </w:rPr>
              <w:t>，柴油无油气回收系统。因此，站内卸油油气排放总量为</w:t>
            </w:r>
            <w:r>
              <w:rPr>
                <w:rFonts w:hint="eastAsia" w:hAnsi="黑体"/>
                <w:bCs/>
                <w:sz w:val="24"/>
                <w:szCs w:val="24"/>
                <w:lang w:val="en-US" w:eastAsia="zh-CN"/>
              </w:rPr>
              <w:t>0.0257</w:t>
            </w:r>
            <w:r>
              <w:rPr>
                <w:bCs/>
                <w:sz w:val="24"/>
                <w:szCs w:val="24"/>
              </w:rPr>
              <w:t>t/a</w:t>
            </w:r>
            <w:r>
              <w:rPr>
                <w:rFonts w:hAnsi="黑体"/>
                <w:bCs/>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b/>
                <w:bCs/>
                <w:sz w:val="24"/>
                <w:szCs w:val="24"/>
              </w:rPr>
            </w:pPr>
            <w:r>
              <w:rPr>
                <w:b/>
                <w:bCs/>
                <w:sz w:val="24"/>
                <w:szCs w:val="24"/>
              </w:rPr>
              <w:t>1.</w:t>
            </w:r>
            <w:r>
              <w:rPr>
                <w:rFonts w:hint="eastAsia"/>
                <w:b/>
                <w:bCs/>
                <w:sz w:val="24"/>
                <w:szCs w:val="24"/>
              </w:rPr>
              <w:t>2</w:t>
            </w:r>
            <w:r>
              <w:rPr>
                <w:rFonts w:hint="eastAsia" w:hAnsi="黑体"/>
                <w:b/>
                <w:bCs/>
                <w:sz w:val="24"/>
                <w:szCs w:val="24"/>
              </w:rPr>
              <w:t>汽车加油过程</w:t>
            </w:r>
            <w:r>
              <w:rPr>
                <w:rFonts w:hAnsi="黑体"/>
                <w:b/>
                <w:bCs/>
                <w:sz w:val="24"/>
                <w:szCs w:val="24"/>
              </w:rPr>
              <w:t>废气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bCs/>
                <w:sz w:val="24"/>
                <w:szCs w:val="24"/>
              </w:rPr>
            </w:pPr>
            <w:r>
              <w:rPr>
                <w:bCs/>
                <w:sz w:val="24"/>
                <w:szCs w:val="24"/>
              </w:rPr>
              <w:t>车辆加油时，油品进入汽车油箱，油箱内的烃类气体被油品置换排入大气。根据《散装液态石油产品损耗》（GB11085-89）中的损耗标准，油品零售过程中汽油损耗量为总加油量的0.29%，柴油损耗量为总加油量的0.08%。本项目汽油的总加油量为</w:t>
            </w:r>
            <w:r>
              <w:rPr>
                <w:rFonts w:hint="eastAsia"/>
                <w:bCs/>
                <w:sz w:val="24"/>
                <w:szCs w:val="24"/>
                <w:lang w:val="en-US" w:eastAsia="zh-CN"/>
              </w:rPr>
              <w:t>57</w:t>
            </w:r>
            <w:r>
              <w:rPr>
                <w:bCs/>
                <w:sz w:val="24"/>
                <w:szCs w:val="24"/>
              </w:rPr>
              <w:t>t/a，柴油的总加油量为</w:t>
            </w:r>
            <w:r>
              <w:rPr>
                <w:rFonts w:hint="eastAsia"/>
                <w:bCs/>
                <w:sz w:val="24"/>
                <w:szCs w:val="24"/>
                <w:lang w:val="en-US" w:eastAsia="zh-CN"/>
              </w:rPr>
              <w:t>4</w:t>
            </w:r>
            <w:r>
              <w:rPr>
                <w:rFonts w:hint="eastAsia"/>
                <w:bCs/>
                <w:sz w:val="24"/>
                <w:szCs w:val="24"/>
              </w:rPr>
              <w:t>0</w:t>
            </w:r>
            <w:r>
              <w:rPr>
                <w:bCs/>
                <w:sz w:val="24"/>
                <w:szCs w:val="24"/>
              </w:rPr>
              <w:t>t/a，则加油过程汽油油气损耗量为</w:t>
            </w:r>
            <w:r>
              <w:rPr>
                <w:rFonts w:hint="eastAsia"/>
                <w:bCs/>
                <w:sz w:val="24"/>
                <w:szCs w:val="24"/>
                <w:lang w:val="en-US" w:eastAsia="zh-CN"/>
              </w:rPr>
              <w:t>0.1653</w:t>
            </w:r>
            <w:r>
              <w:rPr>
                <w:bCs/>
                <w:sz w:val="24"/>
                <w:szCs w:val="24"/>
              </w:rPr>
              <w:t>t/a，柴油油气损耗量为</w:t>
            </w:r>
            <w:r>
              <w:rPr>
                <w:rFonts w:hint="eastAsia"/>
                <w:bCs/>
                <w:sz w:val="24"/>
                <w:szCs w:val="24"/>
                <w:lang w:val="en-US" w:eastAsia="zh-CN"/>
              </w:rPr>
              <w:t>0.032</w:t>
            </w:r>
            <w:r>
              <w:rPr>
                <w:bCs/>
                <w:sz w:val="24"/>
                <w:szCs w:val="24"/>
              </w:rPr>
              <w:t>t/a。根据建设单位提供资料，项目汽油加油机设计使用有油气回收系统的加油机，回收效率按9</w:t>
            </w:r>
            <w:r>
              <w:rPr>
                <w:rFonts w:hint="eastAsia"/>
                <w:bCs/>
                <w:sz w:val="24"/>
                <w:szCs w:val="24"/>
                <w:lang w:val="en-US" w:eastAsia="zh-CN"/>
              </w:rPr>
              <w:t>5</w:t>
            </w:r>
            <w:r>
              <w:rPr>
                <w:bCs/>
                <w:sz w:val="24"/>
                <w:szCs w:val="24"/>
              </w:rPr>
              <w:t>%计，则汽油油气排放量为</w:t>
            </w:r>
            <w:r>
              <w:rPr>
                <w:rFonts w:hint="eastAsia"/>
                <w:bCs/>
                <w:sz w:val="24"/>
                <w:szCs w:val="24"/>
                <w:lang w:val="en-US" w:eastAsia="zh-CN"/>
              </w:rPr>
              <w:t>0.0083</w:t>
            </w:r>
            <w:r>
              <w:rPr>
                <w:bCs/>
                <w:sz w:val="24"/>
                <w:szCs w:val="24"/>
              </w:rPr>
              <w:t>t/a，柴油加油机无油气回收系统，则加油作业时总油气排放总量为</w:t>
            </w:r>
            <w:r>
              <w:rPr>
                <w:rFonts w:hint="eastAsia"/>
                <w:bCs/>
                <w:sz w:val="24"/>
                <w:szCs w:val="24"/>
                <w:lang w:val="en-US" w:eastAsia="zh-CN"/>
              </w:rPr>
              <w:t>0.0403</w:t>
            </w:r>
            <w:r>
              <w:rPr>
                <w:bCs/>
                <w:sz w:val="24"/>
                <w:szCs w:val="24"/>
              </w:rPr>
              <w:t>t/a。</w:t>
            </w:r>
            <w:r>
              <w:rPr>
                <w:rFonts w:hint="eastAsia"/>
                <w:bCs/>
                <w:sz w:val="24"/>
                <w:szCs w:val="24"/>
              </w:rPr>
              <w:t>油气以非甲烷总烃计，</w:t>
            </w:r>
            <w:r>
              <w:rPr>
                <w:bCs/>
                <w:sz w:val="24"/>
                <w:szCs w:val="24"/>
              </w:rPr>
              <w:t>该部分废气全部以无组织形式排放。</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hAnsi="黑体"/>
                <w:b/>
                <w:bCs/>
                <w:sz w:val="24"/>
                <w:szCs w:val="24"/>
              </w:rPr>
            </w:pPr>
            <w:r>
              <w:rPr>
                <w:b/>
                <w:bCs/>
                <w:sz w:val="24"/>
                <w:szCs w:val="24"/>
              </w:rPr>
              <w:t>1.</w:t>
            </w:r>
            <w:r>
              <w:rPr>
                <w:rFonts w:hint="eastAsia"/>
                <w:b/>
                <w:bCs/>
                <w:sz w:val="24"/>
                <w:szCs w:val="24"/>
              </w:rPr>
              <w:t>3</w:t>
            </w:r>
            <w:r>
              <w:rPr>
                <w:rFonts w:hint="eastAsia" w:hAnsi="黑体"/>
                <w:b/>
                <w:bCs/>
                <w:sz w:val="24"/>
                <w:szCs w:val="24"/>
              </w:rPr>
              <w:t>储油过程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黑体" w:hAnsi="黑体" w:cs="黑体"/>
                <w:bCs/>
                <w:sz w:val="24"/>
                <w:szCs w:val="24"/>
              </w:rPr>
            </w:pPr>
            <w:r>
              <w:rPr>
                <w:rFonts w:hint="eastAsia"/>
                <w:bCs/>
                <w:sz w:val="24"/>
                <w:szCs w:val="24"/>
              </w:rPr>
              <w:t>项目储油过程会产生储油损失，储油损失是指油罐在没有收发油作业的情况下，随着外界气温、压力在一天内的升降周期变化，罐内气体空间温度、油品蒸发速度、油气浓度和蒸汽压力也随之变化；排出油蒸气和吸入空气的过程造成的油气损失，</w:t>
            </w:r>
            <w:r>
              <w:rPr>
                <w:rFonts w:hint="eastAsia"/>
                <w:bCs/>
                <w:sz w:val="24"/>
                <w:szCs w:val="24"/>
                <w:lang w:val="en-US" w:eastAsia="zh-CN"/>
              </w:rPr>
              <w:t>为</w:t>
            </w:r>
            <w:r>
              <w:rPr>
                <w:rFonts w:hint="eastAsia"/>
                <w:bCs/>
                <w:sz w:val="24"/>
                <w:szCs w:val="24"/>
              </w:rPr>
              <w:t>小呼吸损失。</w:t>
            </w:r>
            <w:r>
              <w:rPr>
                <w:rFonts w:hint="eastAsia" w:ascii="黑体" w:hAnsi="黑体" w:cs="黑体"/>
                <w:bCs/>
                <w:sz w:val="24"/>
                <w:szCs w:val="24"/>
              </w:rPr>
              <w:t>本项目油罐采用地埋卧式</w:t>
            </w:r>
            <w:r>
              <w:rPr>
                <w:rFonts w:hint="eastAsia" w:ascii="黑体" w:hAnsi="黑体" w:cs="黑体"/>
                <w:bCs/>
                <w:sz w:val="24"/>
                <w:szCs w:val="24"/>
                <w:lang w:val="en-US" w:eastAsia="zh-CN"/>
              </w:rPr>
              <w:t>钢制</w:t>
            </w:r>
            <w:r>
              <w:rPr>
                <w:rFonts w:hint="eastAsia" w:ascii="黑体" w:hAnsi="黑体" w:cs="黑体"/>
                <w:bCs/>
                <w:sz w:val="24"/>
                <w:szCs w:val="24"/>
              </w:rPr>
              <w:t>油罐，属于隐蔽罐，</w:t>
            </w:r>
            <w:r>
              <w:rPr>
                <w:rFonts w:hint="eastAsia"/>
                <w:bCs/>
                <w:sz w:val="24"/>
                <w:szCs w:val="24"/>
              </w:rPr>
              <w:t>根据《散装液态石油产品损耗标准》</w:t>
            </w:r>
            <w:r>
              <w:rPr>
                <w:bCs/>
                <w:sz w:val="24"/>
                <w:szCs w:val="24"/>
              </w:rPr>
              <w:t>（GB11085-89）</w:t>
            </w:r>
            <w:r>
              <w:rPr>
                <w:rFonts w:hint="eastAsia"/>
                <w:bCs/>
                <w:sz w:val="24"/>
                <w:szCs w:val="24"/>
              </w:rPr>
              <w:t>，储油过程会产生</w:t>
            </w:r>
            <w:r>
              <w:rPr>
                <w:bCs/>
                <w:sz w:val="24"/>
                <w:szCs w:val="24"/>
              </w:rPr>
              <w:t>0.01%</w:t>
            </w:r>
            <w:r>
              <w:rPr>
                <w:rFonts w:hint="eastAsia"/>
                <w:bCs/>
                <w:sz w:val="24"/>
                <w:szCs w:val="24"/>
              </w:rPr>
              <w:t>的油气排放，经计算汽油油气损耗</w:t>
            </w:r>
            <w:r>
              <w:rPr>
                <w:rFonts w:hint="eastAsia"/>
                <w:bCs/>
                <w:sz w:val="24"/>
                <w:szCs w:val="24"/>
                <w:lang w:val="en-US" w:eastAsia="zh-CN"/>
              </w:rPr>
              <w:t>0.0057</w:t>
            </w:r>
            <w:r>
              <w:rPr>
                <w:bCs/>
                <w:sz w:val="24"/>
                <w:szCs w:val="24"/>
              </w:rPr>
              <w:t>t/a</w:t>
            </w:r>
            <w:r>
              <w:rPr>
                <w:rFonts w:hint="eastAsia"/>
                <w:bCs/>
                <w:sz w:val="24"/>
                <w:szCs w:val="24"/>
              </w:rPr>
              <w:t>，柴油油气损耗</w:t>
            </w:r>
            <w:r>
              <w:rPr>
                <w:rFonts w:hint="eastAsia"/>
                <w:bCs/>
                <w:sz w:val="24"/>
                <w:szCs w:val="24"/>
                <w:lang w:val="en-US" w:eastAsia="zh-CN"/>
              </w:rPr>
              <w:t>0.004</w:t>
            </w:r>
            <w:r>
              <w:rPr>
                <w:bCs/>
                <w:sz w:val="24"/>
                <w:szCs w:val="24"/>
              </w:rPr>
              <w:t>t/a</w:t>
            </w:r>
            <w:r>
              <w:rPr>
                <w:rFonts w:hint="eastAsia"/>
                <w:bCs/>
                <w:sz w:val="24"/>
                <w:szCs w:val="24"/>
              </w:rPr>
              <w:t>，则储油过程产生的油气总量为</w:t>
            </w:r>
            <w:r>
              <w:rPr>
                <w:rFonts w:hint="eastAsia"/>
                <w:bCs/>
                <w:sz w:val="24"/>
                <w:szCs w:val="24"/>
                <w:lang w:val="en-US" w:eastAsia="zh-CN"/>
              </w:rPr>
              <w:t>0.0097</w:t>
            </w:r>
            <w:r>
              <w:rPr>
                <w:rFonts w:hint="eastAsia"/>
                <w:bCs/>
                <w:sz w:val="24"/>
                <w:szCs w:val="24"/>
              </w:rPr>
              <w:t>t/a。该部分油气从呼吸阀排放，根据《加油站大气污染物排放标准》（</w:t>
            </w:r>
            <w:r>
              <w:rPr>
                <w:bCs/>
                <w:sz w:val="24"/>
                <w:szCs w:val="24"/>
              </w:rPr>
              <w:t>GB20952-2007</w:t>
            </w:r>
            <w:r>
              <w:rPr>
                <w:rFonts w:hint="eastAsia"/>
                <w:bCs/>
                <w:sz w:val="24"/>
                <w:szCs w:val="24"/>
              </w:rPr>
              <w:t>）要求，呼吸阀高度距地平面应不低于</w:t>
            </w:r>
            <w:r>
              <w:rPr>
                <w:bCs/>
                <w:sz w:val="24"/>
                <w:szCs w:val="24"/>
              </w:rPr>
              <w:t>4m</w:t>
            </w:r>
            <w:r>
              <w:rPr>
                <w:rFonts w:hint="eastAsia"/>
                <w:bCs/>
                <w:sz w:val="24"/>
                <w:szCs w:val="24"/>
              </w:rPr>
              <w:t>，本项目呼吸阀位于罩棚西侧，高度为4.5</w:t>
            </w:r>
            <w:r>
              <w:rPr>
                <w:bCs/>
                <w:sz w:val="24"/>
                <w:szCs w:val="24"/>
              </w:rPr>
              <w:t>m</w:t>
            </w:r>
            <w:r>
              <w:rPr>
                <w:rFonts w:hint="eastAsia"/>
                <w:bCs/>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bCs/>
                <w:sz w:val="24"/>
                <w:szCs w:val="24"/>
              </w:rPr>
            </w:pPr>
            <w:r>
              <w:rPr>
                <w:rFonts w:hint="eastAsia"/>
                <w:bCs/>
                <w:sz w:val="24"/>
                <w:szCs w:val="24"/>
              </w:rPr>
              <w:t>项目产生的油气全部以非甲烷总烃计，非甲烷总烃产排情况见下表：</w:t>
            </w:r>
          </w:p>
          <w:p>
            <w:pPr>
              <w:keepNext w:val="0"/>
              <w:keepLines w:val="0"/>
              <w:pageBreakBefore w:val="0"/>
              <w:widowControl w:val="0"/>
              <w:tabs>
                <w:tab w:val="left" w:pos="7920"/>
              </w:tabs>
              <w:kinsoku/>
              <w:wordWrap/>
              <w:overflowPunct/>
              <w:topLinePunct w:val="0"/>
              <w:autoSpaceDE/>
              <w:autoSpaceDN/>
              <w:bidi w:val="0"/>
              <w:spacing w:line="520" w:lineRule="exact"/>
              <w:jc w:val="center"/>
              <w:textAlignment w:val="auto"/>
              <w:rPr>
                <w:b/>
                <w:sz w:val="24"/>
                <w:szCs w:val="24"/>
              </w:rPr>
            </w:pPr>
            <w:r>
              <w:rPr>
                <w:rFonts w:hAnsi="黑体"/>
                <w:b/>
                <w:sz w:val="24"/>
                <w:szCs w:val="24"/>
              </w:rPr>
              <w:t>表</w:t>
            </w:r>
            <w:r>
              <w:rPr>
                <w:rFonts w:hint="eastAsia"/>
                <w:b/>
                <w:sz w:val="24"/>
                <w:szCs w:val="24"/>
                <w:lang w:val="en-US" w:eastAsia="zh-CN"/>
              </w:rPr>
              <w:t>28</w:t>
            </w:r>
            <w:r>
              <w:rPr>
                <w:b/>
                <w:sz w:val="24"/>
                <w:szCs w:val="24"/>
              </w:rPr>
              <w:t xml:space="preserve">          </w:t>
            </w:r>
            <w:r>
              <w:rPr>
                <w:rFonts w:hint="eastAsia" w:hAnsi="黑体"/>
                <w:b/>
                <w:sz w:val="24"/>
                <w:szCs w:val="24"/>
              </w:rPr>
              <w:t>非甲烷总烃废气产排情况一览表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922"/>
              <w:gridCol w:w="1179"/>
              <w:gridCol w:w="1565"/>
              <w:gridCol w:w="1823"/>
              <w:gridCol w:w="20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156" w:type="dxa"/>
                  <w:gridSpan w:val="2"/>
                  <w:noWrap w:val="0"/>
                  <w:vAlign w:val="center"/>
                </w:tcPr>
                <w:p>
                  <w:pPr>
                    <w:pStyle w:val="147"/>
                    <w:rPr>
                      <w:rFonts w:hAnsi="Times New Roman" w:eastAsia="宋体" w:cs="Times New Roman"/>
                      <w:b/>
                      <w:bCs/>
                    </w:rPr>
                  </w:pPr>
                  <w:r>
                    <w:rPr>
                      <w:rFonts w:hint="eastAsia" w:hAnsi="Times New Roman" w:eastAsia="宋体" w:cs="Times New Roman"/>
                      <w:b/>
                      <w:bCs/>
                    </w:rPr>
                    <w:t>产污环节</w:t>
                  </w:r>
                </w:p>
              </w:tc>
              <w:tc>
                <w:tcPr>
                  <w:tcW w:w="1275" w:type="dxa"/>
                  <w:noWrap w:val="0"/>
                  <w:vAlign w:val="center"/>
                </w:tcPr>
                <w:p>
                  <w:pPr>
                    <w:pStyle w:val="147"/>
                    <w:rPr>
                      <w:rFonts w:hAnsi="Times New Roman" w:eastAsia="宋体" w:cs="Times New Roman"/>
                      <w:b/>
                      <w:bCs/>
                    </w:rPr>
                  </w:pPr>
                  <w:r>
                    <w:rPr>
                      <w:rFonts w:hint="eastAsia" w:hAnsi="Times New Roman" w:eastAsia="宋体" w:cs="Times New Roman"/>
                      <w:b/>
                      <w:bCs/>
                    </w:rPr>
                    <w:t>污染因子</w:t>
                  </w:r>
                </w:p>
              </w:tc>
              <w:tc>
                <w:tcPr>
                  <w:tcW w:w="1701" w:type="dxa"/>
                  <w:noWrap w:val="0"/>
                  <w:vAlign w:val="center"/>
                </w:tcPr>
                <w:p>
                  <w:pPr>
                    <w:pStyle w:val="147"/>
                    <w:rPr>
                      <w:rFonts w:hAnsi="Times New Roman" w:eastAsia="宋体" w:cs="Times New Roman"/>
                      <w:b/>
                      <w:bCs/>
                    </w:rPr>
                  </w:pPr>
                  <w:r>
                    <w:rPr>
                      <w:rFonts w:hint="eastAsia" w:hAnsi="Times New Roman" w:eastAsia="宋体" w:cs="Times New Roman"/>
                      <w:b/>
                      <w:bCs/>
                    </w:rPr>
                    <w:t>产生量</w:t>
                  </w:r>
                </w:p>
              </w:tc>
              <w:tc>
                <w:tcPr>
                  <w:tcW w:w="1985" w:type="dxa"/>
                  <w:noWrap w:val="0"/>
                  <w:vAlign w:val="center"/>
                </w:tcPr>
                <w:p>
                  <w:pPr>
                    <w:pStyle w:val="147"/>
                    <w:rPr>
                      <w:rFonts w:hint="default" w:hAnsi="Times New Roman" w:eastAsia="宋体" w:cs="Times New Roman"/>
                      <w:b/>
                      <w:bCs/>
                      <w:lang w:val="en-US" w:eastAsia="zh-CN"/>
                    </w:rPr>
                  </w:pPr>
                  <w:r>
                    <w:rPr>
                      <w:rFonts w:hint="eastAsia" w:hAnsi="Times New Roman" w:eastAsia="宋体" w:cs="Times New Roman"/>
                      <w:b/>
                      <w:bCs/>
                    </w:rPr>
                    <w:t>采取措施</w:t>
                  </w:r>
                  <w:r>
                    <w:rPr>
                      <w:rFonts w:hint="eastAsia" w:hAnsi="Times New Roman" w:eastAsia="宋体" w:cs="Times New Roman"/>
                      <w:b/>
                      <w:bCs/>
                      <w:lang w:val="en-US" w:eastAsia="zh-CN"/>
                    </w:rPr>
                    <w:t>及效率</w:t>
                  </w:r>
                </w:p>
              </w:tc>
              <w:tc>
                <w:tcPr>
                  <w:tcW w:w="2239" w:type="dxa"/>
                  <w:noWrap w:val="0"/>
                  <w:vAlign w:val="center"/>
                </w:tcPr>
                <w:p>
                  <w:pPr>
                    <w:pStyle w:val="147"/>
                    <w:rPr>
                      <w:rFonts w:hAnsi="Times New Roman" w:eastAsia="宋体" w:cs="Times New Roman"/>
                      <w:b/>
                      <w:bCs/>
                    </w:rPr>
                  </w:pPr>
                  <w:r>
                    <w:rPr>
                      <w:rFonts w:hint="eastAsia" w:hAnsi="Times New Roman" w:eastAsia="宋体" w:cs="Times New Roman"/>
                      <w:b/>
                      <w:bCs/>
                    </w:rPr>
                    <w:t>排放量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64" w:type="dxa"/>
                  <w:vMerge w:val="restart"/>
                  <w:noWrap w:val="0"/>
                  <w:vAlign w:val="center"/>
                </w:tcPr>
                <w:p>
                  <w:pPr>
                    <w:pStyle w:val="147"/>
                    <w:rPr>
                      <w:rFonts w:hint="eastAsia" w:hAnsi="Times New Roman" w:eastAsia="宋体" w:cs="Times New Roman"/>
                    </w:rPr>
                  </w:pPr>
                  <w:r>
                    <w:rPr>
                      <w:rFonts w:hint="eastAsia" w:hAnsi="Times New Roman" w:eastAsia="宋体" w:cs="Times New Roman"/>
                    </w:rPr>
                    <w:t>油罐车卸油过程</w:t>
                  </w: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汽油</w:t>
                  </w:r>
                </w:p>
              </w:tc>
              <w:tc>
                <w:tcPr>
                  <w:tcW w:w="127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非甲烷总烃</w:t>
                  </w:r>
                </w:p>
              </w:tc>
              <w:tc>
                <w:tcPr>
                  <w:tcW w:w="1701"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lang w:val="en-US" w:eastAsia="zh-CN"/>
                    </w:rPr>
                    <w:t>0.114</w:t>
                  </w:r>
                  <w:r>
                    <w:rPr>
                      <w:rFonts w:hint="default" w:ascii="Times New Roman" w:hAnsi="Times New Roman" w:eastAsia="宋体" w:cs="Times New Roman"/>
                    </w:rPr>
                    <w:t>t/a</w:t>
                  </w:r>
                </w:p>
              </w:tc>
              <w:tc>
                <w:tcPr>
                  <w:tcW w:w="1985" w:type="dxa"/>
                  <w:noWrap w:val="0"/>
                  <w:vAlign w:val="center"/>
                </w:tcPr>
                <w:p>
                  <w:pPr>
                    <w:pStyle w:val="147"/>
                    <w:rPr>
                      <w:rFonts w:hint="default" w:ascii="Times New Roman" w:hAnsi="Times New Roman" w:eastAsia="宋体" w:cs="Times New Roman"/>
                      <w:highlight w:val="yellow"/>
                      <w:lang w:eastAsia="zh-CN"/>
                    </w:rPr>
                  </w:pPr>
                  <w:r>
                    <w:rPr>
                      <w:rFonts w:hint="default" w:ascii="Times New Roman" w:hAnsi="Times New Roman" w:eastAsia="宋体" w:cs="Times New Roman"/>
                      <w:kern w:val="0"/>
                    </w:rPr>
                    <w:t>油气回收装置</w:t>
                  </w:r>
                  <w:r>
                    <w:rPr>
                      <w:rFonts w:hint="default" w:ascii="Times New Roman" w:hAnsi="Times New Roman" w:eastAsia="宋体" w:cs="Times New Roman"/>
                      <w:kern w:val="0"/>
                      <w:lang w:eastAsia="zh-CN"/>
                    </w:rPr>
                    <w:t>（</w:t>
                  </w:r>
                  <w:r>
                    <w:rPr>
                      <w:rFonts w:hint="default" w:ascii="Times New Roman" w:hAnsi="Times New Roman" w:eastAsia="宋体" w:cs="Times New Roman"/>
                      <w:kern w:val="0"/>
                      <w:lang w:val="en-US" w:eastAsia="zh-CN"/>
                    </w:rPr>
                    <w:t>95%</w:t>
                  </w:r>
                  <w:r>
                    <w:rPr>
                      <w:rFonts w:hint="default" w:ascii="Times New Roman" w:hAnsi="Times New Roman" w:eastAsia="宋体" w:cs="Times New Roman"/>
                      <w:kern w:val="0"/>
                      <w:lang w:eastAsia="zh-CN"/>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0.0057</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4" w:type="dxa"/>
                  <w:vMerge w:val="continue"/>
                  <w:noWrap w:val="0"/>
                  <w:vAlign w:val="center"/>
                </w:tcPr>
                <w:p>
                  <w:pPr>
                    <w:pStyle w:val="147"/>
                    <w:rPr>
                      <w:rFonts w:hint="eastAsia" w:hAnsi="Times New Roman" w:eastAsia="宋体" w:cs="Times New Roman"/>
                    </w:rPr>
                  </w:pP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柴油</w:t>
                  </w:r>
                </w:p>
              </w:tc>
              <w:tc>
                <w:tcPr>
                  <w:tcW w:w="127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非甲烷总烃</w:t>
                  </w:r>
                </w:p>
              </w:tc>
              <w:tc>
                <w:tcPr>
                  <w:tcW w:w="1701"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lang w:val="en-US" w:eastAsia="zh-CN"/>
                    </w:rPr>
                    <w:t>0.02</w:t>
                  </w:r>
                  <w:r>
                    <w:rPr>
                      <w:rFonts w:hint="default" w:ascii="Times New Roman" w:hAnsi="Times New Roman" w:eastAsia="宋体" w:cs="Times New Roman"/>
                    </w:rPr>
                    <w:t>t/a</w:t>
                  </w:r>
                </w:p>
              </w:tc>
              <w:tc>
                <w:tcPr>
                  <w:tcW w:w="198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0.02</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64" w:type="dxa"/>
                  <w:vMerge w:val="restart"/>
                  <w:noWrap w:val="0"/>
                  <w:vAlign w:val="center"/>
                </w:tcPr>
                <w:p>
                  <w:pPr>
                    <w:pStyle w:val="147"/>
                    <w:rPr>
                      <w:rFonts w:hint="eastAsia" w:hAnsi="Times New Roman" w:eastAsia="宋体" w:cs="Times New Roman"/>
                    </w:rPr>
                  </w:pPr>
                  <w:r>
                    <w:rPr>
                      <w:rFonts w:hint="eastAsia" w:hAnsi="Times New Roman" w:eastAsia="宋体" w:cs="Times New Roman"/>
                    </w:rPr>
                    <w:t>汽车加油过程</w:t>
                  </w: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汽油</w:t>
                  </w:r>
                </w:p>
              </w:tc>
              <w:tc>
                <w:tcPr>
                  <w:tcW w:w="127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非甲烷总烃</w:t>
                  </w:r>
                </w:p>
              </w:tc>
              <w:tc>
                <w:tcPr>
                  <w:tcW w:w="1701"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lang w:val="en-US" w:eastAsia="zh-CN"/>
                    </w:rPr>
                    <w:t>0.1653</w:t>
                  </w:r>
                  <w:r>
                    <w:rPr>
                      <w:rFonts w:hint="default" w:ascii="Times New Roman" w:hAnsi="Times New Roman" w:eastAsia="宋体" w:cs="Times New Roman"/>
                    </w:rPr>
                    <w:t>t/a</w:t>
                  </w:r>
                </w:p>
              </w:tc>
              <w:tc>
                <w:tcPr>
                  <w:tcW w:w="198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kern w:val="0"/>
                    </w:rPr>
                    <w:t>油气回收装置</w:t>
                  </w:r>
                  <w:r>
                    <w:rPr>
                      <w:rFonts w:hint="default" w:ascii="Times New Roman" w:hAnsi="Times New Roman" w:eastAsia="宋体" w:cs="Times New Roman"/>
                      <w:kern w:val="0"/>
                      <w:lang w:eastAsia="zh-CN"/>
                    </w:rPr>
                    <w:t>（</w:t>
                  </w:r>
                  <w:r>
                    <w:rPr>
                      <w:rFonts w:hint="default" w:ascii="Times New Roman" w:hAnsi="Times New Roman" w:eastAsia="宋体" w:cs="Times New Roman"/>
                      <w:kern w:val="0"/>
                      <w:lang w:val="en-US" w:eastAsia="zh-CN"/>
                    </w:rPr>
                    <w:t>95%</w:t>
                  </w:r>
                  <w:r>
                    <w:rPr>
                      <w:rFonts w:hint="default" w:ascii="Times New Roman" w:hAnsi="Times New Roman" w:eastAsia="宋体" w:cs="Times New Roman"/>
                      <w:kern w:val="0"/>
                      <w:lang w:eastAsia="zh-CN"/>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0.0083</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164" w:type="dxa"/>
                  <w:vMerge w:val="continue"/>
                  <w:noWrap w:val="0"/>
                  <w:vAlign w:val="center"/>
                </w:tcPr>
                <w:p>
                  <w:pPr>
                    <w:pStyle w:val="147"/>
                    <w:rPr>
                      <w:rFonts w:hint="eastAsia" w:hAnsi="Times New Roman" w:eastAsia="宋体" w:cs="Times New Roman"/>
                    </w:rPr>
                  </w:pP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柴油</w:t>
                  </w:r>
                </w:p>
              </w:tc>
              <w:tc>
                <w:tcPr>
                  <w:tcW w:w="127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非甲烷总烃</w:t>
                  </w:r>
                </w:p>
              </w:tc>
              <w:tc>
                <w:tcPr>
                  <w:tcW w:w="1701"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lang w:val="en-US" w:eastAsia="zh-CN"/>
                    </w:rPr>
                    <w:t>0.032</w:t>
                  </w:r>
                  <w:r>
                    <w:rPr>
                      <w:rFonts w:hint="default" w:ascii="Times New Roman" w:hAnsi="Times New Roman" w:eastAsia="宋体" w:cs="Times New Roman"/>
                    </w:rPr>
                    <w:t>t/a</w:t>
                  </w:r>
                </w:p>
              </w:tc>
              <w:tc>
                <w:tcPr>
                  <w:tcW w:w="1985" w:type="dxa"/>
                  <w:noWrap w:val="0"/>
                  <w:vAlign w:val="center"/>
                </w:tcPr>
                <w:p>
                  <w:pPr>
                    <w:pStyle w:val="147"/>
                    <w:rPr>
                      <w:rFonts w:hint="default" w:ascii="Times New Roman" w:hAnsi="Times New Roman" w:eastAsia="宋体" w:cs="Times New Roman"/>
                    </w:rPr>
                  </w:pPr>
                  <w:r>
                    <w:rPr>
                      <w:rFonts w:hint="default" w:ascii="Times New Roman" w:hAnsi="Times New Roman" w:eastAsia="宋体" w:cs="Times New Roman"/>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0.032</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164" w:type="dxa"/>
                  <w:vMerge w:val="restart"/>
                  <w:noWrap w:val="0"/>
                  <w:vAlign w:val="center"/>
                </w:tcPr>
                <w:p>
                  <w:pPr>
                    <w:pStyle w:val="147"/>
                    <w:rPr>
                      <w:rFonts w:hint="eastAsia" w:hAnsi="Times New Roman" w:eastAsia="宋体" w:cs="Times New Roman"/>
                    </w:rPr>
                  </w:pPr>
                  <w:r>
                    <w:rPr>
                      <w:rFonts w:hint="eastAsia" w:hAnsi="Times New Roman" w:eastAsia="宋体" w:cs="Times New Roman"/>
                    </w:rPr>
                    <w:t>储油过程</w:t>
                  </w: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汽油</w:t>
                  </w:r>
                </w:p>
              </w:tc>
              <w:tc>
                <w:tcPr>
                  <w:tcW w:w="1275" w:type="dxa"/>
                  <w:noWrap w:val="0"/>
                  <w:vAlign w:val="center"/>
                </w:tcPr>
                <w:p>
                  <w:pPr>
                    <w:pStyle w:val="147"/>
                    <w:rPr>
                      <w:rFonts w:hint="eastAsia" w:hAnsi="Times New Roman" w:eastAsia="宋体" w:cs="Times New Roman"/>
                    </w:rPr>
                  </w:pPr>
                  <w:r>
                    <w:rPr>
                      <w:rFonts w:hint="eastAsia" w:hAnsi="Times New Roman" w:eastAsia="宋体" w:cs="Times New Roman"/>
                    </w:rPr>
                    <w:t>非甲烷总烃</w:t>
                  </w:r>
                </w:p>
              </w:tc>
              <w:tc>
                <w:tcPr>
                  <w:tcW w:w="1701"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0.0057</w:t>
                  </w:r>
                  <w:r>
                    <w:rPr>
                      <w:rFonts w:hint="eastAsia" w:hAnsi="Times New Roman" w:eastAsia="宋体" w:cs="Times New Roman"/>
                    </w:rPr>
                    <w:t>t/a</w:t>
                  </w:r>
                </w:p>
              </w:tc>
              <w:tc>
                <w:tcPr>
                  <w:tcW w:w="1985" w:type="dxa"/>
                  <w:noWrap w:val="0"/>
                  <w:vAlign w:val="center"/>
                </w:tcPr>
                <w:p>
                  <w:pPr>
                    <w:pStyle w:val="147"/>
                    <w:rPr>
                      <w:rFonts w:hint="eastAsia" w:hAnsi="Times New Roman" w:eastAsia="宋体" w:cs="Times New Roman"/>
                    </w:rPr>
                  </w:pPr>
                  <w:r>
                    <w:rPr>
                      <w:rFonts w:hint="eastAsia" w:ascii="宋体" w:eastAsia="宋体"/>
                      <w:kern w:val="0"/>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0.0057</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164" w:type="dxa"/>
                  <w:vMerge w:val="continue"/>
                  <w:noWrap w:val="0"/>
                  <w:vAlign w:val="center"/>
                </w:tcPr>
                <w:p>
                  <w:pPr>
                    <w:pStyle w:val="147"/>
                    <w:rPr>
                      <w:rFonts w:hint="eastAsia" w:hAnsi="Times New Roman" w:eastAsia="宋体" w:cs="Times New Roman"/>
                    </w:rPr>
                  </w:pPr>
                </w:p>
              </w:tc>
              <w:tc>
                <w:tcPr>
                  <w:tcW w:w="992" w:type="dxa"/>
                  <w:noWrap w:val="0"/>
                  <w:vAlign w:val="center"/>
                </w:tcPr>
                <w:p>
                  <w:pPr>
                    <w:pStyle w:val="147"/>
                    <w:rPr>
                      <w:rFonts w:hint="eastAsia" w:hAnsi="Times New Roman" w:eastAsia="宋体" w:cs="Times New Roman"/>
                    </w:rPr>
                  </w:pPr>
                  <w:r>
                    <w:rPr>
                      <w:rFonts w:hint="eastAsia" w:hAnsi="Times New Roman" w:eastAsia="宋体" w:cs="Times New Roman"/>
                    </w:rPr>
                    <w:t>柴油</w:t>
                  </w:r>
                </w:p>
              </w:tc>
              <w:tc>
                <w:tcPr>
                  <w:tcW w:w="1275" w:type="dxa"/>
                  <w:noWrap w:val="0"/>
                  <w:vAlign w:val="center"/>
                </w:tcPr>
                <w:p>
                  <w:pPr>
                    <w:pStyle w:val="147"/>
                    <w:rPr>
                      <w:rFonts w:hint="eastAsia" w:hAnsi="Times New Roman" w:eastAsia="宋体" w:cs="Times New Roman"/>
                    </w:rPr>
                  </w:pPr>
                  <w:r>
                    <w:rPr>
                      <w:rFonts w:hint="eastAsia" w:hAnsi="Times New Roman" w:eastAsia="宋体" w:cs="Times New Roman"/>
                    </w:rPr>
                    <w:t>非甲烷总烃</w:t>
                  </w:r>
                </w:p>
              </w:tc>
              <w:tc>
                <w:tcPr>
                  <w:tcW w:w="1701"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0.004</w:t>
                  </w:r>
                  <w:r>
                    <w:rPr>
                      <w:rFonts w:hint="eastAsia" w:hAnsi="Times New Roman" w:eastAsia="宋体" w:cs="Times New Roman"/>
                    </w:rPr>
                    <w:t>t/a</w:t>
                  </w:r>
                </w:p>
              </w:tc>
              <w:tc>
                <w:tcPr>
                  <w:tcW w:w="1985" w:type="dxa"/>
                  <w:noWrap w:val="0"/>
                  <w:vAlign w:val="center"/>
                </w:tcPr>
                <w:p>
                  <w:pPr>
                    <w:pStyle w:val="147"/>
                    <w:rPr>
                      <w:rFonts w:hint="eastAsia" w:hAnsi="Times New Roman" w:eastAsia="宋体" w:cs="Times New Roman"/>
                    </w:rPr>
                  </w:pPr>
                  <w:r>
                    <w:rPr>
                      <w:rFonts w:hint="eastAsia" w:hAnsi="Times New Roman" w:eastAsia="宋体" w:cs="Times New Roman"/>
                    </w:rPr>
                    <w:t>/</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0.004</w:t>
                  </w:r>
                  <w:r>
                    <w:rPr>
                      <w:rFonts w:hint="eastAsia" w:hAnsi="Times New Roman" w:eastAsia="宋体" w:cs="Times New Roman"/>
                    </w:rPr>
                    <w:t>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117" w:type="dxa"/>
                  <w:gridSpan w:val="5"/>
                  <w:noWrap w:val="0"/>
                  <w:vAlign w:val="center"/>
                </w:tcPr>
                <w:p>
                  <w:pPr>
                    <w:pStyle w:val="147"/>
                    <w:rPr>
                      <w:rFonts w:hint="eastAsia" w:hAnsi="Times New Roman" w:eastAsia="宋体" w:cs="Times New Roman"/>
                    </w:rPr>
                  </w:pPr>
                  <w:r>
                    <w:rPr>
                      <w:rFonts w:hint="eastAsia" w:hAnsi="Times New Roman" w:eastAsia="宋体" w:cs="Times New Roman"/>
                    </w:rPr>
                    <w:t>合计</w:t>
                  </w:r>
                </w:p>
              </w:tc>
              <w:tc>
                <w:tcPr>
                  <w:tcW w:w="2239" w:type="dxa"/>
                  <w:noWrap w:val="0"/>
                  <w:vAlign w:val="center"/>
                </w:tcPr>
                <w:p>
                  <w:pPr>
                    <w:pStyle w:val="147"/>
                    <w:rPr>
                      <w:rFonts w:hint="eastAsia" w:hAnsi="Times New Roman" w:eastAsia="宋体" w:cs="Times New Roman"/>
                    </w:rPr>
                  </w:pPr>
                  <w:r>
                    <w:rPr>
                      <w:rFonts w:hint="eastAsia" w:hAnsi="Times New Roman" w:eastAsia="宋体" w:cs="Times New Roman"/>
                      <w:lang w:val="en-US" w:eastAsia="zh-CN"/>
                    </w:rPr>
                    <w:t>0.0757</w:t>
                  </w:r>
                  <w:r>
                    <w:rPr>
                      <w:rFonts w:hint="eastAsia" w:hAnsi="Times New Roman" w:eastAsia="宋体" w:cs="Times New Roman"/>
                    </w:rPr>
                    <w:t>t/a</w:t>
                  </w:r>
                </w:p>
              </w:tc>
            </w:tr>
          </w:tbl>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b w:val="0"/>
                <w:bCs/>
                <w:color w:val="auto"/>
                <w:sz w:val="24"/>
                <w:szCs w:val="24"/>
                <w:highlight w:val="yellow"/>
                <w:u w:val="none"/>
              </w:rPr>
            </w:pPr>
            <w:r>
              <w:rPr>
                <w:b w:val="0"/>
                <w:bCs/>
                <w:color w:val="auto"/>
                <w:kern w:val="0"/>
                <w:sz w:val="24"/>
                <w:szCs w:val="24"/>
                <w:highlight w:val="none"/>
                <w:u w:val="none"/>
              </w:rPr>
              <w:t>由表</w:t>
            </w:r>
            <w:r>
              <w:rPr>
                <w:rFonts w:hint="eastAsia"/>
                <w:b w:val="0"/>
                <w:bCs/>
                <w:color w:val="auto"/>
                <w:kern w:val="0"/>
                <w:sz w:val="24"/>
                <w:szCs w:val="24"/>
                <w:highlight w:val="none"/>
                <w:u w:val="none"/>
              </w:rPr>
              <w:t>2</w:t>
            </w:r>
            <w:r>
              <w:rPr>
                <w:rFonts w:hint="eastAsia"/>
                <w:b w:val="0"/>
                <w:bCs/>
                <w:color w:val="auto"/>
                <w:kern w:val="0"/>
                <w:sz w:val="24"/>
                <w:szCs w:val="24"/>
                <w:highlight w:val="none"/>
                <w:u w:val="none"/>
                <w:lang w:val="en-US" w:eastAsia="zh-CN"/>
              </w:rPr>
              <w:t>8</w:t>
            </w:r>
            <w:r>
              <w:rPr>
                <w:b w:val="0"/>
                <w:bCs/>
                <w:color w:val="auto"/>
                <w:kern w:val="0"/>
                <w:sz w:val="24"/>
                <w:szCs w:val="24"/>
                <w:highlight w:val="none"/>
                <w:u w:val="none"/>
              </w:rPr>
              <w:t>可知，项目运营过程中非甲烷总烃的排放量为</w:t>
            </w:r>
            <w:r>
              <w:rPr>
                <w:rFonts w:hint="eastAsia"/>
                <w:b w:val="0"/>
                <w:bCs/>
                <w:color w:val="auto"/>
                <w:kern w:val="0"/>
                <w:sz w:val="24"/>
                <w:szCs w:val="24"/>
                <w:highlight w:val="none"/>
                <w:u w:val="none"/>
                <w:lang w:val="en-US" w:eastAsia="zh-CN"/>
              </w:rPr>
              <w:t>0.0757</w:t>
            </w:r>
            <w:r>
              <w:rPr>
                <w:b w:val="0"/>
                <w:bCs/>
                <w:color w:val="auto"/>
                <w:kern w:val="0"/>
                <w:sz w:val="24"/>
                <w:szCs w:val="24"/>
                <w:highlight w:val="none"/>
                <w:u w:val="none"/>
              </w:rPr>
              <w:t>t/a，最</w:t>
            </w:r>
            <w:r>
              <w:rPr>
                <w:b w:val="0"/>
                <w:bCs/>
                <w:color w:val="auto"/>
                <w:kern w:val="0"/>
                <w:sz w:val="24"/>
                <w:szCs w:val="24"/>
                <w:u w:val="none"/>
              </w:rPr>
              <w:t>大排放速率为</w:t>
            </w:r>
            <w:r>
              <w:rPr>
                <w:rFonts w:hint="eastAsia"/>
                <w:b w:val="0"/>
                <w:bCs/>
                <w:color w:val="auto"/>
                <w:kern w:val="0"/>
                <w:sz w:val="24"/>
                <w:szCs w:val="24"/>
                <w:u w:val="none"/>
                <w:lang w:val="en-US" w:eastAsia="zh-CN"/>
              </w:rPr>
              <w:t>0.0086</w:t>
            </w:r>
            <w:r>
              <w:rPr>
                <w:rFonts w:hint="eastAsia"/>
                <w:b w:val="0"/>
                <w:bCs/>
                <w:color w:val="auto"/>
                <w:kern w:val="0"/>
                <w:sz w:val="24"/>
                <w:szCs w:val="24"/>
                <w:u w:val="none"/>
              </w:rPr>
              <w:t>k</w:t>
            </w:r>
            <w:r>
              <w:rPr>
                <w:b w:val="0"/>
                <w:bCs/>
                <w:color w:val="auto"/>
                <w:kern w:val="0"/>
                <w:sz w:val="24"/>
                <w:szCs w:val="24"/>
                <w:u w:val="none"/>
              </w:rPr>
              <w:t>g/h，评价将</w:t>
            </w:r>
            <w:r>
              <w:rPr>
                <w:rFonts w:hint="eastAsia"/>
                <w:b w:val="0"/>
                <w:bCs/>
                <w:color w:val="auto"/>
                <w:kern w:val="0"/>
                <w:sz w:val="24"/>
                <w:szCs w:val="24"/>
                <w:u w:val="none"/>
                <w:lang w:val="en-US" w:eastAsia="zh-CN"/>
              </w:rPr>
              <w:t>总厂区</w:t>
            </w:r>
            <w:r>
              <w:rPr>
                <w:b w:val="0"/>
                <w:bCs/>
                <w:color w:val="auto"/>
                <w:kern w:val="0"/>
                <w:sz w:val="24"/>
                <w:szCs w:val="24"/>
                <w:u w:val="none"/>
              </w:rPr>
              <w:t>看成一个面源对废气进行厂界浓度预测。</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hAnsi="黑体"/>
                <w:b/>
                <w:bCs/>
                <w:sz w:val="24"/>
                <w:szCs w:val="24"/>
              </w:rPr>
            </w:pPr>
            <w:r>
              <w:rPr>
                <w:b/>
                <w:bCs/>
                <w:sz w:val="24"/>
                <w:szCs w:val="24"/>
              </w:rPr>
              <w:t>1.</w:t>
            </w:r>
            <w:r>
              <w:rPr>
                <w:rFonts w:hint="eastAsia"/>
                <w:b/>
                <w:bCs/>
                <w:sz w:val="24"/>
                <w:szCs w:val="24"/>
              </w:rPr>
              <w:t>4</w:t>
            </w:r>
            <w:r>
              <w:rPr>
                <w:rFonts w:hint="eastAsia" w:hAnsi="黑体"/>
                <w:b/>
                <w:bCs/>
                <w:sz w:val="24"/>
                <w:szCs w:val="24"/>
              </w:rPr>
              <w:t>来往加油车辆汽车尾气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bCs/>
                <w:sz w:val="24"/>
                <w:szCs w:val="24"/>
              </w:rPr>
            </w:pPr>
            <w:r>
              <w:rPr>
                <w:rFonts w:hint="eastAsia"/>
                <w:bCs/>
                <w:sz w:val="24"/>
                <w:szCs w:val="24"/>
              </w:rPr>
              <w:t>加油车辆进出加油站会排放汽车尾气，主要污染物为</w:t>
            </w:r>
            <w:r>
              <w:rPr>
                <w:bCs/>
                <w:sz w:val="24"/>
                <w:szCs w:val="24"/>
              </w:rPr>
              <w:t>CO</w:t>
            </w:r>
            <w:r>
              <w:rPr>
                <w:rFonts w:hint="eastAsia"/>
                <w:bCs/>
                <w:sz w:val="24"/>
                <w:szCs w:val="24"/>
              </w:rPr>
              <w:t>、</w:t>
            </w:r>
            <w:r>
              <w:rPr>
                <w:bCs/>
                <w:sz w:val="24"/>
                <w:szCs w:val="24"/>
              </w:rPr>
              <w:t>NO</w:t>
            </w:r>
            <w:r>
              <w:rPr>
                <w:rFonts w:hint="eastAsia"/>
                <w:bCs/>
                <w:sz w:val="24"/>
                <w:szCs w:val="24"/>
                <w:vertAlign w:val="subscript"/>
              </w:rPr>
              <w:t>x</w:t>
            </w:r>
            <w:r>
              <w:rPr>
                <w:bCs/>
                <w:sz w:val="24"/>
                <w:szCs w:val="24"/>
              </w:rPr>
              <w:t xml:space="preserve"> </w:t>
            </w:r>
            <w:r>
              <w:rPr>
                <w:rFonts w:hint="eastAsia"/>
                <w:bCs/>
                <w:sz w:val="24"/>
                <w:szCs w:val="24"/>
              </w:rPr>
              <w:t>和</w:t>
            </w:r>
            <w:r>
              <w:rPr>
                <w:bCs/>
                <w:sz w:val="24"/>
                <w:szCs w:val="24"/>
              </w:rPr>
              <w:t>THC</w:t>
            </w:r>
            <w:r>
              <w:rPr>
                <w:rFonts w:hint="eastAsia"/>
                <w:bCs/>
                <w:sz w:val="24"/>
                <w:szCs w:val="24"/>
              </w:rPr>
              <w:t>、</w:t>
            </w:r>
            <w:r>
              <w:rPr>
                <w:bCs/>
                <w:sz w:val="24"/>
                <w:szCs w:val="24"/>
              </w:rPr>
              <w:t>SO</w:t>
            </w:r>
            <w:r>
              <w:rPr>
                <w:bCs/>
                <w:sz w:val="24"/>
                <w:szCs w:val="24"/>
                <w:vertAlign w:val="subscript"/>
              </w:rPr>
              <w:t>2</w:t>
            </w:r>
            <w:r>
              <w:rPr>
                <w:rFonts w:hint="eastAsia"/>
                <w:bCs/>
                <w:sz w:val="24"/>
                <w:szCs w:val="24"/>
              </w:rPr>
              <w:t>。</w:t>
            </w:r>
            <w:r>
              <w:rPr>
                <w:rFonts w:hint="eastAsia"/>
                <w:sz w:val="24"/>
                <w:szCs w:val="24"/>
              </w:rPr>
              <w:t>加油的车辆大部分处于怠速和停止状态，耗油量较少，所以尾气量少，浓度较低，属于间歇性排放</w:t>
            </w:r>
            <w:r>
              <w:rPr>
                <w:rFonts w:hint="eastAsia"/>
                <w:bCs/>
                <w:sz w:val="24"/>
                <w:szCs w:val="24"/>
              </w:rPr>
              <w:t>，主要通过大气扩散排放。项目所在地地势开阔，通风条件较好，汽车尾气很容易扩散，所以对周围影响较小。</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hAnsi="黑体"/>
                <w:b/>
                <w:bCs/>
                <w:sz w:val="24"/>
                <w:szCs w:val="24"/>
              </w:rPr>
            </w:pPr>
            <w:r>
              <w:rPr>
                <w:b/>
                <w:bCs/>
                <w:sz w:val="24"/>
                <w:szCs w:val="24"/>
              </w:rPr>
              <w:t>1.</w:t>
            </w:r>
            <w:r>
              <w:rPr>
                <w:rFonts w:hint="eastAsia"/>
                <w:b/>
                <w:bCs/>
                <w:sz w:val="24"/>
                <w:szCs w:val="24"/>
              </w:rPr>
              <w:t>5大气环境影响预测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sz w:val="24"/>
                <w:szCs w:val="24"/>
              </w:rPr>
            </w:pPr>
            <w:r>
              <w:rPr>
                <w:rFonts w:hint="eastAsia"/>
                <w:sz w:val="24"/>
                <w:szCs w:val="24"/>
              </w:rPr>
              <w:t>1.5.1评价因子和评价标准的筛选</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sz w:val="24"/>
              </w:rPr>
            </w:pPr>
            <w:r>
              <w:rPr>
                <w:rFonts w:hint="eastAsia"/>
                <w:sz w:val="24"/>
                <w:szCs w:val="24"/>
              </w:rPr>
              <w:t>本次评价使用《环境影响评价技术导则-大气环境》（HJ2.2-2018）中</w:t>
            </w:r>
            <w:r>
              <w:rPr>
                <w:rFonts w:hint="eastAsia"/>
                <w:sz w:val="24"/>
              </w:rPr>
              <w:t>推荐模式AERSCREEN模型对其进行预测。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sz w:val="24"/>
                <w:szCs w:val="24"/>
              </w:rPr>
            </w:pPr>
            <w:r>
              <w:rPr>
                <w:rFonts w:hint="eastAsia"/>
                <w:sz w:val="24"/>
                <w:szCs w:val="24"/>
              </w:rPr>
              <w:t>项目评价因子和评价标准见下表。</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b/>
                <w:sz w:val="24"/>
              </w:rPr>
            </w:pPr>
            <w:r>
              <w:rPr>
                <w:b/>
                <w:sz w:val="24"/>
              </w:rPr>
              <w:t>表</w:t>
            </w:r>
            <w:r>
              <w:rPr>
                <w:rFonts w:hint="eastAsia"/>
                <w:b/>
                <w:sz w:val="24"/>
                <w:lang w:val="en-US" w:eastAsia="zh-CN"/>
              </w:rPr>
              <w:t>29</w:t>
            </w:r>
            <w:r>
              <w:rPr>
                <w:b/>
                <w:sz w:val="24"/>
              </w:rPr>
              <w:t xml:space="preserve"> </w:t>
            </w:r>
            <w:r>
              <w:rPr>
                <w:rFonts w:hint="eastAsia"/>
                <w:b/>
                <w:sz w:val="24"/>
              </w:rPr>
              <w:t xml:space="preserve">           </w:t>
            </w:r>
            <w:r>
              <w:rPr>
                <w:b/>
                <w:sz w:val="24"/>
              </w:rPr>
              <w:t xml:space="preserve"> </w:t>
            </w:r>
            <w:r>
              <w:rPr>
                <w:rFonts w:hint="eastAsia"/>
                <w:b/>
                <w:sz w:val="24"/>
              </w:rPr>
              <w:t>评价因子和评价标准表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866"/>
              <w:gridCol w:w="1304"/>
              <w:gridCol w:w="1822"/>
              <w:gridCol w:w="36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6" w:hRule="atLeast"/>
                <w:jc w:val="center"/>
              </w:trPr>
              <w:tc>
                <w:tcPr>
                  <w:tcW w:w="2032" w:type="dxa"/>
                  <w:noWrap w:val="0"/>
                  <w:vAlign w:val="center"/>
                </w:tcPr>
                <w:p>
                  <w:pPr>
                    <w:jc w:val="center"/>
                    <w:rPr>
                      <w:b/>
                      <w:bCs/>
                      <w:szCs w:val="21"/>
                    </w:rPr>
                  </w:pPr>
                  <w:r>
                    <w:rPr>
                      <w:rFonts w:hint="eastAsia"/>
                      <w:b/>
                      <w:bCs/>
                      <w:szCs w:val="21"/>
                    </w:rPr>
                    <w:t>评价因子</w:t>
                  </w:r>
                </w:p>
              </w:tc>
              <w:tc>
                <w:tcPr>
                  <w:tcW w:w="1418" w:type="dxa"/>
                  <w:noWrap w:val="0"/>
                  <w:vAlign w:val="center"/>
                </w:tcPr>
                <w:p>
                  <w:pPr>
                    <w:jc w:val="center"/>
                    <w:rPr>
                      <w:b/>
                      <w:bCs/>
                      <w:szCs w:val="21"/>
                    </w:rPr>
                  </w:pPr>
                  <w:r>
                    <w:rPr>
                      <w:rFonts w:hint="eastAsia"/>
                      <w:b/>
                      <w:bCs/>
                      <w:szCs w:val="21"/>
                    </w:rPr>
                    <w:t>平均时段</w:t>
                  </w:r>
                </w:p>
              </w:tc>
              <w:tc>
                <w:tcPr>
                  <w:tcW w:w="1984" w:type="dxa"/>
                  <w:noWrap w:val="0"/>
                  <w:vAlign w:val="center"/>
                </w:tcPr>
                <w:p>
                  <w:pPr>
                    <w:jc w:val="center"/>
                    <w:rPr>
                      <w:b/>
                      <w:bCs/>
                      <w:szCs w:val="21"/>
                    </w:rPr>
                  </w:pPr>
                  <w:r>
                    <w:rPr>
                      <w:rFonts w:hint="eastAsia"/>
                      <w:b/>
                      <w:bCs/>
                      <w:szCs w:val="21"/>
                    </w:rPr>
                    <w:t>标准值/（</w:t>
                  </w:r>
                  <w:r>
                    <w:rPr>
                      <w:b/>
                      <w:bCs/>
                      <w:szCs w:val="21"/>
                    </w:rPr>
                    <w:t>μ</w:t>
                  </w:r>
                  <w:r>
                    <w:rPr>
                      <w:rFonts w:hint="eastAsia"/>
                      <w:b/>
                      <w:bCs/>
                      <w:szCs w:val="21"/>
                    </w:rPr>
                    <w:t>g/m</w:t>
                  </w:r>
                  <w:r>
                    <w:rPr>
                      <w:rFonts w:hint="eastAsia"/>
                      <w:b/>
                      <w:bCs/>
                      <w:szCs w:val="21"/>
                      <w:vertAlign w:val="superscript"/>
                    </w:rPr>
                    <w:t>3</w:t>
                  </w:r>
                  <w:r>
                    <w:rPr>
                      <w:rFonts w:hint="eastAsia"/>
                      <w:b/>
                      <w:bCs/>
                      <w:szCs w:val="21"/>
                    </w:rPr>
                    <w:t>）</w:t>
                  </w:r>
                </w:p>
              </w:tc>
              <w:tc>
                <w:tcPr>
                  <w:tcW w:w="3959" w:type="dxa"/>
                  <w:noWrap w:val="0"/>
                  <w:vAlign w:val="center"/>
                </w:tcPr>
                <w:p>
                  <w:pPr>
                    <w:jc w:val="center"/>
                    <w:rPr>
                      <w:rFonts w:hint="eastAsia"/>
                      <w:b/>
                      <w:bCs/>
                      <w:szCs w:val="21"/>
                    </w:rPr>
                  </w:pPr>
                  <w:r>
                    <w:rPr>
                      <w:rFonts w:hint="eastAsia"/>
                      <w:b/>
                      <w:bCs/>
                      <w:szCs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8" w:hRule="atLeast"/>
                <w:jc w:val="center"/>
              </w:trPr>
              <w:tc>
                <w:tcPr>
                  <w:tcW w:w="2032" w:type="dxa"/>
                  <w:noWrap w:val="0"/>
                  <w:vAlign w:val="center"/>
                </w:tcPr>
                <w:p>
                  <w:pPr>
                    <w:jc w:val="center"/>
                    <w:rPr>
                      <w:rFonts w:hint="eastAsia"/>
                      <w:szCs w:val="21"/>
                    </w:rPr>
                  </w:pPr>
                  <w:r>
                    <w:rPr>
                      <w:rFonts w:hint="eastAsia"/>
                      <w:szCs w:val="21"/>
                    </w:rPr>
                    <w:t>非甲烷总烃</w:t>
                  </w:r>
                </w:p>
              </w:tc>
              <w:tc>
                <w:tcPr>
                  <w:tcW w:w="1418" w:type="dxa"/>
                  <w:noWrap w:val="0"/>
                  <w:vAlign w:val="center"/>
                </w:tcPr>
                <w:p>
                  <w:pPr>
                    <w:jc w:val="center"/>
                    <w:rPr>
                      <w:rFonts w:hint="eastAsia"/>
                      <w:szCs w:val="21"/>
                    </w:rPr>
                  </w:pPr>
                  <w:r>
                    <w:rPr>
                      <w:rFonts w:hint="eastAsia"/>
                      <w:szCs w:val="21"/>
                    </w:rPr>
                    <w:t>1小时平均</w:t>
                  </w:r>
                </w:p>
              </w:tc>
              <w:tc>
                <w:tcPr>
                  <w:tcW w:w="1984" w:type="dxa"/>
                  <w:noWrap w:val="0"/>
                  <w:vAlign w:val="center"/>
                </w:tcPr>
                <w:p>
                  <w:pPr>
                    <w:jc w:val="center"/>
                    <w:rPr>
                      <w:rFonts w:hint="eastAsia"/>
                      <w:szCs w:val="21"/>
                    </w:rPr>
                  </w:pPr>
                  <w:r>
                    <w:rPr>
                      <w:rFonts w:hint="eastAsia"/>
                      <w:szCs w:val="21"/>
                    </w:rPr>
                    <w:t>2000</w:t>
                  </w:r>
                </w:p>
              </w:tc>
              <w:tc>
                <w:tcPr>
                  <w:tcW w:w="3959" w:type="dxa"/>
                  <w:noWrap w:val="0"/>
                  <w:vAlign w:val="center"/>
                </w:tcPr>
                <w:p>
                  <w:pPr>
                    <w:jc w:val="center"/>
                    <w:rPr>
                      <w:rFonts w:hint="eastAsia" w:eastAsia="宋体"/>
                      <w:szCs w:val="21"/>
                      <w:lang w:eastAsia="zh-CN"/>
                    </w:rPr>
                  </w:pPr>
                  <w:r>
                    <w:rPr>
                      <w:rFonts w:hint="eastAsia"/>
                      <w:szCs w:val="21"/>
                      <w:lang w:eastAsia="zh-CN"/>
                    </w:rPr>
                    <w:t>《大气综合污染物排放标准详解》第四章标准值说明-三十一非甲烷总烃</w:t>
                  </w:r>
                </w:p>
              </w:tc>
            </w:tr>
          </w:tbl>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eastAsia"/>
                <w:sz w:val="24"/>
                <w:szCs w:val="24"/>
              </w:rPr>
            </w:pPr>
            <w:r>
              <w:rPr>
                <w:rFonts w:hint="eastAsia"/>
                <w:sz w:val="24"/>
                <w:szCs w:val="24"/>
              </w:rPr>
              <w:t>项目污染源参数选取见下表。</w:t>
            </w:r>
          </w:p>
          <w:p>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center"/>
              <w:textAlignment w:val="auto"/>
              <w:rPr>
                <w:rFonts w:hint="eastAsia"/>
                <w:b/>
                <w:bCs/>
                <w:kern w:val="0"/>
                <w:sz w:val="24"/>
                <w:szCs w:val="24"/>
              </w:rPr>
            </w:pPr>
            <w:r>
              <w:rPr>
                <w:rFonts w:ascii="宋体" w:hAnsi="宋体"/>
                <w:b/>
                <w:bCs/>
                <w:kern w:val="0"/>
                <w:sz w:val="24"/>
                <w:szCs w:val="24"/>
              </w:rPr>
              <w:t>表</w:t>
            </w:r>
            <w:r>
              <w:rPr>
                <w:rFonts w:hint="eastAsia"/>
                <w:b/>
                <w:bCs/>
                <w:kern w:val="0"/>
                <w:sz w:val="24"/>
                <w:szCs w:val="24"/>
                <w:lang w:val="en-US" w:eastAsia="zh-CN"/>
              </w:rPr>
              <w:t>30</w:t>
            </w:r>
            <w:r>
              <w:rPr>
                <w:b/>
                <w:bCs/>
                <w:kern w:val="0"/>
                <w:sz w:val="24"/>
                <w:szCs w:val="24"/>
              </w:rPr>
              <w:t xml:space="preserve">  </w:t>
            </w:r>
            <w:r>
              <w:rPr>
                <w:rFonts w:hint="eastAsia"/>
                <w:b/>
                <w:bCs/>
                <w:kern w:val="0"/>
                <w:sz w:val="24"/>
                <w:szCs w:val="24"/>
              </w:rPr>
              <w:t xml:space="preserve"> </w:t>
            </w:r>
            <w:r>
              <w:rPr>
                <w:b/>
                <w:bCs/>
                <w:kern w:val="0"/>
                <w:sz w:val="24"/>
                <w:szCs w:val="24"/>
              </w:rPr>
              <w:t xml:space="preserve">    </w:t>
            </w:r>
            <w:r>
              <w:rPr>
                <w:rFonts w:hint="eastAsia"/>
                <w:b/>
                <w:bCs/>
                <w:kern w:val="0"/>
                <w:sz w:val="24"/>
                <w:szCs w:val="24"/>
              </w:rPr>
              <w:t xml:space="preserve"> </w:t>
            </w:r>
            <w:r>
              <w:rPr>
                <w:b/>
                <w:bCs/>
                <w:kern w:val="0"/>
                <w:sz w:val="24"/>
                <w:szCs w:val="24"/>
              </w:rPr>
              <w:t xml:space="preserve"> </w:t>
            </w:r>
            <w:r>
              <w:rPr>
                <w:rFonts w:hint="eastAsia" w:ascii="宋体" w:hAnsi="宋体"/>
                <w:b/>
                <w:bCs/>
                <w:kern w:val="0"/>
                <w:sz w:val="24"/>
                <w:szCs w:val="24"/>
              </w:rPr>
              <w:t>无</w:t>
            </w:r>
            <w:r>
              <w:rPr>
                <w:rFonts w:ascii="宋体" w:hAnsi="宋体"/>
                <w:b/>
                <w:bCs/>
                <w:kern w:val="0"/>
                <w:sz w:val="24"/>
                <w:szCs w:val="24"/>
              </w:rPr>
              <w:t>组织污染物排放参数选取</w:t>
            </w:r>
          </w:p>
          <w:tbl>
            <w:tblPr>
              <w:tblStyle w:val="21"/>
              <w:tblW w:w="862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85" w:type="dxa"/>
                <w:bottom w:w="57" w:type="dxa"/>
                <w:right w:w="85" w:type="dxa"/>
              </w:tblCellMar>
            </w:tblPr>
            <w:tblGrid>
              <w:gridCol w:w="983"/>
              <w:gridCol w:w="1182"/>
              <w:gridCol w:w="948"/>
              <w:gridCol w:w="1416"/>
              <w:gridCol w:w="1389"/>
              <w:gridCol w:w="990"/>
              <w:gridCol w:w="17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91" w:hRule="atLeast"/>
                <w:jc w:val="center"/>
              </w:trPr>
              <w:tc>
                <w:tcPr>
                  <w:tcW w:w="983" w:type="dxa"/>
                  <w:noWrap w:val="0"/>
                  <w:vAlign w:val="center"/>
                </w:tcPr>
                <w:p>
                  <w:pPr>
                    <w:jc w:val="center"/>
                    <w:rPr>
                      <w:b/>
                      <w:bCs/>
                      <w:color w:val="000000"/>
                      <w:sz w:val="21"/>
                      <w:szCs w:val="21"/>
                    </w:rPr>
                  </w:pPr>
                  <w:r>
                    <w:rPr>
                      <w:b/>
                      <w:bCs/>
                      <w:color w:val="000000"/>
                      <w:sz w:val="21"/>
                      <w:szCs w:val="21"/>
                    </w:rPr>
                    <w:t>无组织源</w:t>
                  </w:r>
                </w:p>
              </w:tc>
              <w:tc>
                <w:tcPr>
                  <w:tcW w:w="1182" w:type="dxa"/>
                  <w:noWrap w:val="0"/>
                  <w:vAlign w:val="center"/>
                </w:tcPr>
                <w:p>
                  <w:pPr>
                    <w:jc w:val="center"/>
                    <w:rPr>
                      <w:b/>
                      <w:bCs/>
                      <w:color w:val="000000"/>
                      <w:sz w:val="21"/>
                      <w:szCs w:val="21"/>
                    </w:rPr>
                  </w:pPr>
                  <w:r>
                    <w:rPr>
                      <w:b/>
                      <w:bCs/>
                      <w:color w:val="000000"/>
                      <w:sz w:val="21"/>
                      <w:szCs w:val="21"/>
                    </w:rPr>
                    <w:t>面源长度</w:t>
                  </w:r>
                </w:p>
              </w:tc>
              <w:tc>
                <w:tcPr>
                  <w:tcW w:w="948" w:type="dxa"/>
                  <w:noWrap w:val="0"/>
                  <w:vAlign w:val="center"/>
                </w:tcPr>
                <w:p>
                  <w:pPr>
                    <w:jc w:val="center"/>
                    <w:rPr>
                      <w:b/>
                      <w:bCs/>
                      <w:color w:val="000000"/>
                      <w:sz w:val="21"/>
                      <w:szCs w:val="21"/>
                    </w:rPr>
                  </w:pPr>
                  <w:r>
                    <w:rPr>
                      <w:b/>
                      <w:bCs/>
                      <w:color w:val="000000"/>
                      <w:sz w:val="21"/>
                      <w:szCs w:val="21"/>
                    </w:rPr>
                    <w:t>面源宽度</w:t>
                  </w:r>
                </w:p>
              </w:tc>
              <w:tc>
                <w:tcPr>
                  <w:tcW w:w="1416" w:type="dxa"/>
                  <w:noWrap w:val="0"/>
                  <w:tcMar>
                    <w:left w:w="28" w:type="dxa"/>
                    <w:right w:w="28" w:type="dxa"/>
                  </w:tcMar>
                  <w:vAlign w:val="center"/>
                </w:tcPr>
                <w:p>
                  <w:pPr>
                    <w:jc w:val="center"/>
                    <w:rPr>
                      <w:b/>
                      <w:bCs/>
                      <w:color w:val="000000"/>
                      <w:sz w:val="21"/>
                      <w:szCs w:val="21"/>
                    </w:rPr>
                  </w:pPr>
                  <w:r>
                    <w:rPr>
                      <w:b/>
                      <w:bCs/>
                      <w:color w:val="000000"/>
                      <w:sz w:val="21"/>
                      <w:szCs w:val="21"/>
                    </w:rPr>
                    <w:t>面源排放高度</w:t>
                  </w:r>
                </w:p>
              </w:tc>
              <w:tc>
                <w:tcPr>
                  <w:tcW w:w="1389" w:type="dxa"/>
                  <w:noWrap w:val="0"/>
                  <w:tcMar>
                    <w:left w:w="28" w:type="dxa"/>
                    <w:right w:w="28" w:type="dxa"/>
                  </w:tcMar>
                  <w:vAlign w:val="center"/>
                </w:tcPr>
                <w:p>
                  <w:pPr>
                    <w:jc w:val="center"/>
                    <w:rPr>
                      <w:b/>
                      <w:bCs/>
                      <w:color w:val="000000"/>
                      <w:sz w:val="21"/>
                      <w:szCs w:val="21"/>
                    </w:rPr>
                  </w:pPr>
                  <w:r>
                    <w:rPr>
                      <w:b/>
                      <w:bCs/>
                      <w:color w:val="000000"/>
                      <w:sz w:val="21"/>
                      <w:szCs w:val="21"/>
                    </w:rPr>
                    <w:t>年排放小时数</w:t>
                  </w:r>
                </w:p>
              </w:tc>
              <w:tc>
                <w:tcPr>
                  <w:tcW w:w="990" w:type="dxa"/>
                  <w:noWrap w:val="0"/>
                  <w:vAlign w:val="center"/>
                </w:tcPr>
                <w:p>
                  <w:pPr>
                    <w:jc w:val="center"/>
                    <w:rPr>
                      <w:b/>
                      <w:bCs/>
                      <w:color w:val="000000"/>
                      <w:sz w:val="21"/>
                      <w:szCs w:val="21"/>
                    </w:rPr>
                  </w:pPr>
                  <w:r>
                    <w:rPr>
                      <w:b/>
                      <w:bCs/>
                      <w:color w:val="000000"/>
                      <w:sz w:val="21"/>
                      <w:szCs w:val="21"/>
                    </w:rPr>
                    <w:t>排放工况</w:t>
                  </w:r>
                </w:p>
              </w:tc>
              <w:tc>
                <w:tcPr>
                  <w:tcW w:w="1715" w:type="dxa"/>
                  <w:noWrap w:val="0"/>
                  <w:tcMar>
                    <w:left w:w="28" w:type="dxa"/>
                    <w:right w:w="0" w:type="dxa"/>
                  </w:tcMar>
                  <w:vAlign w:val="center"/>
                </w:tcPr>
                <w:p>
                  <w:pPr>
                    <w:jc w:val="center"/>
                    <w:rPr>
                      <w:b/>
                      <w:bCs/>
                      <w:color w:val="000000"/>
                      <w:sz w:val="21"/>
                      <w:szCs w:val="21"/>
                    </w:rPr>
                  </w:pPr>
                  <w:r>
                    <w:rPr>
                      <w:b/>
                      <w:bCs/>
                      <w:color w:val="000000"/>
                      <w:sz w:val="21"/>
                      <w:szCs w:val="21"/>
                    </w:rPr>
                    <w:t>源强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91" w:hRule="atLeast"/>
                <w:jc w:val="center"/>
              </w:trPr>
              <w:tc>
                <w:tcPr>
                  <w:tcW w:w="983" w:type="dxa"/>
                  <w:vMerge w:val="restart"/>
                  <w:noWrap w:val="0"/>
                  <w:vAlign w:val="center"/>
                </w:tcPr>
                <w:p>
                  <w:pPr>
                    <w:autoSpaceDE w:val="0"/>
                    <w:autoSpaceDN w:val="0"/>
                    <w:adjustRightInd w:val="0"/>
                    <w:jc w:val="center"/>
                    <w:rPr>
                      <w:color w:val="000000"/>
                      <w:sz w:val="21"/>
                      <w:szCs w:val="21"/>
                    </w:rPr>
                  </w:pPr>
                  <w:r>
                    <w:rPr>
                      <w:rFonts w:hint="eastAsia"/>
                      <w:bCs/>
                      <w:color w:val="000000"/>
                      <w:kern w:val="0"/>
                      <w:sz w:val="21"/>
                      <w:szCs w:val="21"/>
                      <w:lang w:val="en-US" w:eastAsia="zh-CN"/>
                    </w:rPr>
                    <w:t>总厂区</w:t>
                  </w:r>
                </w:p>
              </w:tc>
              <w:tc>
                <w:tcPr>
                  <w:tcW w:w="1182" w:type="dxa"/>
                  <w:vMerge w:val="restart"/>
                  <w:noWrap w:val="0"/>
                  <w:vAlign w:val="center"/>
                </w:tcPr>
                <w:p>
                  <w:pPr>
                    <w:jc w:val="center"/>
                    <w:rPr>
                      <w:color w:val="000000"/>
                      <w:sz w:val="21"/>
                      <w:szCs w:val="21"/>
                    </w:rPr>
                  </w:pPr>
                  <w:r>
                    <w:rPr>
                      <w:rFonts w:hint="eastAsia"/>
                      <w:color w:val="000000"/>
                      <w:sz w:val="21"/>
                      <w:szCs w:val="21"/>
                      <w:lang w:val="en-US" w:eastAsia="zh-CN"/>
                    </w:rPr>
                    <w:t>41</w:t>
                  </w:r>
                  <w:r>
                    <w:rPr>
                      <w:color w:val="000000"/>
                      <w:sz w:val="21"/>
                      <w:szCs w:val="21"/>
                    </w:rPr>
                    <w:t>m</w:t>
                  </w:r>
                </w:p>
              </w:tc>
              <w:tc>
                <w:tcPr>
                  <w:tcW w:w="948" w:type="dxa"/>
                  <w:vMerge w:val="restart"/>
                  <w:noWrap w:val="0"/>
                  <w:vAlign w:val="center"/>
                </w:tcPr>
                <w:p>
                  <w:pPr>
                    <w:jc w:val="center"/>
                    <w:rPr>
                      <w:color w:val="000000"/>
                      <w:sz w:val="21"/>
                      <w:szCs w:val="21"/>
                    </w:rPr>
                  </w:pPr>
                  <w:r>
                    <w:rPr>
                      <w:rFonts w:hint="eastAsia"/>
                      <w:color w:val="000000"/>
                      <w:sz w:val="21"/>
                      <w:szCs w:val="21"/>
                      <w:lang w:val="en-US" w:eastAsia="zh-CN"/>
                    </w:rPr>
                    <w:t>36</w:t>
                  </w:r>
                  <w:r>
                    <w:rPr>
                      <w:color w:val="000000"/>
                      <w:sz w:val="21"/>
                      <w:szCs w:val="21"/>
                    </w:rPr>
                    <w:t>m</w:t>
                  </w:r>
                </w:p>
              </w:tc>
              <w:tc>
                <w:tcPr>
                  <w:tcW w:w="1416" w:type="dxa"/>
                  <w:vMerge w:val="restart"/>
                  <w:noWrap w:val="0"/>
                  <w:vAlign w:val="center"/>
                </w:tcPr>
                <w:p>
                  <w:pPr>
                    <w:jc w:val="center"/>
                    <w:rPr>
                      <w:color w:val="000000"/>
                      <w:sz w:val="21"/>
                      <w:szCs w:val="21"/>
                    </w:rPr>
                  </w:pPr>
                  <w:r>
                    <w:rPr>
                      <w:rFonts w:hint="eastAsia"/>
                      <w:color w:val="000000"/>
                      <w:sz w:val="21"/>
                      <w:szCs w:val="21"/>
                      <w:lang w:val="en-US" w:eastAsia="zh-CN"/>
                    </w:rPr>
                    <w:t>6</w:t>
                  </w:r>
                  <w:r>
                    <w:rPr>
                      <w:color w:val="000000"/>
                      <w:sz w:val="21"/>
                      <w:szCs w:val="21"/>
                    </w:rPr>
                    <w:t>m</w:t>
                  </w:r>
                </w:p>
              </w:tc>
              <w:tc>
                <w:tcPr>
                  <w:tcW w:w="1389" w:type="dxa"/>
                  <w:vMerge w:val="restart"/>
                  <w:noWrap w:val="0"/>
                  <w:vAlign w:val="center"/>
                </w:tcPr>
                <w:p>
                  <w:pPr>
                    <w:jc w:val="center"/>
                    <w:rPr>
                      <w:color w:val="000000"/>
                      <w:sz w:val="21"/>
                      <w:szCs w:val="21"/>
                    </w:rPr>
                  </w:pPr>
                  <w:r>
                    <w:rPr>
                      <w:rFonts w:hint="eastAsia"/>
                      <w:color w:val="000000"/>
                      <w:sz w:val="21"/>
                      <w:szCs w:val="21"/>
                    </w:rPr>
                    <w:t>8760</w:t>
                  </w:r>
                  <w:r>
                    <w:rPr>
                      <w:color w:val="000000"/>
                      <w:sz w:val="21"/>
                      <w:szCs w:val="21"/>
                    </w:rPr>
                    <w:t>h</w:t>
                  </w:r>
                </w:p>
              </w:tc>
              <w:tc>
                <w:tcPr>
                  <w:tcW w:w="990" w:type="dxa"/>
                  <w:vMerge w:val="restart"/>
                  <w:noWrap w:val="0"/>
                  <w:vAlign w:val="center"/>
                </w:tcPr>
                <w:p>
                  <w:pPr>
                    <w:jc w:val="center"/>
                    <w:rPr>
                      <w:b w:val="0"/>
                      <w:bCs w:val="0"/>
                      <w:color w:val="000000"/>
                      <w:sz w:val="21"/>
                      <w:szCs w:val="21"/>
                    </w:rPr>
                  </w:pPr>
                  <w:r>
                    <w:rPr>
                      <w:b w:val="0"/>
                      <w:bCs w:val="0"/>
                      <w:color w:val="000000"/>
                      <w:sz w:val="21"/>
                      <w:szCs w:val="21"/>
                    </w:rPr>
                    <w:t>正常</w:t>
                  </w:r>
                </w:p>
              </w:tc>
              <w:tc>
                <w:tcPr>
                  <w:tcW w:w="1715" w:type="dxa"/>
                  <w:noWrap w:val="0"/>
                  <w:tcMar>
                    <w:left w:w="28" w:type="dxa"/>
                    <w:right w:w="0" w:type="dxa"/>
                  </w:tcMar>
                  <w:vAlign w:val="center"/>
                </w:tcPr>
                <w:p>
                  <w:pPr>
                    <w:jc w:val="center"/>
                    <w:rPr>
                      <w:b w:val="0"/>
                      <w:bCs w:val="0"/>
                      <w:color w:val="000000"/>
                      <w:sz w:val="21"/>
                      <w:szCs w:val="21"/>
                    </w:rPr>
                  </w:pPr>
                  <w:r>
                    <w:rPr>
                      <w:rFonts w:hint="eastAsia"/>
                      <w:b w:val="0"/>
                      <w:bCs w:val="0"/>
                      <w:color w:val="000000"/>
                      <w:spacing w:val="-2"/>
                      <w:sz w:val="21"/>
                      <w:szCs w:val="21"/>
                    </w:rPr>
                    <w:t>非甲烷总烃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85" w:type="dxa"/>
                  <w:bottom w:w="57" w:type="dxa"/>
                  <w:right w:w="85" w:type="dxa"/>
                </w:tblCellMar>
              </w:tblPrEx>
              <w:trPr>
                <w:trHeight w:val="91" w:hRule="atLeast"/>
                <w:jc w:val="center"/>
              </w:trPr>
              <w:tc>
                <w:tcPr>
                  <w:tcW w:w="983" w:type="dxa"/>
                  <w:vMerge w:val="continue"/>
                  <w:noWrap w:val="0"/>
                  <w:vAlign w:val="center"/>
                </w:tcPr>
                <w:p>
                  <w:pPr>
                    <w:jc w:val="center"/>
                    <w:rPr>
                      <w:color w:val="000000"/>
                      <w:sz w:val="21"/>
                      <w:szCs w:val="21"/>
                    </w:rPr>
                  </w:pPr>
                </w:p>
              </w:tc>
              <w:tc>
                <w:tcPr>
                  <w:tcW w:w="1182" w:type="dxa"/>
                  <w:vMerge w:val="continue"/>
                  <w:noWrap w:val="0"/>
                  <w:vAlign w:val="center"/>
                </w:tcPr>
                <w:p>
                  <w:pPr>
                    <w:jc w:val="center"/>
                    <w:rPr>
                      <w:color w:val="000000"/>
                      <w:sz w:val="21"/>
                      <w:szCs w:val="21"/>
                    </w:rPr>
                  </w:pPr>
                </w:p>
              </w:tc>
              <w:tc>
                <w:tcPr>
                  <w:tcW w:w="948" w:type="dxa"/>
                  <w:vMerge w:val="continue"/>
                  <w:noWrap w:val="0"/>
                  <w:vAlign w:val="center"/>
                </w:tcPr>
                <w:p>
                  <w:pPr>
                    <w:jc w:val="center"/>
                    <w:rPr>
                      <w:color w:val="000000"/>
                      <w:sz w:val="21"/>
                      <w:szCs w:val="21"/>
                    </w:rPr>
                  </w:pPr>
                </w:p>
              </w:tc>
              <w:tc>
                <w:tcPr>
                  <w:tcW w:w="1416" w:type="dxa"/>
                  <w:vMerge w:val="continue"/>
                  <w:noWrap w:val="0"/>
                  <w:vAlign w:val="center"/>
                </w:tcPr>
                <w:p>
                  <w:pPr>
                    <w:jc w:val="center"/>
                    <w:rPr>
                      <w:color w:val="000000"/>
                      <w:sz w:val="21"/>
                      <w:szCs w:val="21"/>
                    </w:rPr>
                  </w:pPr>
                </w:p>
              </w:tc>
              <w:tc>
                <w:tcPr>
                  <w:tcW w:w="1389" w:type="dxa"/>
                  <w:vMerge w:val="continue"/>
                  <w:noWrap w:val="0"/>
                  <w:vAlign w:val="center"/>
                </w:tcPr>
                <w:p>
                  <w:pPr>
                    <w:jc w:val="center"/>
                    <w:rPr>
                      <w:color w:val="000000"/>
                      <w:sz w:val="21"/>
                      <w:szCs w:val="21"/>
                    </w:rPr>
                  </w:pPr>
                </w:p>
              </w:tc>
              <w:tc>
                <w:tcPr>
                  <w:tcW w:w="990" w:type="dxa"/>
                  <w:vMerge w:val="continue"/>
                  <w:noWrap w:val="0"/>
                  <w:vAlign w:val="center"/>
                </w:tcPr>
                <w:p>
                  <w:pPr>
                    <w:jc w:val="center"/>
                    <w:rPr>
                      <w:b w:val="0"/>
                      <w:bCs w:val="0"/>
                      <w:color w:val="000000"/>
                      <w:sz w:val="21"/>
                      <w:szCs w:val="21"/>
                    </w:rPr>
                  </w:pPr>
                </w:p>
              </w:tc>
              <w:tc>
                <w:tcPr>
                  <w:tcW w:w="1715" w:type="dxa"/>
                  <w:noWrap w:val="0"/>
                  <w:tcMar>
                    <w:left w:w="28" w:type="dxa"/>
                    <w:right w:w="0" w:type="dxa"/>
                  </w:tcMar>
                  <w:vAlign w:val="center"/>
                </w:tcPr>
                <w:p>
                  <w:pPr>
                    <w:jc w:val="center"/>
                    <w:rPr>
                      <w:b w:val="0"/>
                      <w:bCs w:val="0"/>
                      <w:color w:val="000000"/>
                      <w:sz w:val="21"/>
                      <w:szCs w:val="21"/>
                    </w:rPr>
                  </w:pPr>
                  <w:r>
                    <w:rPr>
                      <w:rFonts w:hint="eastAsia"/>
                      <w:b w:val="0"/>
                      <w:bCs w:val="0"/>
                      <w:color w:val="000000"/>
                      <w:spacing w:val="-2"/>
                      <w:sz w:val="21"/>
                      <w:szCs w:val="21"/>
                      <w:lang w:val="en-US" w:eastAsia="zh-CN"/>
                    </w:rPr>
                    <w:t>0.0086</w:t>
                  </w:r>
                  <w:r>
                    <w:rPr>
                      <w:rFonts w:hint="eastAsia"/>
                      <w:b w:val="0"/>
                      <w:bCs w:val="0"/>
                      <w:color w:val="000000"/>
                      <w:spacing w:val="-2"/>
                      <w:sz w:val="21"/>
                      <w:szCs w:val="21"/>
                    </w:rPr>
                    <w:t>k</w:t>
                  </w:r>
                  <w:r>
                    <w:rPr>
                      <w:b w:val="0"/>
                      <w:bCs w:val="0"/>
                      <w:color w:val="000000"/>
                      <w:sz w:val="21"/>
                      <w:szCs w:val="21"/>
                    </w:rPr>
                    <w:t>g/h</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b/>
                <w:sz w:val="24"/>
              </w:rPr>
            </w:pPr>
            <w:r>
              <w:rPr>
                <w:rFonts w:hAnsi="宋体"/>
                <w:color w:val="000000"/>
                <w:sz w:val="24"/>
                <w:szCs w:val="24"/>
              </w:rPr>
              <w:t>估算模型参数见下表。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sz w:val="24"/>
              </w:rPr>
            </w:pPr>
            <w:r>
              <w:rPr>
                <w:b/>
                <w:sz w:val="24"/>
              </w:rPr>
              <w:t>表</w:t>
            </w:r>
            <w:r>
              <w:rPr>
                <w:rFonts w:hint="eastAsia"/>
                <w:b/>
                <w:sz w:val="24"/>
                <w:lang w:val="en-US" w:eastAsia="zh-CN"/>
              </w:rPr>
              <w:t>31</w:t>
            </w:r>
            <w:r>
              <w:rPr>
                <w:b/>
                <w:sz w:val="24"/>
              </w:rPr>
              <w:t xml:space="preserve">  </w:t>
            </w:r>
            <w:r>
              <w:rPr>
                <w:rFonts w:hint="eastAsia"/>
                <w:b/>
                <w:sz w:val="24"/>
              </w:rPr>
              <w:t xml:space="preserve">        估算模型参数表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263"/>
              <w:gridCol w:w="3494"/>
              <w:gridCol w:w="28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338" w:type="pct"/>
                  <w:gridSpan w:val="2"/>
                  <w:tcBorders>
                    <w:top w:val="single" w:color="auto" w:sz="8"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
                      <w:bCs/>
                      <w:color w:val="000000"/>
                      <w:kern w:val="0"/>
                      <w:sz w:val="21"/>
                      <w:szCs w:val="21"/>
                    </w:rPr>
                  </w:pPr>
                  <w:r>
                    <w:rPr>
                      <w:rFonts w:hAnsi="宋体"/>
                      <w:b/>
                      <w:bCs/>
                      <w:color w:val="000000"/>
                      <w:kern w:val="0"/>
                      <w:sz w:val="21"/>
                      <w:szCs w:val="21"/>
                    </w:rPr>
                    <w:t>参数</w:t>
                  </w:r>
                </w:p>
              </w:tc>
              <w:tc>
                <w:tcPr>
                  <w:tcW w:w="1662" w:type="pct"/>
                  <w:tcBorders>
                    <w:top w:val="single" w:color="auto" w:sz="8"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
                      <w:bCs/>
                      <w:color w:val="000000"/>
                      <w:kern w:val="0"/>
                      <w:sz w:val="21"/>
                      <w:szCs w:val="21"/>
                    </w:rPr>
                  </w:pPr>
                  <w:r>
                    <w:rPr>
                      <w:rFonts w:hAnsi="宋体"/>
                      <w:b/>
                      <w:bCs/>
                      <w:color w:val="000000"/>
                      <w:kern w:val="0"/>
                      <w:sz w:val="21"/>
                      <w:szCs w:val="21"/>
                    </w:rPr>
                    <w:t>取值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restart"/>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城市</w:t>
                  </w:r>
                  <w:r>
                    <w:rPr>
                      <w:bCs/>
                      <w:color w:val="000000"/>
                      <w:kern w:val="0"/>
                      <w:sz w:val="21"/>
                      <w:szCs w:val="21"/>
                    </w:rPr>
                    <w:t>/</w:t>
                  </w:r>
                  <w:r>
                    <w:rPr>
                      <w:rFonts w:hAnsi="宋体"/>
                      <w:bCs/>
                      <w:color w:val="000000"/>
                      <w:kern w:val="0"/>
                      <w:sz w:val="21"/>
                      <w:szCs w:val="21"/>
                    </w:rPr>
                    <w:t>农村选项</w:t>
                  </w: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城市</w:t>
                  </w:r>
                  <w:r>
                    <w:rPr>
                      <w:bCs/>
                      <w:color w:val="000000"/>
                      <w:kern w:val="0"/>
                      <w:sz w:val="21"/>
                      <w:szCs w:val="21"/>
                    </w:rPr>
                    <w:t>/</w:t>
                  </w:r>
                  <w:r>
                    <w:rPr>
                      <w:rFonts w:hAnsi="宋体"/>
                      <w:bCs/>
                      <w:color w:val="000000"/>
                      <w:kern w:val="0"/>
                      <w:sz w:val="21"/>
                      <w:szCs w:val="21"/>
                    </w:rPr>
                    <w:t>农村</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rFonts w:hAnsi="宋体"/>
                      <w:bCs/>
                      <w:color w:val="000000"/>
                      <w:spacing w:val="-4"/>
                      <w:kern w:val="0"/>
                      <w:sz w:val="21"/>
                      <w:szCs w:val="21"/>
                    </w:rPr>
                    <w:t>农村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continue"/>
                  <w:tcBorders>
                    <w:top w:val="single" w:color="auto" w:sz="4" w:space="0"/>
                    <w:left w:val="nil"/>
                    <w:bottom w:val="single" w:color="auto" w:sz="4" w:space="0"/>
                    <w:right w:val="single" w:color="auto" w:sz="4" w:space="0"/>
                  </w:tcBorders>
                  <w:noWrap w:val="0"/>
                  <w:vAlign w:val="center"/>
                </w:tcPr>
                <w:p>
                  <w:pPr>
                    <w:widowControl/>
                    <w:jc w:val="left"/>
                    <w:rPr>
                      <w:bCs/>
                      <w:color w:val="000000"/>
                      <w:kern w:val="0"/>
                      <w:sz w:val="21"/>
                      <w:szCs w:val="21"/>
                    </w:rPr>
                  </w:pP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人口数（城市选项时）</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bCs/>
                      <w:color w:val="000000"/>
                      <w:kern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338" w:type="pct"/>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最高环境温度</w:t>
                  </w:r>
                  <w:r>
                    <w:rPr>
                      <w:bCs/>
                      <w:color w:val="000000"/>
                      <w:kern w:val="0"/>
                      <w:sz w:val="21"/>
                      <w:szCs w:val="21"/>
                    </w:rPr>
                    <w:t>/℃</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rFonts w:hint="default" w:eastAsia="宋体"/>
                      <w:bCs/>
                      <w:color w:val="000000"/>
                      <w:spacing w:val="-4"/>
                      <w:kern w:val="0"/>
                      <w:sz w:val="21"/>
                      <w:szCs w:val="21"/>
                      <w:lang w:val="en-US" w:eastAsia="zh-CN"/>
                    </w:rPr>
                  </w:pPr>
                  <w:r>
                    <w:rPr>
                      <w:rFonts w:hint="eastAsia"/>
                      <w:bCs/>
                      <w:color w:val="000000"/>
                      <w:spacing w:val="-4"/>
                      <w:kern w:val="0"/>
                      <w:sz w:val="21"/>
                      <w:szCs w:val="21"/>
                      <w:lang w:val="en-US" w:eastAsia="zh-CN"/>
                    </w:rPr>
                    <w:t>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338" w:type="pct"/>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最低环境温度</w:t>
                  </w:r>
                  <w:r>
                    <w:rPr>
                      <w:bCs/>
                      <w:color w:val="000000"/>
                      <w:kern w:val="0"/>
                      <w:sz w:val="21"/>
                      <w:szCs w:val="21"/>
                    </w:rPr>
                    <w:t>/℃</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rFonts w:hint="default" w:eastAsia="宋体"/>
                      <w:bCs/>
                      <w:color w:val="000000"/>
                      <w:spacing w:val="-4"/>
                      <w:kern w:val="0"/>
                      <w:sz w:val="21"/>
                      <w:szCs w:val="21"/>
                      <w:lang w:val="en-US" w:eastAsia="zh-CN"/>
                    </w:rPr>
                  </w:pPr>
                  <w:r>
                    <w:rPr>
                      <w:rFonts w:hint="eastAsia"/>
                      <w:bCs/>
                      <w:color w:val="000000"/>
                      <w:spacing w:val="-4"/>
                      <w:kern w:val="0"/>
                      <w:sz w:val="21"/>
                      <w:szCs w:val="21"/>
                      <w:lang w:val="en-US" w:eastAsia="zh-CN"/>
                    </w:rPr>
                    <w:t>-19.2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338" w:type="pct"/>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土地利用类型</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highlight w:val="none"/>
                    </w:rPr>
                  </w:pPr>
                  <w:r>
                    <w:rPr>
                      <w:rFonts w:hAnsi="宋体"/>
                      <w:bCs/>
                      <w:color w:val="000000"/>
                      <w:spacing w:val="-4"/>
                      <w:kern w:val="0"/>
                      <w:sz w:val="21"/>
                      <w:szCs w:val="21"/>
                      <w:highlight w:val="none"/>
                    </w:rPr>
                    <w:t>农作地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338" w:type="pct"/>
                  <w:gridSpan w:val="2"/>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区域湿度条件</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highlight w:val="none"/>
                    </w:rPr>
                  </w:pPr>
                  <w:r>
                    <w:rPr>
                      <w:rFonts w:hAnsi="宋体"/>
                      <w:color w:val="000000"/>
                      <w:kern w:val="0"/>
                      <w:sz w:val="21"/>
                      <w:szCs w:val="21"/>
                      <w:highlight w:val="none"/>
                    </w:rPr>
                    <w:t>中等湿度气候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restart"/>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rFonts w:hAnsi="宋体"/>
                      <w:bCs/>
                      <w:color w:val="000000"/>
                      <w:spacing w:val="-4"/>
                      <w:kern w:val="0"/>
                      <w:sz w:val="21"/>
                      <w:szCs w:val="21"/>
                    </w:rPr>
                    <w:t>是否考虑地形</w:t>
                  </w: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考虑地形</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rFonts w:hAnsi="宋体"/>
                      <w:bCs/>
                      <w:color w:val="000000"/>
                      <w:spacing w:val="-4"/>
                      <w:kern w:val="0"/>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continue"/>
                  <w:tcBorders>
                    <w:top w:val="single" w:color="auto" w:sz="4" w:space="0"/>
                    <w:left w:val="nil"/>
                    <w:bottom w:val="single" w:color="auto" w:sz="4" w:space="0"/>
                    <w:right w:val="single" w:color="auto" w:sz="4" w:space="0"/>
                  </w:tcBorders>
                  <w:noWrap w:val="0"/>
                  <w:vAlign w:val="center"/>
                </w:tcPr>
                <w:p>
                  <w:pPr>
                    <w:widowControl/>
                    <w:jc w:val="left"/>
                    <w:rPr>
                      <w:bCs/>
                      <w:color w:val="000000"/>
                      <w:spacing w:val="-4"/>
                      <w:kern w:val="0"/>
                      <w:sz w:val="21"/>
                      <w:szCs w:val="21"/>
                    </w:rPr>
                  </w:pP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kern w:val="0"/>
                      <w:sz w:val="21"/>
                      <w:szCs w:val="21"/>
                    </w:rPr>
                    <w:t>地形数据分辨率</w:t>
                  </w:r>
                  <w:r>
                    <w:rPr>
                      <w:bCs/>
                      <w:color w:val="000000"/>
                      <w:kern w:val="0"/>
                      <w:sz w:val="21"/>
                      <w:szCs w:val="21"/>
                    </w:rPr>
                    <w:t>/m</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bCs/>
                      <w:color w:val="000000"/>
                      <w:spacing w:val="-4"/>
                      <w:kern w:val="0"/>
                      <w:sz w:val="21"/>
                      <w:szCs w:val="21"/>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restart"/>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rFonts w:hAnsi="宋体"/>
                      <w:bCs/>
                      <w:color w:val="000000"/>
                      <w:spacing w:val="-4"/>
                      <w:kern w:val="0"/>
                      <w:sz w:val="21"/>
                      <w:szCs w:val="21"/>
                    </w:rPr>
                    <w:t>是否考虑岸线熏烟</w:t>
                  </w: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spacing w:val="-4"/>
                      <w:kern w:val="0"/>
                      <w:sz w:val="21"/>
                      <w:szCs w:val="21"/>
                    </w:rPr>
                    <w:t>考虑岸线熏烟</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rFonts w:hAnsi="宋体"/>
                      <w:bCs/>
                      <w:color w:val="000000"/>
                      <w:spacing w:val="-4"/>
                      <w:kern w:val="0"/>
                      <w:sz w:val="21"/>
                      <w:szCs w:val="21"/>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continue"/>
                  <w:tcBorders>
                    <w:top w:val="single" w:color="auto" w:sz="4" w:space="0"/>
                    <w:left w:val="nil"/>
                    <w:bottom w:val="single" w:color="auto" w:sz="4" w:space="0"/>
                    <w:right w:val="single" w:color="auto" w:sz="4" w:space="0"/>
                  </w:tcBorders>
                  <w:noWrap w:val="0"/>
                  <w:vAlign w:val="center"/>
                </w:tcPr>
                <w:p>
                  <w:pPr>
                    <w:widowControl/>
                    <w:jc w:val="left"/>
                    <w:rPr>
                      <w:bCs/>
                      <w:color w:val="000000"/>
                      <w:spacing w:val="-4"/>
                      <w:kern w:val="0"/>
                      <w:sz w:val="21"/>
                      <w:szCs w:val="21"/>
                    </w:rPr>
                  </w:pPr>
                </w:p>
              </w:tc>
              <w:tc>
                <w:tcPr>
                  <w:tcW w:w="202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spacing w:val="-4"/>
                      <w:kern w:val="0"/>
                      <w:sz w:val="21"/>
                      <w:szCs w:val="21"/>
                    </w:rPr>
                    <w:t>岸线距离</w:t>
                  </w:r>
                  <w:r>
                    <w:rPr>
                      <w:bCs/>
                      <w:color w:val="000000"/>
                      <w:spacing w:val="-4"/>
                      <w:kern w:val="0"/>
                      <w:sz w:val="21"/>
                      <w:szCs w:val="21"/>
                    </w:rPr>
                    <w:t>/km</w:t>
                  </w:r>
                </w:p>
              </w:tc>
              <w:tc>
                <w:tcPr>
                  <w:tcW w:w="1662" w:type="pct"/>
                  <w:tcBorders>
                    <w:top w:val="single" w:color="auto" w:sz="4" w:space="0"/>
                    <w:left w:val="single" w:color="auto" w:sz="4" w:space="0"/>
                    <w:bottom w:val="single" w:color="auto" w:sz="4"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bCs/>
                      <w:color w:val="000000"/>
                      <w:spacing w:val="-4"/>
                      <w:kern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12" w:type="pct"/>
                  <w:vMerge w:val="continue"/>
                  <w:tcBorders>
                    <w:top w:val="single" w:color="auto" w:sz="4" w:space="0"/>
                    <w:left w:val="nil"/>
                    <w:bottom w:val="single" w:color="auto" w:sz="8" w:space="0"/>
                    <w:right w:val="single" w:color="auto" w:sz="4" w:space="0"/>
                  </w:tcBorders>
                  <w:noWrap w:val="0"/>
                  <w:vAlign w:val="center"/>
                </w:tcPr>
                <w:p>
                  <w:pPr>
                    <w:widowControl/>
                    <w:jc w:val="left"/>
                    <w:rPr>
                      <w:bCs/>
                      <w:color w:val="000000"/>
                      <w:spacing w:val="-4"/>
                      <w:kern w:val="0"/>
                      <w:sz w:val="21"/>
                      <w:szCs w:val="21"/>
                    </w:rPr>
                  </w:pPr>
                </w:p>
              </w:tc>
              <w:tc>
                <w:tcPr>
                  <w:tcW w:w="2026" w:type="pct"/>
                  <w:tcBorders>
                    <w:top w:val="single" w:color="auto" w:sz="4" w:space="0"/>
                    <w:left w:val="single" w:color="auto" w:sz="4" w:space="0"/>
                    <w:bottom w:val="single" w:color="auto" w:sz="8" w:space="0"/>
                    <w:right w:val="single" w:color="auto" w:sz="4" w:space="0"/>
                  </w:tcBorders>
                  <w:noWrap w:val="0"/>
                  <w:vAlign w:val="center"/>
                </w:tcPr>
                <w:p>
                  <w:pPr>
                    <w:autoSpaceDE w:val="0"/>
                    <w:autoSpaceDN w:val="0"/>
                    <w:adjustRightInd w:val="0"/>
                    <w:snapToGrid w:val="0"/>
                    <w:spacing w:line="360" w:lineRule="exact"/>
                    <w:jc w:val="center"/>
                    <w:textAlignment w:val="baseline"/>
                    <w:rPr>
                      <w:bCs/>
                      <w:color w:val="000000"/>
                      <w:kern w:val="0"/>
                      <w:sz w:val="21"/>
                      <w:szCs w:val="21"/>
                    </w:rPr>
                  </w:pPr>
                  <w:r>
                    <w:rPr>
                      <w:rFonts w:hAnsi="宋体"/>
                      <w:bCs/>
                      <w:color w:val="000000"/>
                      <w:spacing w:val="-4"/>
                      <w:kern w:val="0"/>
                      <w:sz w:val="21"/>
                      <w:szCs w:val="21"/>
                    </w:rPr>
                    <w:t>岸线方向</w:t>
                  </w:r>
                  <w:r>
                    <w:rPr>
                      <w:bCs/>
                      <w:color w:val="000000"/>
                      <w:spacing w:val="-4"/>
                      <w:kern w:val="0"/>
                      <w:sz w:val="21"/>
                      <w:szCs w:val="21"/>
                    </w:rPr>
                    <w:t>/ º</w:t>
                  </w:r>
                </w:p>
              </w:tc>
              <w:tc>
                <w:tcPr>
                  <w:tcW w:w="1662" w:type="pct"/>
                  <w:tcBorders>
                    <w:top w:val="single" w:color="auto" w:sz="4" w:space="0"/>
                    <w:left w:val="single" w:color="auto" w:sz="4" w:space="0"/>
                    <w:bottom w:val="single" w:color="auto" w:sz="8" w:space="0"/>
                    <w:right w:val="nil"/>
                  </w:tcBorders>
                  <w:noWrap w:val="0"/>
                  <w:vAlign w:val="center"/>
                </w:tcPr>
                <w:p>
                  <w:pPr>
                    <w:autoSpaceDE w:val="0"/>
                    <w:autoSpaceDN w:val="0"/>
                    <w:adjustRightInd w:val="0"/>
                    <w:snapToGrid w:val="0"/>
                    <w:spacing w:line="360" w:lineRule="exact"/>
                    <w:jc w:val="center"/>
                    <w:textAlignment w:val="baseline"/>
                    <w:rPr>
                      <w:bCs/>
                      <w:color w:val="000000"/>
                      <w:spacing w:val="-4"/>
                      <w:kern w:val="0"/>
                      <w:sz w:val="21"/>
                      <w:szCs w:val="21"/>
                    </w:rPr>
                  </w:pPr>
                  <w:r>
                    <w:rPr>
                      <w:bCs/>
                      <w:color w:val="000000"/>
                      <w:spacing w:val="-4"/>
                      <w:kern w:val="0"/>
                      <w:sz w:val="21"/>
                      <w:szCs w:val="21"/>
                    </w:rPr>
                    <w:t>/</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sz w:val="24"/>
                <w:szCs w:val="24"/>
              </w:rPr>
            </w:pPr>
            <w:r>
              <w:rPr>
                <w:rFonts w:hint="eastAsia"/>
                <w:sz w:val="24"/>
                <w:szCs w:val="24"/>
              </w:rPr>
              <w:t>1.5.2预测结果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sz w:val="24"/>
              </w:rPr>
            </w:pPr>
            <w:r>
              <w:rPr>
                <w:rFonts w:hint="eastAsia"/>
                <w:sz w:val="24"/>
                <w:szCs w:val="24"/>
              </w:rPr>
              <w:t>采用《环境影响评价技术导则-大气环境》（HJ2.2-2018）中</w:t>
            </w:r>
            <w:r>
              <w:rPr>
                <w:rFonts w:hint="eastAsia"/>
                <w:sz w:val="24"/>
              </w:rPr>
              <w:t>推荐模式AERSCREEN模型进行预测，</w:t>
            </w:r>
            <w:r>
              <w:rPr>
                <w:rFonts w:hint="eastAsia" w:ascii="Times New Roman" w:hAnsi="Times New Roman" w:cs="Times New Roman"/>
                <w:sz w:val="24"/>
              </w:rPr>
              <w:t>主要污染源估算模型计</w:t>
            </w:r>
            <w:r>
              <w:rPr>
                <w:rFonts w:hint="eastAsia" w:ascii="Times New Roman" w:hAnsi="Times New Roman" w:cs="Times New Roman"/>
                <w:sz w:val="24"/>
                <w:szCs w:val="24"/>
              </w:rPr>
              <w:t>算结果表见表</w:t>
            </w:r>
            <w:r>
              <w:rPr>
                <w:rFonts w:hint="eastAsia" w:ascii="Times New Roman" w:hAnsi="Times New Roman" w:cs="Times New Roman"/>
                <w:sz w:val="24"/>
                <w:szCs w:val="24"/>
                <w:lang w:val="en-US" w:eastAsia="zh-CN"/>
              </w:rPr>
              <w:t>32</w:t>
            </w:r>
            <w:r>
              <w:rPr>
                <w:rFonts w:hint="eastAsia" w:ascii="Times New Roman" w:hAnsi="Times New Roman" w:cs="Times New Roman"/>
                <w:sz w:val="24"/>
                <w:szCs w:val="24"/>
              </w:rPr>
              <w:t>。无组织污染物排放最大地面质量浓度及占标率估算结果一览表见表</w:t>
            </w:r>
            <w:r>
              <w:rPr>
                <w:rFonts w:hint="eastAsia" w:ascii="Times New Roman" w:hAnsi="Times New Roman" w:cs="Times New Roman"/>
                <w:sz w:val="24"/>
                <w:szCs w:val="24"/>
                <w:lang w:val="en-US" w:eastAsia="zh-CN"/>
              </w:rPr>
              <w:t>33</w:t>
            </w:r>
            <w:r>
              <w:rPr>
                <w:rFonts w:hint="eastAsia"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spacing w:line="520" w:lineRule="exact"/>
              <w:jc w:val="center"/>
              <w:textAlignment w:val="auto"/>
              <w:rPr>
                <w:rFonts w:hint="eastAsia"/>
                <w:b/>
                <w:sz w:val="24"/>
              </w:rPr>
            </w:pPr>
            <w:r>
              <w:rPr>
                <w:b/>
                <w:sz w:val="24"/>
              </w:rPr>
              <w:t>表</w:t>
            </w:r>
            <w:r>
              <w:rPr>
                <w:rFonts w:hint="eastAsia"/>
                <w:b/>
                <w:sz w:val="24"/>
                <w:lang w:val="en-US" w:eastAsia="zh-CN"/>
              </w:rPr>
              <w:t>32</w:t>
            </w:r>
            <w:r>
              <w:rPr>
                <w:b/>
                <w:sz w:val="24"/>
              </w:rPr>
              <w:t xml:space="preserve">      </w:t>
            </w:r>
            <w:r>
              <w:rPr>
                <w:rFonts w:hint="eastAsia"/>
                <w:b/>
                <w:sz w:val="24"/>
              </w:rPr>
              <w:t>主要污染源估算模型计算结果表</w:t>
            </w:r>
          </w:p>
          <w:tbl>
            <w:tblPr>
              <w:tblStyle w:val="21"/>
              <w:tblW w:w="5000" w:type="pct"/>
              <w:tblInd w:w="1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871"/>
              <w:gridCol w:w="3368"/>
              <w:gridCol w:w="238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vMerge w:val="restart"/>
                  <w:noWrap w:val="0"/>
                  <w:vAlign w:val="center"/>
                </w:tcPr>
                <w:p>
                  <w:pPr>
                    <w:spacing w:line="240" w:lineRule="exact"/>
                    <w:jc w:val="center"/>
                    <w:rPr>
                      <w:rFonts w:hint="eastAsia"/>
                      <w:b/>
                      <w:bCs/>
                      <w:szCs w:val="21"/>
                    </w:rPr>
                  </w:pPr>
                  <w:r>
                    <w:rPr>
                      <w:rFonts w:hint="eastAsia"/>
                      <w:b/>
                      <w:bCs/>
                      <w:szCs w:val="21"/>
                    </w:rPr>
                    <w:t>下风向距离</w:t>
                  </w:r>
                </w:p>
              </w:tc>
              <w:tc>
                <w:tcPr>
                  <w:tcW w:w="3335" w:type="pct"/>
                  <w:gridSpan w:val="2"/>
                  <w:noWrap w:val="0"/>
                  <w:vAlign w:val="center"/>
                </w:tcPr>
                <w:p>
                  <w:pPr>
                    <w:spacing w:line="240" w:lineRule="exact"/>
                    <w:jc w:val="center"/>
                    <w:rPr>
                      <w:rFonts w:hint="eastAsia"/>
                      <w:b/>
                      <w:bCs/>
                      <w:szCs w:val="21"/>
                    </w:rPr>
                  </w:pPr>
                  <w:r>
                    <w:rPr>
                      <w:rFonts w:hint="eastAsia"/>
                      <w:b/>
                      <w:bCs/>
                      <w:szCs w:val="21"/>
                    </w:rPr>
                    <w:t>无组织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vMerge w:val="continue"/>
                  <w:noWrap w:val="0"/>
                  <w:vAlign w:val="center"/>
                </w:tcPr>
                <w:p>
                  <w:pPr>
                    <w:spacing w:line="240" w:lineRule="exact"/>
                    <w:jc w:val="center"/>
                    <w:rPr>
                      <w:rFonts w:hint="eastAsia"/>
                      <w:b/>
                      <w:bCs/>
                      <w:szCs w:val="21"/>
                    </w:rPr>
                  </w:pPr>
                </w:p>
              </w:tc>
              <w:tc>
                <w:tcPr>
                  <w:tcW w:w="3335" w:type="pct"/>
                  <w:gridSpan w:val="2"/>
                  <w:noWrap w:val="0"/>
                  <w:vAlign w:val="center"/>
                </w:tcPr>
                <w:p>
                  <w:pPr>
                    <w:spacing w:line="240" w:lineRule="exact"/>
                    <w:jc w:val="center"/>
                    <w:rPr>
                      <w:rFonts w:hint="eastAsia"/>
                      <w:b/>
                      <w:bCs/>
                      <w:szCs w:val="21"/>
                    </w:rPr>
                  </w:pPr>
                  <w:r>
                    <w:rPr>
                      <w:rFonts w:hint="eastAsia"/>
                      <w:b/>
                      <w:bCs/>
                      <w:szCs w:val="21"/>
                    </w:rPr>
                    <w:t>非甲烷总烃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vMerge w:val="continue"/>
                  <w:noWrap w:val="0"/>
                  <w:vAlign w:val="center"/>
                </w:tcPr>
                <w:p>
                  <w:pPr>
                    <w:spacing w:line="240" w:lineRule="exact"/>
                    <w:jc w:val="center"/>
                    <w:rPr>
                      <w:b/>
                      <w:bCs/>
                      <w:szCs w:val="21"/>
                    </w:rPr>
                  </w:pPr>
                </w:p>
              </w:tc>
              <w:tc>
                <w:tcPr>
                  <w:tcW w:w="1952" w:type="pct"/>
                  <w:noWrap w:val="0"/>
                  <w:vAlign w:val="center"/>
                </w:tcPr>
                <w:p>
                  <w:pPr>
                    <w:spacing w:line="240" w:lineRule="exact"/>
                    <w:jc w:val="center"/>
                    <w:rPr>
                      <w:b/>
                      <w:bCs/>
                      <w:szCs w:val="21"/>
                    </w:rPr>
                  </w:pPr>
                  <w:r>
                    <w:rPr>
                      <w:rFonts w:hint="eastAsia"/>
                      <w:b/>
                      <w:bCs/>
                      <w:szCs w:val="21"/>
                    </w:rPr>
                    <w:t>预测质量浓度/（mg/m</w:t>
                  </w:r>
                  <w:r>
                    <w:rPr>
                      <w:rFonts w:hint="eastAsia"/>
                      <w:b/>
                      <w:bCs/>
                      <w:szCs w:val="21"/>
                      <w:vertAlign w:val="superscript"/>
                    </w:rPr>
                    <w:t>3</w:t>
                  </w:r>
                  <w:r>
                    <w:rPr>
                      <w:rFonts w:hint="eastAsia"/>
                      <w:b/>
                      <w:bCs/>
                      <w:szCs w:val="21"/>
                    </w:rPr>
                    <w:t>）</w:t>
                  </w:r>
                </w:p>
              </w:tc>
              <w:tc>
                <w:tcPr>
                  <w:tcW w:w="1382" w:type="pct"/>
                  <w:noWrap w:val="0"/>
                  <w:vAlign w:val="center"/>
                </w:tcPr>
                <w:p>
                  <w:pPr>
                    <w:spacing w:line="240" w:lineRule="exact"/>
                    <w:jc w:val="center"/>
                    <w:rPr>
                      <w:b/>
                      <w:bCs/>
                      <w:szCs w:val="21"/>
                    </w:rPr>
                  </w:pPr>
                  <w:r>
                    <w:rPr>
                      <w:rFonts w:hint="eastAsia"/>
                      <w:b/>
                      <w:bCs/>
                      <w:szCs w:val="21"/>
                    </w:rPr>
                    <w:t>占标率/%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szCs w:val="21"/>
                    </w:rPr>
                  </w:pPr>
                  <w:r>
                    <w:rPr>
                      <w:rFonts w:hint="eastAsia"/>
                      <w:szCs w:val="21"/>
                      <w:lang w:val="en-US" w:eastAsia="zh-CN"/>
                    </w:rPr>
                    <w:t>1</w:t>
                  </w:r>
                  <w:r>
                    <w:rPr>
                      <w:rFonts w:hint="eastAsia"/>
                      <w:szCs w:val="21"/>
                    </w:rPr>
                    <w:t>m</w:t>
                  </w:r>
                </w:p>
              </w:tc>
              <w:tc>
                <w:tcPr>
                  <w:tcW w:w="1952" w:type="pct"/>
                  <w:noWrap w:val="0"/>
                  <w:vAlign w:val="top"/>
                </w:tcPr>
                <w:p>
                  <w:pPr>
                    <w:jc w:val="center"/>
                  </w:pPr>
                  <w:r>
                    <w:rPr>
                      <w:rFonts w:hint="eastAsia"/>
                    </w:rPr>
                    <w:t>0.006384</w:t>
                  </w:r>
                </w:p>
              </w:tc>
              <w:tc>
                <w:tcPr>
                  <w:tcW w:w="1382" w:type="pct"/>
                  <w:noWrap w:val="0"/>
                  <w:vAlign w:val="top"/>
                </w:tcPr>
                <w:p>
                  <w:pPr>
                    <w:jc w:val="center"/>
                  </w:pPr>
                  <w:r>
                    <w:rPr>
                      <w:rFonts w:hint="eastAsia"/>
                    </w:rPr>
                    <w:t>0.32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szCs w:val="21"/>
                    </w:rPr>
                  </w:pPr>
                  <w:r>
                    <w:rPr>
                      <w:rFonts w:hint="eastAsia"/>
                      <w:szCs w:val="21"/>
                    </w:rPr>
                    <w:t>25m</w:t>
                  </w:r>
                </w:p>
              </w:tc>
              <w:tc>
                <w:tcPr>
                  <w:tcW w:w="1952" w:type="pct"/>
                  <w:noWrap w:val="0"/>
                  <w:vAlign w:val="top"/>
                </w:tcPr>
                <w:p>
                  <w:pPr>
                    <w:jc w:val="center"/>
                  </w:pPr>
                  <w:r>
                    <w:rPr>
                      <w:rFonts w:hint="eastAsia"/>
                    </w:rPr>
                    <w:t>0.013805</w:t>
                  </w:r>
                </w:p>
              </w:tc>
              <w:tc>
                <w:tcPr>
                  <w:tcW w:w="1382" w:type="pct"/>
                  <w:noWrap w:val="0"/>
                  <w:vAlign w:val="top"/>
                </w:tcPr>
                <w:p>
                  <w:pPr>
                    <w:jc w:val="center"/>
                  </w:pPr>
                  <w:r>
                    <w:rPr>
                      <w:rFonts w:hint="eastAsia"/>
                    </w:rPr>
                    <w:t>0.69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szCs w:val="21"/>
                      <w:highlight w:val="red"/>
                    </w:rPr>
                  </w:pPr>
                  <w:r>
                    <w:rPr>
                      <w:rFonts w:hint="eastAsia"/>
                      <w:szCs w:val="21"/>
                      <w:highlight w:val="none"/>
                      <w:lang w:val="en-US" w:eastAsia="zh-CN"/>
                    </w:rPr>
                    <w:t>28</w:t>
                  </w:r>
                  <w:r>
                    <w:rPr>
                      <w:rFonts w:hint="eastAsia"/>
                      <w:szCs w:val="21"/>
                      <w:highlight w:val="none"/>
                    </w:rPr>
                    <w:t>m</w:t>
                  </w:r>
                </w:p>
              </w:tc>
              <w:tc>
                <w:tcPr>
                  <w:tcW w:w="1952" w:type="pct"/>
                  <w:noWrap w:val="0"/>
                  <w:vAlign w:val="top"/>
                </w:tcPr>
                <w:p>
                  <w:pPr>
                    <w:jc w:val="center"/>
                    <w:rPr>
                      <w:highlight w:val="red"/>
                    </w:rPr>
                  </w:pPr>
                  <w:r>
                    <w:rPr>
                      <w:rFonts w:hint="eastAsia"/>
                      <w:highlight w:val="red"/>
                    </w:rPr>
                    <w:t>0.014181</w:t>
                  </w:r>
                </w:p>
              </w:tc>
              <w:tc>
                <w:tcPr>
                  <w:tcW w:w="1382" w:type="pct"/>
                  <w:noWrap w:val="0"/>
                  <w:vAlign w:val="top"/>
                </w:tcPr>
                <w:p>
                  <w:pPr>
                    <w:jc w:val="center"/>
                    <w:rPr>
                      <w:highlight w:val="red"/>
                    </w:rPr>
                  </w:pPr>
                  <w:r>
                    <w:rPr>
                      <w:rFonts w:hint="eastAsia"/>
                      <w:highlight w:val="red"/>
                    </w:rPr>
                    <w:t>0.71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szCs w:val="21"/>
                    </w:rPr>
                  </w:pPr>
                  <w:r>
                    <w:rPr>
                      <w:rFonts w:hint="eastAsia"/>
                      <w:szCs w:val="21"/>
                      <w:lang w:val="en-US" w:eastAsia="zh-CN"/>
                    </w:rPr>
                    <w:t>50</w:t>
                  </w:r>
                  <w:r>
                    <w:rPr>
                      <w:rFonts w:hint="eastAsia"/>
                      <w:szCs w:val="21"/>
                    </w:rPr>
                    <w:t>m</w:t>
                  </w:r>
                </w:p>
              </w:tc>
              <w:tc>
                <w:tcPr>
                  <w:tcW w:w="1952" w:type="pct"/>
                  <w:noWrap w:val="0"/>
                  <w:vAlign w:val="top"/>
                </w:tcPr>
                <w:p>
                  <w:pPr>
                    <w:jc w:val="center"/>
                  </w:pPr>
                  <w:r>
                    <w:rPr>
                      <w:rFonts w:hint="eastAsia"/>
                    </w:rPr>
                    <w:t>0.012595</w:t>
                  </w:r>
                </w:p>
              </w:tc>
              <w:tc>
                <w:tcPr>
                  <w:tcW w:w="1382" w:type="pct"/>
                  <w:noWrap w:val="0"/>
                  <w:vAlign w:val="top"/>
                </w:tcPr>
                <w:p>
                  <w:pPr>
                    <w:jc w:val="center"/>
                  </w:pPr>
                  <w:r>
                    <w:rPr>
                      <w:rFonts w:hint="eastAsia"/>
                    </w:rPr>
                    <w:t>0.63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szCs w:val="21"/>
                    </w:rPr>
                  </w:pPr>
                  <w:r>
                    <w:rPr>
                      <w:rFonts w:hint="eastAsia"/>
                      <w:szCs w:val="21"/>
                      <w:lang w:val="en-US" w:eastAsia="zh-CN"/>
                    </w:rPr>
                    <w:t>75</w:t>
                  </w:r>
                  <w:r>
                    <w:rPr>
                      <w:rFonts w:hint="eastAsia"/>
                      <w:szCs w:val="21"/>
                    </w:rPr>
                    <w:t>m</w:t>
                  </w:r>
                </w:p>
              </w:tc>
              <w:tc>
                <w:tcPr>
                  <w:tcW w:w="1952" w:type="pct"/>
                  <w:noWrap w:val="0"/>
                  <w:vAlign w:val="top"/>
                </w:tcPr>
                <w:p>
                  <w:pPr>
                    <w:jc w:val="center"/>
                  </w:pPr>
                  <w:r>
                    <w:rPr>
                      <w:rFonts w:hint="eastAsia"/>
                    </w:rPr>
                    <w:t>0.010531</w:t>
                  </w:r>
                </w:p>
              </w:tc>
              <w:tc>
                <w:tcPr>
                  <w:tcW w:w="1382" w:type="pct"/>
                  <w:noWrap w:val="0"/>
                  <w:vAlign w:val="top"/>
                </w:tcPr>
                <w:p>
                  <w:pPr>
                    <w:jc w:val="center"/>
                  </w:pPr>
                  <w:r>
                    <w:rPr>
                      <w:rFonts w:hint="eastAsia"/>
                    </w:rPr>
                    <w:t>0.53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szCs w:val="21"/>
                    </w:rPr>
                  </w:pPr>
                  <w:r>
                    <w:rPr>
                      <w:rFonts w:hint="eastAsia"/>
                      <w:szCs w:val="21"/>
                      <w:lang w:val="en-US" w:eastAsia="zh-CN"/>
                    </w:rPr>
                    <w:t>100</w:t>
                  </w:r>
                  <w:r>
                    <w:rPr>
                      <w:rFonts w:hint="eastAsia"/>
                      <w:szCs w:val="21"/>
                    </w:rPr>
                    <w:t xml:space="preserve"> m</w:t>
                  </w:r>
                </w:p>
              </w:tc>
              <w:tc>
                <w:tcPr>
                  <w:tcW w:w="1952" w:type="pct"/>
                  <w:noWrap w:val="0"/>
                  <w:vAlign w:val="top"/>
                </w:tcPr>
                <w:p>
                  <w:pPr>
                    <w:jc w:val="center"/>
                  </w:pPr>
                  <w:r>
                    <w:rPr>
                      <w:rFonts w:hint="eastAsia"/>
                    </w:rPr>
                    <w:t>0.009213</w:t>
                  </w:r>
                </w:p>
              </w:tc>
              <w:tc>
                <w:tcPr>
                  <w:tcW w:w="1382" w:type="pct"/>
                  <w:noWrap w:val="0"/>
                  <w:vAlign w:val="top"/>
                </w:tcPr>
                <w:p>
                  <w:pPr>
                    <w:jc w:val="center"/>
                  </w:pPr>
                  <w:r>
                    <w:rPr>
                      <w:rFonts w:hint="eastAsia"/>
                    </w:rPr>
                    <w:t>0.46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default" w:eastAsia="宋体"/>
                      <w:szCs w:val="21"/>
                      <w:lang w:val="en-US" w:eastAsia="zh-CN"/>
                    </w:rPr>
                  </w:pPr>
                  <w:r>
                    <w:rPr>
                      <w:rFonts w:hint="eastAsia"/>
                      <w:szCs w:val="21"/>
                      <w:lang w:val="en-US" w:eastAsia="zh-CN"/>
                    </w:rPr>
                    <w:t>125m</w:t>
                  </w:r>
                </w:p>
              </w:tc>
              <w:tc>
                <w:tcPr>
                  <w:tcW w:w="1952" w:type="pct"/>
                  <w:noWrap w:val="0"/>
                  <w:vAlign w:val="top"/>
                </w:tcPr>
                <w:p>
                  <w:pPr>
                    <w:jc w:val="center"/>
                  </w:pPr>
                  <w:r>
                    <w:rPr>
                      <w:rFonts w:hint="eastAsia"/>
                    </w:rPr>
                    <w:t>0.008233</w:t>
                  </w:r>
                </w:p>
              </w:tc>
              <w:tc>
                <w:tcPr>
                  <w:tcW w:w="1382" w:type="pct"/>
                  <w:noWrap w:val="0"/>
                  <w:vAlign w:val="top"/>
                </w:tcPr>
                <w:p>
                  <w:pPr>
                    <w:jc w:val="center"/>
                  </w:pPr>
                  <w:r>
                    <w:rPr>
                      <w:rFonts w:hint="eastAsia"/>
                    </w:rPr>
                    <w:t>0.41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150 m</w:t>
                  </w:r>
                </w:p>
              </w:tc>
              <w:tc>
                <w:tcPr>
                  <w:tcW w:w="1952" w:type="pct"/>
                  <w:noWrap w:val="0"/>
                  <w:vAlign w:val="top"/>
                </w:tcPr>
                <w:p>
                  <w:pPr>
                    <w:jc w:val="center"/>
                  </w:pPr>
                  <w:r>
                    <w:rPr>
                      <w:rFonts w:hint="eastAsia"/>
                    </w:rPr>
                    <w:t>0.007504</w:t>
                  </w:r>
                </w:p>
              </w:tc>
              <w:tc>
                <w:tcPr>
                  <w:tcW w:w="1382" w:type="pct"/>
                  <w:noWrap w:val="0"/>
                  <w:vAlign w:val="top"/>
                </w:tcPr>
                <w:p>
                  <w:pPr>
                    <w:jc w:val="center"/>
                  </w:pPr>
                  <w:r>
                    <w:rPr>
                      <w:rFonts w:hint="eastAsia"/>
                    </w:rPr>
                    <w:t>0.38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175 m</w:t>
                  </w:r>
                </w:p>
              </w:tc>
              <w:tc>
                <w:tcPr>
                  <w:tcW w:w="1952" w:type="pct"/>
                  <w:noWrap w:val="0"/>
                  <w:vAlign w:val="top"/>
                </w:tcPr>
                <w:p>
                  <w:pPr>
                    <w:jc w:val="center"/>
                  </w:pPr>
                  <w:r>
                    <w:rPr>
                      <w:rFonts w:hint="eastAsia"/>
                    </w:rPr>
                    <w:t>0.006901</w:t>
                  </w:r>
                </w:p>
              </w:tc>
              <w:tc>
                <w:tcPr>
                  <w:tcW w:w="1382" w:type="pct"/>
                  <w:noWrap w:val="0"/>
                  <w:vAlign w:val="top"/>
                </w:tcPr>
                <w:p>
                  <w:pPr>
                    <w:jc w:val="center"/>
                  </w:pPr>
                  <w:r>
                    <w:rPr>
                      <w:rFonts w:hint="eastAsia"/>
                    </w:rPr>
                    <w:t>0.35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200 m</w:t>
                  </w:r>
                </w:p>
              </w:tc>
              <w:tc>
                <w:tcPr>
                  <w:tcW w:w="1952" w:type="pct"/>
                  <w:noWrap w:val="0"/>
                  <w:vAlign w:val="top"/>
                </w:tcPr>
                <w:p>
                  <w:pPr>
                    <w:jc w:val="center"/>
                  </w:pPr>
                  <w:r>
                    <w:rPr>
                      <w:rFonts w:hint="eastAsia"/>
                    </w:rPr>
                    <w:t>0.006429</w:t>
                  </w:r>
                </w:p>
              </w:tc>
              <w:tc>
                <w:tcPr>
                  <w:tcW w:w="1382" w:type="pct"/>
                  <w:noWrap w:val="0"/>
                  <w:vAlign w:val="top"/>
                </w:tcPr>
                <w:p>
                  <w:pPr>
                    <w:jc w:val="center"/>
                  </w:pPr>
                  <w:r>
                    <w:rPr>
                      <w:rFonts w:hint="eastAsia"/>
                    </w:rPr>
                    <w:t>0.32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225 m</w:t>
                  </w:r>
                </w:p>
              </w:tc>
              <w:tc>
                <w:tcPr>
                  <w:tcW w:w="1952" w:type="pct"/>
                  <w:noWrap w:val="0"/>
                  <w:vAlign w:val="top"/>
                </w:tcPr>
                <w:p>
                  <w:pPr>
                    <w:jc w:val="center"/>
                  </w:pPr>
                  <w:r>
                    <w:rPr>
                      <w:rFonts w:hint="eastAsia"/>
                    </w:rPr>
                    <w:t>0.00599</w:t>
                  </w:r>
                </w:p>
              </w:tc>
              <w:tc>
                <w:tcPr>
                  <w:tcW w:w="1382" w:type="pct"/>
                  <w:noWrap w:val="0"/>
                  <w:vAlign w:val="top"/>
                </w:tcPr>
                <w:p>
                  <w:pPr>
                    <w:jc w:val="center"/>
                  </w:pPr>
                  <w:r>
                    <w:rPr>
                      <w:rFonts w:hint="eastAsia"/>
                    </w:rPr>
                    <w:t>0.30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250 m</w:t>
                  </w:r>
                </w:p>
              </w:tc>
              <w:tc>
                <w:tcPr>
                  <w:tcW w:w="1952" w:type="pct"/>
                  <w:noWrap w:val="0"/>
                  <w:vAlign w:val="top"/>
                </w:tcPr>
                <w:p>
                  <w:pPr>
                    <w:jc w:val="center"/>
                  </w:pPr>
                  <w:r>
                    <w:rPr>
                      <w:rFonts w:hint="eastAsia"/>
                    </w:rPr>
                    <w:t>0.005586</w:t>
                  </w:r>
                </w:p>
              </w:tc>
              <w:tc>
                <w:tcPr>
                  <w:tcW w:w="1382" w:type="pct"/>
                  <w:noWrap w:val="0"/>
                  <w:vAlign w:val="top"/>
                </w:tcPr>
                <w:p>
                  <w:pPr>
                    <w:jc w:val="center"/>
                  </w:pPr>
                  <w:r>
                    <w:rPr>
                      <w:rFonts w:hint="eastAsia"/>
                    </w:rPr>
                    <w:t>0.28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275 m</w:t>
                  </w:r>
                </w:p>
              </w:tc>
              <w:tc>
                <w:tcPr>
                  <w:tcW w:w="1952" w:type="pct"/>
                  <w:noWrap w:val="0"/>
                  <w:vAlign w:val="top"/>
                </w:tcPr>
                <w:p>
                  <w:pPr>
                    <w:jc w:val="center"/>
                  </w:pPr>
                  <w:r>
                    <w:rPr>
                      <w:rFonts w:hint="eastAsia"/>
                    </w:rPr>
                    <w:t>0.00522</w:t>
                  </w:r>
                </w:p>
              </w:tc>
              <w:tc>
                <w:tcPr>
                  <w:tcW w:w="1382" w:type="pct"/>
                  <w:noWrap w:val="0"/>
                  <w:vAlign w:val="top"/>
                </w:tcPr>
                <w:p>
                  <w:pPr>
                    <w:jc w:val="center"/>
                  </w:pPr>
                  <w:r>
                    <w:rPr>
                      <w:rFonts w:hint="eastAsia"/>
                    </w:rPr>
                    <w:t>0.26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300 m</w:t>
                  </w:r>
                </w:p>
              </w:tc>
              <w:tc>
                <w:tcPr>
                  <w:tcW w:w="1952" w:type="pct"/>
                  <w:noWrap w:val="0"/>
                  <w:vAlign w:val="top"/>
                </w:tcPr>
                <w:p>
                  <w:pPr>
                    <w:jc w:val="center"/>
                  </w:pPr>
                  <w:r>
                    <w:rPr>
                      <w:rFonts w:hint="eastAsia"/>
                    </w:rPr>
                    <w:t>0.005005</w:t>
                  </w:r>
                </w:p>
              </w:tc>
              <w:tc>
                <w:tcPr>
                  <w:tcW w:w="1382" w:type="pct"/>
                  <w:noWrap w:val="0"/>
                  <w:vAlign w:val="top"/>
                </w:tcPr>
                <w:p>
                  <w:pPr>
                    <w:jc w:val="center"/>
                  </w:pPr>
                  <w:r>
                    <w:rPr>
                      <w:rFonts w:hint="eastAsia"/>
                    </w:rPr>
                    <w:t>0.25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325 m</w:t>
                  </w:r>
                </w:p>
              </w:tc>
              <w:tc>
                <w:tcPr>
                  <w:tcW w:w="1952" w:type="pct"/>
                  <w:noWrap w:val="0"/>
                  <w:vAlign w:val="top"/>
                </w:tcPr>
                <w:p>
                  <w:pPr>
                    <w:jc w:val="center"/>
                  </w:pPr>
                  <w:r>
                    <w:rPr>
                      <w:rFonts w:hint="eastAsia"/>
                    </w:rPr>
                    <w:t>0.004796</w:t>
                  </w:r>
                </w:p>
              </w:tc>
              <w:tc>
                <w:tcPr>
                  <w:tcW w:w="1382" w:type="pct"/>
                  <w:noWrap w:val="0"/>
                  <w:vAlign w:val="top"/>
                </w:tcPr>
                <w:p>
                  <w:pPr>
                    <w:jc w:val="center"/>
                  </w:pPr>
                  <w:r>
                    <w:rPr>
                      <w:rFonts w:hint="eastAsia"/>
                    </w:rPr>
                    <w:t>0.24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350 m</w:t>
                  </w:r>
                </w:p>
              </w:tc>
              <w:tc>
                <w:tcPr>
                  <w:tcW w:w="1952" w:type="pct"/>
                  <w:noWrap w:val="0"/>
                  <w:vAlign w:val="top"/>
                </w:tcPr>
                <w:p>
                  <w:pPr>
                    <w:jc w:val="center"/>
                  </w:pPr>
                  <w:r>
                    <w:rPr>
                      <w:rFonts w:hint="eastAsia"/>
                    </w:rPr>
                    <w:t>0.004597</w:t>
                  </w:r>
                </w:p>
              </w:tc>
              <w:tc>
                <w:tcPr>
                  <w:tcW w:w="1382" w:type="pct"/>
                  <w:noWrap w:val="0"/>
                  <w:vAlign w:val="top"/>
                </w:tcPr>
                <w:p>
                  <w:pPr>
                    <w:jc w:val="center"/>
                  </w:pPr>
                  <w:r>
                    <w:rPr>
                      <w:rFonts w:hint="eastAsia"/>
                    </w:rPr>
                    <w:t>0.23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375 m</w:t>
                  </w:r>
                </w:p>
              </w:tc>
              <w:tc>
                <w:tcPr>
                  <w:tcW w:w="1952" w:type="pct"/>
                  <w:noWrap w:val="0"/>
                  <w:vAlign w:val="top"/>
                </w:tcPr>
                <w:p>
                  <w:pPr>
                    <w:jc w:val="center"/>
                  </w:pPr>
                  <w:r>
                    <w:rPr>
                      <w:rFonts w:hint="eastAsia"/>
                    </w:rPr>
                    <w:t>0.004412</w:t>
                  </w:r>
                </w:p>
              </w:tc>
              <w:tc>
                <w:tcPr>
                  <w:tcW w:w="1382" w:type="pct"/>
                  <w:noWrap w:val="0"/>
                  <w:vAlign w:val="top"/>
                </w:tcPr>
                <w:p>
                  <w:pPr>
                    <w:jc w:val="center"/>
                  </w:pPr>
                  <w:r>
                    <w:rPr>
                      <w:rFonts w:hint="eastAsia"/>
                    </w:rPr>
                    <w:t>0.22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400 m</w:t>
                  </w:r>
                </w:p>
              </w:tc>
              <w:tc>
                <w:tcPr>
                  <w:tcW w:w="1952" w:type="pct"/>
                  <w:noWrap w:val="0"/>
                  <w:vAlign w:val="top"/>
                </w:tcPr>
                <w:p>
                  <w:pPr>
                    <w:jc w:val="center"/>
                  </w:pPr>
                  <w:r>
                    <w:rPr>
                      <w:rFonts w:hint="eastAsia"/>
                    </w:rPr>
                    <w:t>0.004239</w:t>
                  </w:r>
                </w:p>
              </w:tc>
              <w:tc>
                <w:tcPr>
                  <w:tcW w:w="1382" w:type="pct"/>
                  <w:noWrap w:val="0"/>
                  <w:vAlign w:val="top"/>
                </w:tcPr>
                <w:p>
                  <w:pPr>
                    <w:jc w:val="center"/>
                  </w:pPr>
                  <w:r>
                    <w:rPr>
                      <w:rFonts w:hint="eastAsia"/>
                    </w:rPr>
                    <w:t>0.21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ascii="Times New Roman" w:hAnsi="Times New Roman" w:eastAsia="宋体" w:cs="Times New Roman"/>
                      <w:kern w:val="2"/>
                      <w:sz w:val="21"/>
                      <w:szCs w:val="21"/>
                      <w:lang w:val="en-US" w:eastAsia="zh-CN" w:bidi="ar-SA"/>
                    </w:rPr>
                  </w:pPr>
                  <w:r>
                    <w:rPr>
                      <w:rFonts w:hint="eastAsia"/>
                      <w:szCs w:val="21"/>
                    </w:rPr>
                    <w:t>425m</w:t>
                  </w:r>
                </w:p>
              </w:tc>
              <w:tc>
                <w:tcPr>
                  <w:tcW w:w="1952" w:type="pct"/>
                  <w:noWrap w:val="0"/>
                  <w:vAlign w:val="top"/>
                </w:tcPr>
                <w:p>
                  <w:pPr>
                    <w:jc w:val="center"/>
                  </w:pPr>
                  <w:r>
                    <w:rPr>
                      <w:rFonts w:hint="eastAsia"/>
                    </w:rPr>
                    <w:t>0.004076</w:t>
                  </w:r>
                </w:p>
              </w:tc>
              <w:tc>
                <w:tcPr>
                  <w:tcW w:w="1382" w:type="pct"/>
                  <w:noWrap w:val="0"/>
                  <w:vAlign w:val="top"/>
                </w:tcPr>
                <w:p>
                  <w:pPr>
                    <w:jc w:val="center"/>
                  </w:pPr>
                  <w:r>
                    <w:rPr>
                      <w:rFonts w:hint="eastAsia"/>
                    </w:rPr>
                    <w:t>0.20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ascii="Times New Roman" w:hAnsi="Times New Roman" w:eastAsia="宋体" w:cs="Times New Roman"/>
                      <w:kern w:val="2"/>
                      <w:sz w:val="21"/>
                      <w:szCs w:val="21"/>
                      <w:lang w:val="en-US" w:eastAsia="zh-CN" w:bidi="ar-SA"/>
                    </w:rPr>
                  </w:pPr>
                  <w:r>
                    <w:rPr>
                      <w:rFonts w:hint="eastAsia"/>
                      <w:szCs w:val="21"/>
                    </w:rPr>
                    <w:t>450m</w:t>
                  </w:r>
                </w:p>
              </w:tc>
              <w:tc>
                <w:tcPr>
                  <w:tcW w:w="1952" w:type="pct"/>
                  <w:noWrap w:val="0"/>
                  <w:vAlign w:val="top"/>
                </w:tcPr>
                <w:p>
                  <w:pPr>
                    <w:jc w:val="center"/>
                  </w:pPr>
                  <w:r>
                    <w:rPr>
                      <w:rFonts w:hint="eastAsia"/>
                    </w:rPr>
                    <w:t>0.003921</w:t>
                  </w:r>
                </w:p>
              </w:tc>
              <w:tc>
                <w:tcPr>
                  <w:tcW w:w="1382" w:type="pct"/>
                  <w:noWrap w:val="0"/>
                  <w:vAlign w:val="top"/>
                </w:tcPr>
                <w:p>
                  <w:pPr>
                    <w:jc w:val="center"/>
                  </w:pPr>
                  <w:r>
                    <w:rPr>
                      <w:rFonts w:hint="eastAsia"/>
                    </w:rPr>
                    <w:t>0.20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ascii="Times New Roman" w:hAnsi="Times New Roman" w:eastAsia="宋体" w:cs="Times New Roman"/>
                      <w:kern w:val="2"/>
                      <w:sz w:val="21"/>
                      <w:szCs w:val="21"/>
                      <w:lang w:val="en-US" w:eastAsia="zh-CN" w:bidi="ar-SA"/>
                    </w:rPr>
                  </w:pPr>
                  <w:r>
                    <w:rPr>
                      <w:rFonts w:hint="eastAsia"/>
                      <w:szCs w:val="21"/>
                    </w:rPr>
                    <w:t>475m</w:t>
                  </w:r>
                </w:p>
              </w:tc>
              <w:tc>
                <w:tcPr>
                  <w:tcW w:w="1952" w:type="pct"/>
                  <w:noWrap w:val="0"/>
                  <w:vAlign w:val="top"/>
                </w:tcPr>
                <w:p>
                  <w:pPr>
                    <w:jc w:val="center"/>
                  </w:pPr>
                  <w:r>
                    <w:rPr>
                      <w:rFonts w:hint="eastAsia"/>
                    </w:rPr>
                    <w:t>0.003772</w:t>
                  </w:r>
                </w:p>
              </w:tc>
              <w:tc>
                <w:tcPr>
                  <w:tcW w:w="1382" w:type="pct"/>
                  <w:noWrap w:val="0"/>
                  <w:vAlign w:val="top"/>
                </w:tcPr>
                <w:p>
                  <w:pPr>
                    <w:jc w:val="center"/>
                  </w:pPr>
                  <w:r>
                    <w:rPr>
                      <w:rFonts w:hint="eastAsia"/>
                    </w:rPr>
                    <w:t>0.19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500m</w:t>
                  </w:r>
                </w:p>
              </w:tc>
              <w:tc>
                <w:tcPr>
                  <w:tcW w:w="1952" w:type="pct"/>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rPr>
                    <w:t>0.003632</w:t>
                  </w:r>
                </w:p>
              </w:tc>
              <w:tc>
                <w:tcPr>
                  <w:tcW w:w="1382" w:type="pct"/>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rPr>
                    <w:t>0.18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ascii="Times New Roman" w:hAnsi="Times New Roman" w:eastAsia="宋体" w:cs="Times New Roman"/>
                      <w:kern w:val="2"/>
                      <w:sz w:val="21"/>
                      <w:szCs w:val="21"/>
                      <w:lang w:val="en-US" w:eastAsia="zh-CN" w:bidi="ar-SA"/>
                    </w:rPr>
                  </w:pPr>
                  <w:r>
                    <w:rPr>
                      <w:rFonts w:hint="eastAsia"/>
                      <w:szCs w:val="21"/>
                    </w:rPr>
                    <w:t>最大落地浓度及占标率</w:t>
                  </w:r>
                </w:p>
              </w:tc>
              <w:tc>
                <w:tcPr>
                  <w:tcW w:w="1952" w:type="pct"/>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rPr>
                    <w:t>0.014181</w:t>
                  </w:r>
                </w:p>
              </w:tc>
              <w:tc>
                <w:tcPr>
                  <w:tcW w:w="1382" w:type="pct"/>
                  <w:noWrap w:val="0"/>
                  <w:vAlign w:val="center"/>
                </w:tcPr>
                <w:p>
                  <w:pPr>
                    <w:spacing w:line="240" w:lineRule="exact"/>
                    <w:jc w:val="center"/>
                    <w:rPr>
                      <w:rFonts w:hint="eastAsia"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trPr>
              <w:tc>
                <w:tcPr>
                  <w:tcW w:w="1664" w:type="pct"/>
                  <w:noWrap w:val="0"/>
                  <w:vAlign w:val="center"/>
                </w:tcPr>
                <w:p>
                  <w:pPr>
                    <w:spacing w:line="240" w:lineRule="exact"/>
                    <w:jc w:val="center"/>
                    <w:rPr>
                      <w:rFonts w:hint="eastAsia"/>
                      <w:szCs w:val="21"/>
                    </w:rPr>
                  </w:pPr>
                  <w:r>
                    <w:rPr>
                      <w:rFonts w:hint="eastAsia"/>
                      <w:szCs w:val="21"/>
                    </w:rPr>
                    <w:t>D10%最远距离/m</w:t>
                  </w:r>
                </w:p>
              </w:tc>
              <w:tc>
                <w:tcPr>
                  <w:tcW w:w="1952" w:type="pct"/>
                  <w:noWrap w:val="0"/>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28</w:t>
                  </w:r>
                </w:p>
              </w:tc>
              <w:tc>
                <w:tcPr>
                  <w:tcW w:w="1382" w:type="pct"/>
                  <w:noWrap w:val="0"/>
                  <w:vAlign w:val="center"/>
                </w:tcPr>
                <w:p>
                  <w:pPr>
                    <w:spacing w:line="240" w:lineRule="exact"/>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28</w:t>
                  </w:r>
                </w:p>
              </w:tc>
            </w:tr>
          </w:tbl>
          <w:p>
            <w:pPr>
              <w:spacing w:line="520" w:lineRule="exact"/>
              <w:jc w:val="center"/>
              <w:rPr>
                <w:rFonts w:hint="eastAsia"/>
                <w:b/>
                <w:sz w:val="24"/>
              </w:rPr>
            </w:pPr>
            <w:r>
              <w:rPr>
                <w:b/>
                <w:sz w:val="24"/>
              </w:rPr>
              <w:t>表</w:t>
            </w:r>
            <w:r>
              <w:rPr>
                <w:rFonts w:hint="eastAsia"/>
                <w:b/>
                <w:sz w:val="24"/>
                <w:lang w:val="en-US" w:eastAsia="zh-CN"/>
              </w:rPr>
              <w:t>33</w:t>
            </w:r>
            <w:r>
              <w:rPr>
                <w:b/>
                <w:sz w:val="24"/>
              </w:rPr>
              <w:t xml:space="preserve">     </w:t>
            </w:r>
            <w:r>
              <w:rPr>
                <w:rFonts w:hint="eastAsia"/>
                <w:b/>
                <w:sz w:val="24"/>
              </w:rPr>
              <w:t>无组织污染物排放最大地面质量浓度及占标率估算结果一览表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87"/>
              <w:gridCol w:w="1302"/>
              <w:gridCol w:w="1172"/>
              <w:gridCol w:w="1561"/>
              <w:gridCol w:w="2079"/>
              <w:gridCol w:w="14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jc w:val="center"/>
              </w:trPr>
              <w:tc>
                <w:tcPr>
                  <w:tcW w:w="1182" w:type="dxa"/>
                  <w:noWrap w:val="0"/>
                  <w:vAlign w:val="center"/>
                </w:tcPr>
                <w:p>
                  <w:pPr>
                    <w:jc w:val="center"/>
                    <w:rPr>
                      <w:b/>
                      <w:bCs/>
                      <w:szCs w:val="21"/>
                    </w:rPr>
                  </w:pPr>
                  <w:r>
                    <w:rPr>
                      <w:rFonts w:hint="eastAsia"/>
                      <w:b/>
                      <w:bCs/>
                      <w:szCs w:val="21"/>
                    </w:rPr>
                    <w:t>污染源</w:t>
                  </w:r>
                </w:p>
              </w:tc>
              <w:tc>
                <w:tcPr>
                  <w:tcW w:w="1417" w:type="dxa"/>
                  <w:noWrap w:val="0"/>
                  <w:vAlign w:val="center"/>
                </w:tcPr>
                <w:p>
                  <w:pPr>
                    <w:jc w:val="center"/>
                    <w:rPr>
                      <w:b/>
                      <w:bCs/>
                      <w:szCs w:val="21"/>
                    </w:rPr>
                  </w:pPr>
                  <w:r>
                    <w:rPr>
                      <w:rFonts w:hint="eastAsia"/>
                      <w:b/>
                      <w:bCs/>
                      <w:szCs w:val="21"/>
                    </w:rPr>
                    <w:t>污染物名称</w:t>
                  </w:r>
                </w:p>
              </w:tc>
              <w:tc>
                <w:tcPr>
                  <w:tcW w:w="1276" w:type="dxa"/>
                  <w:noWrap w:val="0"/>
                  <w:vAlign w:val="center"/>
                </w:tcPr>
                <w:p>
                  <w:pPr>
                    <w:jc w:val="center"/>
                    <w:rPr>
                      <w:b/>
                      <w:bCs/>
                      <w:szCs w:val="21"/>
                    </w:rPr>
                  </w:pPr>
                  <w:r>
                    <w:rPr>
                      <w:rFonts w:hint="eastAsia"/>
                      <w:b/>
                      <w:bCs/>
                      <w:szCs w:val="21"/>
                    </w:rPr>
                    <w:t>距离（m）</w:t>
                  </w:r>
                </w:p>
              </w:tc>
              <w:tc>
                <w:tcPr>
                  <w:tcW w:w="1701" w:type="dxa"/>
                  <w:noWrap w:val="0"/>
                  <w:vAlign w:val="center"/>
                </w:tcPr>
                <w:p>
                  <w:pPr>
                    <w:jc w:val="center"/>
                    <w:rPr>
                      <w:b/>
                      <w:bCs/>
                      <w:szCs w:val="21"/>
                    </w:rPr>
                  </w:pPr>
                  <w:r>
                    <w:rPr>
                      <w:rFonts w:hint="eastAsia"/>
                      <w:b/>
                      <w:bCs/>
                      <w:szCs w:val="21"/>
                    </w:rPr>
                    <w:t>标准值（mg/m</w:t>
                  </w:r>
                  <w:r>
                    <w:rPr>
                      <w:rFonts w:hint="eastAsia"/>
                      <w:b/>
                      <w:bCs/>
                      <w:szCs w:val="21"/>
                      <w:vertAlign w:val="superscript"/>
                    </w:rPr>
                    <w:t>3</w:t>
                  </w:r>
                  <w:r>
                    <w:rPr>
                      <w:rFonts w:hint="eastAsia"/>
                      <w:b/>
                      <w:bCs/>
                      <w:szCs w:val="21"/>
                    </w:rPr>
                    <w:t>）</w:t>
                  </w:r>
                </w:p>
              </w:tc>
              <w:tc>
                <w:tcPr>
                  <w:tcW w:w="2268" w:type="dxa"/>
                  <w:noWrap w:val="0"/>
                  <w:vAlign w:val="center"/>
                </w:tcPr>
                <w:p>
                  <w:pPr>
                    <w:jc w:val="center"/>
                    <w:rPr>
                      <w:b/>
                      <w:bCs/>
                      <w:szCs w:val="21"/>
                    </w:rPr>
                  </w:pPr>
                  <w:r>
                    <w:rPr>
                      <w:rFonts w:hint="eastAsia"/>
                      <w:b/>
                      <w:bCs/>
                      <w:szCs w:val="21"/>
                    </w:rPr>
                    <w:t>最大落地浓度（mg/m</w:t>
                  </w:r>
                  <w:r>
                    <w:rPr>
                      <w:rFonts w:hint="eastAsia"/>
                      <w:b/>
                      <w:bCs/>
                      <w:szCs w:val="21"/>
                      <w:vertAlign w:val="superscript"/>
                    </w:rPr>
                    <w:t>3</w:t>
                  </w:r>
                  <w:r>
                    <w:rPr>
                      <w:rFonts w:hint="eastAsia"/>
                      <w:b/>
                      <w:bCs/>
                      <w:szCs w:val="21"/>
                    </w:rPr>
                    <w:t>）</w:t>
                  </w:r>
                </w:p>
              </w:tc>
              <w:tc>
                <w:tcPr>
                  <w:tcW w:w="1549" w:type="dxa"/>
                  <w:noWrap w:val="0"/>
                  <w:vAlign w:val="center"/>
                </w:tcPr>
                <w:p>
                  <w:pPr>
                    <w:jc w:val="center"/>
                    <w:rPr>
                      <w:rFonts w:hint="eastAsia"/>
                      <w:b/>
                      <w:bCs/>
                      <w:szCs w:val="21"/>
                    </w:rPr>
                  </w:pPr>
                  <w:r>
                    <w:rPr>
                      <w:rFonts w:hint="eastAsia"/>
                      <w:b/>
                      <w:bCs/>
                      <w:szCs w:val="21"/>
                    </w:rPr>
                    <w:t>占标率（%）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 w:hRule="atLeast"/>
                <w:jc w:val="center"/>
              </w:trPr>
              <w:tc>
                <w:tcPr>
                  <w:tcW w:w="1182" w:type="dxa"/>
                  <w:noWrap w:val="0"/>
                  <w:vAlign w:val="center"/>
                </w:tcPr>
                <w:p>
                  <w:pPr>
                    <w:jc w:val="center"/>
                    <w:rPr>
                      <w:rFonts w:hint="eastAsia"/>
                      <w:szCs w:val="21"/>
                    </w:rPr>
                  </w:pPr>
                  <w:r>
                    <w:rPr>
                      <w:rFonts w:hint="eastAsia"/>
                      <w:szCs w:val="21"/>
                    </w:rPr>
                    <w:t>厂界</w:t>
                  </w:r>
                </w:p>
              </w:tc>
              <w:tc>
                <w:tcPr>
                  <w:tcW w:w="1417" w:type="dxa"/>
                  <w:noWrap w:val="0"/>
                  <w:vAlign w:val="center"/>
                </w:tcPr>
                <w:p>
                  <w:pPr>
                    <w:jc w:val="center"/>
                    <w:rPr>
                      <w:rFonts w:hint="eastAsia"/>
                      <w:szCs w:val="21"/>
                    </w:rPr>
                  </w:pPr>
                  <w:r>
                    <w:rPr>
                      <w:rFonts w:hint="eastAsia"/>
                      <w:szCs w:val="21"/>
                    </w:rPr>
                    <w:t>非甲烷总烃</w:t>
                  </w:r>
                </w:p>
              </w:tc>
              <w:tc>
                <w:tcPr>
                  <w:tcW w:w="1276" w:type="dxa"/>
                  <w:noWrap w:val="0"/>
                  <w:vAlign w:val="center"/>
                </w:tcPr>
                <w:p>
                  <w:pPr>
                    <w:jc w:val="center"/>
                    <w:rPr>
                      <w:rFonts w:hint="default" w:eastAsia="宋体"/>
                      <w:szCs w:val="21"/>
                      <w:lang w:val="en-US" w:eastAsia="zh-CN"/>
                    </w:rPr>
                  </w:pPr>
                  <w:r>
                    <w:rPr>
                      <w:rFonts w:hint="eastAsia"/>
                      <w:szCs w:val="21"/>
                      <w:lang w:val="en-US" w:eastAsia="zh-CN"/>
                    </w:rPr>
                    <w:t>28</w:t>
                  </w:r>
                </w:p>
              </w:tc>
              <w:tc>
                <w:tcPr>
                  <w:tcW w:w="1701" w:type="dxa"/>
                  <w:noWrap w:val="0"/>
                  <w:vAlign w:val="center"/>
                </w:tcPr>
                <w:p>
                  <w:pPr>
                    <w:jc w:val="center"/>
                    <w:rPr>
                      <w:rFonts w:hint="eastAsia"/>
                      <w:szCs w:val="21"/>
                    </w:rPr>
                  </w:pPr>
                  <w:r>
                    <w:rPr>
                      <w:rFonts w:hint="eastAsia"/>
                      <w:szCs w:val="21"/>
                    </w:rPr>
                    <w:t>2</w:t>
                  </w:r>
                </w:p>
              </w:tc>
              <w:tc>
                <w:tcPr>
                  <w:tcW w:w="2268" w:type="dxa"/>
                  <w:noWrap w:val="0"/>
                  <w:vAlign w:val="center"/>
                </w:tcPr>
                <w:p>
                  <w:pPr>
                    <w:spacing w:line="240" w:lineRule="exact"/>
                    <w:jc w:val="center"/>
                    <w:rPr>
                      <w:rFonts w:hint="eastAsia"/>
                      <w:color w:val="000000"/>
                      <w:szCs w:val="21"/>
                    </w:rPr>
                  </w:pPr>
                  <w:r>
                    <w:rPr>
                      <w:rFonts w:hint="eastAsia"/>
                      <w:color w:val="000000"/>
                      <w:szCs w:val="21"/>
                    </w:rPr>
                    <w:t>0.014181</w:t>
                  </w:r>
                </w:p>
              </w:tc>
              <w:tc>
                <w:tcPr>
                  <w:tcW w:w="1549" w:type="dxa"/>
                  <w:noWrap w:val="0"/>
                  <w:vAlign w:val="center"/>
                </w:tcPr>
                <w:p>
                  <w:pPr>
                    <w:spacing w:line="240" w:lineRule="exact"/>
                    <w:jc w:val="center"/>
                    <w:rPr>
                      <w:rFonts w:hint="default" w:eastAsia="宋体"/>
                      <w:color w:val="000000"/>
                      <w:szCs w:val="21"/>
                      <w:lang w:val="en-US" w:eastAsia="zh-CN"/>
                    </w:rPr>
                  </w:pPr>
                  <w:r>
                    <w:rPr>
                      <w:rFonts w:hint="eastAsia"/>
                      <w:color w:val="000000"/>
                      <w:szCs w:val="21"/>
                      <w:lang w:val="en-US" w:eastAsia="zh-CN"/>
                    </w:rPr>
                    <w:t>0.71</w:t>
                  </w:r>
                </w:p>
              </w:tc>
            </w:tr>
          </w:tbl>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default"/>
                <w:sz w:val="24"/>
                <w:lang w:val="en-US"/>
              </w:rPr>
            </w:pPr>
            <w:r>
              <w:rPr>
                <w:rFonts w:hint="eastAsia"/>
                <w:sz w:val="24"/>
              </w:rPr>
              <w:t>由</w:t>
            </w:r>
            <w:r>
              <w:rPr>
                <w:rFonts w:hint="eastAsia"/>
                <w:sz w:val="24"/>
                <w:lang w:val="en-US" w:eastAsia="zh-CN"/>
              </w:rPr>
              <w:t>以上</w:t>
            </w:r>
            <w:r>
              <w:rPr>
                <w:rFonts w:hint="eastAsia"/>
                <w:sz w:val="24"/>
              </w:rPr>
              <w:t>预测</w:t>
            </w:r>
            <w:r>
              <w:rPr>
                <w:sz w:val="24"/>
              </w:rPr>
              <w:t>结果可知，</w:t>
            </w:r>
            <w:r>
              <w:rPr>
                <w:rFonts w:hint="eastAsia"/>
                <w:sz w:val="24"/>
              </w:rPr>
              <w:t>本项目非甲烷总烃最大地面质量浓度占标率为P</w:t>
            </w:r>
            <w:r>
              <w:rPr>
                <w:rFonts w:hint="eastAsia"/>
                <w:sz w:val="24"/>
                <w:vertAlign w:val="subscript"/>
              </w:rPr>
              <w:t>m</w:t>
            </w:r>
            <w:r>
              <w:rPr>
                <w:rFonts w:hint="eastAsia"/>
                <w:sz w:val="24"/>
                <w:szCs w:val="24"/>
                <w:vertAlign w:val="subscript"/>
              </w:rPr>
              <w:t>ax</w:t>
            </w:r>
            <w:r>
              <w:rPr>
                <w:rFonts w:hint="eastAsia"/>
                <w:sz w:val="24"/>
                <w:szCs w:val="24"/>
              </w:rPr>
              <w:t>=</w:t>
            </w:r>
            <w:r>
              <w:rPr>
                <w:rFonts w:hint="eastAsia"/>
                <w:sz w:val="24"/>
                <w:szCs w:val="24"/>
                <w:lang w:val="en-US" w:eastAsia="zh-CN"/>
              </w:rPr>
              <w:t>0.71</w:t>
            </w:r>
            <w:r>
              <w:rPr>
                <w:rFonts w:hint="eastAsia"/>
                <w:sz w:val="24"/>
                <w:szCs w:val="24"/>
              </w:rPr>
              <w:t>%</w:t>
            </w:r>
            <w:r>
              <w:rPr>
                <w:color w:val="000000"/>
                <w:sz w:val="24"/>
                <w:szCs w:val="24"/>
              </w:rPr>
              <w:t>≤1%</w:t>
            </w:r>
            <w:r>
              <w:rPr>
                <w:rFonts w:hint="eastAsia"/>
                <w:sz w:val="24"/>
                <w:lang w:eastAsia="zh-CN"/>
              </w:rPr>
              <w:t>，</w:t>
            </w:r>
            <w:r>
              <w:rPr>
                <w:rFonts w:hint="eastAsia"/>
                <w:sz w:val="24"/>
              </w:rPr>
              <w:t>根据</w:t>
            </w:r>
            <w:r>
              <w:rPr>
                <w:rFonts w:hint="eastAsia"/>
                <w:sz w:val="24"/>
                <w:szCs w:val="24"/>
              </w:rPr>
              <w:t>《环境影响评价技术导则-大气环境》（HJ2.2-2018）评价工作的分级判据</w:t>
            </w:r>
            <w:r>
              <w:rPr>
                <w:rFonts w:hint="eastAsia"/>
                <w:sz w:val="24"/>
              </w:rPr>
              <w:t>，本项目大气评价等级为</w:t>
            </w:r>
            <w:r>
              <w:rPr>
                <w:rFonts w:hint="eastAsia"/>
                <w:sz w:val="24"/>
                <w:lang w:val="en-US" w:eastAsia="zh-CN"/>
              </w:rPr>
              <w:t>三</w:t>
            </w:r>
            <w:r>
              <w:rPr>
                <w:rFonts w:hint="eastAsia"/>
                <w:sz w:val="24"/>
              </w:rPr>
              <w:t>级评价</w:t>
            </w:r>
            <w:r>
              <w:rPr>
                <w:rFonts w:hint="eastAsia"/>
                <w:sz w:val="24"/>
                <w:lang w:eastAsia="zh-CN"/>
              </w:rPr>
              <w:t>，</w:t>
            </w:r>
            <w:r>
              <w:rPr>
                <w:rFonts w:hint="eastAsia"/>
                <w:sz w:val="24"/>
                <w:lang w:val="en-US" w:eastAsia="zh-CN"/>
              </w:rPr>
              <w:t>三级评价项目不需设置大气环境影响评价范围，不进行进一步预测与评价。</w:t>
            </w:r>
          </w:p>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eastAsia"/>
                <w:sz w:val="24"/>
              </w:rPr>
            </w:pPr>
            <w:r>
              <w:rPr>
                <w:rFonts w:hint="eastAsia"/>
                <w:sz w:val="24"/>
              </w:rPr>
              <w:t>项目排放污染物对周围环境影响较小</w:t>
            </w:r>
            <w:r>
              <w:rPr>
                <w:rFonts w:hint="eastAsia"/>
                <w:sz w:val="24"/>
                <w:lang w:eastAsia="zh-CN"/>
              </w:rPr>
              <w:t>，</w:t>
            </w:r>
            <w:r>
              <w:rPr>
                <w:rFonts w:hint="eastAsia"/>
                <w:sz w:val="24"/>
              </w:rPr>
              <w:t>无组织非甲烷总烃四周厂界排放浓度值可满足《大气污染物综合排放标准》（</w:t>
            </w:r>
            <w:r>
              <w:rPr>
                <w:sz w:val="24"/>
              </w:rPr>
              <w:t>GB16297-1996</w:t>
            </w:r>
            <w:r>
              <w:rPr>
                <w:rFonts w:hint="eastAsia"/>
                <w:sz w:val="24"/>
              </w:rPr>
              <w:t>）表</w:t>
            </w:r>
            <w:r>
              <w:rPr>
                <w:sz w:val="24"/>
              </w:rPr>
              <w:t xml:space="preserve">2 </w:t>
            </w:r>
            <w:r>
              <w:rPr>
                <w:rFonts w:hint="eastAsia"/>
                <w:sz w:val="24"/>
              </w:rPr>
              <w:t>标准</w:t>
            </w:r>
            <w:r>
              <w:rPr>
                <w:rFonts w:hint="eastAsia"/>
                <w:sz w:val="24"/>
                <w:lang w:val="en-US" w:eastAsia="zh-CN"/>
              </w:rPr>
              <w:t>及</w:t>
            </w:r>
            <w:r>
              <w:rPr>
                <w:rFonts w:hint="eastAsia"/>
                <w:sz w:val="24"/>
              </w:rPr>
              <w:t>河南省环境污染防治攻坚战领导小组办公室《关于全省开展工业企业挥发性有机物专项治理工作中排放建议值的通知》（豫环攻坚办</w:t>
            </w:r>
            <w:r>
              <w:rPr>
                <w:sz w:val="24"/>
              </w:rPr>
              <w:t xml:space="preserve">[2017]162 </w:t>
            </w:r>
            <w:r>
              <w:rPr>
                <w:rFonts w:hint="eastAsia"/>
                <w:sz w:val="24"/>
              </w:rPr>
              <w:t>号）中企业边界挥发性有机物排放建议值的要求。</w:t>
            </w:r>
          </w:p>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eastAsia"/>
                <w:sz w:val="24"/>
              </w:rPr>
            </w:pPr>
            <w:r>
              <w:rPr>
                <w:rFonts w:hint="eastAsia"/>
                <w:sz w:val="24"/>
              </w:rPr>
              <w:t>1.5.3大气环境防护距离</w:t>
            </w:r>
          </w:p>
          <w:p>
            <w:pPr>
              <w:keepNext w:val="0"/>
              <w:keepLines w:val="0"/>
              <w:pageBreakBefore w:val="0"/>
              <w:widowControl w:val="0"/>
              <w:kinsoku/>
              <w:wordWrap/>
              <w:overflowPunct/>
              <w:topLinePunct w:val="0"/>
              <w:bidi w:val="0"/>
              <w:adjustRightInd w:val="0"/>
              <w:snapToGrid w:val="0"/>
              <w:spacing w:line="520" w:lineRule="exact"/>
              <w:ind w:firstLine="464" w:firstLineChars="200"/>
              <w:textAlignment w:val="auto"/>
              <w:rPr>
                <w:rFonts w:hint="eastAsia"/>
                <w:sz w:val="24"/>
                <w:highlight w:val="yellow"/>
              </w:rPr>
            </w:pPr>
            <w:r>
              <w:rPr>
                <w:rFonts w:ascii="Times New Roman" w:hAnsi="Times New Roman" w:cs="Times New Roman"/>
                <w:color w:val="auto"/>
                <w:spacing w:val="-4"/>
                <w:sz w:val="24"/>
                <w:szCs w:val="24"/>
              </w:rPr>
              <w:t>根据《环境影响评价技术导则——大气环境》（HJ2.2-2018），对于项目厂界浓度满足大气污染物厂界浓度限值，但厂界外大气污染物短期贡献浓度超过环境质量浓度限值的，可以自厂界外设置一定范围的大气环境防护区域，以确保大气环境防护区域外的污染物贡献浓度满足环境质量标准。</w:t>
            </w:r>
            <w:r>
              <w:rPr>
                <w:rFonts w:hint="eastAsia"/>
                <w:sz w:val="24"/>
              </w:rPr>
              <w:t>本项目无组织排放废气厂界浓度满足大气污染物厂界浓度限值，且厂界外大气</w:t>
            </w:r>
            <w:r>
              <w:rPr>
                <w:rFonts w:hint="eastAsia"/>
                <w:sz w:val="24"/>
                <w:highlight w:val="none"/>
              </w:rPr>
              <w:t>污染物短期贡献浓度未超过环境质量浓度限值，因此无需设置大气环境防护距离。</w:t>
            </w:r>
          </w:p>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eastAsia" w:ascii="Times New Roman" w:hAnsi="Times New Roman" w:cs="Times New Roman"/>
                <w:sz w:val="24"/>
                <w:lang w:eastAsia="zh-CN"/>
              </w:rPr>
            </w:pPr>
            <w:r>
              <w:rPr>
                <w:rFonts w:hint="eastAsia" w:ascii="Times New Roman" w:hAnsi="Times New Roman" w:cs="Times New Roman"/>
                <w:sz w:val="24"/>
              </w:rPr>
              <w:t>1.5.</w:t>
            </w: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自行监测计划</w:t>
            </w:r>
          </w:p>
          <w:p>
            <w:pPr>
              <w:pStyle w:val="97"/>
              <w:keepNext w:val="0"/>
              <w:keepLines w:val="0"/>
              <w:pageBreakBefore w:val="0"/>
              <w:widowControl w:val="0"/>
              <w:kinsoku/>
              <w:wordWrap/>
              <w:overflowPunct/>
              <w:topLinePunct w:val="0"/>
              <w:bidi w:val="0"/>
              <w:adjustRightInd w:val="0"/>
              <w:snapToGrid w:val="0"/>
              <w:spacing w:before="120" w:line="520" w:lineRule="exact"/>
              <w:ind w:firstLine="480" w:firstLineChars="200"/>
              <w:jc w:val="left"/>
              <w:textAlignment w:val="auto"/>
              <w:rPr>
                <w:rFonts w:hint="eastAsia" w:ascii="Times New Roman" w:hAnsi="Times New Roman" w:eastAsia="宋体" w:cs="Times New Roman"/>
                <w:b w:val="0"/>
                <w:bCs w:val="0"/>
                <w:color w:val="000000"/>
                <w:lang w:eastAsia="zh-CN"/>
              </w:rPr>
            </w:pPr>
            <w:r>
              <w:rPr>
                <w:rFonts w:hint="eastAsia" w:ascii="Times New Roman" w:cs="Times New Roman"/>
                <w:b w:val="0"/>
                <w:bCs w:val="0"/>
                <w:color w:val="000000"/>
                <w:lang w:eastAsia="zh-CN"/>
              </w:rPr>
              <w:t>项目自行监测计划见下表：</w:t>
            </w:r>
          </w:p>
          <w:p>
            <w:pPr>
              <w:pStyle w:val="97"/>
              <w:keepNext w:val="0"/>
              <w:keepLines w:val="0"/>
              <w:pageBreakBefore w:val="0"/>
              <w:widowControl w:val="0"/>
              <w:kinsoku/>
              <w:wordWrap/>
              <w:overflowPunct/>
              <w:topLinePunct w:val="0"/>
              <w:bidi w:val="0"/>
              <w:adjustRightInd w:val="0"/>
              <w:snapToGrid w:val="0"/>
              <w:spacing w:before="120" w:line="520" w:lineRule="exact"/>
              <w:jc w:val="center"/>
              <w:textAlignment w:val="auto"/>
              <w:rPr>
                <w:rFonts w:hint="default" w:ascii="Times New Roman" w:hAnsi="Times New Roman" w:cs="Times New Roman"/>
                <w:b/>
                <w:bCs/>
                <w:color w:val="000000"/>
              </w:rPr>
            </w:pPr>
            <w:r>
              <w:rPr>
                <w:rFonts w:hint="default" w:ascii="Times New Roman" w:hAnsi="Times New Roman" w:cs="Times New Roman"/>
                <w:b/>
                <w:bCs/>
                <w:color w:val="000000"/>
              </w:rPr>
              <w:t>表</w:t>
            </w:r>
            <w:r>
              <w:rPr>
                <w:rFonts w:hint="eastAsia" w:ascii="Times New Roman" w:cs="Times New Roman"/>
                <w:b/>
                <w:bCs/>
                <w:color w:val="000000"/>
                <w:lang w:val="en-US" w:eastAsia="zh-CN"/>
              </w:rPr>
              <w:t>34</w:t>
            </w:r>
            <w:r>
              <w:rPr>
                <w:rFonts w:hint="default" w:ascii="Times New Roman" w:hAnsi="Times New Roman" w:cs="Times New Roman"/>
                <w:b/>
                <w:bCs/>
                <w:color w:val="000000"/>
              </w:rPr>
              <w:t xml:space="preserve">  </w:t>
            </w:r>
            <w:r>
              <w:rPr>
                <w:rFonts w:hint="default" w:ascii="Times New Roman" w:hAnsi="Times New Roman" w:cs="Times New Roman"/>
                <w:b/>
                <w:bCs/>
                <w:color w:val="000000"/>
                <w:lang w:eastAsia="zh-CN"/>
              </w:rPr>
              <w:t>无组织废气监测计划表</w:t>
            </w:r>
          </w:p>
          <w:tbl>
            <w:tblPr>
              <w:tblStyle w:val="2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28" w:type="dxa"/>
                <w:left w:w="108" w:type="dxa"/>
                <w:bottom w:w="28" w:type="dxa"/>
                <w:right w:w="108" w:type="dxa"/>
              </w:tblCellMar>
            </w:tblPr>
            <w:tblGrid>
              <w:gridCol w:w="880"/>
              <w:gridCol w:w="763"/>
              <w:gridCol w:w="1381"/>
              <w:gridCol w:w="55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02" w:hRule="atLeast"/>
              </w:trPr>
              <w:tc>
                <w:tcPr>
                  <w:tcW w:w="956" w:type="dxa"/>
                  <w:noWrap w:val="0"/>
                  <w:vAlign w:val="center"/>
                </w:tcPr>
                <w:p>
                  <w:pPr>
                    <w:pStyle w:val="97"/>
                    <w:snapToGrid w:val="0"/>
                    <w:jc w:val="center"/>
                    <w:rPr>
                      <w:rFonts w:hint="default" w:ascii="Times New Roman" w:hAnsi="Times New Roman" w:eastAsia="宋体" w:cs="Times New Roman"/>
                      <w:b/>
                      <w:bCs/>
                      <w:color w:val="000000"/>
                      <w:sz w:val="21"/>
                      <w:szCs w:val="21"/>
                      <w:lang w:eastAsia="zh-CN"/>
                    </w:rPr>
                  </w:pPr>
                  <w:r>
                    <w:rPr>
                      <w:rFonts w:hint="default" w:ascii="Times New Roman" w:hAnsi="Times New Roman" w:cs="Times New Roman"/>
                      <w:b/>
                      <w:bCs/>
                      <w:color w:val="000000"/>
                      <w:sz w:val="21"/>
                      <w:szCs w:val="21"/>
                      <w:lang w:eastAsia="zh-CN"/>
                    </w:rPr>
                    <w:t>监测点位</w:t>
                  </w:r>
                </w:p>
              </w:tc>
              <w:tc>
                <w:tcPr>
                  <w:tcW w:w="825" w:type="dxa"/>
                  <w:noWrap w:val="0"/>
                  <w:vAlign w:val="center"/>
                </w:tcPr>
                <w:p>
                  <w:pPr>
                    <w:pStyle w:val="97"/>
                    <w:snapToGrid w:val="0"/>
                    <w:jc w:val="center"/>
                    <w:rPr>
                      <w:rFonts w:hint="default" w:ascii="Times New Roman" w:hAnsi="Times New Roman" w:eastAsia="宋体" w:cs="Times New Roman"/>
                      <w:b/>
                      <w:bCs/>
                      <w:color w:val="000000"/>
                      <w:sz w:val="21"/>
                      <w:szCs w:val="21"/>
                      <w:lang w:eastAsia="zh-CN"/>
                    </w:rPr>
                  </w:pPr>
                  <w:r>
                    <w:rPr>
                      <w:rFonts w:hint="default" w:ascii="Times New Roman" w:hAnsi="Times New Roman" w:cs="Times New Roman"/>
                      <w:b/>
                      <w:bCs/>
                      <w:color w:val="000000"/>
                      <w:sz w:val="21"/>
                      <w:szCs w:val="21"/>
                      <w:lang w:eastAsia="zh-CN"/>
                    </w:rPr>
                    <w:t>监测指标</w:t>
                  </w:r>
                </w:p>
              </w:tc>
              <w:tc>
                <w:tcPr>
                  <w:tcW w:w="1515" w:type="dxa"/>
                  <w:noWrap w:val="0"/>
                  <w:vAlign w:val="center"/>
                </w:tcPr>
                <w:p>
                  <w:pPr>
                    <w:pStyle w:val="97"/>
                    <w:snapToGrid w:val="0"/>
                    <w:jc w:val="center"/>
                    <w:rPr>
                      <w:rFonts w:hint="default" w:ascii="Times New Roman" w:hAnsi="Times New Roman" w:eastAsia="宋体" w:cs="Times New Roman"/>
                      <w:b/>
                      <w:bCs/>
                      <w:color w:val="000000"/>
                      <w:sz w:val="21"/>
                      <w:szCs w:val="21"/>
                      <w:lang w:eastAsia="zh-CN"/>
                    </w:rPr>
                  </w:pPr>
                  <w:r>
                    <w:rPr>
                      <w:rFonts w:hint="default" w:ascii="Times New Roman" w:hAnsi="Times New Roman" w:cs="Times New Roman"/>
                      <w:b/>
                      <w:bCs/>
                      <w:color w:val="000000"/>
                      <w:sz w:val="21"/>
                      <w:szCs w:val="21"/>
                      <w:lang w:eastAsia="zh-CN"/>
                    </w:rPr>
                    <w:t>监测频次</w:t>
                  </w:r>
                </w:p>
              </w:tc>
              <w:tc>
                <w:tcPr>
                  <w:tcW w:w="6224" w:type="dxa"/>
                  <w:noWrap w:val="0"/>
                  <w:vAlign w:val="center"/>
                </w:tcPr>
                <w:p>
                  <w:pPr>
                    <w:pStyle w:val="97"/>
                    <w:snapToGrid w:val="0"/>
                    <w:jc w:val="center"/>
                    <w:rPr>
                      <w:rFonts w:hint="default" w:ascii="Times New Roman" w:hAnsi="Times New Roman" w:eastAsia="宋体" w:cs="Times New Roman"/>
                      <w:b/>
                      <w:bCs/>
                      <w:color w:val="000000"/>
                      <w:sz w:val="21"/>
                      <w:szCs w:val="21"/>
                      <w:lang w:eastAsia="zh-CN"/>
                    </w:rPr>
                  </w:pPr>
                  <w:r>
                    <w:rPr>
                      <w:rFonts w:hint="default" w:ascii="Times New Roman" w:hAnsi="Times New Roman" w:cs="Times New Roman"/>
                      <w:b/>
                      <w:bCs/>
                      <w:color w:val="000000"/>
                      <w:sz w:val="21"/>
                      <w:szCs w:val="21"/>
                      <w:lang w:eastAsia="zh-CN"/>
                    </w:rPr>
                    <w:t>执行排放标准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10" w:hRule="atLeast"/>
              </w:trPr>
              <w:tc>
                <w:tcPr>
                  <w:tcW w:w="956" w:type="dxa"/>
                  <w:noWrap w:val="0"/>
                  <w:vAlign w:val="center"/>
                </w:tcPr>
                <w:p>
                  <w:pPr>
                    <w:pStyle w:val="97"/>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四周厂界</w:t>
                  </w:r>
                </w:p>
              </w:tc>
              <w:tc>
                <w:tcPr>
                  <w:tcW w:w="825" w:type="dxa"/>
                  <w:noWrap w:val="0"/>
                  <w:vAlign w:val="center"/>
                </w:tcPr>
                <w:p>
                  <w:pPr>
                    <w:pStyle w:val="97"/>
                    <w:snapToGrid w:val="0"/>
                    <w:jc w:val="center"/>
                    <w:rPr>
                      <w:rFonts w:hint="default" w:ascii="Times New Roman" w:hAnsi="Times New Roman" w:cs="Times New Roman"/>
                      <w:color w:val="000000"/>
                      <w:sz w:val="21"/>
                      <w:szCs w:val="21"/>
                    </w:rPr>
                  </w:pPr>
                  <w:r>
                    <w:rPr>
                      <w:rFonts w:hint="eastAsia" w:ascii="Times New Roman" w:hAnsi="Times New Roman"/>
                      <w:color w:val="000000"/>
                      <w:sz w:val="21"/>
                      <w:szCs w:val="21"/>
                      <w:lang w:val="en-US" w:eastAsia="zh-CN"/>
                    </w:rPr>
                    <w:t>VOCs</w:t>
                  </w:r>
                </w:p>
              </w:tc>
              <w:tc>
                <w:tcPr>
                  <w:tcW w:w="1515" w:type="dxa"/>
                  <w:noWrap w:val="0"/>
                  <w:vAlign w:val="center"/>
                </w:tcPr>
                <w:p>
                  <w:pPr>
                    <w:pStyle w:val="97"/>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eastAsia="zh-CN"/>
                    </w:rPr>
                    <w:t>每年监测一次</w:t>
                  </w:r>
                </w:p>
              </w:tc>
              <w:tc>
                <w:tcPr>
                  <w:tcW w:w="6224" w:type="dxa"/>
                  <w:noWrap w:val="0"/>
                  <w:vAlign w:val="center"/>
                </w:tcPr>
                <w:p>
                  <w:pPr>
                    <w:pStyle w:val="97"/>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《大气污染物综合排放标准》（</w:t>
                  </w:r>
                  <w:r>
                    <w:rPr>
                      <w:rFonts w:hint="default" w:ascii="Times New Roman" w:hAnsi="Times New Roman" w:cs="Times New Roman"/>
                      <w:color w:val="000000"/>
                      <w:sz w:val="21"/>
                      <w:szCs w:val="21"/>
                      <w:lang w:bidi="ar"/>
                    </w:rPr>
                    <w:t>GB16297-1996</w:t>
                  </w:r>
                  <w:r>
                    <w:rPr>
                      <w:rFonts w:hint="default" w:ascii="Times New Roman" w:hAnsi="Times New Roman" w:cs="Times New Roman"/>
                      <w:color w:val="000000"/>
                      <w:sz w:val="21"/>
                      <w:szCs w:val="21"/>
                    </w:rPr>
                    <w:t>）</w:t>
                  </w:r>
                  <w:r>
                    <w:rPr>
                      <w:rFonts w:hint="default" w:ascii="Times New Roman" w:hAnsi="Times New Roman" w:cs="Times New Roman"/>
                      <w:color w:val="000000"/>
                      <w:sz w:val="21"/>
                      <w:szCs w:val="21"/>
                      <w:lang w:eastAsia="zh-CN"/>
                    </w:rPr>
                    <w:t>表</w:t>
                  </w:r>
                  <w:r>
                    <w:rPr>
                      <w:rFonts w:hint="default" w:ascii="Times New Roman" w:hAnsi="Times New Roman" w:cs="Times New Roman"/>
                      <w:color w:val="000000"/>
                      <w:sz w:val="21"/>
                      <w:szCs w:val="21"/>
                      <w:lang w:val="en-US" w:eastAsia="zh-CN"/>
                    </w:rPr>
                    <w:t>2二级以及</w:t>
                  </w:r>
                  <w:r>
                    <w:rPr>
                      <w:rFonts w:hint="default" w:ascii="Times New Roman" w:hAnsi="Times New Roman" w:cs="Times New Roman"/>
                      <w:color w:val="000000"/>
                      <w:sz w:val="21"/>
                      <w:szCs w:val="21"/>
                    </w:rPr>
                    <w:t>《关于全省开展工业企业挥发性有机物专项治理工作中排放建议值的通知》</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豫环攻坚办[2017]162号</w:t>
                  </w:r>
                  <w:r>
                    <w:rPr>
                      <w:rFonts w:hint="default" w:ascii="Times New Roman" w:hAnsi="Times New Roman" w:cs="Times New Roman"/>
                      <w:color w:val="000000"/>
                      <w:sz w:val="21"/>
                      <w:szCs w:val="21"/>
                      <w:lang w:eastAsia="zh-CN"/>
                    </w:rPr>
                    <w:t>）标准要求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28" w:type="dxa"/>
                  <w:left w:w="108" w:type="dxa"/>
                  <w:bottom w:w="28" w:type="dxa"/>
                  <w:right w:w="108" w:type="dxa"/>
                </w:tblCellMar>
              </w:tblPrEx>
              <w:trPr>
                <w:trHeight w:val="310" w:hRule="atLeast"/>
              </w:trPr>
              <w:tc>
                <w:tcPr>
                  <w:tcW w:w="956" w:type="dxa"/>
                  <w:noWrap w:val="0"/>
                  <w:vAlign w:val="center"/>
                </w:tcPr>
                <w:p>
                  <w:pPr>
                    <w:pStyle w:val="97"/>
                    <w:snapToGrid w:val="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油气回收系统</w:t>
                  </w:r>
                </w:p>
              </w:tc>
              <w:tc>
                <w:tcPr>
                  <w:tcW w:w="825" w:type="dxa"/>
                  <w:noWrap w:val="0"/>
                  <w:vAlign w:val="center"/>
                </w:tcPr>
                <w:p>
                  <w:pPr>
                    <w:pStyle w:val="97"/>
                    <w:snapToGrid w:val="0"/>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密闭性、液阻、气液比</w:t>
                  </w:r>
                </w:p>
              </w:tc>
              <w:tc>
                <w:tcPr>
                  <w:tcW w:w="1515" w:type="dxa"/>
                  <w:noWrap w:val="0"/>
                  <w:vAlign w:val="center"/>
                </w:tcPr>
                <w:p>
                  <w:pPr>
                    <w:pStyle w:val="97"/>
                    <w:snapToGrid w:val="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每季度监测一次</w:t>
                  </w:r>
                </w:p>
              </w:tc>
              <w:tc>
                <w:tcPr>
                  <w:tcW w:w="6224" w:type="dxa"/>
                  <w:noWrap w:val="0"/>
                  <w:vAlign w:val="center"/>
                </w:tcPr>
                <w:p>
                  <w:pPr>
                    <w:pStyle w:val="97"/>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《加油站大气污染物排放标准》（GB20952-2007）的要求</w:t>
                  </w:r>
                </w:p>
              </w:tc>
            </w:tr>
          </w:tbl>
          <w:p>
            <w:pPr>
              <w:keepNext w:val="0"/>
              <w:keepLines w:val="0"/>
              <w:pageBreakBefore w:val="0"/>
              <w:widowControl w:val="0"/>
              <w:kinsoku/>
              <w:wordWrap/>
              <w:overflowPunct/>
              <w:topLinePunct w:val="0"/>
              <w:autoSpaceDE w:val="0"/>
              <w:autoSpaceDN w:val="0"/>
              <w:bidi w:val="0"/>
              <w:adjustRightInd w:val="0"/>
              <w:snapToGrid/>
              <w:spacing w:before="120" w:line="52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1.6</w:t>
            </w:r>
            <w:r>
              <w:rPr>
                <w:b/>
                <w:bCs/>
                <w:color w:val="auto"/>
                <w:sz w:val="24"/>
                <w:szCs w:val="24"/>
                <w:highlight w:val="none"/>
              </w:rPr>
              <w:t xml:space="preserve"> 密闭性、液阻和气液比</w:t>
            </w:r>
          </w:p>
          <w:p>
            <w:pPr>
              <w:keepNext w:val="0"/>
              <w:keepLines w:val="0"/>
              <w:pageBreakBefore w:val="0"/>
              <w:widowControl w:val="0"/>
              <w:kinsoku/>
              <w:wordWrap/>
              <w:overflowPunct/>
              <w:topLinePunct w:val="0"/>
              <w:autoSpaceDE w:val="0"/>
              <w:autoSpaceDN w:val="0"/>
              <w:bidi w:val="0"/>
              <w:adjustRightInd w:val="0"/>
              <w:spacing w:line="520" w:lineRule="exact"/>
              <w:ind w:firstLine="480" w:firstLineChars="200"/>
              <w:textAlignment w:val="auto"/>
              <w:rPr>
                <w:color w:val="000000"/>
                <w:sz w:val="24"/>
                <w:szCs w:val="22"/>
                <w:highlight w:val="none"/>
              </w:rPr>
            </w:pPr>
            <w:r>
              <w:rPr>
                <w:rFonts w:hint="eastAsia"/>
                <w:color w:val="000000"/>
                <w:sz w:val="24"/>
                <w:highlight w:val="none"/>
                <w:lang w:val="en-US" w:eastAsia="zh-CN"/>
              </w:rPr>
              <w:t>新乡市凤泉区利民加油站</w:t>
            </w:r>
            <w:r>
              <w:rPr>
                <w:color w:val="000000"/>
                <w:sz w:val="24"/>
                <w:highlight w:val="none"/>
              </w:rPr>
              <w:t>委托</w:t>
            </w:r>
            <w:r>
              <w:rPr>
                <w:rFonts w:hint="eastAsia"/>
                <w:bCs/>
                <w:color w:val="000000"/>
                <w:kern w:val="0"/>
                <w:sz w:val="24"/>
                <w:szCs w:val="24"/>
                <w:highlight w:val="none"/>
                <w:lang w:eastAsia="zh-CN"/>
              </w:rPr>
              <w:t>河南奇峰检测技术有限公司</w:t>
            </w:r>
            <w:r>
              <w:rPr>
                <w:color w:val="000000"/>
                <w:sz w:val="24"/>
                <w:szCs w:val="22"/>
                <w:highlight w:val="none"/>
              </w:rPr>
              <w:t>于</w:t>
            </w:r>
            <w:r>
              <w:rPr>
                <w:rFonts w:hint="eastAsia"/>
                <w:color w:val="000000"/>
                <w:sz w:val="24"/>
                <w:szCs w:val="22"/>
                <w:highlight w:val="none"/>
              </w:rPr>
              <w:t>20</w:t>
            </w:r>
            <w:r>
              <w:rPr>
                <w:rFonts w:hint="eastAsia"/>
                <w:color w:val="000000"/>
                <w:sz w:val="24"/>
                <w:szCs w:val="22"/>
                <w:highlight w:val="none"/>
                <w:lang w:val="en-US" w:eastAsia="zh-CN"/>
              </w:rPr>
              <w:t>20</w:t>
            </w:r>
            <w:r>
              <w:rPr>
                <w:color w:val="000000"/>
                <w:sz w:val="24"/>
                <w:szCs w:val="22"/>
                <w:highlight w:val="none"/>
              </w:rPr>
              <w:t>年</w:t>
            </w:r>
            <w:r>
              <w:rPr>
                <w:rFonts w:hint="eastAsia"/>
                <w:color w:val="000000"/>
                <w:sz w:val="24"/>
                <w:szCs w:val="22"/>
                <w:highlight w:val="none"/>
                <w:lang w:val="en-US" w:eastAsia="zh-CN"/>
              </w:rPr>
              <w:t>9</w:t>
            </w:r>
            <w:r>
              <w:rPr>
                <w:color w:val="000000"/>
                <w:sz w:val="24"/>
                <w:szCs w:val="22"/>
                <w:highlight w:val="none"/>
              </w:rPr>
              <w:t>月</w:t>
            </w:r>
            <w:r>
              <w:rPr>
                <w:rFonts w:hint="eastAsia"/>
                <w:color w:val="000000"/>
                <w:sz w:val="24"/>
                <w:szCs w:val="22"/>
                <w:highlight w:val="none"/>
                <w:lang w:val="en-US" w:eastAsia="zh-CN"/>
              </w:rPr>
              <w:t>7</w:t>
            </w:r>
            <w:r>
              <w:rPr>
                <w:color w:val="000000"/>
                <w:sz w:val="24"/>
                <w:szCs w:val="22"/>
                <w:highlight w:val="none"/>
              </w:rPr>
              <w:t>日对该加油站油气回收系统的液阻、密闭性、气液比进行了现场检测，检测结果</w:t>
            </w:r>
            <w:r>
              <w:rPr>
                <w:rFonts w:hint="eastAsia"/>
                <w:color w:val="000000"/>
                <w:sz w:val="24"/>
                <w:szCs w:val="22"/>
                <w:highlight w:val="none"/>
              </w:rPr>
              <w:t>合格（附件</w:t>
            </w:r>
            <w:r>
              <w:rPr>
                <w:rFonts w:hint="eastAsia"/>
                <w:color w:val="000000"/>
                <w:sz w:val="24"/>
                <w:szCs w:val="22"/>
                <w:highlight w:val="none"/>
                <w:lang w:val="en-US" w:eastAsia="zh-CN"/>
              </w:rPr>
              <w:t>11</w:t>
            </w:r>
            <w:r>
              <w:rPr>
                <w:rFonts w:hint="eastAsia"/>
                <w:color w:val="000000"/>
                <w:sz w:val="24"/>
                <w:szCs w:val="22"/>
                <w:highlight w:val="none"/>
              </w:rPr>
              <w:t>）</w:t>
            </w:r>
            <w:r>
              <w:rPr>
                <w:rFonts w:hint="eastAsia"/>
                <w:color w:val="000000"/>
                <w:sz w:val="24"/>
                <w:szCs w:val="22"/>
                <w:highlight w:val="none"/>
                <w:lang w:eastAsia="zh-CN"/>
              </w:rPr>
              <w:t>，</w:t>
            </w:r>
            <w:r>
              <w:rPr>
                <w:rFonts w:hint="eastAsia"/>
                <w:color w:val="000000"/>
                <w:sz w:val="24"/>
                <w:szCs w:val="22"/>
                <w:highlight w:val="none"/>
              </w:rPr>
              <w:t>检测结果如下：</w:t>
            </w:r>
          </w:p>
          <w:p>
            <w:pPr>
              <w:keepNext w:val="0"/>
              <w:keepLines w:val="0"/>
              <w:pageBreakBefore w:val="0"/>
              <w:widowControl w:val="0"/>
              <w:kinsoku/>
              <w:wordWrap/>
              <w:overflowPunct/>
              <w:topLinePunct w:val="0"/>
              <w:autoSpaceDE w:val="0"/>
              <w:autoSpaceDN w:val="0"/>
              <w:bidi w:val="0"/>
              <w:adjustRightInd w:val="0"/>
              <w:spacing w:line="520" w:lineRule="exact"/>
              <w:ind w:firstLine="456"/>
              <w:textAlignment w:val="auto"/>
              <w:rPr>
                <w:b w:val="0"/>
                <w:bCs w:val="0"/>
                <w:color w:val="000000"/>
                <w:sz w:val="24"/>
                <w:szCs w:val="24"/>
                <w:highlight w:val="none"/>
              </w:rPr>
            </w:pPr>
            <w:r>
              <w:rPr>
                <w:rFonts w:hint="eastAsia"/>
                <w:b w:val="0"/>
                <w:bCs w:val="0"/>
                <w:color w:val="000000"/>
                <w:sz w:val="24"/>
                <w:szCs w:val="24"/>
                <w:highlight w:val="none"/>
                <w:lang w:val="en-US" w:eastAsia="zh-CN"/>
              </w:rPr>
              <w:t>1.6.1</w:t>
            </w:r>
            <w:r>
              <w:rPr>
                <w:b w:val="0"/>
                <w:bCs w:val="0"/>
                <w:color w:val="000000"/>
                <w:sz w:val="24"/>
                <w:szCs w:val="24"/>
                <w:highlight w:val="none"/>
              </w:rPr>
              <w:t>密闭性</w:t>
            </w:r>
          </w:p>
          <w:p>
            <w:pPr>
              <w:keepNext w:val="0"/>
              <w:keepLines w:val="0"/>
              <w:pageBreakBefore w:val="0"/>
              <w:widowControl w:val="0"/>
              <w:kinsoku/>
              <w:wordWrap/>
              <w:overflowPunct/>
              <w:topLinePunct w:val="0"/>
              <w:autoSpaceDE w:val="0"/>
              <w:autoSpaceDN w:val="0"/>
              <w:bidi w:val="0"/>
              <w:adjustRightInd w:val="0"/>
              <w:spacing w:line="520" w:lineRule="exact"/>
              <w:ind w:firstLine="456"/>
              <w:textAlignment w:val="auto"/>
              <w:rPr>
                <w:b/>
                <w:bCs/>
                <w:color w:val="000000"/>
                <w:sz w:val="24"/>
                <w:szCs w:val="24"/>
                <w:highlight w:val="none"/>
              </w:rPr>
            </w:pPr>
            <w:r>
              <w:rPr>
                <w:bCs/>
                <w:color w:val="000000"/>
                <w:kern w:val="0"/>
                <w:sz w:val="24"/>
                <w:szCs w:val="24"/>
                <w:highlight w:val="none"/>
              </w:rPr>
              <w:t>项目油气回收系统密闭性检测结果见</w:t>
            </w:r>
            <w:r>
              <w:rPr>
                <w:rFonts w:hint="eastAsia"/>
                <w:bCs/>
                <w:color w:val="000000"/>
                <w:kern w:val="0"/>
                <w:sz w:val="24"/>
                <w:szCs w:val="24"/>
                <w:highlight w:val="none"/>
                <w:lang w:val="en-US" w:eastAsia="zh-CN"/>
              </w:rPr>
              <w:t>表</w:t>
            </w:r>
            <w:r>
              <w:rPr>
                <w:rFonts w:hint="eastAsia"/>
                <w:bCs/>
                <w:color w:val="000000"/>
                <w:kern w:val="0"/>
                <w:sz w:val="24"/>
                <w:szCs w:val="24"/>
                <w:highlight w:val="none"/>
              </w:rPr>
              <w:t>3</w:t>
            </w:r>
            <w:r>
              <w:rPr>
                <w:rFonts w:hint="eastAsia"/>
                <w:bCs/>
                <w:color w:val="000000"/>
                <w:kern w:val="0"/>
                <w:sz w:val="24"/>
                <w:szCs w:val="24"/>
                <w:highlight w:val="none"/>
                <w:lang w:val="en-US" w:eastAsia="zh-CN"/>
              </w:rPr>
              <w:t>5</w:t>
            </w:r>
            <w:r>
              <w:rPr>
                <w:bCs/>
                <w:color w:val="000000"/>
                <w:kern w:val="0"/>
                <w:sz w:val="24"/>
                <w:szCs w:val="24"/>
                <w:highlight w:val="none"/>
              </w:rPr>
              <w:t>。</w:t>
            </w:r>
          </w:p>
          <w:p>
            <w:pPr>
              <w:pStyle w:val="97"/>
              <w:keepNext w:val="0"/>
              <w:keepLines w:val="0"/>
              <w:pageBreakBefore w:val="0"/>
              <w:widowControl w:val="0"/>
              <w:kinsoku/>
              <w:wordWrap/>
              <w:overflowPunct/>
              <w:topLinePunct w:val="0"/>
              <w:autoSpaceDE w:val="0"/>
              <w:autoSpaceDN w:val="0"/>
              <w:bidi w:val="0"/>
              <w:adjustRightInd w:val="0"/>
              <w:snapToGrid w:val="0"/>
              <w:spacing w:before="120" w:line="520" w:lineRule="exact"/>
              <w:jc w:val="center"/>
              <w:textAlignment w:val="auto"/>
              <w:rPr>
                <w:rFonts w:hint="default" w:ascii="Times New Roman" w:hAnsi="Times New Roman" w:cs="Times New Roman"/>
                <w:b/>
                <w:bCs/>
                <w:color w:val="000000"/>
              </w:rPr>
            </w:pPr>
            <w:r>
              <w:rPr>
                <w:rFonts w:hint="default" w:ascii="Times New Roman" w:hAnsi="Times New Roman" w:cs="Times New Roman"/>
                <w:b/>
                <w:bCs/>
                <w:color w:val="000000"/>
              </w:rPr>
              <w:t>表</w:t>
            </w:r>
            <w:r>
              <w:rPr>
                <w:rFonts w:hint="eastAsia" w:ascii="Times New Roman" w:hAnsi="Times New Roman" w:cs="Times New Roman"/>
                <w:b/>
                <w:bCs/>
                <w:color w:val="000000"/>
              </w:rPr>
              <w:t>3</w:t>
            </w:r>
            <w:r>
              <w:rPr>
                <w:rFonts w:hint="eastAsia" w:ascii="Times New Roman" w:cs="Times New Roman"/>
                <w:b/>
                <w:bCs/>
                <w:color w:val="000000"/>
                <w:lang w:val="en-US" w:eastAsia="zh-CN"/>
              </w:rPr>
              <w:t>5</w:t>
            </w:r>
            <w:r>
              <w:rPr>
                <w:rFonts w:hint="default" w:ascii="Times New Roman" w:hAnsi="Times New Roman" w:cs="Times New Roman"/>
                <w:b/>
                <w:bCs/>
                <w:color w:val="000000"/>
              </w:rPr>
              <w:t xml:space="preserve">  油气回收系统密闭性检测结果</w:t>
            </w:r>
          </w:p>
          <w:tbl>
            <w:tblPr>
              <w:tblStyle w:val="2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2381"/>
              <w:gridCol w:w="2220"/>
              <w:gridCol w:w="2361"/>
              <w:gridCol w:w="16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b/>
                      <w:bCs/>
                      <w:color w:val="000000"/>
                      <w:sz w:val="21"/>
                      <w:szCs w:val="21"/>
                      <w:highlight w:val="none"/>
                    </w:rPr>
                  </w:pPr>
                  <w:r>
                    <w:rPr>
                      <w:b/>
                      <w:bCs/>
                      <w:color w:val="000000"/>
                      <w:sz w:val="21"/>
                      <w:szCs w:val="21"/>
                      <w:highlight w:val="none"/>
                    </w:rPr>
                    <w:t>油罐编号</w:t>
                  </w:r>
                </w:p>
              </w:tc>
              <w:tc>
                <w:tcPr>
                  <w:tcW w:w="2220" w:type="dxa"/>
                  <w:noWrap w:val="0"/>
                  <w:vAlign w:val="center"/>
                </w:tcPr>
                <w:p>
                  <w:pPr>
                    <w:autoSpaceDE w:val="0"/>
                    <w:autoSpaceDN w:val="0"/>
                    <w:adjustRightInd w:val="0"/>
                    <w:snapToGrid w:val="0"/>
                    <w:jc w:val="center"/>
                    <w:rPr>
                      <w:b/>
                      <w:bCs/>
                      <w:color w:val="000000"/>
                      <w:sz w:val="21"/>
                      <w:szCs w:val="21"/>
                      <w:highlight w:val="none"/>
                    </w:rPr>
                  </w:pPr>
                  <w:r>
                    <w:rPr>
                      <w:b/>
                      <w:bCs/>
                      <w:color w:val="000000"/>
                      <w:sz w:val="21"/>
                      <w:szCs w:val="21"/>
                      <w:highlight w:val="none"/>
                    </w:rPr>
                    <w:t>1</w:t>
                  </w:r>
                </w:p>
              </w:tc>
              <w:tc>
                <w:tcPr>
                  <w:tcW w:w="2361" w:type="dxa"/>
                  <w:noWrap w:val="0"/>
                  <w:vAlign w:val="center"/>
                </w:tcPr>
                <w:p>
                  <w:pPr>
                    <w:autoSpaceDE w:val="0"/>
                    <w:autoSpaceDN w:val="0"/>
                    <w:adjustRightInd w:val="0"/>
                    <w:snapToGrid w:val="0"/>
                    <w:jc w:val="center"/>
                    <w:rPr>
                      <w:b/>
                      <w:bCs/>
                      <w:color w:val="000000"/>
                      <w:sz w:val="21"/>
                      <w:szCs w:val="21"/>
                      <w:highlight w:val="none"/>
                    </w:rPr>
                  </w:pPr>
                  <w:r>
                    <w:rPr>
                      <w:b/>
                      <w:bCs/>
                      <w:color w:val="000000"/>
                      <w:sz w:val="21"/>
                      <w:szCs w:val="21"/>
                      <w:highlight w:val="none"/>
                    </w:rPr>
                    <w:t>2</w:t>
                  </w:r>
                </w:p>
              </w:tc>
              <w:tc>
                <w:tcPr>
                  <w:tcW w:w="1661" w:type="dxa"/>
                  <w:vMerge w:val="restart"/>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连通油罐回收气管回到罐体内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汽油标号</w:t>
                  </w:r>
                </w:p>
              </w:tc>
              <w:tc>
                <w:tcPr>
                  <w:tcW w:w="2220"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92#</w:t>
                  </w:r>
                </w:p>
              </w:tc>
              <w:tc>
                <w:tcPr>
                  <w:tcW w:w="236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95#</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油罐容积（L）</w:t>
                  </w:r>
                </w:p>
              </w:tc>
              <w:tc>
                <w:tcPr>
                  <w:tcW w:w="2220" w:type="dxa"/>
                  <w:noWrap w:val="0"/>
                  <w:vAlign w:val="center"/>
                </w:tcPr>
                <w:p>
                  <w:pPr>
                    <w:autoSpaceDE w:val="0"/>
                    <w:autoSpaceDN w:val="0"/>
                    <w:adjustRightInd w:val="0"/>
                    <w:snapToGrid w:val="0"/>
                    <w:jc w:val="center"/>
                    <w:rPr>
                      <w:color w:val="000000"/>
                      <w:sz w:val="21"/>
                      <w:szCs w:val="21"/>
                      <w:highlight w:val="none"/>
                    </w:rPr>
                  </w:pPr>
                  <w:r>
                    <w:rPr>
                      <w:rFonts w:hint="eastAsia"/>
                      <w:color w:val="000000"/>
                      <w:sz w:val="21"/>
                      <w:szCs w:val="21"/>
                      <w:highlight w:val="none"/>
                      <w:lang w:val="en-US" w:eastAsia="zh-CN"/>
                    </w:rPr>
                    <w:t>20</w:t>
                  </w:r>
                  <w:r>
                    <w:rPr>
                      <w:color w:val="000000"/>
                      <w:sz w:val="21"/>
                      <w:szCs w:val="21"/>
                      <w:highlight w:val="none"/>
                    </w:rPr>
                    <w:t>000</w:t>
                  </w:r>
                </w:p>
              </w:tc>
              <w:tc>
                <w:tcPr>
                  <w:tcW w:w="2361" w:type="dxa"/>
                  <w:noWrap w:val="0"/>
                  <w:vAlign w:val="center"/>
                </w:tcPr>
                <w:p>
                  <w:pPr>
                    <w:autoSpaceDE w:val="0"/>
                    <w:autoSpaceDN w:val="0"/>
                    <w:adjustRightInd w:val="0"/>
                    <w:snapToGrid w:val="0"/>
                    <w:jc w:val="center"/>
                    <w:rPr>
                      <w:color w:val="000000"/>
                      <w:sz w:val="21"/>
                      <w:szCs w:val="21"/>
                      <w:highlight w:val="none"/>
                    </w:rPr>
                  </w:pPr>
                  <w:r>
                    <w:rPr>
                      <w:rFonts w:hint="eastAsia"/>
                      <w:color w:val="000000"/>
                      <w:sz w:val="21"/>
                      <w:szCs w:val="21"/>
                      <w:highlight w:val="none"/>
                      <w:lang w:val="en-US" w:eastAsia="zh-CN"/>
                    </w:rPr>
                    <w:t>20</w:t>
                  </w:r>
                  <w:r>
                    <w:rPr>
                      <w:color w:val="000000"/>
                      <w:sz w:val="21"/>
                      <w:szCs w:val="21"/>
                      <w:highlight w:val="none"/>
                    </w:rPr>
                    <w:t>000</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汽油容积（L）</w:t>
                  </w:r>
                </w:p>
              </w:tc>
              <w:tc>
                <w:tcPr>
                  <w:tcW w:w="2220" w:type="dxa"/>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11900</w:t>
                  </w:r>
                </w:p>
              </w:tc>
              <w:tc>
                <w:tcPr>
                  <w:tcW w:w="2361" w:type="dxa"/>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11100</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rFonts w:hint="eastAsia" w:eastAsia="宋体"/>
                      <w:color w:val="000000"/>
                      <w:sz w:val="21"/>
                      <w:szCs w:val="21"/>
                      <w:highlight w:val="none"/>
                      <w:lang w:eastAsia="zh-CN"/>
                    </w:rPr>
                  </w:pPr>
                  <w:r>
                    <w:rPr>
                      <w:rFonts w:hint="eastAsia"/>
                      <w:color w:val="000000"/>
                      <w:sz w:val="21"/>
                      <w:szCs w:val="21"/>
                      <w:highlight w:val="none"/>
                      <w:lang w:eastAsia="zh-CN"/>
                    </w:rPr>
                    <w:t>油气空间</w:t>
                  </w:r>
                  <w:r>
                    <w:rPr>
                      <w:color w:val="000000"/>
                      <w:sz w:val="21"/>
                      <w:szCs w:val="21"/>
                      <w:highlight w:val="none"/>
                    </w:rPr>
                    <w:t>（L）</w:t>
                  </w:r>
                </w:p>
              </w:tc>
              <w:tc>
                <w:tcPr>
                  <w:tcW w:w="2220" w:type="dxa"/>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8100</w:t>
                  </w:r>
                </w:p>
              </w:tc>
              <w:tc>
                <w:tcPr>
                  <w:tcW w:w="2361" w:type="dxa"/>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8900</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总油气空间</w:t>
                  </w:r>
                  <w:r>
                    <w:rPr>
                      <w:color w:val="000000"/>
                      <w:sz w:val="21"/>
                      <w:szCs w:val="21"/>
                      <w:highlight w:val="none"/>
                    </w:rPr>
                    <w:t>（L）</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17000</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初始压力（Pa）</w:t>
                  </w:r>
                </w:p>
              </w:tc>
              <w:tc>
                <w:tcPr>
                  <w:tcW w:w="4581" w:type="dxa"/>
                  <w:gridSpan w:val="2"/>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500</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301" w:hRule="atLeast"/>
              </w:trPr>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1min之后的压力（Pa）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499</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2min之后的压力（Pa）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498</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3min之后的压力（Pa）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498</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4min之后的压力（Pa）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497</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5min之后的压力（Pa）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497</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最小剩余压力（Pa）</w:t>
                  </w:r>
                </w:p>
              </w:tc>
              <w:tc>
                <w:tcPr>
                  <w:tcW w:w="4581" w:type="dxa"/>
                  <w:gridSpan w:val="2"/>
                  <w:noWrap w:val="0"/>
                  <w:vAlign w:val="center"/>
                </w:tcPr>
                <w:p>
                  <w:pPr>
                    <w:autoSpaceDE w:val="0"/>
                    <w:autoSpaceDN w:val="0"/>
                    <w:adjustRightInd w:val="0"/>
                    <w:snapToGrid w:val="0"/>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446</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381" w:type="dxa"/>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是否达标</w:t>
                  </w:r>
                </w:p>
              </w:tc>
              <w:tc>
                <w:tcPr>
                  <w:tcW w:w="4581" w:type="dxa"/>
                  <w:gridSpan w:val="2"/>
                  <w:noWrap w:val="0"/>
                  <w:vAlign w:val="center"/>
                </w:tcPr>
                <w:p>
                  <w:pPr>
                    <w:autoSpaceDE w:val="0"/>
                    <w:autoSpaceDN w:val="0"/>
                    <w:adjustRightInd w:val="0"/>
                    <w:snapToGrid w:val="0"/>
                    <w:jc w:val="center"/>
                    <w:rPr>
                      <w:color w:val="000000"/>
                      <w:sz w:val="21"/>
                      <w:szCs w:val="21"/>
                      <w:highlight w:val="none"/>
                    </w:rPr>
                  </w:pPr>
                  <w:r>
                    <w:rPr>
                      <w:color w:val="000000"/>
                      <w:sz w:val="21"/>
                      <w:szCs w:val="21"/>
                      <w:highlight w:val="none"/>
                    </w:rPr>
                    <w:t>达标</w:t>
                  </w:r>
                </w:p>
              </w:tc>
              <w:tc>
                <w:tcPr>
                  <w:tcW w:w="1661" w:type="dxa"/>
                  <w:vMerge w:val="continue"/>
                  <w:noWrap w:val="0"/>
                  <w:vAlign w:val="center"/>
                </w:tcPr>
                <w:p>
                  <w:pPr>
                    <w:autoSpaceDE w:val="0"/>
                    <w:autoSpaceDN w:val="0"/>
                    <w:adjustRightInd w:val="0"/>
                    <w:snapToGrid w:val="0"/>
                    <w:jc w:val="center"/>
                    <w:rPr>
                      <w:color w:val="000000"/>
                      <w:sz w:val="21"/>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bCs/>
                <w:color w:val="000000"/>
                <w:kern w:val="0"/>
                <w:sz w:val="24"/>
                <w:szCs w:val="24"/>
                <w:highlight w:val="none"/>
              </w:rPr>
            </w:pPr>
            <w:r>
              <w:rPr>
                <w:bCs/>
                <w:color w:val="000000"/>
                <w:kern w:val="0"/>
                <w:sz w:val="24"/>
                <w:szCs w:val="24"/>
                <w:highlight w:val="none"/>
              </w:rPr>
              <w:t>根据表</w:t>
            </w:r>
            <w:r>
              <w:rPr>
                <w:rFonts w:hint="eastAsia"/>
                <w:bCs/>
                <w:color w:val="000000"/>
                <w:kern w:val="0"/>
                <w:sz w:val="24"/>
                <w:szCs w:val="24"/>
                <w:highlight w:val="none"/>
              </w:rPr>
              <w:t>3</w:t>
            </w:r>
            <w:r>
              <w:rPr>
                <w:rFonts w:hint="eastAsia"/>
                <w:bCs/>
                <w:color w:val="000000"/>
                <w:kern w:val="0"/>
                <w:sz w:val="24"/>
                <w:szCs w:val="24"/>
                <w:highlight w:val="none"/>
                <w:lang w:val="en-US" w:eastAsia="zh-CN"/>
              </w:rPr>
              <w:t>5</w:t>
            </w:r>
            <w:r>
              <w:rPr>
                <w:bCs/>
                <w:color w:val="000000"/>
                <w:kern w:val="0"/>
                <w:sz w:val="24"/>
                <w:szCs w:val="24"/>
                <w:highlight w:val="none"/>
              </w:rPr>
              <w:t>可知，项目油气回收系统密闭性检测结果符合《加油站大气污染物排放标准》（GB20952-2007）的要求，密闭性检测结果达标。</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b w:val="0"/>
                <w:bCs/>
                <w:color w:val="000000"/>
                <w:sz w:val="24"/>
                <w:szCs w:val="24"/>
                <w:highlight w:val="none"/>
              </w:rPr>
            </w:pPr>
            <w:r>
              <w:rPr>
                <w:rFonts w:hint="eastAsia"/>
                <w:b w:val="0"/>
                <w:bCs/>
                <w:color w:val="000000"/>
                <w:kern w:val="0"/>
                <w:sz w:val="24"/>
                <w:szCs w:val="24"/>
                <w:highlight w:val="none"/>
                <w:lang w:val="en-US" w:eastAsia="zh-CN"/>
              </w:rPr>
              <w:t>1.6.2</w:t>
            </w:r>
            <w:r>
              <w:rPr>
                <w:b w:val="0"/>
                <w:bCs/>
                <w:color w:val="000000"/>
                <w:sz w:val="24"/>
                <w:szCs w:val="24"/>
                <w:highlight w:val="none"/>
              </w:rPr>
              <w:t>液阻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56"/>
              <w:textAlignment w:val="auto"/>
              <w:rPr>
                <w:bCs/>
                <w:color w:val="000000"/>
                <w:kern w:val="0"/>
                <w:sz w:val="24"/>
                <w:szCs w:val="24"/>
                <w:highlight w:val="none"/>
              </w:rPr>
            </w:pPr>
            <w:r>
              <w:rPr>
                <w:bCs/>
                <w:color w:val="000000"/>
                <w:kern w:val="0"/>
                <w:sz w:val="24"/>
                <w:szCs w:val="24"/>
                <w:highlight w:val="none"/>
              </w:rPr>
              <w:t>项目加油油气回收管线液阻检测结果见表</w:t>
            </w:r>
            <w:r>
              <w:rPr>
                <w:rFonts w:hint="eastAsia"/>
                <w:bCs/>
                <w:color w:val="000000"/>
                <w:kern w:val="0"/>
                <w:sz w:val="24"/>
                <w:szCs w:val="24"/>
                <w:highlight w:val="none"/>
              </w:rPr>
              <w:t>3</w:t>
            </w:r>
            <w:r>
              <w:rPr>
                <w:rFonts w:hint="eastAsia"/>
                <w:bCs/>
                <w:color w:val="000000"/>
                <w:kern w:val="0"/>
                <w:sz w:val="24"/>
                <w:szCs w:val="24"/>
                <w:highlight w:val="none"/>
                <w:lang w:val="en-US" w:eastAsia="zh-CN"/>
              </w:rPr>
              <w:t>6</w:t>
            </w:r>
            <w:r>
              <w:rPr>
                <w:bCs/>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b/>
                <w:color w:val="000000"/>
                <w:kern w:val="0"/>
                <w:sz w:val="24"/>
                <w:szCs w:val="24"/>
              </w:rPr>
            </w:pPr>
            <w:r>
              <w:rPr>
                <w:b/>
                <w:color w:val="000000"/>
                <w:kern w:val="0"/>
                <w:sz w:val="24"/>
                <w:szCs w:val="24"/>
              </w:rPr>
              <w:t>表</w:t>
            </w:r>
            <w:r>
              <w:rPr>
                <w:rFonts w:hint="eastAsia"/>
                <w:b/>
                <w:color w:val="000000"/>
                <w:kern w:val="0"/>
                <w:sz w:val="24"/>
                <w:szCs w:val="24"/>
              </w:rPr>
              <w:t>3</w:t>
            </w:r>
            <w:r>
              <w:rPr>
                <w:rFonts w:hint="eastAsia"/>
                <w:b/>
                <w:color w:val="000000"/>
                <w:kern w:val="0"/>
                <w:sz w:val="24"/>
                <w:szCs w:val="24"/>
                <w:lang w:val="en-US" w:eastAsia="zh-CN"/>
              </w:rPr>
              <w:t xml:space="preserve">6 </w:t>
            </w:r>
            <w:r>
              <w:rPr>
                <w:b/>
                <w:color w:val="000000"/>
                <w:kern w:val="0"/>
                <w:sz w:val="24"/>
                <w:szCs w:val="24"/>
              </w:rPr>
              <w:t xml:space="preserve">  加油站油气回收管线液阻检测结果</w:t>
            </w:r>
          </w:p>
          <w:tbl>
            <w:tblPr>
              <w:tblStyle w:val="21"/>
              <w:tblW w:w="8625"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1437"/>
              <w:gridCol w:w="1437"/>
              <w:gridCol w:w="1437"/>
              <w:gridCol w:w="1437"/>
              <w:gridCol w:w="1438"/>
              <w:gridCol w:w="14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81" w:hRule="atLeast"/>
              </w:trPr>
              <w:tc>
                <w:tcPr>
                  <w:tcW w:w="1437" w:type="dxa"/>
                  <w:vMerge w:val="restart"/>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加油机编号</w:t>
                  </w:r>
                </w:p>
              </w:tc>
              <w:tc>
                <w:tcPr>
                  <w:tcW w:w="1437" w:type="dxa"/>
                  <w:vMerge w:val="restart"/>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汽油标号</w:t>
                  </w:r>
                </w:p>
              </w:tc>
              <w:tc>
                <w:tcPr>
                  <w:tcW w:w="4312" w:type="dxa"/>
                  <w:gridSpan w:val="3"/>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液阻压力（Pa）</w:t>
                  </w:r>
                </w:p>
              </w:tc>
              <w:tc>
                <w:tcPr>
                  <w:tcW w:w="1439" w:type="dxa"/>
                  <w:vMerge w:val="restart"/>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是否达标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195" w:hRule="atLeast"/>
              </w:trPr>
              <w:tc>
                <w:tcPr>
                  <w:tcW w:w="1437" w:type="dxa"/>
                  <w:vMerge w:val="continue"/>
                  <w:noWrap w:val="0"/>
                  <w:vAlign w:val="center"/>
                </w:tcPr>
                <w:p>
                  <w:pPr>
                    <w:autoSpaceDE w:val="0"/>
                    <w:autoSpaceDN w:val="0"/>
                    <w:adjustRightInd w:val="0"/>
                    <w:snapToGrid w:val="0"/>
                    <w:jc w:val="center"/>
                    <w:rPr>
                      <w:bCs/>
                      <w:color w:val="000000"/>
                      <w:kern w:val="0"/>
                      <w:sz w:val="21"/>
                      <w:szCs w:val="21"/>
                    </w:rPr>
                  </w:pPr>
                </w:p>
              </w:tc>
              <w:tc>
                <w:tcPr>
                  <w:tcW w:w="1437" w:type="dxa"/>
                  <w:vMerge w:val="continue"/>
                  <w:noWrap w:val="0"/>
                  <w:vAlign w:val="center"/>
                </w:tcPr>
                <w:p>
                  <w:pPr>
                    <w:autoSpaceDE w:val="0"/>
                    <w:autoSpaceDN w:val="0"/>
                    <w:adjustRightInd w:val="0"/>
                    <w:snapToGrid w:val="0"/>
                    <w:jc w:val="center"/>
                    <w:rPr>
                      <w:bCs/>
                      <w:color w:val="000000"/>
                      <w:kern w:val="0"/>
                      <w:sz w:val="21"/>
                      <w:szCs w:val="21"/>
                    </w:rPr>
                  </w:pPr>
                </w:p>
              </w:tc>
              <w:tc>
                <w:tcPr>
                  <w:tcW w:w="1437" w:type="dxa"/>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18.0L/min</w:t>
                  </w:r>
                </w:p>
              </w:tc>
              <w:tc>
                <w:tcPr>
                  <w:tcW w:w="1437" w:type="dxa"/>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28.0L/min</w:t>
                  </w:r>
                </w:p>
              </w:tc>
              <w:tc>
                <w:tcPr>
                  <w:tcW w:w="1438" w:type="dxa"/>
                  <w:noWrap w:val="0"/>
                  <w:vAlign w:val="center"/>
                </w:tcPr>
                <w:p>
                  <w:pPr>
                    <w:autoSpaceDE w:val="0"/>
                    <w:autoSpaceDN w:val="0"/>
                    <w:adjustRightInd w:val="0"/>
                    <w:snapToGrid w:val="0"/>
                    <w:jc w:val="center"/>
                    <w:rPr>
                      <w:b/>
                      <w:bCs w:val="0"/>
                      <w:color w:val="000000"/>
                      <w:kern w:val="0"/>
                      <w:sz w:val="21"/>
                      <w:szCs w:val="21"/>
                    </w:rPr>
                  </w:pPr>
                  <w:r>
                    <w:rPr>
                      <w:b/>
                      <w:bCs w:val="0"/>
                      <w:color w:val="000000"/>
                      <w:kern w:val="0"/>
                      <w:sz w:val="21"/>
                      <w:szCs w:val="21"/>
                    </w:rPr>
                    <w:t>38.0L/min</w:t>
                  </w:r>
                </w:p>
              </w:tc>
              <w:tc>
                <w:tcPr>
                  <w:tcW w:w="1439" w:type="dxa"/>
                  <w:vMerge w:val="continue"/>
                  <w:noWrap w:val="0"/>
                  <w:vAlign w:val="center"/>
                </w:tcPr>
                <w:p>
                  <w:pPr>
                    <w:autoSpaceDE w:val="0"/>
                    <w:autoSpaceDN w:val="0"/>
                    <w:adjustRightInd w:val="0"/>
                    <w:snapToGrid w:val="0"/>
                    <w:jc w:val="center"/>
                    <w:rPr>
                      <w:bCs/>
                      <w:color w:val="000000"/>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2874" w:type="dxa"/>
                  <w:gridSpan w:val="2"/>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液阻最大压力限值（Pa）</w:t>
                  </w:r>
                </w:p>
              </w:tc>
              <w:tc>
                <w:tcPr>
                  <w:tcW w:w="1437"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40</w:t>
                  </w:r>
                </w:p>
              </w:tc>
              <w:tc>
                <w:tcPr>
                  <w:tcW w:w="1437"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90</w:t>
                  </w:r>
                </w:p>
              </w:tc>
              <w:tc>
                <w:tcPr>
                  <w:tcW w:w="1438"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155</w:t>
                  </w:r>
                </w:p>
              </w:tc>
              <w:tc>
                <w:tcPr>
                  <w:tcW w:w="1439"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1437" w:type="dxa"/>
                  <w:noWrap w:val="0"/>
                  <w:vAlign w:val="center"/>
                </w:tcPr>
                <w:p>
                  <w:pPr>
                    <w:autoSpaceDE w:val="0"/>
                    <w:autoSpaceDN w:val="0"/>
                    <w:adjustRightInd w:val="0"/>
                    <w:snapToGrid w:val="0"/>
                    <w:jc w:val="center"/>
                    <w:rPr>
                      <w:rFonts w:hint="eastAsia" w:eastAsia="宋体"/>
                      <w:bCs/>
                      <w:color w:val="000000"/>
                      <w:kern w:val="0"/>
                      <w:sz w:val="21"/>
                      <w:szCs w:val="21"/>
                      <w:lang w:eastAsia="zh-CN"/>
                    </w:rPr>
                  </w:pPr>
                  <w:r>
                    <w:rPr>
                      <w:rFonts w:hint="eastAsia"/>
                      <w:bCs/>
                      <w:color w:val="000000"/>
                      <w:kern w:val="0"/>
                      <w:sz w:val="21"/>
                      <w:szCs w:val="21"/>
                      <w:lang w:val="en-US" w:eastAsia="zh-CN"/>
                    </w:rPr>
                    <w:t>1</w:t>
                  </w:r>
                </w:p>
              </w:tc>
              <w:tc>
                <w:tcPr>
                  <w:tcW w:w="1437"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92#</w:t>
                  </w:r>
                  <w:r>
                    <w:rPr>
                      <w:rFonts w:hint="eastAsia"/>
                      <w:bCs/>
                      <w:color w:val="000000"/>
                      <w:kern w:val="0"/>
                      <w:sz w:val="21"/>
                      <w:szCs w:val="21"/>
                      <w:lang w:val="en-US" w:eastAsia="zh-CN"/>
                    </w:rPr>
                    <w:t>/</w:t>
                  </w:r>
                  <w:r>
                    <w:rPr>
                      <w:bCs/>
                      <w:color w:val="000000"/>
                      <w:kern w:val="0"/>
                      <w:sz w:val="21"/>
                      <w:szCs w:val="21"/>
                    </w:rPr>
                    <w:t>95#</w:t>
                  </w:r>
                </w:p>
              </w:tc>
              <w:tc>
                <w:tcPr>
                  <w:tcW w:w="1437"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5</w:t>
                  </w:r>
                </w:p>
              </w:tc>
              <w:tc>
                <w:tcPr>
                  <w:tcW w:w="1437"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6</w:t>
                  </w:r>
                </w:p>
              </w:tc>
              <w:tc>
                <w:tcPr>
                  <w:tcW w:w="1438"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15</w:t>
                  </w:r>
                </w:p>
              </w:tc>
              <w:tc>
                <w:tcPr>
                  <w:tcW w:w="1439"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1437" w:type="dxa"/>
                  <w:noWrap w:val="0"/>
                  <w:vAlign w:val="center"/>
                </w:tcPr>
                <w:p>
                  <w:pPr>
                    <w:autoSpaceDE w:val="0"/>
                    <w:autoSpaceDN w:val="0"/>
                    <w:adjustRightInd w:val="0"/>
                    <w:snapToGrid w:val="0"/>
                    <w:jc w:val="center"/>
                    <w:rPr>
                      <w:rFonts w:hint="eastAsia" w:eastAsia="宋体"/>
                      <w:bCs/>
                      <w:color w:val="000000"/>
                      <w:kern w:val="0"/>
                      <w:sz w:val="21"/>
                      <w:szCs w:val="21"/>
                      <w:lang w:eastAsia="zh-CN"/>
                    </w:rPr>
                  </w:pPr>
                  <w:r>
                    <w:rPr>
                      <w:rFonts w:hint="eastAsia"/>
                      <w:bCs/>
                      <w:color w:val="000000"/>
                      <w:kern w:val="0"/>
                      <w:sz w:val="21"/>
                      <w:szCs w:val="21"/>
                      <w:lang w:val="en-US" w:eastAsia="zh-CN"/>
                    </w:rPr>
                    <w:t>2</w:t>
                  </w:r>
                </w:p>
              </w:tc>
              <w:tc>
                <w:tcPr>
                  <w:tcW w:w="1437"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92#</w:t>
                  </w:r>
                </w:p>
              </w:tc>
              <w:tc>
                <w:tcPr>
                  <w:tcW w:w="1437"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27</w:t>
                  </w:r>
                </w:p>
              </w:tc>
              <w:tc>
                <w:tcPr>
                  <w:tcW w:w="1437"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69</w:t>
                  </w:r>
                </w:p>
              </w:tc>
              <w:tc>
                <w:tcPr>
                  <w:tcW w:w="1438" w:type="dxa"/>
                  <w:noWrap w:val="0"/>
                  <w:vAlign w:val="center"/>
                </w:tcPr>
                <w:p>
                  <w:pPr>
                    <w:autoSpaceDE w:val="0"/>
                    <w:autoSpaceDN w:val="0"/>
                    <w:adjustRightInd w:val="0"/>
                    <w:snapToGrid w:val="0"/>
                    <w:jc w:val="center"/>
                    <w:rPr>
                      <w:rFonts w:hint="default" w:eastAsia="宋体"/>
                      <w:bCs/>
                      <w:color w:val="000000"/>
                      <w:kern w:val="0"/>
                      <w:sz w:val="21"/>
                      <w:szCs w:val="21"/>
                      <w:lang w:val="en-US" w:eastAsia="zh-CN"/>
                    </w:rPr>
                  </w:pPr>
                  <w:r>
                    <w:rPr>
                      <w:rFonts w:hint="eastAsia" w:eastAsia="宋体"/>
                      <w:bCs/>
                      <w:color w:val="000000"/>
                      <w:kern w:val="0"/>
                      <w:sz w:val="21"/>
                      <w:szCs w:val="21"/>
                      <w:lang w:val="en-US" w:eastAsia="zh-CN"/>
                    </w:rPr>
                    <w:t>113</w:t>
                  </w:r>
                </w:p>
              </w:tc>
              <w:tc>
                <w:tcPr>
                  <w:tcW w:w="1439" w:type="dxa"/>
                  <w:noWrap w:val="0"/>
                  <w:vAlign w:val="center"/>
                </w:tcPr>
                <w:p>
                  <w:pPr>
                    <w:autoSpaceDE w:val="0"/>
                    <w:autoSpaceDN w:val="0"/>
                    <w:adjustRightInd w:val="0"/>
                    <w:snapToGrid w:val="0"/>
                    <w:jc w:val="center"/>
                    <w:rPr>
                      <w:bCs/>
                      <w:color w:val="000000"/>
                      <w:kern w:val="0"/>
                      <w:sz w:val="21"/>
                      <w:szCs w:val="21"/>
                    </w:rPr>
                  </w:pPr>
                  <w:r>
                    <w:rPr>
                      <w:bCs/>
                      <w:color w:val="000000"/>
                      <w:kern w:val="0"/>
                      <w:sz w:val="21"/>
                      <w:szCs w:val="21"/>
                    </w:rPr>
                    <w:t>达标</w:t>
                  </w:r>
                </w:p>
              </w:tc>
            </w:tr>
          </w:tbl>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bCs/>
                <w:color w:val="000000"/>
                <w:kern w:val="0"/>
                <w:sz w:val="24"/>
                <w:szCs w:val="24"/>
              </w:rPr>
            </w:pPr>
            <w:r>
              <w:rPr>
                <w:bCs/>
                <w:color w:val="000000"/>
                <w:kern w:val="0"/>
                <w:sz w:val="24"/>
                <w:szCs w:val="24"/>
              </w:rPr>
              <w:t>根据表</w:t>
            </w:r>
            <w:r>
              <w:rPr>
                <w:rFonts w:hint="eastAsia"/>
                <w:bCs/>
                <w:color w:val="000000"/>
                <w:kern w:val="0"/>
                <w:sz w:val="24"/>
                <w:szCs w:val="24"/>
              </w:rPr>
              <w:t>3</w:t>
            </w:r>
            <w:r>
              <w:rPr>
                <w:rFonts w:hint="eastAsia"/>
                <w:bCs/>
                <w:color w:val="000000"/>
                <w:kern w:val="0"/>
                <w:sz w:val="24"/>
                <w:szCs w:val="24"/>
                <w:lang w:val="en-US" w:eastAsia="zh-CN"/>
              </w:rPr>
              <w:t>6</w:t>
            </w:r>
            <w:r>
              <w:rPr>
                <w:bCs/>
                <w:color w:val="000000"/>
                <w:kern w:val="0"/>
                <w:sz w:val="24"/>
                <w:szCs w:val="24"/>
              </w:rPr>
              <w:t>可知，项目加油油气回收管线液阻检测结果符合《加油站大气污染物排放标准》（GB20952-2007）的要求，液阻检测结果达标。</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rFonts w:hint="eastAsia" w:ascii="Times New Roman" w:hAnsi="Times New Roman" w:cs="Times New Roman"/>
                <w:b w:val="0"/>
                <w:bCs/>
                <w:color w:val="000000"/>
                <w:kern w:val="0"/>
                <w:sz w:val="24"/>
                <w:szCs w:val="24"/>
                <w:highlight w:val="none"/>
                <w:lang w:val="en-US" w:eastAsia="zh-CN"/>
              </w:rPr>
            </w:pPr>
            <w:r>
              <w:rPr>
                <w:rFonts w:hint="eastAsia" w:ascii="Times New Roman" w:hAnsi="Times New Roman" w:cs="Times New Roman"/>
                <w:b w:val="0"/>
                <w:bCs/>
                <w:color w:val="000000"/>
                <w:kern w:val="0"/>
                <w:sz w:val="24"/>
                <w:szCs w:val="24"/>
                <w:highlight w:val="none"/>
                <w:lang w:val="en-US" w:eastAsia="zh-CN"/>
              </w:rPr>
              <w:t>1.6.3气液比</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textAlignment w:val="auto"/>
              <w:rPr>
                <w:bCs/>
                <w:color w:val="000000"/>
                <w:kern w:val="0"/>
                <w:sz w:val="24"/>
                <w:szCs w:val="24"/>
                <w:highlight w:val="none"/>
              </w:rPr>
            </w:pPr>
            <w:r>
              <w:rPr>
                <w:bCs/>
                <w:color w:val="000000"/>
                <w:kern w:val="0"/>
                <w:sz w:val="24"/>
                <w:szCs w:val="24"/>
                <w:highlight w:val="none"/>
              </w:rPr>
              <w:t>项目加油油气回收管线液阻检测结果见表</w:t>
            </w:r>
            <w:r>
              <w:rPr>
                <w:rFonts w:hint="eastAsia"/>
                <w:bCs/>
                <w:color w:val="000000"/>
                <w:kern w:val="0"/>
                <w:sz w:val="24"/>
                <w:szCs w:val="24"/>
                <w:highlight w:val="none"/>
              </w:rPr>
              <w:t>3</w:t>
            </w:r>
            <w:r>
              <w:rPr>
                <w:rFonts w:hint="eastAsia"/>
                <w:bCs/>
                <w:color w:val="000000"/>
                <w:kern w:val="0"/>
                <w:sz w:val="24"/>
                <w:szCs w:val="24"/>
                <w:highlight w:val="none"/>
                <w:lang w:val="en-US" w:eastAsia="zh-CN"/>
              </w:rPr>
              <w:t>7</w:t>
            </w:r>
            <w:r>
              <w:rPr>
                <w:bCs/>
                <w:color w:val="000000"/>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b/>
                <w:color w:val="000000"/>
                <w:kern w:val="0"/>
                <w:sz w:val="24"/>
                <w:szCs w:val="24"/>
                <w:highlight w:val="none"/>
              </w:rPr>
            </w:pPr>
            <w:r>
              <w:rPr>
                <w:b/>
                <w:color w:val="000000"/>
                <w:kern w:val="0"/>
                <w:sz w:val="24"/>
                <w:szCs w:val="24"/>
                <w:highlight w:val="none"/>
              </w:rPr>
              <w:t>表</w:t>
            </w:r>
            <w:r>
              <w:rPr>
                <w:rFonts w:hint="eastAsia"/>
                <w:b/>
                <w:color w:val="000000"/>
                <w:kern w:val="0"/>
                <w:sz w:val="24"/>
                <w:szCs w:val="24"/>
                <w:highlight w:val="none"/>
              </w:rPr>
              <w:t>3</w:t>
            </w:r>
            <w:r>
              <w:rPr>
                <w:rFonts w:hint="eastAsia"/>
                <w:b/>
                <w:color w:val="000000"/>
                <w:kern w:val="0"/>
                <w:sz w:val="24"/>
                <w:szCs w:val="24"/>
                <w:highlight w:val="none"/>
                <w:lang w:val="en-US" w:eastAsia="zh-CN"/>
              </w:rPr>
              <w:t xml:space="preserve">7  </w:t>
            </w:r>
            <w:r>
              <w:rPr>
                <w:b/>
                <w:color w:val="000000"/>
                <w:kern w:val="0"/>
                <w:sz w:val="24"/>
                <w:szCs w:val="24"/>
                <w:highlight w:val="none"/>
              </w:rPr>
              <w:t xml:space="preserve">  加油油气回收系统气液比检测结果</w:t>
            </w:r>
          </w:p>
          <w:tbl>
            <w:tblPr>
              <w:tblStyle w:val="2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955"/>
              <w:gridCol w:w="1128"/>
              <w:gridCol w:w="1433"/>
              <w:gridCol w:w="1544"/>
              <w:gridCol w:w="1128"/>
              <w:gridCol w:w="1217"/>
              <w:gridCol w:w="12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955" w:type="dxa"/>
                  <w:noWrap w:val="0"/>
                  <w:vAlign w:val="center"/>
                </w:tcPr>
                <w:p>
                  <w:pPr>
                    <w:autoSpaceDE w:val="0"/>
                    <w:autoSpaceDN w:val="0"/>
                    <w:adjustRightInd w:val="0"/>
                    <w:snapToGrid w:val="0"/>
                    <w:jc w:val="center"/>
                    <w:rPr>
                      <w:b/>
                      <w:bCs w:val="0"/>
                      <w:color w:val="000000"/>
                      <w:kern w:val="0"/>
                      <w:sz w:val="21"/>
                      <w:szCs w:val="21"/>
                      <w:highlight w:val="none"/>
                    </w:rPr>
                  </w:pPr>
                  <w:r>
                    <w:rPr>
                      <w:b/>
                      <w:bCs w:val="0"/>
                      <w:color w:val="000000"/>
                      <w:kern w:val="0"/>
                      <w:sz w:val="21"/>
                      <w:szCs w:val="21"/>
                      <w:highlight w:val="none"/>
                    </w:rPr>
                    <w:t>加油枪编号</w:t>
                  </w:r>
                </w:p>
              </w:tc>
              <w:tc>
                <w:tcPr>
                  <w:tcW w:w="1128" w:type="dxa"/>
                  <w:noWrap w:val="0"/>
                  <w:vAlign w:val="center"/>
                </w:tcPr>
                <w:p>
                  <w:pPr>
                    <w:autoSpaceDE w:val="0"/>
                    <w:autoSpaceDN w:val="0"/>
                    <w:adjustRightInd w:val="0"/>
                    <w:snapToGrid w:val="0"/>
                    <w:jc w:val="center"/>
                    <w:rPr>
                      <w:rFonts w:hint="default" w:eastAsia="宋体"/>
                      <w:b/>
                      <w:bCs w:val="0"/>
                      <w:color w:val="000000"/>
                      <w:kern w:val="0"/>
                      <w:sz w:val="21"/>
                      <w:szCs w:val="21"/>
                      <w:highlight w:val="none"/>
                      <w:lang w:val="en-US" w:eastAsia="zh-CN"/>
                    </w:rPr>
                  </w:pPr>
                  <w:r>
                    <w:rPr>
                      <w:b/>
                      <w:bCs w:val="0"/>
                      <w:color w:val="000000"/>
                      <w:kern w:val="0"/>
                      <w:sz w:val="21"/>
                      <w:szCs w:val="21"/>
                      <w:highlight w:val="none"/>
                    </w:rPr>
                    <w:t>加油</w:t>
                  </w:r>
                  <w:r>
                    <w:rPr>
                      <w:rFonts w:hint="eastAsia"/>
                      <w:b/>
                      <w:bCs w:val="0"/>
                      <w:color w:val="000000"/>
                      <w:kern w:val="0"/>
                      <w:sz w:val="21"/>
                      <w:szCs w:val="21"/>
                      <w:highlight w:val="none"/>
                      <w:lang w:val="en-US" w:eastAsia="zh-CN"/>
                    </w:rPr>
                    <w:t>枪型号</w:t>
                  </w:r>
                </w:p>
              </w:tc>
              <w:tc>
                <w:tcPr>
                  <w:tcW w:w="1433" w:type="dxa"/>
                  <w:noWrap w:val="0"/>
                  <w:vAlign w:val="center"/>
                </w:tcPr>
                <w:p>
                  <w:pPr>
                    <w:autoSpaceDE w:val="0"/>
                    <w:autoSpaceDN w:val="0"/>
                    <w:adjustRightInd w:val="0"/>
                    <w:snapToGrid w:val="0"/>
                    <w:jc w:val="center"/>
                    <w:rPr>
                      <w:b/>
                      <w:bCs w:val="0"/>
                      <w:color w:val="000000"/>
                      <w:kern w:val="0"/>
                      <w:sz w:val="21"/>
                      <w:szCs w:val="21"/>
                      <w:highlight w:val="none"/>
                    </w:rPr>
                  </w:pPr>
                  <w:r>
                    <w:rPr>
                      <w:b/>
                      <w:bCs w:val="0"/>
                      <w:color w:val="000000"/>
                      <w:kern w:val="0"/>
                      <w:sz w:val="21"/>
                      <w:szCs w:val="21"/>
                      <w:highlight w:val="none"/>
                    </w:rPr>
                    <w:t>加油体积（L）</w:t>
                  </w:r>
                </w:p>
              </w:tc>
              <w:tc>
                <w:tcPr>
                  <w:tcW w:w="1544" w:type="dxa"/>
                  <w:noWrap w:val="0"/>
                  <w:vAlign w:val="center"/>
                </w:tcPr>
                <w:p>
                  <w:pPr>
                    <w:autoSpaceDE w:val="0"/>
                    <w:autoSpaceDN w:val="0"/>
                    <w:adjustRightInd w:val="0"/>
                    <w:snapToGrid w:val="0"/>
                    <w:jc w:val="center"/>
                    <w:rPr>
                      <w:b/>
                      <w:bCs w:val="0"/>
                      <w:color w:val="000000"/>
                      <w:kern w:val="0"/>
                      <w:sz w:val="21"/>
                      <w:szCs w:val="21"/>
                      <w:highlight w:val="none"/>
                    </w:rPr>
                  </w:pPr>
                  <w:r>
                    <w:rPr>
                      <w:b/>
                      <w:bCs w:val="0"/>
                      <w:color w:val="000000"/>
                      <w:kern w:val="0"/>
                      <w:sz w:val="21"/>
                      <w:szCs w:val="21"/>
                      <w:highlight w:val="none"/>
                    </w:rPr>
                    <w:t>回收油气体积（L）</w:t>
                  </w:r>
                </w:p>
              </w:tc>
              <w:tc>
                <w:tcPr>
                  <w:tcW w:w="1128" w:type="dxa"/>
                  <w:noWrap w:val="0"/>
                  <w:vAlign w:val="center"/>
                </w:tcPr>
                <w:p>
                  <w:pPr>
                    <w:autoSpaceDE w:val="0"/>
                    <w:autoSpaceDN w:val="0"/>
                    <w:adjustRightInd w:val="0"/>
                    <w:snapToGrid w:val="0"/>
                    <w:jc w:val="center"/>
                    <w:rPr>
                      <w:b/>
                      <w:bCs w:val="0"/>
                      <w:color w:val="000000"/>
                      <w:kern w:val="0"/>
                      <w:sz w:val="21"/>
                      <w:szCs w:val="21"/>
                      <w:highlight w:val="none"/>
                    </w:rPr>
                  </w:pPr>
                  <w:r>
                    <w:rPr>
                      <w:b/>
                      <w:bCs w:val="0"/>
                      <w:color w:val="000000"/>
                      <w:kern w:val="0"/>
                      <w:sz w:val="21"/>
                      <w:szCs w:val="21"/>
                      <w:highlight w:val="none"/>
                    </w:rPr>
                    <w:t>气液比</w:t>
                  </w:r>
                </w:p>
              </w:tc>
              <w:tc>
                <w:tcPr>
                  <w:tcW w:w="1217" w:type="dxa"/>
                  <w:noWrap w:val="0"/>
                  <w:vAlign w:val="center"/>
                </w:tcPr>
                <w:p>
                  <w:pPr>
                    <w:autoSpaceDE w:val="0"/>
                    <w:autoSpaceDN w:val="0"/>
                    <w:adjustRightInd w:val="0"/>
                    <w:snapToGrid w:val="0"/>
                    <w:jc w:val="center"/>
                    <w:rPr>
                      <w:rFonts w:hint="default" w:eastAsia="宋体"/>
                      <w:b/>
                      <w:bCs w:val="0"/>
                      <w:color w:val="000000"/>
                      <w:kern w:val="0"/>
                      <w:sz w:val="21"/>
                      <w:szCs w:val="21"/>
                      <w:highlight w:val="none"/>
                      <w:lang w:val="en-US" w:eastAsia="zh-CN"/>
                    </w:rPr>
                  </w:pPr>
                  <w:r>
                    <w:rPr>
                      <w:rFonts w:hint="eastAsia"/>
                      <w:b/>
                      <w:bCs w:val="0"/>
                      <w:color w:val="000000"/>
                      <w:kern w:val="0"/>
                      <w:sz w:val="21"/>
                      <w:szCs w:val="21"/>
                      <w:highlight w:val="none"/>
                      <w:lang w:val="en-US" w:eastAsia="zh-CN"/>
                    </w:rPr>
                    <w:t>气液比限值</w:t>
                  </w:r>
                </w:p>
              </w:tc>
              <w:tc>
                <w:tcPr>
                  <w:tcW w:w="1218" w:type="dxa"/>
                  <w:noWrap w:val="0"/>
                  <w:vAlign w:val="center"/>
                </w:tcPr>
                <w:p>
                  <w:pPr>
                    <w:autoSpaceDE w:val="0"/>
                    <w:autoSpaceDN w:val="0"/>
                    <w:adjustRightInd w:val="0"/>
                    <w:snapToGrid w:val="0"/>
                    <w:jc w:val="center"/>
                    <w:rPr>
                      <w:b/>
                      <w:bCs w:val="0"/>
                      <w:color w:val="000000"/>
                      <w:kern w:val="0"/>
                      <w:sz w:val="21"/>
                      <w:szCs w:val="21"/>
                      <w:highlight w:val="none"/>
                    </w:rPr>
                  </w:pPr>
                  <w:r>
                    <w:rPr>
                      <w:b/>
                      <w:bCs w:val="0"/>
                      <w:color w:val="000000"/>
                      <w:kern w:val="0"/>
                      <w:sz w:val="21"/>
                      <w:szCs w:val="21"/>
                      <w:highlight w:val="none"/>
                    </w:rPr>
                    <w:t>是否达标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69" w:hRule="atLeast"/>
              </w:trPr>
              <w:tc>
                <w:tcPr>
                  <w:tcW w:w="955"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3-5</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MAIDE</w:t>
                  </w:r>
                </w:p>
              </w:tc>
              <w:tc>
                <w:tcPr>
                  <w:tcW w:w="1433"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15.38</w:t>
                  </w:r>
                </w:p>
              </w:tc>
              <w:tc>
                <w:tcPr>
                  <w:tcW w:w="1544"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16.20</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1.05</w:t>
                  </w:r>
                </w:p>
              </w:tc>
              <w:tc>
                <w:tcPr>
                  <w:tcW w:w="1217" w:type="dxa"/>
                  <w:vMerge w:val="restart"/>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1.0~1.2</w:t>
                  </w:r>
                </w:p>
              </w:tc>
              <w:tc>
                <w:tcPr>
                  <w:tcW w:w="1218" w:type="dxa"/>
                  <w:noWrap w:val="0"/>
                  <w:vAlign w:val="center"/>
                </w:tcPr>
                <w:p>
                  <w:pPr>
                    <w:autoSpaceDE w:val="0"/>
                    <w:autoSpaceDN w:val="0"/>
                    <w:adjustRightInd w:val="0"/>
                    <w:snapToGrid w:val="0"/>
                    <w:jc w:val="center"/>
                    <w:rPr>
                      <w:bCs/>
                      <w:color w:val="000000"/>
                      <w:kern w:val="0"/>
                      <w:sz w:val="21"/>
                      <w:szCs w:val="21"/>
                      <w:highlight w:val="none"/>
                    </w:rPr>
                  </w:pPr>
                  <w:r>
                    <w:rPr>
                      <w:bCs/>
                      <w:color w:val="000000"/>
                      <w:kern w:val="0"/>
                      <w:sz w:val="21"/>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46" w:hRule="atLeast"/>
              </w:trPr>
              <w:tc>
                <w:tcPr>
                  <w:tcW w:w="955" w:type="dxa"/>
                  <w:noWrap w:val="0"/>
                  <w:vAlign w:val="center"/>
                </w:tcPr>
                <w:p>
                  <w:pPr>
                    <w:autoSpaceDE w:val="0"/>
                    <w:autoSpaceDN w:val="0"/>
                    <w:adjustRightInd w:val="0"/>
                    <w:snapToGrid w:val="0"/>
                    <w:jc w:val="center"/>
                    <w:rPr>
                      <w:bCs/>
                      <w:color w:val="000000"/>
                      <w:kern w:val="0"/>
                      <w:sz w:val="21"/>
                      <w:szCs w:val="21"/>
                      <w:highlight w:val="none"/>
                    </w:rPr>
                  </w:pPr>
                  <w:r>
                    <w:rPr>
                      <w:rFonts w:hint="eastAsia"/>
                      <w:bCs/>
                      <w:color w:val="000000"/>
                      <w:kern w:val="0"/>
                      <w:sz w:val="21"/>
                      <w:szCs w:val="21"/>
                      <w:highlight w:val="none"/>
                      <w:lang w:val="en-US" w:eastAsia="zh-CN"/>
                    </w:rPr>
                    <w:t>3-6</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SEMIGER</w:t>
                  </w:r>
                </w:p>
              </w:tc>
              <w:tc>
                <w:tcPr>
                  <w:tcW w:w="1433"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16.24</w:t>
                  </w:r>
                </w:p>
              </w:tc>
              <w:tc>
                <w:tcPr>
                  <w:tcW w:w="1544"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16.96</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1.04</w:t>
                  </w:r>
                </w:p>
              </w:tc>
              <w:tc>
                <w:tcPr>
                  <w:tcW w:w="1217" w:type="dxa"/>
                  <w:vMerge w:val="continue"/>
                  <w:noWrap w:val="0"/>
                  <w:vAlign w:val="center"/>
                </w:tcPr>
                <w:p>
                  <w:pPr>
                    <w:autoSpaceDE w:val="0"/>
                    <w:autoSpaceDN w:val="0"/>
                    <w:adjustRightInd w:val="0"/>
                    <w:snapToGrid w:val="0"/>
                    <w:jc w:val="center"/>
                    <w:rPr>
                      <w:rFonts w:hint="eastAsia" w:eastAsia="宋体"/>
                      <w:bCs/>
                      <w:color w:val="000000"/>
                      <w:kern w:val="0"/>
                      <w:sz w:val="21"/>
                      <w:szCs w:val="21"/>
                      <w:highlight w:val="none"/>
                      <w:lang w:val="en-US" w:eastAsia="zh-CN"/>
                    </w:rPr>
                  </w:pPr>
                </w:p>
              </w:tc>
              <w:tc>
                <w:tcPr>
                  <w:tcW w:w="1218" w:type="dxa"/>
                  <w:noWrap w:val="0"/>
                  <w:vAlign w:val="center"/>
                </w:tcPr>
                <w:p>
                  <w:pPr>
                    <w:autoSpaceDE w:val="0"/>
                    <w:autoSpaceDN w:val="0"/>
                    <w:adjustRightInd w:val="0"/>
                    <w:snapToGrid w:val="0"/>
                    <w:jc w:val="center"/>
                    <w:rPr>
                      <w:bCs/>
                      <w:color w:val="000000"/>
                      <w:kern w:val="0"/>
                      <w:sz w:val="21"/>
                      <w:szCs w:val="21"/>
                      <w:highlight w:val="none"/>
                    </w:rPr>
                  </w:pPr>
                  <w:r>
                    <w:rPr>
                      <w:bCs/>
                      <w:color w:val="000000"/>
                      <w:kern w:val="0"/>
                      <w:sz w:val="21"/>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68" w:hRule="atLeast"/>
              </w:trPr>
              <w:tc>
                <w:tcPr>
                  <w:tcW w:w="955" w:type="dxa"/>
                  <w:noWrap w:val="0"/>
                  <w:vAlign w:val="center"/>
                </w:tcPr>
                <w:p>
                  <w:pPr>
                    <w:autoSpaceDE w:val="0"/>
                    <w:autoSpaceDN w:val="0"/>
                    <w:adjustRightInd w:val="0"/>
                    <w:snapToGrid w:val="0"/>
                    <w:jc w:val="center"/>
                    <w:rPr>
                      <w:bCs/>
                      <w:color w:val="000000"/>
                      <w:kern w:val="0"/>
                      <w:sz w:val="21"/>
                      <w:szCs w:val="21"/>
                      <w:highlight w:val="none"/>
                    </w:rPr>
                  </w:pPr>
                  <w:r>
                    <w:rPr>
                      <w:rFonts w:hint="eastAsia"/>
                      <w:bCs/>
                      <w:color w:val="000000"/>
                      <w:kern w:val="0"/>
                      <w:sz w:val="21"/>
                      <w:szCs w:val="21"/>
                      <w:highlight w:val="none"/>
                      <w:lang w:val="en-US" w:eastAsia="zh-CN"/>
                    </w:rPr>
                    <w:t>4-7</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ZVA</w:t>
                  </w:r>
                </w:p>
              </w:tc>
              <w:tc>
                <w:tcPr>
                  <w:tcW w:w="1433"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15.61</w:t>
                  </w:r>
                </w:p>
              </w:tc>
              <w:tc>
                <w:tcPr>
                  <w:tcW w:w="1544"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16.48</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1.06</w:t>
                  </w:r>
                </w:p>
              </w:tc>
              <w:tc>
                <w:tcPr>
                  <w:tcW w:w="1217" w:type="dxa"/>
                  <w:vMerge w:val="continue"/>
                  <w:noWrap w:val="0"/>
                  <w:vAlign w:val="center"/>
                </w:tcPr>
                <w:p>
                  <w:pPr>
                    <w:autoSpaceDE w:val="0"/>
                    <w:autoSpaceDN w:val="0"/>
                    <w:adjustRightInd w:val="0"/>
                    <w:snapToGrid w:val="0"/>
                    <w:jc w:val="center"/>
                    <w:rPr>
                      <w:rFonts w:hint="eastAsia"/>
                      <w:bCs/>
                      <w:color w:val="000000"/>
                      <w:kern w:val="0"/>
                      <w:sz w:val="21"/>
                      <w:szCs w:val="21"/>
                      <w:highlight w:val="none"/>
                      <w:lang w:val="en-US" w:eastAsia="zh-CN"/>
                    </w:rPr>
                  </w:pPr>
                </w:p>
              </w:tc>
              <w:tc>
                <w:tcPr>
                  <w:tcW w:w="1218" w:type="dxa"/>
                  <w:noWrap w:val="0"/>
                  <w:vAlign w:val="center"/>
                </w:tcPr>
                <w:p>
                  <w:pPr>
                    <w:autoSpaceDE w:val="0"/>
                    <w:autoSpaceDN w:val="0"/>
                    <w:adjustRightInd w:val="0"/>
                    <w:snapToGrid w:val="0"/>
                    <w:jc w:val="center"/>
                    <w:rPr>
                      <w:bCs/>
                      <w:color w:val="000000"/>
                      <w:kern w:val="0"/>
                      <w:sz w:val="21"/>
                      <w:szCs w:val="21"/>
                      <w:highlight w:val="none"/>
                    </w:rPr>
                  </w:pPr>
                  <w:r>
                    <w:rPr>
                      <w:bCs/>
                      <w:color w:val="000000"/>
                      <w:kern w:val="0"/>
                      <w:sz w:val="21"/>
                      <w:szCs w:val="21"/>
                      <w:highlight w:val="none"/>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rPr>
                <w:trHeight w:val="245" w:hRule="atLeast"/>
              </w:trPr>
              <w:tc>
                <w:tcPr>
                  <w:tcW w:w="955" w:type="dxa"/>
                  <w:noWrap w:val="0"/>
                  <w:vAlign w:val="center"/>
                </w:tcPr>
                <w:p>
                  <w:pPr>
                    <w:autoSpaceDE w:val="0"/>
                    <w:autoSpaceDN w:val="0"/>
                    <w:adjustRightInd w:val="0"/>
                    <w:snapToGrid w:val="0"/>
                    <w:jc w:val="center"/>
                    <w:rPr>
                      <w:bCs/>
                      <w:color w:val="000000"/>
                      <w:kern w:val="0"/>
                      <w:sz w:val="21"/>
                      <w:szCs w:val="21"/>
                      <w:highlight w:val="none"/>
                    </w:rPr>
                  </w:pPr>
                  <w:r>
                    <w:rPr>
                      <w:rFonts w:hint="eastAsia"/>
                      <w:bCs/>
                      <w:color w:val="000000"/>
                      <w:kern w:val="0"/>
                      <w:sz w:val="21"/>
                      <w:szCs w:val="21"/>
                      <w:highlight w:val="none"/>
                      <w:lang w:val="en-US" w:eastAsia="zh-CN"/>
                    </w:rPr>
                    <w:t>4-8</w:t>
                  </w:r>
                </w:p>
              </w:tc>
              <w:tc>
                <w:tcPr>
                  <w:tcW w:w="1128" w:type="dxa"/>
                  <w:noWrap w:val="0"/>
                  <w:vAlign w:val="center"/>
                </w:tcPr>
                <w:p>
                  <w:pPr>
                    <w:autoSpaceDE w:val="0"/>
                    <w:autoSpaceDN w:val="0"/>
                    <w:adjustRightInd w:val="0"/>
                    <w:snapToGrid w:val="0"/>
                    <w:jc w:val="center"/>
                    <w:rPr>
                      <w:bCs/>
                      <w:color w:val="000000"/>
                      <w:kern w:val="0"/>
                      <w:sz w:val="21"/>
                      <w:szCs w:val="21"/>
                      <w:highlight w:val="none"/>
                    </w:rPr>
                  </w:pPr>
                  <w:r>
                    <w:rPr>
                      <w:rFonts w:hint="eastAsia"/>
                      <w:bCs/>
                      <w:color w:val="000000"/>
                      <w:kern w:val="0"/>
                      <w:sz w:val="21"/>
                      <w:szCs w:val="21"/>
                      <w:highlight w:val="none"/>
                      <w:lang w:val="en-US" w:eastAsia="zh-CN"/>
                    </w:rPr>
                    <w:t>SEMIGER</w:t>
                  </w:r>
                </w:p>
              </w:tc>
              <w:tc>
                <w:tcPr>
                  <w:tcW w:w="1433"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15.34</w:t>
                  </w:r>
                </w:p>
              </w:tc>
              <w:tc>
                <w:tcPr>
                  <w:tcW w:w="1544"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eastAsia="宋体"/>
                      <w:bCs/>
                      <w:color w:val="000000"/>
                      <w:kern w:val="0"/>
                      <w:sz w:val="21"/>
                      <w:szCs w:val="21"/>
                      <w:highlight w:val="none"/>
                      <w:lang w:val="en-US" w:eastAsia="zh-CN"/>
                    </w:rPr>
                    <w:t>16.50</w:t>
                  </w:r>
                </w:p>
              </w:tc>
              <w:tc>
                <w:tcPr>
                  <w:tcW w:w="1128" w:type="dxa"/>
                  <w:noWrap w:val="0"/>
                  <w:vAlign w:val="center"/>
                </w:tcPr>
                <w:p>
                  <w:pPr>
                    <w:autoSpaceDE w:val="0"/>
                    <w:autoSpaceDN w:val="0"/>
                    <w:adjustRightInd w:val="0"/>
                    <w:snapToGrid w:val="0"/>
                    <w:jc w:val="center"/>
                    <w:rPr>
                      <w:rFonts w:hint="default" w:eastAsia="宋体"/>
                      <w:bCs/>
                      <w:color w:val="000000"/>
                      <w:kern w:val="0"/>
                      <w:sz w:val="21"/>
                      <w:szCs w:val="21"/>
                      <w:highlight w:val="none"/>
                      <w:lang w:val="en-US" w:eastAsia="zh-CN"/>
                    </w:rPr>
                  </w:pPr>
                  <w:r>
                    <w:rPr>
                      <w:rFonts w:hint="eastAsia"/>
                      <w:bCs/>
                      <w:color w:val="000000"/>
                      <w:kern w:val="0"/>
                      <w:sz w:val="21"/>
                      <w:szCs w:val="21"/>
                      <w:highlight w:val="none"/>
                      <w:lang w:val="en-US" w:eastAsia="zh-CN"/>
                    </w:rPr>
                    <w:t>1.08</w:t>
                  </w:r>
                </w:p>
              </w:tc>
              <w:tc>
                <w:tcPr>
                  <w:tcW w:w="1217" w:type="dxa"/>
                  <w:vMerge w:val="continue"/>
                  <w:noWrap w:val="0"/>
                  <w:vAlign w:val="center"/>
                </w:tcPr>
                <w:p>
                  <w:pPr>
                    <w:autoSpaceDE w:val="0"/>
                    <w:autoSpaceDN w:val="0"/>
                    <w:adjustRightInd w:val="0"/>
                    <w:snapToGrid w:val="0"/>
                    <w:jc w:val="center"/>
                    <w:rPr>
                      <w:rFonts w:hint="eastAsia"/>
                      <w:bCs/>
                      <w:color w:val="000000"/>
                      <w:kern w:val="0"/>
                      <w:sz w:val="21"/>
                      <w:szCs w:val="21"/>
                      <w:highlight w:val="none"/>
                      <w:lang w:val="en-US" w:eastAsia="zh-CN"/>
                    </w:rPr>
                  </w:pPr>
                </w:p>
              </w:tc>
              <w:tc>
                <w:tcPr>
                  <w:tcW w:w="1218" w:type="dxa"/>
                  <w:noWrap w:val="0"/>
                  <w:vAlign w:val="center"/>
                </w:tcPr>
                <w:p>
                  <w:pPr>
                    <w:autoSpaceDE w:val="0"/>
                    <w:autoSpaceDN w:val="0"/>
                    <w:adjustRightInd w:val="0"/>
                    <w:snapToGrid w:val="0"/>
                    <w:jc w:val="center"/>
                    <w:rPr>
                      <w:bCs/>
                      <w:color w:val="000000"/>
                      <w:kern w:val="0"/>
                      <w:sz w:val="21"/>
                      <w:szCs w:val="21"/>
                      <w:highlight w:val="none"/>
                    </w:rPr>
                  </w:pPr>
                  <w:r>
                    <w:rPr>
                      <w:bCs/>
                      <w:color w:val="000000"/>
                      <w:kern w:val="0"/>
                      <w:sz w:val="21"/>
                      <w:szCs w:val="21"/>
                      <w:highlight w:val="none"/>
                    </w:rPr>
                    <w:t>达标</w:t>
                  </w:r>
                </w:p>
              </w:tc>
            </w:tr>
          </w:tbl>
          <w:p>
            <w:pPr>
              <w:keepNext w:val="0"/>
              <w:keepLines w:val="0"/>
              <w:pageBreakBefore w:val="0"/>
              <w:widowControl w:val="0"/>
              <w:kinsoku/>
              <w:wordWrap/>
              <w:overflowPunct/>
              <w:topLinePunct w:val="0"/>
              <w:autoSpaceDE w:val="0"/>
              <w:autoSpaceDN w:val="0"/>
              <w:bidi w:val="0"/>
              <w:adjustRightInd w:val="0"/>
              <w:snapToGrid/>
              <w:spacing w:before="120" w:line="520" w:lineRule="exact"/>
              <w:ind w:firstLine="480" w:firstLineChars="200"/>
              <w:textAlignment w:val="auto"/>
              <w:rPr>
                <w:bCs/>
                <w:color w:val="000000"/>
                <w:kern w:val="0"/>
                <w:sz w:val="24"/>
                <w:szCs w:val="24"/>
                <w:highlight w:val="none"/>
              </w:rPr>
            </w:pPr>
            <w:r>
              <w:rPr>
                <w:bCs/>
                <w:color w:val="000000"/>
                <w:kern w:val="0"/>
                <w:sz w:val="24"/>
                <w:szCs w:val="24"/>
                <w:highlight w:val="none"/>
              </w:rPr>
              <w:t>根据表</w:t>
            </w:r>
            <w:r>
              <w:rPr>
                <w:rFonts w:hint="eastAsia"/>
                <w:bCs/>
                <w:color w:val="000000"/>
                <w:kern w:val="0"/>
                <w:sz w:val="24"/>
                <w:szCs w:val="24"/>
                <w:highlight w:val="none"/>
              </w:rPr>
              <w:t>3</w:t>
            </w:r>
            <w:r>
              <w:rPr>
                <w:rFonts w:hint="eastAsia"/>
                <w:bCs/>
                <w:color w:val="000000"/>
                <w:kern w:val="0"/>
                <w:sz w:val="24"/>
                <w:szCs w:val="24"/>
                <w:highlight w:val="none"/>
                <w:lang w:val="en-US" w:eastAsia="zh-CN"/>
              </w:rPr>
              <w:t>7</w:t>
            </w:r>
            <w:r>
              <w:rPr>
                <w:bCs/>
                <w:color w:val="000000"/>
                <w:kern w:val="0"/>
                <w:sz w:val="24"/>
                <w:szCs w:val="24"/>
                <w:highlight w:val="none"/>
              </w:rPr>
              <w:t>可知，项目加油油气回收系统气液比检测结果符合《加油站大气污染物排放标准》（GB20952-2007）的要求，气液比检测结果达标。</w:t>
            </w:r>
          </w:p>
          <w:p>
            <w:pPr>
              <w:keepNext w:val="0"/>
              <w:keepLines w:val="0"/>
              <w:pageBreakBefore w:val="0"/>
              <w:widowControl w:val="0"/>
              <w:kinsoku/>
              <w:wordWrap/>
              <w:overflowPunct/>
              <w:topLinePunct w:val="0"/>
              <w:bidi w:val="0"/>
              <w:adjustRightInd w:val="0"/>
              <w:snapToGrid w:val="0"/>
              <w:spacing w:line="520" w:lineRule="exact"/>
              <w:ind w:firstLine="480" w:firstLineChars="200"/>
              <w:textAlignment w:val="auto"/>
              <w:rPr>
                <w:rFonts w:hint="eastAsia"/>
                <w:sz w:val="24"/>
                <w:szCs w:val="24"/>
              </w:rPr>
            </w:pPr>
            <w:r>
              <w:rPr>
                <w:bCs/>
                <w:color w:val="000000"/>
                <w:kern w:val="0"/>
                <w:sz w:val="24"/>
                <w:szCs w:val="24"/>
                <w:highlight w:val="none"/>
              </w:rPr>
              <w:t>综上，</w:t>
            </w:r>
            <w:r>
              <w:rPr>
                <w:rFonts w:hint="eastAsia"/>
                <w:color w:val="000000"/>
                <w:sz w:val="24"/>
                <w:szCs w:val="24"/>
                <w:highlight w:val="none"/>
                <w:lang w:val="en-US" w:eastAsia="zh-CN"/>
              </w:rPr>
              <w:t>新乡市凤泉区利民加油站</w:t>
            </w:r>
            <w:r>
              <w:rPr>
                <w:bCs/>
                <w:color w:val="000000"/>
                <w:kern w:val="0"/>
                <w:sz w:val="24"/>
                <w:szCs w:val="24"/>
                <w:highlight w:val="none"/>
              </w:rPr>
              <w:t>油气回收系统的密闭性、液阻、气液比三项油气回收指标，检测结果符合《加油站大气污染物排放标准》（GB20952-2007）中相关限值要求；加油站周围无组织排放的非甲烷总烃</w:t>
            </w:r>
            <w:r>
              <w:rPr>
                <w:rFonts w:hint="eastAsia"/>
                <w:bCs/>
                <w:color w:val="000000"/>
                <w:kern w:val="0"/>
                <w:sz w:val="24"/>
                <w:szCs w:val="24"/>
                <w:highlight w:val="none"/>
                <w:lang w:val="en-US" w:eastAsia="zh-CN"/>
              </w:rPr>
              <w:t>预测</w:t>
            </w:r>
            <w:r>
              <w:rPr>
                <w:bCs/>
                <w:color w:val="000000"/>
                <w:kern w:val="0"/>
                <w:sz w:val="24"/>
                <w:szCs w:val="24"/>
                <w:highlight w:val="none"/>
              </w:rPr>
              <w:t>结果符合《大气污染物排放标准》（GB16297-1996）</w:t>
            </w:r>
            <w:r>
              <w:rPr>
                <w:rFonts w:hint="eastAsia"/>
                <w:sz w:val="24"/>
                <w:szCs w:val="24"/>
              </w:rPr>
              <w:t>表</w:t>
            </w:r>
            <w:r>
              <w:rPr>
                <w:sz w:val="24"/>
                <w:szCs w:val="24"/>
              </w:rPr>
              <w:t xml:space="preserve">2 </w:t>
            </w:r>
            <w:r>
              <w:rPr>
                <w:rFonts w:hint="eastAsia"/>
                <w:sz w:val="24"/>
                <w:szCs w:val="24"/>
                <w:lang w:val="en-US" w:eastAsia="zh-CN"/>
              </w:rPr>
              <w:t>及</w:t>
            </w:r>
            <w:r>
              <w:rPr>
                <w:rFonts w:hint="eastAsia"/>
                <w:sz w:val="24"/>
                <w:szCs w:val="24"/>
              </w:rPr>
              <w:t>《关于全省开展工业企业挥发性有机物专项治理工作中排放建议值的通知》（豫环攻坚办</w:t>
            </w:r>
            <w:r>
              <w:rPr>
                <w:sz w:val="24"/>
                <w:szCs w:val="24"/>
              </w:rPr>
              <w:t xml:space="preserve">[2017]162 </w:t>
            </w:r>
            <w:r>
              <w:rPr>
                <w:rFonts w:hint="eastAsia"/>
                <w:sz w:val="24"/>
                <w:szCs w:val="24"/>
              </w:rPr>
              <w:t>号）中企业边界挥发性有机物排放建议值的要求。</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snapToGrid w:val="0"/>
                <w:color w:val="000000"/>
                <w:kern w:val="0"/>
                <w:sz w:val="24"/>
                <w:szCs w:val="24"/>
                <w:highlight w:val="none"/>
              </w:rPr>
            </w:pPr>
            <w:r>
              <w:rPr>
                <w:snapToGrid w:val="0"/>
                <w:color w:val="000000"/>
                <w:kern w:val="0"/>
                <w:sz w:val="24"/>
                <w:szCs w:val="24"/>
                <w:highlight w:val="none"/>
              </w:rPr>
              <w:t>综上所述，项目废气治理措施可行，对周围环境影响不大。</w:t>
            </w:r>
          </w:p>
          <w:p>
            <w:pPr>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baseline"/>
              <w:rPr>
                <w:b/>
                <w:bCs/>
                <w:color w:val="auto"/>
                <w:sz w:val="24"/>
                <w:szCs w:val="24"/>
                <w:highlight w:val="none"/>
              </w:rPr>
            </w:pPr>
            <w:r>
              <w:rPr>
                <w:rFonts w:hint="eastAsia"/>
                <w:b/>
                <w:bCs/>
                <w:color w:val="auto"/>
                <w:sz w:val="24"/>
                <w:szCs w:val="24"/>
                <w:highlight w:val="none"/>
                <w:lang w:val="en-US" w:eastAsia="zh-CN"/>
              </w:rPr>
              <w:t>2</w:t>
            </w:r>
            <w:r>
              <w:rPr>
                <w:rFonts w:hint="eastAsia"/>
                <w:b/>
                <w:bCs/>
                <w:color w:val="auto"/>
                <w:sz w:val="24"/>
                <w:szCs w:val="24"/>
                <w:highlight w:val="none"/>
                <w:lang w:eastAsia="zh-CN"/>
              </w:rPr>
              <w:t>、</w:t>
            </w:r>
            <w:r>
              <w:rPr>
                <w:rFonts w:hint="eastAsia"/>
                <w:b/>
                <w:bCs/>
                <w:color w:val="auto"/>
                <w:sz w:val="24"/>
                <w:szCs w:val="24"/>
                <w:highlight w:val="none"/>
              </w:rPr>
              <w:t>地表水环境影响分析</w:t>
            </w:r>
          </w:p>
          <w:p>
            <w:pPr>
              <w:keepNext/>
              <w:keepLines w:val="0"/>
              <w:pageBreakBefore w:val="0"/>
              <w:widowControl w:val="0"/>
              <w:kinsoku/>
              <w:wordWrap/>
              <w:overflowPunct/>
              <w:topLinePunct w:val="0"/>
              <w:autoSpaceDE/>
              <w:autoSpaceDN/>
              <w:bidi w:val="0"/>
              <w:spacing w:line="520" w:lineRule="exact"/>
              <w:ind w:firstLine="480" w:firstLineChars="20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本项目</w:t>
            </w:r>
            <w:r>
              <w:rPr>
                <w:rFonts w:hint="eastAsia" w:cs="Times New Roman"/>
                <w:bCs/>
                <w:color w:val="auto"/>
                <w:sz w:val="24"/>
                <w:szCs w:val="24"/>
                <w:highlight w:val="none"/>
                <w:lang w:val="en-US" w:eastAsia="zh-CN"/>
              </w:rPr>
              <w:t>废水主要为生活污水和洗车废水</w:t>
            </w:r>
            <w:r>
              <w:rPr>
                <w:rFonts w:ascii="Times New Roman" w:hAnsi="Times New Roman" w:cs="Times New Roman"/>
                <w:bCs/>
                <w:color w:val="auto"/>
                <w:sz w:val="24"/>
                <w:szCs w:val="24"/>
                <w:highlight w:val="none"/>
              </w:rPr>
              <w:t>。</w:t>
            </w:r>
          </w:p>
          <w:p>
            <w:pPr>
              <w:keepLines w:val="0"/>
              <w:pageBreakBefore w:val="0"/>
              <w:widowControl w:val="0"/>
              <w:kinsoku/>
              <w:wordWrap/>
              <w:overflowPunct/>
              <w:topLinePunct w:val="0"/>
              <w:bidi w:val="0"/>
              <w:spacing w:line="520" w:lineRule="exact"/>
              <w:ind w:firstLine="482" w:firstLineChars="200"/>
              <w:jc w:val="left"/>
              <w:rPr>
                <w:b/>
                <w:bCs/>
                <w:color w:val="000000"/>
                <w:sz w:val="24"/>
                <w:szCs w:val="24"/>
                <w:highlight w:val="none"/>
              </w:rPr>
            </w:pPr>
            <w:r>
              <w:rPr>
                <w:rFonts w:hint="eastAsia"/>
                <w:b/>
                <w:bCs/>
                <w:color w:val="000000"/>
                <w:kern w:val="0"/>
                <w:sz w:val="24"/>
                <w:szCs w:val="24"/>
                <w:highlight w:val="none"/>
                <w:lang w:val="en-US" w:eastAsia="zh-CN"/>
              </w:rPr>
              <w:t>2.1.</w:t>
            </w:r>
            <w:r>
              <w:rPr>
                <w:rFonts w:hint="eastAsia"/>
                <w:b/>
                <w:bCs/>
                <w:color w:val="000000"/>
                <w:sz w:val="24"/>
                <w:szCs w:val="24"/>
                <w:highlight w:val="none"/>
              </w:rPr>
              <w:t>生活污水</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480" w:firstLineChars="200"/>
              <w:textAlignment w:val="auto"/>
              <w:rPr>
                <w:snapToGrid w:val="0"/>
                <w:color w:val="000000"/>
                <w:kern w:val="0"/>
                <w:sz w:val="24"/>
                <w:szCs w:val="24"/>
                <w:highlight w:val="none"/>
              </w:rPr>
            </w:pPr>
            <w:r>
              <w:rPr>
                <w:rFonts w:ascii="Times New Roman" w:hAnsi="Times New Roman" w:eastAsia="宋体" w:cs="Times New Roman"/>
                <w:color w:val="auto"/>
                <w:kern w:val="0"/>
                <w:sz w:val="24"/>
                <w:szCs w:val="24"/>
                <w:highlight w:val="none"/>
                <w:lang w:bidi="ar"/>
              </w:rPr>
              <w:t>项目用水主要为生活用水。项目职工共有</w:t>
            </w:r>
            <w:r>
              <w:rPr>
                <w:rFonts w:hint="eastAsia" w:cs="Times New Roman"/>
                <w:color w:val="auto"/>
                <w:kern w:val="0"/>
                <w:sz w:val="24"/>
                <w:szCs w:val="24"/>
                <w:highlight w:val="none"/>
                <w:lang w:val="en-US" w:eastAsia="zh-CN" w:bidi="ar"/>
              </w:rPr>
              <w:t>9</w:t>
            </w:r>
            <w:r>
              <w:rPr>
                <w:rFonts w:ascii="Times New Roman" w:hAnsi="Times New Roman" w:eastAsia="宋体" w:cs="Times New Roman"/>
                <w:color w:val="auto"/>
                <w:kern w:val="0"/>
                <w:sz w:val="24"/>
                <w:szCs w:val="24"/>
                <w:highlight w:val="none"/>
                <w:lang w:bidi="ar"/>
              </w:rPr>
              <w:t>人，均不在站区内</w:t>
            </w:r>
            <w:r>
              <w:rPr>
                <w:rFonts w:hint="eastAsia" w:cs="Times New Roman"/>
                <w:color w:val="auto"/>
                <w:kern w:val="0"/>
                <w:sz w:val="24"/>
                <w:szCs w:val="24"/>
                <w:highlight w:val="none"/>
                <w:lang w:val="en-US" w:eastAsia="zh-CN" w:bidi="ar"/>
              </w:rPr>
              <w:t>住</w:t>
            </w:r>
            <w:r>
              <w:rPr>
                <w:rFonts w:ascii="Times New Roman" w:hAnsi="Times New Roman" w:eastAsia="宋体" w:cs="Times New Roman"/>
                <w:color w:val="auto"/>
                <w:kern w:val="0"/>
                <w:sz w:val="24"/>
                <w:szCs w:val="24"/>
                <w:highlight w:val="none"/>
                <w:lang w:bidi="ar"/>
              </w:rPr>
              <w:t>宿</w:t>
            </w:r>
            <w:r>
              <w:rPr>
                <w:rFonts w:hint="eastAsia" w:cs="Times New Roman"/>
                <w:color w:val="auto"/>
                <w:kern w:val="0"/>
                <w:sz w:val="24"/>
                <w:szCs w:val="24"/>
                <w:highlight w:val="none"/>
                <w:lang w:eastAsia="zh-CN" w:bidi="ar"/>
              </w:rPr>
              <w:t>，</w:t>
            </w:r>
            <w:r>
              <w:rPr>
                <w:rFonts w:hint="eastAsia" w:cs="Times New Roman"/>
                <w:color w:val="auto"/>
                <w:kern w:val="0"/>
                <w:sz w:val="24"/>
                <w:szCs w:val="24"/>
                <w:highlight w:val="none"/>
                <w:lang w:val="en-US" w:eastAsia="zh-CN" w:bidi="ar"/>
              </w:rPr>
              <w:t>员工可在站区内就餐，使用电锅做饭。</w:t>
            </w:r>
            <w:r>
              <w:rPr>
                <w:rFonts w:ascii="Times New Roman" w:hAnsi="Times New Roman" w:eastAsia="宋体" w:cs="Times New Roman"/>
                <w:color w:val="auto"/>
                <w:kern w:val="0"/>
                <w:sz w:val="24"/>
                <w:szCs w:val="24"/>
                <w:highlight w:val="none"/>
                <w:lang w:bidi="ar"/>
              </w:rPr>
              <w:t>用水量按照</w:t>
            </w:r>
            <w:r>
              <w:rPr>
                <w:rFonts w:hint="eastAsia" w:cs="Times New Roman"/>
                <w:color w:val="auto"/>
                <w:kern w:val="0"/>
                <w:sz w:val="24"/>
                <w:szCs w:val="24"/>
                <w:highlight w:val="none"/>
                <w:lang w:val="en-US" w:eastAsia="zh-CN" w:bidi="ar"/>
              </w:rPr>
              <w:t>6</w:t>
            </w:r>
            <w:r>
              <w:rPr>
                <w:rFonts w:ascii="Times New Roman" w:hAnsi="Times New Roman" w:cs="Times New Roman"/>
                <w:color w:val="auto"/>
                <w:kern w:val="0"/>
                <w:sz w:val="24"/>
                <w:szCs w:val="24"/>
                <w:highlight w:val="none"/>
                <w:lang w:bidi="ar"/>
              </w:rPr>
              <w:t>0L/</w:t>
            </w:r>
            <w:r>
              <w:rPr>
                <w:rFonts w:ascii="Times New Roman" w:hAnsi="Times New Roman" w:eastAsia="宋体" w:cs="Times New Roman"/>
                <w:color w:val="auto"/>
                <w:kern w:val="0"/>
                <w:sz w:val="24"/>
                <w:szCs w:val="24"/>
                <w:highlight w:val="none"/>
                <w:lang w:bidi="ar"/>
              </w:rPr>
              <w:t>人</w:t>
            </w:r>
            <w:r>
              <w:rPr>
                <w:rFonts w:ascii="Times New Roman" w:hAnsi="Times New Roman" w:cs="Times New Roman"/>
                <w:color w:val="auto"/>
                <w:kern w:val="0"/>
                <w:sz w:val="24"/>
                <w:szCs w:val="24"/>
                <w:highlight w:val="none"/>
                <w:lang w:bidi="ar"/>
              </w:rPr>
              <w:sym w:font="Wingdings" w:char="009E"/>
            </w:r>
            <w:r>
              <w:rPr>
                <w:rFonts w:ascii="Times New Roman" w:hAnsi="Times New Roman" w:eastAsia="宋体" w:cs="Times New Roman"/>
                <w:color w:val="auto"/>
                <w:kern w:val="0"/>
                <w:sz w:val="24"/>
                <w:szCs w:val="24"/>
                <w:highlight w:val="none"/>
                <w:lang w:bidi="ar"/>
              </w:rPr>
              <w:t>天计算，则用水量约为</w:t>
            </w:r>
            <w:r>
              <w:rPr>
                <w:rFonts w:hint="eastAsia" w:cs="Times New Roman"/>
                <w:color w:val="auto"/>
                <w:kern w:val="0"/>
                <w:sz w:val="24"/>
                <w:szCs w:val="24"/>
                <w:highlight w:val="none"/>
                <w:lang w:val="en-US" w:eastAsia="zh-CN" w:bidi="ar"/>
              </w:rPr>
              <w:t>0.54</w:t>
            </w:r>
            <w:r>
              <w:rPr>
                <w:rFonts w:ascii="Times New Roman" w:hAnsi="Times New Roman" w:cs="Times New Roman"/>
                <w:color w:val="auto"/>
                <w:kern w:val="0"/>
                <w:sz w:val="24"/>
                <w:szCs w:val="24"/>
                <w:highlight w:val="none"/>
                <w:lang w:bidi="ar"/>
              </w:rPr>
              <w:t>m</w:t>
            </w:r>
            <w:r>
              <w:rPr>
                <w:rFonts w:ascii="Times New Roman" w:hAnsi="Times New Roman" w:cs="Times New Roman"/>
                <w:color w:val="auto"/>
                <w:kern w:val="0"/>
                <w:sz w:val="24"/>
                <w:szCs w:val="24"/>
                <w:highlight w:val="none"/>
                <w:vertAlign w:val="superscript"/>
                <w:lang w:bidi="ar"/>
              </w:rPr>
              <w:t>3</w:t>
            </w:r>
            <w:r>
              <w:rPr>
                <w:rFonts w:ascii="Times New Roman" w:hAnsi="Times New Roman" w:cs="Times New Roman"/>
                <w:color w:val="auto"/>
                <w:kern w:val="0"/>
                <w:sz w:val="24"/>
                <w:szCs w:val="24"/>
                <w:highlight w:val="none"/>
                <w:lang w:bidi="ar"/>
              </w:rPr>
              <w:t>/d</w:t>
            </w:r>
            <w:r>
              <w:rPr>
                <w:rFonts w:hint="eastAsia" w:cs="Times New Roman"/>
                <w:color w:val="auto"/>
                <w:kern w:val="0"/>
                <w:sz w:val="24"/>
                <w:szCs w:val="24"/>
                <w:highlight w:val="none"/>
                <w:lang w:eastAsia="zh-CN" w:bidi="ar"/>
              </w:rPr>
              <w:t>（</w:t>
            </w:r>
            <w:r>
              <w:rPr>
                <w:rFonts w:hint="eastAsia" w:cs="Times New Roman"/>
                <w:color w:val="auto"/>
                <w:kern w:val="0"/>
                <w:sz w:val="24"/>
                <w:szCs w:val="24"/>
                <w:highlight w:val="none"/>
                <w:lang w:val="en-US" w:eastAsia="zh-CN" w:bidi="ar"/>
              </w:rPr>
              <w:t>197.1</w:t>
            </w:r>
            <w:r>
              <w:rPr>
                <w:rFonts w:ascii="Times New Roman" w:hAnsi="Times New Roman" w:cs="Times New Roman"/>
                <w:color w:val="auto"/>
                <w:kern w:val="0"/>
                <w:sz w:val="24"/>
                <w:szCs w:val="24"/>
                <w:highlight w:val="none"/>
                <w:lang w:bidi="ar"/>
              </w:rPr>
              <w:t>m</w:t>
            </w:r>
            <w:r>
              <w:rPr>
                <w:rFonts w:ascii="Times New Roman" w:hAnsi="Times New Roman" w:cs="Times New Roman"/>
                <w:color w:val="auto"/>
                <w:kern w:val="0"/>
                <w:sz w:val="24"/>
                <w:szCs w:val="24"/>
                <w:highlight w:val="none"/>
                <w:vertAlign w:val="superscript"/>
                <w:lang w:bidi="ar"/>
              </w:rPr>
              <w:t>3</w:t>
            </w:r>
            <w:r>
              <w:rPr>
                <w:rFonts w:ascii="Times New Roman" w:hAnsi="Times New Roman" w:cs="Times New Roman"/>
                <w:color w:val="auto"/>
                <w:kern w:val="0"/>
                <w:sz w:val="24"/>
                <w:szCs w:val="24"/>
                <w:highlight w:val="none"/>
                <w:lang w:bidi="ar"/>
              </w:rPr>
              <w:t>/a</w:t>
            </w:r>
            <w:r>
              <w:rPr>
                <w:rFonts w:hint="eastAsia" w:cs="Times New Roman"/>
                <w:color w:val="auto"/>
                <w:kern w:val="0"/>
                <w:sz w:val="24"/>
                <w:szCs w:val="24"/>
                <w:highlight w:val="none"/>
                <w:lang w:eastAsia="zh-CN" w:bidi="ar"/>
              </w:rPr>
              <w:t>）</w:t>
            </w:r>
            <w:r>
              <w:rPr>
                <w:rFonts w:ascii="Times New Roman" w:hAnsi="Times New Roman" w:eastAsia="宋体" w:cs="Times New Roman"/>
                <w:color w:val="auto"/>
                <w:kern w:val="0"/>
                <w:sz w:val="24"/>
                <w:szCs w:val="24"/>
                <w:highlight w:val="none"/>
                <w:lang w:bidi="ar"/>
              </w:rPr>
              <w:t>；</w:t>
            </w:r>
            <w:r>
              <w:rPr>
                <w:rFonts w:hint="eastAsia" w:ascii="Times New Roman" w:hAnsi="Times New Roman" w:eastAsia="宋体" w:cs="Times New Roman"/>
                <w:color w:val="auto"/>
                <w:kern w:val="0"/>
                <w:sz w:val="24"/>
                <w:szCs w:val="24"/>
                <w:highlight w:val="none"/>
                <w:lang w:bidi="ar"/>
              </w:rPr>
              <w:t>根据企业运营情况，每天接待顾客约</w:t>
            </w:r>
            <w:r>
              <w:rPr>
                <w:rFonts w:hint="eastAsia" w:ascii="Times New Roman" w:hAnsi="Times New Roman" w:cs="Times New Roman"/>
                <w:color w:val="auto"/>
                <w:kern w:val="0"/>
                <w:sz w:val="24"/>
                <w:szCs w:val="24"/>
                <w:highlight w:val="none"/>
                <w:lang w:val="en-US" w:eastAsia="zh-CN" w:bidi="ar"/>
              </w:rPr>
              <w:t>30</w:t>
            </w:r>
            <w:r>
              <w:rPr>
                <w:rFonts w:hint="eastAsia" w:ascii="Times New Roman" w:hAnsi="Times New Roman" w:eastAsia="宋体" w:cs="Times New Roman"/>
                <w:color w:val="auto"/>
                <w:kern w:val="0"/>
                <w:sz w:val="24"/>
                <w:szCs w:val="24"/>
                <w:highlight w:val="none"/>
                <w:lang w:bidi="ar"/>
              </w:rPr>
              <w:t>人，用水定额按5L/人，</w:t>
            </w:r>
            <w:r>
              <w:rPr>
                <w:rFonts w:ascii="Times New Roman" w:hAnsi="Times New Roman" w:eastAsia="宋体" w:cs="Times New Roman"/>
                <w:color w:val="auto"/>
                <w:kern w:val="0"/>
                <w:sz w:val="24"/>
                <w:szCs w:val="24"/>
                <w:highlight w:val="none"/>
                <w:lang w:bidi="ar"/>
              </w:rPr>
              <w:t>则客</w:t>
            </w:r>
            <w:r>
              <w:rPr>
                <w:color w:val="000000"/>
                <w:sz w:val="24"/>
                <w:szCs w:val="24"/>
                <w:highlight w:val="none"/>
              </w:rPr>
              <w:t>户生活用水量为</w:t>
            </w:r>
            <w:r>
              <w:rPr>
                <w:rFonts w:hint="eastAsia"/>
                <w:color w:val="000000"/>
                <w:sz w:val="24"/>
                <w:szCs w:val="24"/>
                <w:highlight w:val="none"/>
                <w:lang w:val="en-US" w:eastAsia="zh-CN"/>
              </w:rPr>
              <w:t>0.15</w:t>
            </w:r>
            <w:r>
              <w:rPr>
                <w:color w:val="000000"/>
                <w:sz w:val="24"/>
                <w:szCs w:val="24"/>
                <w:highlight w:val="none"/>
              </w:rPr>
              <w:t>m</w:t>
            </w:r>
            <w:r>
              <w:rPr>
                <w:color w:val="000000"/>
                <w:sz w:val="24"/>
                <w:szCs w:val="24"/>
                <w:highlight w:val="none"/>
                <w:vertAlign w:val="superscript"/>
              </w:rPr>
              <w:t>3</w:t>
            </w:r>
            <w:r>
              <w:rPr>
                <w:color w:val="000000"/>
                <w:sz w:val="24"/>
                <w:szCs w:val="24"/>
                <w:highlight w:val="none"/>
              </w:rPr>
              <w:t>/d，则项目日用水量为0.</w:t>
            </w:r>
            <w:r>
              <w:rPr>
                <w:rFonts w:hint="eastAsia"/>
                <w:color w:val="000000"/>
                <w:sz w:val="24"/>
                <w:szCs w:val="24"/>
                <w:highlight w:val="none"/>
                <w:lang w:val="en-US" w:eastAsia="zh-CN"/>
              </w:rPr>
              <w:t>69</w:t>
            </w:r>
            <w:r>
              <w:rPr>
                <w:color w:val="000000"/>
                <w:sz w:val="24"/>
                <w:szCs w:val="24"/>
                <w:highlight w:val="none"/>
              </w:rPr>
              <w:t>m</w:t>
            </w:r>
            <w:r>
              <w:rPr>
                <w:color w:val="000000"/>
                <w:sz w:val="24"/>
                <w:szCs w:val="24"/>
                <w:highlight w:val="none"/>
                <w:vertAlign w:val="superscript"/>
              </w:rPr>
              <w:t>3</w:t>
            </w:r>
            <w:r>
              <w:rPr>
                <w:color w:val="000000"/>
                <w:sz w:val="24"/>
                <w:szCs w:val="24"/>
                <w:highlight w:val="none"/>
              </w:rPr>
              <w:t>/d，污水排放系数取0.8，则生活污水产生量为</w:t>
            </w:r>
            <w:r>
              <w:rPr>
                <w:rFonts w:hint="eastAsia"/>
                <w:color w:val="000000"/>
                <w:sz w:val="24"/>
                <w:szCs w:val="24"/>
                <w:highlight w:val="none"/>
                <w:lang w:val="en-US" w:eastAsia="zh-CN"/>
              </w:rPr>
              <w:t>0.552</w:t>
            </w:r>
            <w:r>
              <w:rPr>
                <w:color w:val="000000"/>
                <w:sz w:val="24"/>
                <w:szCs w:val="24"/>
                <w:highlight w:val="none"/>
              </w:rPr>
              <w:t>m</w:t>
            </w:r>
            <w:r>
              <w:rPr>
                <w:color w:val="000000"/>
                <w:sz w:val="24"/>
                <w:szCs w:val="24"/>
                <w:highlight w:val="none"/>
                <w:vertAlign w:val="superscript"/>
              </w:rPr>
              <w:t>3</w:t>
            </w:r>
            <w:r>
              <w:rPr>
                <w:color w:val="000000"/>
                <w:sz w:val="24"/>
                <w:szCs w:val="24"/>
                <w:highlight w:val="none"/>
              </w:rPr>
              <w:t>/d</w:t>
            </w:r>
            <w:r>
              <w:rPr>
                <w:rFonts w:hint="eastAsia"/>
                <w:color w:val="000000"/>
                <w:sz w:val="24"/>
                <w:szCs w:val="24"/>
                <w:highlight w:val="none"/>
                <w:lang w:eastAsia="zh-CN"/>
              </w:rPr>
              <w:t>（</w:t>
            </w:r>
            <w:r>
              <w:rPr>
                <w:rFonts w:hint="eastAsia"/>
                <w:color w:val="000000"/>
                <w:sz w:val="24"/>
                <w:szCs w:val="24"/>
                <w:highlight w:val="none"/>
                <w:lang w:val="en-US" w:eastAsia="zh-CN"/>
              </w:rPr>
              <w:t>201.48</w:t>
            </w:r>
            <w:r>
              <w:rPr>
                <w:color w:val="000000"/>
                <w:sz w:val="24"/>
                <w:szCs w:val="24"/>
                <w:highlight w:val="none"/>
              </w:rPr>
              <w:t>m</w:t>
            </w:r>
            <w:r>
              <w:rPr>
                <w:color w:val="000000"/>
                <w:sz w:val="24"/>
                <w:szCs w:val="24"/>
                <w:highlight w:val="none"/>
                <w:vertAlign w:val="superscript"/>
              </w:rPr>
              <w:t>3</w:t>
            </w:r>
            <w:r>
              <w:rPr>
                <w:color w:val="000000"/>
                <w:sz w:val="24"/>
                <w:szCs w:val="24"/>
                <w:highlight w:val="none"/>
              </w:rPr>
              <w:t>/a</w:t>
            </w:r>
            <w:r>
              <w:rPr>
                <w:rFonts w:hint="eastAsia"/>
                <w:color w:val="000000"/>
                <w:sz w:val="24"/>
                <w:szCs w:val="24"/>
                <w:highlight w:val="none"/>
                <w:lang w:eastAsia="zh-CN"/>
              </w:rPr>
              <w:t>）</w:t>
            </w:r>
            <w:r>
              <w:rPr>
                <w:rFonts w:hint="eastAsia"/>
                <w:color w:val="000000"/>
                <w:sz w:val="24"/>
                <w:szCs w:val="24"/>
                <w:highlight w:val="none"/>
              </w:rPr>
              <w:t>，</w:t>
            </w:r>
            <w:r>
              <w:rPr>
                <w:color w:val="auto"/>
                <w:sz w:val="24"/>
                <w:szCs w:val="24"/>
                <w:highlight w:val="none"/>
              </w:rPr>
              <w:t>类比确定废水水质为：COD300mg/L、SS250mg/L、NH</w:t>
            </w:r>
            <w:r>
              <w:rPr>
                <w:color w:val="auto"/>
                <w:sz w:val="24"/>
                <w:szCs w:val="24"/>
                <w:highlight w:val="none"/>
                <w:vertAlign w:val="subscript"/>
              </w:rPr>
              <w:t>3</w:t>
            </w:r>
            <w:r>
              <w:rPr>
                <w:color w:val="auto"/>
                <w:sz w:val="24"/>
                <w:szCs w:val="24"/>
                <w:highlight w:val="none"/>
                <w:vertAlign w:val="superscript"/>
              </w:rPr>
              <w:t>-</w:t>
            </w:r>
            <w:r>
              <w:rPr>
                <w:color w:val="auto"/>
                <w:sz w:val="24"/>
                <w:szCs w:val="24"/>
                <w:highlight w:val="none"/>
              </w:rPr>
              <w:t>N25mg/L、TP3mg/L</w:t>
            </w:r>
            <w:r>
              <w:rPr>
                <w:rFonts w:hint="eastAsia"/>
                <w:color w:val="auto"/>
                <w:sz w:val="24"/>
                <w:szCs w:val="24"/>
                <w:highlight w:val="none"/>
              </w:rPr>
              <w:t>，</w:t>
            </w:r>
            <w:r>
              <w:rPr>
                <w:rFonts w:ascii="Times New Roman" w:hAnsi="Times New Roman" w:eastAsia="宋体" w:cs="Times New Roman"/>
                <w:color w:val="auto"/>
                <w:kern w:val="0"/>
                <w:sz w:val="24"/>
                <w:szCs w:val="24"/>
                <w:highlight w:val="none"/>
                <w:lang w:bidi="ar"/>
              </w:rPr>
              <w:t>则主要污染物产生量分别为COD</w:t>
            </w:r>
            <w:r>
              <w:rPr>
                <w:rFonts w:hint="eastAsia" w:ascii="Times New Roman" w:hAnsi="Times New Roman" w:cs="Times New Roman"/>
                <w:color w:val="auto"/>
                <w:kern w:val="0"/>
                <w:sz w:val="24"/>
                <w:szCs w:val="24"/>
                <w:highlight w:val="none"/>
                <w:lang w:val="en-US" w:eastAsia="zh-CN" w:bidi="ar"/>
              </w:rPr>
              <w:t>0.0604</w:t>
            </w:r>
            <w:r>
              <w:rPr>
                <w:rFonts w:ascii="Times New Roman" w:hAnsi="Times New Roman" w:eastAsia="宋体" w:cs="Times New Roman"/>
                <w:color w:val="auto"/>
                <w:kern w:val="0"/>
                <w:sz w:val="24"/>
                <w:szCs w:val="24"/>
                <w:highlight w:val="none"/>
                <w:lang w:bidi="ar"/>
              </w:rPr>
              <w:t>t/a、SS</w:t>
            </w:r>
            <w:r>
              <w:rPr>
                <w:rFonts w:hint="eastAsia" w:ascii="Times New Roman" w:hAnsi="Times New Roman" w:cs="Times New Roman"/>
                <w:color w:val="auto"/>
                <w:kern w:val="0"/>
                <w:sz w:val="24"/>
                <w:szCs w:val="24"/>
                <w:highlight w:val="none"/>
                <w:lang w:val="en-US" w:eastAsia="zh-CN" w:bidi="ar"/>
              </w:rPr>
              <w:t>0.0504</w:t>
            </w:r>
            <w:r>
              <w:rPr>
                <w:rFonts w:ascii="Times New Roman" w:hAnsi="Times New Roman" w:eastAsia="宋体" w:cs="Times New Roman"/>
                <w:color w:val="auto"/>
                <w:kern w:val="0"/>
                <w:sz w:val="24"/>
                <w:szCs w:val="24"/>
                <w:highlight w:val="none"/>
                <w:lang w:bidi="ar"/>
              </w:rPr>
              <w:t>t/a、氨氮</w:t>
            </w:r>
            <w:r>
              <w:rPr>
                <w:rFonts w:hint="eastAsia" w:ascii="Times New Roman" w:hAnsi="Times New Roman" w:cs="Times New Roman"/>
                <w:color w:val="auto"/>
                <w:kern w:val="0"/>
                <w:sz w:val="24"/>
                <w:szCs w:val="24"/>
                <w:highlight w:val="none"/>
                <w:lang w:val="en-US" w:eastAsia="zh-CN" w:bidi="ar"/>
              </w:rPr>
              <w:t>0.005</w:t>
            </w:r>
            <w:r>
              <w:rPr>
                <w:rFonts w:ascii="Times New Roman" w:hAnsi="Times New Roman" w:eastAsia="宋体" w:cs="Times New Roman"/>
                <w:color w:val="auto"/>
                <w:kern w:val="0"/>
                <w:sz w:val="24"/>
                <w:szCs w:val="24"/>
                <w:highlight w:val="none"/>
                <w:lang w:bidi="ar"/>
              </w:rPr>
              <w:t>t/a、</w:t>
            </w:r>
            <w:r>
              <w:rPr>
                <w:rFonts w:hint="eastAsia" w:ascii="Times New Roman" w:hAnsi="Times New Roman" w:eastAsia="宋体" w:cs="Times New Roman"/>
                <w:color w:val="auto"/>
                <w:kern w:val="0"/>
                <w:sz w:val="24"/>
                <w:szCs w:val="24"/>
                <w:highlight w:val="none"/>
                <w:lang w:bidi="ar"/>
              </w:rPr>
              <w:t>TP</w:t>
            </w:r>
            <w:r>
              <w:rPr>
                <w:rFonts w:ascii="Times New Roman" w:hAnsi="Times New Roman" w:eastAsia="宋体" w:cs="Times New Roman"/>
                <w:color w:val="auto"/>
                <w:kern w:val="0"/>
                <w:sz w:val="24"/>
                <w:szCs w:val="24"/>
                <w:highlight w:val="none"/>
                <w:lang w:bidi="ar"/>
              </w:rPr>
              <w:t>0.000</w:t>
            </w:r>
            <w:r>
              <w:rPr>
                <w:rFonts w:hint="eastAsia" w:ascii="Times New Roman" w:hAnsi="Times New Roman" w:eastAsia="宋体" w:cs="Times New Roman"/>
                <w:color w:val="auto"/>
                <w:kern w:val="0"/>
                <w:sz w:val="24"/>
                <w:szCs w:val="24"/>
                <w:highlight w:val="none"/>
                <w:lang w:bidi="ar"/>
              </w:rPr>
              <w:t>6</w:t>
            </w:r>
            <w:r>
              <w:rPr>
                <w:rFonts w:ascii="Times New Roman" w:hAnsi="Times New Roman" w:eastAsia="宋体" w:cs="Times New Roman"/>
                <w:color w:val="auto"/>
                <w:kern w:val="0"/>
                <w:sz w:val="24"/>
                <w:szCs w:val="24"/>
                <w:highlight w:val="none"/>
                <w:lang w:bidi="ar"/>
              </w:rPr>
              <w:t>t/a，经化粪池处理后，</w:t>
            </w:r>
            <w:r>
              <w:rPr>
                <w:color w:val="auto"/>
                <w:sz w:val="24"/>
                <w:szCs w:val="24"/>
                <w:highlight w:val="none"/>
              </w:rPr>
              <w:t>化粪池出口废水污染物排放浓度分别为COD250mg/L、SS200mg/L、NH</w:t>
            </w:r>
            <w:r>
              <w:rPr>
                <w:color w:val="auto"/>
                <w:sz w:val="24"/>
                <w:szCs w:val="24"/>
                <w:highlight w:val="none"/>
                <w:vertAlign w:val="subscript"/>
              </w:rPr>
              <w:t>3</w:t>
            </w:r>
            <w:r>
              <w:rPr>
                <w:color w:val="auto"/>
                <w:sz w:val="24"/>
                <w:szCs w:val="24"/>
                <w:highlight w:val="none"/>
              </w:rPr>
              <w:t>-N25mg/L、TP3mg/L。</w:t>
            </w:r>
            <w:r>
              <w:rPr>
                <w:rFonts w:hint="eastAsia"/>
                <w:color w:val="000000"/>
                <w:sz w:val="24"/>
                <w:szCs w:val="24"/>
                <w:highlight w:val="none"/>
                <w:lang w:val="en-US" w:eastAsia="zh-CN"/>
              </w:rPr>
              <w:t>项目</w:t>
            </w:r>
            <w:r>
              <w:rPr>
                <w:color w:val="000000"/>
                <w:sz w:val="24"/>
                <w:szCs w:val="24"/>
                <w:highlight w:val="none"/>
              </w:rPr>
              <w:t>生活污水经化粪池处理</w:t>
            </w:r>
            <w:r>
              <w:rPr>
                <w:rFonts w:hint="eastAsia"/>
                <w:color w:val="000000"/>
                <w:sz w:val="24"/>
                <w:szCs w:val="24"/>
                <w:highlight w:val="none"/>
                <w:lang w:val="en-US" w:eastAsia="zh-CN"/>
              </w:rPr>
              <w:t>后</w:t>
            </w:r>
            <w:r>
              <w:rPr>
                <w:rFonts w:hint="eastAsia"/>
                <w:color w:val="000000"/>
                <w:sz w:val="24"/>
                <w:szCs w:val="24"/>
                <w:highlight w:val="none"/>
              </w:rPr>
              <w:t>定期清运</w:t>
            </w:r>
            <w:r>
              <w:rPr>
                <w:rFonts w:hint="eastAsia"/>
                <w:color w:val="000000"/>
                <w:sz w:val="24"/>
                <w:szCs w:val="24"/>
                <w:highlight w:val="none"/>
                <w:lang w:val="en-US" w:eastAsia="zh-CN"/>
              </w:rPr>
              <w:t>处置，不外排</w:t>
            </w:r>
            <w:r>
              <w:rPr>
                <w:color w:val="000000"/>
                <w:sz w:val="24"/>
                <w:szCs w:val="24"/>
                <w:highlight w:val="none"/>
              </w:rPr>
              <w:t>。</w:t>
            </w:r>
          </w:p>
          <w:p>
            <w:pPr>
              <w:keepNext w:val="0"/>
              <w:keepLines w:val="0"/>
              <w:pageBreakBefore w:val="0"/>
              <w:widowControl w:val="0"/>
              <w:kinsoku/>
              <w:wordWrap/>
              <w:overflowPunct/>
              <w:topLinePunct w:val="0"/>
              <w:bidi w:val="0"/>
              <w:spacing w:line="520" w:lineRule="exact"/>
              <w:ind w:firstLine="482" w:firstLineChars="200"/>
              <w:jc w:val="left"/>
              <w:textAlignment w:val="auto"/>
              <w:rPr>
                <w:b/>
                <w:bCs/>
                <w:color w:val="000000"/>
                <w:sz w:val="24"/>
                <w:szCs w:val="24"/>
                <w:highlight w:val="none"/>
              </w:rPr>
            </w:pPr>
            <w:r>
              <w:rPr>
                <w:rFonts w:hint="eastAsia"/>
                <w:b/>
                <w:bCs/>
                <w:color w:val="000000"/>
                <w:kern w:val="0"/>
                <w:sz w:val="24"/>
                <w:szCs w:val="24"/>
                <w:highlight w:val="none"/>
                <w:lang w:val="en-US" w:eastAsia="zh-CN"/>
              </w:rPr>
              <w:t>2.2</w:t>
            </w:r>
            <w:r>
              <w:rPr>
                <w:rFonts w:hint="eastAsia"/>
                <w:b/>
                <w:bCs/>
                <w:color w:val="000000"/>
                <w:sz w:val="24"/>
                <w:szCs w:val="24"/>
                <w:highlight w:val="none"/>
              </w:rPr>
              <w:t>洗车废水</w:t>
            </w:r>
          </w:p>
          <w:p>
            <w:pPr>
              <w:keepNext w:val="0"/>
              <w:keepLines w:val="0"/>
              <w:pageBreakBefore w:val="0"/>
              <w:widowControl w:val="0"/>
              <w:kinsoku/>
              <w:wordWrap/>
              <w:overflowPunct/>
              <w:topLinePunct w:val="0"/>
              <w:autoSpaceDE w:val="0"/>
              <w:autoSpaceDN w:val="0"/>
              <w:bidi w:val="0"/>
              <w:adjustRightInd w:val="0"/>
              <w:snapToGrid/>
              <w:spacing w:line="520" w:lineRule="exact"/>
              <w:ind w:right="0" w:firstLine="480"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color w:val="000000"/>
                <w:sz w:val="24"/>
                <w:szCs w:val="24"/>
                <w:highlight w:val="none"/>
              </w:rPr>
              <w:t>加油站平均每天洗车</w:t>
            </w:r>
            <w:r>
              <w:rPr>
                <w:rFonts w:hint="eastAsia"/>
                <w:color w:val="000000"/>
                <w:sz w:val="24"/>
                <w:szCs w:val="24"/>
                <w:highlight w:val="none"/>
                <w:lang w:val="en-US" w:eastAsia="zh-CN"/>
              </w:rPr>
              <w:t>15</w:t>
            </w:r>
            <w:r>
              <w:rPr>
                <w:rFonts w:hint="eastAsia"/>
                <w:color w:val="000000"/>
                <w:sz w:val="24"/>
                <w:szCs w:val="24"/>
                <w:highlight w:val="none"/>
              </w:rPr>
              <w:t>辆，平均每辆车用水80L，则洗车废水用水量为</w:t>
            </w:r>
            <w:r>
              <w:rPr>
                <w:rFonts w:hint="eastAsia"/>
                <w:color w:val="000000"/>
                <w:sz w:val="24"/>
                <w:szCs w:val="24"/>
                <w:highlight w:val="none"/>
                <w:lang w:val="en-US" w:eastAsia="zh-CN"/>
              </w:rPr>
              <w:t>1</w:t>
            </w:r>
            <w:r>
              <w:rPr>
                <w:rFonts w:hint="eastAsia"/>
                <w:color w:val="000000"/>
                <w:sz w:val="24"/>
                <w:szCs w:val="24"/>
                <w:highlight w:val="none"/>
              </w:rPr>
              <w:t>.2t/d，</w:t>
            </w:r>
            <w:r>
              <w:rPr>
                <w:rFonts w:hint="eastAsia"/>
                <w:color w:val="000000"/>
                <w:sz w:val="24"/>
                <w:szCs w:val="24"/>
                <w:highlight w:val="none"/>
                <w:lang w:val="en-US" w:eastAsia="zh-CN"/>
              </w:rPr>
              <w:t>438</w:t>
            </w:r>
            <w:r>
              <w:rPr>
                <w:rFonts w:hint="eastAsia"/>
                <w:color w:val="000000"/>
                <w:sz w:val="24"/>
                <w:szCs w:val="24"/>
                <w:highlight w:val="none"/>
              </w:rPr>
              <w:t xml:space="preserve"> t/a。洗车废水经</w:t>
            </w:r>
            <w:r>
              <w:rPr>
                <w:rFonts w:hint="eastAsia"/>
                <w:color w:val="000000"/>
                <w:sz w:val="24"/>
                <w:szCs w:val="24"/>
                <w:highlight w:val="none"/>
                <w:lang w:val="en-US" w:eastAsia="zh-CN"/>
              </w:rPr>
              <w:t>隔油</w:t>
            </w:r>
            <w:r>
              <w:rPr>
                <w:rFonts w:hint="eastAsia"/>
                <w:color w:val="000000"/>
                <w:sz w:val="24"/>
                <w:szCs w:val="24"/>
                <w:highlight w:val="none"/>
              </w:rPr>
              <w:t>沉淀</w:t>
            </w:r>
            <w:r>
              <w:rPr>
                <w:rFonts w:hint="eastAsia"/>
                <w:color w:val="000000"/>
                <w:sz w:val="24"/>
                <w:szCs w:val="24"/>
                <w:highlight w:val="none"/>
                <w:lang w:val="en-US" w:eastAsia="zh-CN"/>
              </w:rPr>
              <w:t>池处理后循环使用，不外排</w:t>
            </w:r>
            <w:r>
              <w:rPr>
                <w:rFonts w:hint="eastAsia"/>
                <w:color w:val="00000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520" w:lineRule="exact"/>
              <w:ind w:right="0" w:firstLine="482" w:firstLineChars="200"/>
              <w:jc w:val="left"/>
              <w:textAlignment w:val="auto"/>
              <w:rPr>
                <w:rFonts w:hint="default" w:ascii="Times New Roman" w:hAnsi="Times New Roman" w:eastAsia="宋体" w:cs="Times New Roman"/>
                <w:b/>
                <w:bCs/>
                <w:color w:val="auto"/>
                <w:spacing w:val="2"/>
                <w:kern w:val="0"/>
                <w:sz w:val="24"/>
                <w:szCs w:val="24"/>
                <w:highlight w:val="none"/>
              </w:rPr>
            </w:pPr>
            <w:r>
              <w:rPr>
                <w:rFonts w:hint="eastAsia" w:cs="Times New Roman"/>
                <w:b/>
                <w:bCs/>
                <w:color w:val="auto"/>
                <w:kern w:val="0"/>
                <w:sz w:val="24"/>
                <w:szCs w:val="24"/>
                <w:highlight w:val="none"/>
                <w:lang w:val="en-US" w:eastAsia="zh-CN"/>
              </w:rPr>
              <w:t>3</w:t>
            </w:r>
            <w:r>
              <w:rPr>
                <w:rFonts w:hint="default" w:ascii="Times New Roman" w:hAnsi="Times New Roman" w:eastAsia="宋体" w:cs="Times New Roman"/>
                <w:b/>
                <w:bCs/>
                <w:color w:val="auto"/>
                <w:kern w:val="0"/>
                <w:sz w:val="24"/>
                <w:szCs w:val="24"/>
                <w:highlight w:val="none"/>
                <w:lang w:val="en-US" w:eastAsia="zh-CN"/>
              </w:rPr>
              <w:t>、</w:t>
            </w:r>
            <w:r>
              <w:rPr>
                <w:rFonts w:hint="default" w:ascii="Times New Roman" w:hAnsi="Times New Roman" w:eastAsia="宋体" w:cs="Times New Roman"/>
                <w:b/>
                <w:bCs/>
                <w:color w:val="auto"/>
                <w:spacing w:val="2"/>
                <w:kern w:val="0"/>
                <w:sz w:val="24"/>
                <w:szCs w:val="24"/>
                <w:highlight w:val="none"/>
              </w:rPr>
              <w:t>地下水环境影响分析</w:t>
            </w:r>
          </w:p>
          <w:p>
            <w:pPr>
              <w:keepLines w:val="0"/>
              <w:pageBreakBefore w:val="0"/>
              <w:widowControl w:val="0"/>
              <w:kinsoku/>
              <w:wordWrap/>
              <w:overflowPunct/>
              <w:topLinePunct w:val="0"/>
              <w:bidi w:val="0"/>
              <w:adjustRightInd w:val="0"/>
              <w:snapToGrid w:val="0"/>
              <w:spacing w:line="520" w:lineRule="exact"/>
              <w:ind w:firstLine="482" w:firstLineChars="200"/>
              <w:rPr>
                <w:rFonts w:hint="eastAsia" w:hAnsi="黑体"/>
                <w:b/>
                <w:bCs w:val="0"/>
                <w:sz w:val="24"/>
                <w:szCs w:val="24"/>
                <w:highlight w:val="none"/>
              </w:rPr>
            </w:pPr>
            <w:r>
              <w:rPr>
                <w:rFonts w:hint="eastAsia" w:hAnsi="黑体"/>
                <w:b/>
                <w:bCs w:val="0"/>
                <w:sz w:val="24"/>
                <w:szCs w:val="24"/>
                <w:highlight w:val="none"/>
                <w:lang w:val="en-US" w:eastAsia="zh-CN"/>
              </w:rPr>
              <w:t>3.1</w:t>
            </w:r>
            <w:r>
              <w:rPr>
                <w:rFonts w:hint="eastAsia" w:hAnsi="黑体"/>
                <w:b/>
                <w:bCs w:val="0"/>
                <w:sz w:val="24"/>
                <w:szCs w:val="24"/>
                <w:highlight w:val="none"/>
              </w:rPr>
              <w:t>地下水环境现状</w:t>
            </w:r>
          </w:p>
          <w:p>
            <w:pPr>
              <w:keepLines w:val="0"/>
              <w:pageBreakBefore w:val="0"/>
              <w:widowControl w:val="0"/>
              <w:kinsoku/>
              <w:wordWrap/>
              <w:overflowPunct/>
              <w:topLinePunct w:val="0"/>
              <w:bidi w:val="0"/>
              <w:spacing w:line="520" w:lineRule="exact"/>
              <w:ind w:firstLine="480" w:firstLineChars="200"/>
              <w:rPr>
                <w:rFonts w:hint="eastAsia" w:hAnsi="黑体" w:eastAsia="宋体"/>
                <w:bCs/>
                <w:sz w:val="24"/>
                <w:szCs w:val="24"/>
                <w:lang w:val="en-US" w:eastAsia="zh-CN"/>
              </w:rPr>
            </w:pPr>
            <w:r>
              <w:rPr>
                <w:rFonts w:hint="eastAsia" w:hAnsi="黑体"/>
                <w:bCs/>
                <w:sz w:val="24"/>
                <w:szCs w:val="24"/>
                <w:highlight w:val="none"/>
                <w:lang w:val="en-US" w:eastAsia="zh-CN"/>
              </w:rPr>
              <w:t>根据</w:t>
            </w:r>
            <w:r>
              <w:rPr>
                <w:rFonts w:hint="eastAsia" w:ascii="Times New Roman" w:hAnsi="Times New Roman" w:eastAsia="宋体" w:cs="Times New Roman"/>
                <w:color w:val="auto"/>
                <w:kern w:val="0"/>
                <w:sz w:val="24"/>
                <w:szCs w:val="24"/>
                <w:highlight w:val="none"/>
                <w:lang w:bidi="ar"/>
              </w:rPr>
              <w:t>项目区域地下水环境</w:t>
            </w:r>
            <w:r>
              <w:rPr>
                <w:rFonts w:hint="eastAsia" w:ascii="Times New Roman" w:hAnsi="Times New Roman" w:eastAsia="宋体" w:cs="Times New Roman"/>
                <w:color w:val="auto"/>
                <w:kern w:val="0"/>
                <w:sz w:val="24"/>
                <w:szCs w:val="24"/>
                <w:lang w:bidi="ar"/>
              </w:rPr>
              <w:t>质量现状监测</w:t>
            </w:r>
            <w:r>
              <w:rPr>
                <w:rFonts w:hint="eastAsia" w:cs="Times New Roman"/>
                <w:color w:val="auto"/>
                <w:kern w:val="0"/>
                <w:sz w:val="24"/>
                <w:szCs w:val="24"/>
                <w:lang w:val="en-US" w:eastAsia="zh-CN" w:bidi="ar"/>
              </w:rPr>
              <w:t>结果可知</w:t>
            </w:r>
            <w:r>
              <w:rPr>
                <w:rFonts w:hint="eastAsia" w:ascii="Times New Roman" w:hAnsi="Times New Roman" w:eastAsia="宋体" w:cs="Times New Roman"/>
                <w:color w:val="auto"/>
                <w:kern w:val="0"/>
                <w:sz w:val="24"/>
                <w:szCs w:val="24"/>
                <w:lang w:bidi="ar"/>
              </w:rPr>
              <w:t>，</w:t>
            </w:r>
            <w:r>
              <w:rPr>
                <w:rFonts w:hAnsi="黑体"/>
                <w:bCs/>
                <w:sz w:val="24"/>
                <w:szCs w:val="24"/>
              </w:rPr>
              <w:t>地下水监测因子</w:t>
            </w:r>
            <w:r>
              <w:rPr>
                <w:bCs/>
                <w:sz w:val="24"/>
                <w:szCs w:val="24"/>
              </w:rPr>
              <w:t xml:space="preserve">pH </w:t>
            </w:r>
            <w:r>
              <w:rPr>
                <w:rFonts w:hAnsi="黑体"/>
                <w:bCs/>
                <w:sz w:val="24"/>
                <w:szCs w:val="24"/>
              </w:rPr>
              <w:t>值、氨氮、硝酸盐、亚硝酸盐、挥发酚、砷、汞、六价铬、总硬度、铅、溶解性总固体、高锰酸盐指数、硫酸盐、氯化物、总大肠菌群等</w:t>
            </w:r>
            <w:r>
              <w:rPr>
                <w:rFonts w:hint="eastAsia" w:hAnsi="黑体"/>
                <w:bCs/>
                <w:sz w:val="24"/>
                <w:szCs w:val="24"/>
                <w:lang w:eastAsia="zh-CN"/>
              </w:rPr>
              <w:t>监测</w:t>
            </w:r>
            <w:r>
              <w:rPr>
                <w:rFonts w:hAnsi="黑体"/>
                <w:bCs/>
                <w:sz w:val="24"/>
                <w:szCs w:val="24"/>
              </w:rPr>
              <w:t>因子</w:t>
            </w:r>
            <w:r>
              <w:rPr>
                <w:rFonts w:hint="eastAsia" w:hAnsi="黑体"/>
                <w:bCs/>
                <w:sz w:val="24"/>
                <w:szCs w:val="24"/>
                <w:lang w:eastAsia="zh-CN"/>
              </w:rPr>
              <w:t>除</w:t>
            </w:r>
            <w:r>
              <w:rPr>
                <w:rFonts w:hint="eastAsia"/>
                <w:bCs/>
                <w:sz w:val="24"/>
                <w:szCs w:val="24"/>
                <w:lang w:val="en-US" w:eastAsia="zh-CN"/>
              </w:rPr>
              <w:t>陈堡村的</w:t>
            </w:r>
            <w:r>
              <w:rPr>
                <w:rFonts w:ascii="Times New Roman" w:hAnsi="Times New Roman" w:cs="Times New Roman"/>
                <w:sz w:val="24"/>
                <w:szCs w:val="24"/>
              </w:rPr>
              <w:t>总硬度和溶解性总固体存在超标现象</w:t>
            </w:r>
            <w:r>
              <w:rPr>
                <w:rFonts w:hint="eastAsia" w:cs="Times New Roman"/>
                <w:sz w:val="24"/>
                <w:szCs w:val="24"/>
                <w:lang w:eastAsia="zh-CN"/>
              </w:rPr>
              <w:t>外</w:t>
            </w:r>
            <w:r>
              <w:rPr>
                <w:rFonts w:ascii="Times New Roman" w:hAnsi="Times New Roman" w:cs="Times New Roman"/>
                <w:sz w:val="24"/>
                <w:szCs w:val="24"/>
              </w:rPr>
              <w:t>，其他监测因子监测值均能满足</w:t>
            </w:r>
            <w:r>
              <w:rPr>
                <w:bCs/>
                <w:sz w:val="24"/>
                <w:szCs w:val="24"/>
              </w:rPr>
              <w:t>《地下水环境质量标准》（GB/T14848-2017）</w:t>
            </w:r>
            <w:r>
              <w:rPr>
                <w:rFonts w:hint="eastAsia" w:ascii="宋体" w:hAnsi="宋体"/>
                <w:bCs/>
                <w:sz w:val="24"/>
                <w:szCs w:val="24"/>
              </w:rPr>
              <w:t>Ⅲ</w:t>
            </w:r>
            <w:r>
              <w:rPr>
                <w:bCs/>
                <w:sz w:val="24"/>
                <w:szCs w:val="24"/>
              </w:rPr>
              <w:t>类标准，项目区域地下水环境</w:t>
            </w:r>
            <w:r>
              <w:rPr>
                <w:rFonts w:hint="eastAsia"/>
                <w:bCs/>
                <w:sz w:val="24"/>
                <w:szCs w:val="24"/>
                <w:lang w:eastAsia="zh-CN"/>
              </w:rPr>
              <w:t>质量</w:t>
            </w:r>
            <w:r>
              <w:rPr>
                <w:bCs/>
                <w:sz w:val="24"/>
                <w:szCs w:val="24"/>
              </w:rPr>
              <w:t>较好。</w:t>
            </w:r>
            <w:r>
              <w:rPr>
                <w:rFonts w:hAnsi="黑体"/>
                <w:bCs/>
                <w:sz w:val="24"/>
                <w:szCs w:val="24"/>
              </w:rPr>
              <w:t>地下水现场监测数据</w:t>
            </w:r>
            <w:r>
              <w:rPr>
                <w:rFonts w:hAnsi="黑体"/>
                <w:bCs/>
                <w:sz w:val="24"/>
                <w:szCs w:val="24"/>
                <w:highlight w:val="none"/>
              </w:rPr>
              <w:t>（详见表</w:t>
            </w:r>
            <w:r>
              <w:rPr>
                <w:bCs/>
                <w:sz w:val="24"/>
                <w:szCs w:val="24"/>
                <w:highlight w:val="none"/>
              </w:rPr>
              <w:t>1</w:t>
            </w:r>
            <w:r>
              <w:rPr>
                <w:rFonts w:hint="eastAsia"/>
                <w:bCs/>
                <w:sz w:val="24"/>
                <w:szCs w:val="24"/>
                <w:highlight w:val="none"/>
                <w:lang w:val="en-US" w:eastAsia="zh-CN"/>
              </w:rPr>
              <w:t>8，表19</w:t>
            </w:r>
            <w:r>
              <w:rPr>
                <w:rFonts w:hAnsi="黑体"/>
                <w:bCs/>
                <w:sz w:val="24"/>
                <w:szCs w:val="24"/>
                <w:highlight w:val="none"/>
              </w:rPr>
              <w:t>）</w:t>
            </w:r>
            <w:r>
              <w:rPr>
                <w:rFonts w:hint="eastAsia" w:hAnsi="黑体"/>
                <w:bCs/>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sz w:val="24"/>
                <w:szCs w:val="24"/>
              </w:rPr>
            </w:pPr>
            <w:r>
              <w:rPr>
                <w:rFonts w:hint="eastAsia" w:cs="Times New Roman"/>
                <w:b/>
                <w:bCs/>
                <w:color w:val="auto"/>
                <w:sz w:val="24"/>
                <w:szCs w:val="24"/>
                <w:lang w:val="en-US" w:eastAsia="zh-CN"/>
              </w:rPr>
              <w:t>3.2区域</w:t>
            </w:r>
            <w:r>
              <w:rPr>
                <w:rFonts w:ascii="Times New Roman" w:hAnsi="Times New Roman" w:cs="Times New Roman"/>
                <w:b/>
                <w:bCs/>
                <w:color w:val="auto"/>
                <w:sz w:val="24"/>
                <w:szCs w:val="24"/>
              </w:rPr>
              <w:t>水文地质资料</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①地质特征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rPr>
              <w:t>根据项目区域资料可知，拟建场地地貌单元属第四系全新统冲洪积层（Q</w:t>
            </w:r>
            <w:r>
              <w:rPr>
                <w:rFonts w:ascii="Times New Roman" w:hAnsi="Times New Roman" w:cs="Times New Roman"/>
                <w:color w:val="auto"/>
                <w:sz w:val="24"/>
                <w:szCs w:val="24"/>
                <w:vertAlign w:val="subscript"/>
              </w:rPr>
              <w:t>4</w:t>
            </w:r>
            <w:r>
              <w:rPr>
                <w:rFonts w:ascii="Times New Roman" w:hAnsi="Times New Roman" w:cs="Times New Roman"/>
                <w:color w:val="auto"/>
                <w:sz w:val="24"/>
                <w:szCs w:val="24"/>
                <w:vertAlign w:val="superscript"/>
              </w:rPr>
              <w:t>a1+pl</w:t>
            </w:r>
            <w:r>
              <w:rPr>
                <w:rFonts w:ascii="Times New Roman" w:hAnsi="Times New Roman" w:cs="Times New Roman"/>
                <w:color w:val="auto"/>
                <w:sz w:val="24"/>
                <w:szCs w:val="24"/>
              </w:rPr>
              <w:t>），主要岩性</w:t>
            </w:r>
            <w:r>
              <w:rPr>
                <w:rFonts w:ascii="Times New Roman" w:hAnsi="Times New Roman" w:cs="Times New Roman"/>
                <w:color w:val="auto"/>
                <w:sz w:val="24"/>
                <w:szCs w:val="24"/>
                <w:highlight w:val="none"/>
              </w:rPr>
              <w:t>为粉质粘土。按其土质特征及物理力学性质差异将本场地土自上而下划分为4个工程地质单元层，各单元层土质特征描述如下：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第1工程地质单元层：粉质粘土（Q</w:t>
            </w:r>
            <w:r>
              <w:rPr>
                <w:rFonts w:ascii="Times New Roman" w:hAnsi="Times New Roman" w:cs="Times New Roman"/>
                <w:color w:val="auto"/>
                <w:sz w:val="24"/>
                <w:szCs w:val="24"/>
                <w:highlight w:val="none"/>
                <w:vertAlign w:val="subscript"/>
              </w:rPr>
              <w:t>4</w:t>
            </w:r>
            <w:r>
              <w:rPr>
                <w:rFonts w:ascii="Times New Roman" w:hAnsi="Times New Roman" w:cs="Times New Roman"/>
                <w:color w:val="auto"/>
                <w:sz w:val="24"/>
                <w:szCs w:val="24"/>
                <w:highlight w:val="none"/>
                <w:vertAlign w:val="superscript"/>
              </w:rPr>
              <w:t>a1+pl</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黄褐色，软塑—可塑，切面稍有光泽，韧性中等，干强度中等，无摇振反应；标准贯入试验实测击数5-7击，层顶深度0.00m，层底深度10.50-11.00m，层厚10.50-11.00m，平均层厚10.75m，该层物理力学性质不均匀，承载力较低，中等压缩性，工程性质一般的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第2工程地质单元层：粉质粘土（Q</w:t>
            </w:r>
            <w:r>
              <w:rPr>
                <w:rFonts w:ascii="Times New Roman" w:hAnsi="Times New Roman" w:cs="Times New Roman"/>
                <w:color w:val="auto"/>
                <w:sz w:val="24"/>
                <w:szCs w:val="24"/>
                <w:highlight w:val="none"/>
                <w:vertAlign w:val="subscript"/>
              </w:rPr>
              <w:t>4</w:t>
            </w:r>
            <w:r>
              <w:rPr>
                <w:rFonts w:ascii="Times New Roman" w:hAnsi="Times New Roman" w:cs="Times New Roman"/>
                <w:color w:val="auto"/>
                <w:sz w:val="24"/>
                <w:szCs w:val="24"/>
                <w:highlight w:val="none"/>
                <w:vertAlign w:val="superscript"/>
              </w:rPr>
              <w:t>a1+pl</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灰白色，硬塑，局部夹高岭土，切面稍有光泽，韧性中等，干强度较高，无摇振反应；标准贯入试验实测击数14-18击，层顶深度10.50-11.00m，层底深度14.50-15.00m，层厚4.00m，平均层厚4.00m，该层物理力学性质较均匀，承载力较高，中等压缩性，工程性质较好的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第3工程地质单元层：粉土（Q</w:t>
            </w:r>
            <w:r>
              <w:rPr>
                <w:rFonts w:ascii="Times New Roman" w:hAnsi="Times New Roman" w:cs="Times New Roman"/>
                <w:color w:val="auto"/>
                <w:sz w:val="24"/>
                <w:szCs w:val="24"/>
                <w:highlight w:val="none"/>
                <w:vertAlign w:val="subscript"/>
              </w:rPr>
              <w:t>4</w:t>
            </w:r>
            <w:r>
              <w:rPr>
                <w:rFonts w:ascii="Times New Roman" w:hAnsi="Times New Roman" w:cs="Times New Roman"/>
                <w:color w:val="auto"/>
                <w:sz w:val="24"/>
                <w:szCs w:val="24"/>
                <w:highlight w:val="none"/>
                <w:vertAlign w:val="superscript"/>
              </w:rPr>
              <w:t>a1+pl</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灰褐色—灰白色，硬塑，含黑色氧化物及高岭土，夹大量中粗砂，局部相变为泥沙胶结物，结构较致密，中粗砂含量不均匀，切面无光泽，韧性中等，干强度较高，无摇振反应；标准贯入试验实测击数16-25击，层顶深度14.50-15.00m，层底深度22.30-23.50m，层厚7.80—8.50m，平均层厚8.15m，该层物理力学性质较均匀，承载力较高，中等压缩性，工程性质较好的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第4工程地质单元层：粉质粘土（Q</w:t>
            </w:r>
            <w:r>
              <w:rPr>
                <w:rFonts w:ascii="Times New Roman" w:hAnsi="Times New Roman" w:cs="Times New Roman"/>
                <w:color w:val="auto"/>
                <w:sz w:val="24"/>
                <w:szCs w:val="24"/>
                <w:highlight w:val="none"/>
                <w:vertAlign w:val="subscript"/>
              </w:rPr>
              <w:t>4</w:t>
            </w:r>
            <w:r>
              <w:rPr>
                <w:rFonts w:ascii="Times New Roman" w:hAnsi="Times New Roman" w:cs="Times New Roman"/>
                <w:color w:val="auto"/>
                <w:sz w:val="24"/>
                <w:szCs w:val="24"/>
                <w:highlight w:val="none"/>
                <w:vertAlign w:val="superscript"/>
              </w:rPr>
              <w:t>a1+pl</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灰白色，硬塑，局部夹高岭土，切面稍有光泽，韧性中等，干强度较高，无摇振反应；标准贯入试验实测击数18-24击，层顶深度22.30-23.50m，该层未揭穿，最大揭露厚度9.70m，该层物理力学性质较均匀，承载力较高，中等压缩性，工程性质较好的土。</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②地下水补给、径流</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场区内地下水属松散岩类孔隙水，其补给来源以大气降水和地表水体渗入补给为主，以垂直蒸发和侧向径流为主要排泄途径，动态变化受季节性降水控制。</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sz w:val="24"/>
                <w:szCs w:val="24"/>
                <w:highlight w:val="none"/>
              </w:rPr>
            </w:pPr>
            <w:r>
              <w:rPr>
                <w:rFonts w:hint="eastAsia" w:cs="Times New Roman"/>
                <w:b/>
                <w:bCs/>
                <w:color w:val="auto"/>
                <w:sz w:val="24"/>
                <w:szCs w:val="24"/>
                <w:highlight w:val="none"/>
                <w:lang w:val="en-US" w:eastAsia="zh-CN"/>
              </w:rPr>
              <w:t>3.3</w:t>
            </w:r>
            <w:r>
              <w:rPr>
                <w:rFonts w:ascii="Times New Roman" w:hAnsi="Times New Roman" w:cs="Times New Roman"/>
                <w:b/>
                <w:bCs/>
                <w:color w:val="auto"/>
                <w:sz w:val="24"/>
                <w:szCs w:val="24"/>
                <w:highlight w:val="none"/>
              </w:rPr>
              <w:t>地下水评价等级判别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sz w:val="24"/>
                <w:szCs w:val="24"/>
                <w:highlight w:val="none"/>
              </w:rPr>
            </w:pPr>
            <w:r>
              <w:rPr>
                <w:color w:val="000000"/>
                <w:sz w:val="24"/>
                <w:szCs w:val="24"/>
                <w:highlight w:val="none"/>
              </w:rPr>
              <w:t>地下水</w:t>
            </w:r>
            <w:r>
              <w:rPr>
                <w:color w:val="000000"/>
                <w:kern w:val="0"/>
                <w:sz w:val="24"/>
                <w:szCs w:val="24"/>
                <w:highlight w:val="none"/>
              </w:rPr>
              <w:t>环境影响评价</w:t>
            </w:r>
            <w:r>
              <w:rPr>
                <w:color w:val="000000"/>
                <w:sz w:val="24"/>
                <w:szCs w:val="24"/>
                <w:highlight w:val="none"/>
              </w:rPr>
              <w:t>项目类别：根据《环境影响评价技术导则地下水环境》（HJ610-2016）附录A“地下水环境影响评价行业分类表”，本项目属于V社会事业与服务业 182.加油加气站，本项目为加油站建设项目，属于</w:t>
            </w:r>
            <w:r>
              <w:rPr>
                <w:color w:val="000000"/>
                <w:sz w:val="24"/>
                <w:szCs w:val="24"/>
                <w:highlight w:val="none"/>
              </w:rPr>
              <w:fldChar w:fldCharType="begin"/>
            </w:r>
            <w:r>
              <w:rPr>
                <w:color w:val="000000"/>
                <w:sz w:val="24"/>
                <w:szCs w:val="24"/>
                <w:highlight w:val="none"/>
              </w:rPr>
              <w:instrText xml:space="preserve"> = 2 \* ROMAN </w:instrText>
            </w:r>
            <w:r>
              <w:rPr>
                <w:color w:val="000000"/>
                <w:sz w:val="24"/>
                <w:szCs w:val="24"/>
                <w:highlight w:val="none"/>
              </w:rPr>
              <w:fldChar w:fldCharType="separate"/>
            </w:r>
            <w:r>
              <w:rPr>
                <w:color w:val="000000"/>
                <w:sz w:val="24"/>
                <w:szCs w:val="24"/>
                <w:highlight w:val="none"/>
              </w:rPr>
              <w:t>II</w:t>
            </w:r>
            <w:r>
              <w:rPr>
                <w:color w:val="000000"/>
                <w:sz w:val="24"/>
                <w:szCs w:val="24"/>
                <w:highlight w:val="none"/>
              </w:rPr>
              <w:fldChar w:fldCharType="end"/>
            </w:r>
            <w:r>
              <w:rPr>
                <w:color w:val="000000"/>
                <w:sz w:val="24"/>
                <w:szCs w:val="24"/>
                <w:highlight w:val="none"/>
              </w:rPr>
              <w:t>类项目。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sz w:val="24"/>
                <w:szCs w:val="24"/>
              </w:rPr>
            </w:pPr>
            <w:r>
              <w:rPr>
                <w:color w:val="000000"/>
                <w:sz w:val="24"/>
                <w:szCs w:val="24"/>
              </w:rPr>
              <w:t>建设项目场地的</w:t>
            </w:r>
            <w:r>
              <w:rPr>
                <w:color w:val="000000"/>
                <w:kern w:val="0"/>
                <w:sz w:val="24"/>
                <w:szCs w:val="24"/>
              </w:rPr>
              <w:t>地下水</w:t>
            </w:r>
            <w:r>
              <w:rPr>
                <w:color w:val="000000"/>
                <w:sz w:val="24"/>
                <w:szCs w:val="24"/>
              </w:rPr>
              <w:t>环境敏感程度：经查阅《河南省人民政府办公厅关于印发河南省城市集中式饮用水源保护区划的通知》（豫政办（2007）125号文）、《河南省人民政府办公厅关于印发河南省县级集中式饮用水水源保护区划的通知》（豫政</w:t>
            </w:r>
            <w:r>
              <w:rPr>
                <w:rFonts w:ascii="Times New Roman" w:hAnsi="Times New Roman" w:cs="Times New Roman"/>
                <w:color w:val="000000"/>
                <w:sz w:val="24"/>
                <w:szCs w:val="24"/>
              </w:rPr>
              <w:t>办（2013）107号文）及《河南省人民政府办公厅关于印发河南省乡镇集中式饮用水水源保护区划的通知》（豫政办（2016）23号文），项目所在区域不存在集中式饮用水源地及保护区。距离本项目最近的新乡市乡镇饮用水源为厂址</w:t>
            </w:r>
            <w:r>
              <w:rPr>
                <w:rFonts w:hint="eastAsia" w:ascii="Times New Roman" w:hAnsi="Times New Roman" w:cs="Times New Roman"/>
                <w:color w:val="000000"/>
                <w:sz w:val="24"/>
                <w:szCs w:val="24"/>
                <w:lang w:val="en-US" w:eastAsia="zh-CN"/>
              </w:rPr>
              <w:t>北7200</w:t>
            </w:r>
            <w:r>
              <w:rPr>
                <w:rFonts w:ascii="Times New Roman" w:hAnsi="Times New Roman" w:cs="Times New Roman"/>
                <w:color w:val="000000"/>
                <w:sz w:val="24"/>
                <w:szCs w:val="24"/>
              </w:rPr>
              <w:t>m处的孟庄镇孟庄村地下饮用水</w:t>
            </w:r>
            <w:r>
              <w:rPr>
                <w:rFonts w:hint="eastAsia" w:ascii="Times New Roman" w:hAnsi="Times New Roman" w:cs="Times New Roman"/>
                <w:color w:val="000000"/>
                <w:sz w:val="24"/>
                <w:szCs w:val="24"/>
                <w:lang w:eastAsia="zh-CN"/>
              </w:rPr>
              <w:t>一</w:t>
            </w:r>
            <w:r>
              <w:rPr>
                <w:rFonts w:ascii="Times New Roman" w:hAnsi="Times New Roman" w:cs="Times New Roman"/>
                <w:color w:val="000000"/>
                <w:sz w:val="24"/>
                <w:szCs w:val="24"/>
              </w:rPr>
              <w:t>级保护区，本项目不在其保护区内。因此项目厂址属于</w:t>
            </w:r>
            <w:r>
              <w:rPr>
                <w:rFonts w:hint="eastAsia" w:ascii="Times New Roman" w:hAnsi="Times New Roman" w:cs="Times New Roman"/>
                <w:color w:val="000000"/>
                <w:sz w:val="24"/>
                <w:szCs w:val="24"/>
                <w:lang w:val="en-US" w:eastAsia="zh-CN"/>
              </w:rPr>
              <w:t>不</w:t>
            </w:r>
            <w:r>
              <w:rPr>
                <w:rFonts w:ascii="Times New Roman" w:hAnsi="Times New Roman" w:cs="Times New Roman"/>
                <w:color w:val="000000"/>
                <w:sz w:val="24"/>
                <w:szCs w:val="24"/>
              </w:rPr>
              <w:t>敏感区。</w:t>
            </w:r>
          </w:p>
          <w:p>
            <w:pPr>
              <w:keepNext w:val="0"/>
              <w:keepLines w:val="0"/>
              <w:pageBreakBefore w:val="0"/>
              <w:widowControl w:val="0"/>
              <w:kinsoku/>
              <w:wordWrap/>
              <w:overflowPunct/>
              <w:topLinePunct w:val="0"/>
              <w:bidi w:val="0"/>
              <w:snapToGrid/>
              <w:spacing w:line="520" w:lineRule="exact"/>
              <w:ind w:firstLine="480" w:firstLineChars="200"/>
              <w:textAlignment w:val="auto"/>
              <w:rPr>
                <w:color w:val="000000"/>
                <w:sz w:val="24"/>
                <w:szCs w:val="24"/>
                <w:u w:val="single"/>
              </w:rPr>
            </w:pPr>
            <w:r>
              <w:rPr>
                <w:color w:val="000000"/>
                <w:sz w:val="24"/>
                <w:szCs w:val="24"/>
              </w:rPr>
              <w:t>对照《环境影响评价技术导则地下水环境》（HJ610-2016）建设项目评价工作等级分级表可知，本项目地下水评价工作等级为</w:t>
            </w:r>
            <w:r>
              <w:rPr>
                <w:rFonts w:hint="eastAsia"/>
                <w:color w:val="000000"/>
                <w:sz w:val="24"/>
                <w:szCs w:val="24"/>
                <w:lang w:val="en-US" w:eastAsia="zh-CN"/>
              </w:rPr>
              <w:t>三</w:t>
            </w:r>
            <w:r>
              <w:rPr>
                <w:color w:val="000000"/>
                <w:sz w:val="24"/>
                <w:szCs w:val="24"/>
              </w:rPr>
              <w:t>级，具体划分情况见表</w:t>
            </w:r>
            <w:r>
              <w:rPr>
                <w:rFonts w:hint="eastAsia"/>
                <w:color w:val="000000"/>
                <w:sz w:val="24"/>
                <w:szCs w:val="24"/>
                <w:lang w:val="en-US" w:eastAsia="zh-CN"/>
              </w:rPr>
              <w:t>38</w:t>
            </w:r>
            <w:r>
              <w:rPr>
                <w:color w:val="000000"/>
                <w:sz w:val="24"/>
                <w:szCs w:val="24"/>
              </w:rPr>
              <w:t>。</w:t>
            </w:r>
          </w:p>
          <w:p>
            <w:pPr>
              <w:keepNext w:val="0"/>
              <w:keepLines w:val="0"/>
              <w:pageBreakBefore w:val="0"/>
              <w:widowControl w:val="0"/>
              <w:kinsoku/>
              <w:wordWrap/>
              <w:overflowPunct/>
              <w:topLinePunct w:val="0"/>
              <w:autoSpaceDE w:val="0"/>
              <w:autoSpaceDN w:val="0"/>
              <w:bidi w:val="0"/>
              <w:adjustRightInd w:val="0"/>
              <w:snapToGrid/>
              <w:spacing w:line="520" w:lineRule="exact"/>
              <w:jc w:val="center"/>
              <w:textAlignment w:val="auto"/>
              <w:rPr>
                <w:b/>
                <w:color w:val="000000"/>
                <w:kern w:val="0"/>
                <w:sz w:val="24"/>
                <w:szCs w:val="24"/>
                <w:highlight w:val="none"/>
              </w:rPr>
            </w:pPr>
            <w:r>
              <w:rPr>
                <w:b/>
                <w:color w:val="000000"/>
                <w:kern w:val="0"/>
                <w:sz w:val="24"/>
                <w:szCs w:val="24"/>
                <w:highlight w:val="none"/>
              </w:rPr>
              <w:t>表</w:t>
            </w:r>
            <w:r>
              <w:rPr>
                <w:rFonts w:hint="eastAsia"/>
                <w:b/>
                <w:color w:val="000000"/>
                <w:kern w:val="0"/>
                <w:sz w:val="24"/>
                <w:szCs w:val="24"/>
                <w:highlight w:val="none"/>
                <w:lang w:val="en-US" w:eastAsia="zh-CN"/>
              </w:rPr>
              <w:t>38</w:t>
            </w:r>
            <w:r>
              <w:rPr>
                <w:b/>
                <w:color w:val="000000"/>
                <w:kern w:val="0"/>
                <w:sz w:val="24"/>
                <w:szCs w:val="24"/>
                <w:highlight w:val="none"/>
              </w:rPr>
              <w:t xml:space="preserve">               地下水环境评价工作等级分级表</w:t>
            </w:r>
          </w:p>
          <w:tbl>
            <w:tblPr>
              <w:tblStyle w:val="21"/>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13"/>
              <w:gridCol w:w="1580"/>
              <w:gridCol w:w="1718"/>
              <w:gridCol w:w="191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8" w:type="dxa"/>
                  <w:noWrap w:val="0"/>
                  <w:vAlign w:val="center"/>
                </w:tcPr>
                <w:p>
                  <w:pPr>
                    <w:spacing w:line="360" w:lineRule="auto"/>
                    <w:jc w:val="center"/>
                    <w:rPr>
                      <w:b/>
                      <w:color w:val="000000"/>
                      <w:sz w:val="21"/>
                      <w:szCs w:val="21"/>
                    </w:rPr>
                  </w:pPr>
                  <w:r>
                    <w:rPr>
                      <w:color w:val="000000"/>
                      <w:sz w:val="21"/>
                      <w:szCs w:val="24"/>
                    </w:rPr>
                    <w:pict>
                      <v:line id="直接连接符 8" o:spid="_x0000_s1063" o:spt="20" style="position:absolute;left:0pt;margin-left:-6.15pt;margin-top:0.5pt;height:47pt;width:171.5pt;z-index:25166950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">
                        <v:path arrowok="t"/>
                        <v:fill on="f" focussize="0,0"/>
                        <v:stroke color="#000000"/>
                        <v:imagedata o:title=""/>
                        <o:lock v:ext="edit" aspectratio="f"/>
                      </v:line>
                    </w:pict>
                  </w:r>
                  <w:r>
                    <w:rPr>
                      <w:b/>
                      <w:color w:val="000000"/>
                      <w:sz w:val="21"/>
                      <w:szCs w:val="21"/>
                    </w:rPr>
                    <w:t xml:space="preserve">        项目类别</w:t>
                  </w:r>
                </w:p>
                <w:p>
                  <w:pPr>
                    <w:spacing w:line="360" w:lineRule="auto"/>
                    <w:jc w:val="left"/>
                    <w:rPr>
                      <w:b/>
                      <w:color w:val="000000"/>
                      <w:sz w:val="21"/>
                      <w:szCs w:val="21"/>
                    </w:rPr>
                  </w:pPr>
                  <w:r>
                    <w:rPr>
                      <w:b/>
                      <w:color w:val="000000"/>
                      <w:sz w:val="21"/>
                      <w:szCs w:val="21"/>
                    </w:rPr>
                    <w:t>环境敏感程度</w:t>
                  </w:r>
                </w:p>
              </w:tc>
              <w:tc>
                <w:tcPr>
                  <w:tcW w:w="1659" w:type="dxa"/>
                  <w:noWrap w:val="0"/>
                  <w:vAlign w:val="center"/>
                </w:tcPr>
                <w:p>
                  <w:pPr>
                    <w:jc w:val="center"/>
                    <w:rPr>
                      <w:b/>
                      <w:color w:val="000000"/>
                      <w:sz w:val="21"/>
                      <w:szCs w:val="21"/>
                    </w:rPr>
                  </w:pPr>
                  <w:r>
                    <w:rPr>
                      <w:b/>
                      <w:color w:val="000000"/>
                      <w:sz w:val="21"/>
                      <w:szCs w:val="21"/>
                      <w:highlight w:val="yellow"/>
                    </w:rPr>
                    <w:fldChar w:fldCharType="begin"/>
                  </w:r>
                  <w:r>
                    <w:rPr>
                      <w:b/>
                      <w:color w:val="000000"/>
                      <w:sz w:val="21"/>
                      <w:szCs w:val="21"/>
                      <w:highlight w:val="yellow"/>
                    </w:rPr>
                    <w:instrText xml:space="preserve"> = 1 \* ROMAN \* MERGEFORMAT </w:instrText>
                  </w:r>
                  <w:r>
                    <w:rPr>
                      <w:b/>
                      <w:color w:val="000000"/>
                      <w:sz w:val="21"/>
                      <w:szCs w:val="21"/>
                      <w:highlight w:val="yellow"/>
                    </w:rPr>
                    <w:fldChar w:fldCharType="separate"/>
                  </w:r>
                  <w:r>
                    <w:rPr>
                      <w:b/>
                      <w:color w:val="000000"/>
                      <w:sz w:val="21"/>
                      <w:szCs w:val="21"/>
                    </w:rPr>
                    <w:t>I</w:t>
                  </w:r>
                  <w:r>
                    <w:rPr>
                      <w:b/>
                      <w:color w:val="000000"/>
                      <w:sz w:val="21"/>
                      <w:szCs w:val="21"/>
                      <w:highlight w:val="yellow"/>
                    </w:rPr>
                    <w:fldChar w:fldCharType="end"/>
                  </w:r>
                  <w:r>
                    <w:rPr>
                      <w:b/>
                      <w:color w:val="000000"/>
                      <w:sz w:val="21"/>
                      <w:szCs w:val="21"/>
                    </w:rPr>
                    <w:t>类项目</w:t>
                  </w:r>
                </w:p>
              </w:tc>
              <w:tc>
                <w:tcPr>
                  <w:tcW w:w="1805" w:type="dxa"/>
                  <w:noWrap w:val="0"/>
                  <w:vAlign w:val="center"/>
                </w:tcPr>
                <w:p>
                  <w:pPr>
                    <w:jc w:val="center"/>
                    <w:rPr>
                      <w:b/>
                      <w:color w:val="000000"/>
                      <w:sz w:val="21"/>
                      <w:szCs w:val="21"/>
                    </w:rPr>
                  </w:pPr>
                  <w:r>
                    <w:rPr>
                      <w:b/>
                      <w:color w:val="000000"/>
                      <w:sz w:val="21"/>
                      <w:szCs w:val="21"/>
                      <w:highlight w:val="yellow"/>
                    </w:rPr>
                    <w:fldChar w:fldCharType="begin"/>
                  </w:r>
                  <w:r>
                    <w:rPr>
                      <w:b/>
                      <w:color w:val="000000"/>
                      <w:sz w:val="21"/>
                      <w:szCs w:val="21"/>
                      <w:highlight w:val="yellow"/>
                    </w:rPr>
                    <w:instrText xml:space="preserve"> = 2 \* ROMAN \* MERGEFORMAT </w:instrText>
                  </w:r>
                  <w:r>
                    <w:rPr>
                      <w:b/>
                      <w:color w:val="000000"/>
                      <w:sz w:val="21"/>
                      <w:szCs w:val="21"/>
                      <w:highlight w:val="yellow"/>
                    </w:rPr>
                    <w:fldChar w:fldCharType="separate"/>
                  </w:r>
                  <w:r>
                    <w:rPr>
                      <w:b/>
                      <w:color w:val="000000"/>
                      <w:sz w:val="21"/>
                      <w:szCs w:val="21"/>
                    </w:rPr>
                    <w:t>II</w:t>
                  </w:r>
                  <w:r>
                    <w:rPr>
                      <w:b/>
                      <w:color w:val="000000"/>
                      <w:sz w:val="21"/>
                      <w:szCs w:val="21"/>
                      <w:highlight w:val="yellow"/>
                    </w:rPr>
                    <w:fldChar w:fldCharType="end"/>
                  </w:r>
                  <w:r>
                    <w:rPr>
                      <w:b/>
                      <w:color w:val="000000"/>
                      <w:sz w:val="21"/>
                      <w:szCs w:val="21"/>
                    </w:rPr>
                    <w:t>类项目</w:t>
                  </w:r>
                </w:p>
              </w:tc>
              <w:tc>
                <w:tcPr>
                  <w:tcW w:w="2010" w:type="dxa"/>
                  <w:noWrap w:val="0"/>
                  <w:vAlign w:val="center"/>
                </w:tcPr>
                <w:p>
                  <w:pPr>
                    <w:jc w:val="center"/>
                    <w:rPr>
                      <w:b/>
                      <w:color w:val="000000"/>
                      <w:sz w:val="21"/>
                      <w:szCs w:val="21"/>
                    </w:rPr>
                  </w:pPr>
                  <w:r>
                    <w:rPr>
                      <w:b/>
                      <w:color w:val="000000"/>
                      <w:sz w:val="21"/>
                      <w:szCs w:val="21"/>
                    </w:rPr>
                    <w:fldChar w:fldCharType="begin"/>
                  </w:r>
                  <w:r>
                    <w:rPr>
                      <w:b/>
                      <w:color w:val="000000"/>
                      <w:sz w:val="21"/>
                      <w:szCs w:val="21"/>
                    </w:rPr>
                    <w:instrText xml:space="preserve"> = 3 \* ROMAN \* MERGEFORMAT </w:instrText>
                  </w:r>
                  <w:r>
                    <w:rPr>
                      <w:b/>
                      <w:color w:val="000000"/>
                      <w:sz w:val="21"/>
                      <w:szCs w:val="21"/>
                    </w:rPr>
                    <w:fldChar w:fldCharType="separate"/>
                  </w:r>
                  <w:r>
                    <w:rPr>
                      <w:b/>
                      <w:color w:val="000000"/>
                      <w:sz w:val="21"/>
                      <w:szCs w:val="21"/>
                    </w:rPr>
                    <w:t>III</w:t>
                  </w:r>
                  <w:r>
                    <w:rPr>
                      <w:b/>
                      <w:color w:val="000000"/>
                      <w:sz w:val="21"/>
                      <w:szCs w:val="21"/>
                    </w:rPr>
                    <w:fldChar w:fldCharType="end"/>
                  </w:r>
                  <w:r>
                    <w:rPr>
                      <w:b/>
                      <w:color w:val="000000"/>
                      <w:sz w:val="21"/>
                      <w:szCs w:val="21"/>
                    </w:rPr>
                    <w:t>类项目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8" w:type="dxa"/>
                  <w:noWrap w:val="0"/>
                  <w:vAlign w:val="center"/>
                </w:tcPr>
                <w:p>
                  <w:pPr>
                    <w:jc w:val="center"/>
                    <w:rPr>
                      <w:color w:val="000000"/>
                      <w:sz w:val="21"/>
                      <w:szCs w:val="21"/>
                    </w:rPr>
                  </w:pPr>
                  <w:r>
                    <w:rPr>
                      <w:color w:val="000000"/>
                      <w:sz w:val="21"/>
                      <w:szCs w:val="21"/>
                    </w:rPr>
                    <w:t>敏感</w:t>
                  </w:r>
                </w:p>
              </w:tc>
              <w:tc>
                <w:tcPr>
                  <w:tcW w:w="1659" w:type="dxa"/>
                  <w:noWrap w:val="0"/>
                  <w:vAlign w:val="center"/>
                </w:tcPr>
                <w:p>
                  <w:pPr>
                    <w:jc w:val="center"/>
                    <w:rPr>
                      <w:color w:val="000000"/>
                      <w:sz w:val="21"/>
                      <w:szCs w:val="21"/>
                    </w:rPr>
                  </w:pPr>
                  <w:r>
                    <w:rPr>
                      <w:color w:val="000000"/>
                      <w:sz w:val="21"/>
                      <w:szCs w:val="21"/>
                    </w:rPr>
                    <w:t>一</w:t>
                  </w:r>
                </w:p>
              </w:tc>
              <w:tc>
                <w:tcPr>
                  <w:tcW w:w="1805" w:type="dxa"/>
                  <w:noWrap w:val="0"/>
                  <w:vAlign w:val="center"/>
                </w:tcPr>
                <w:p>
                  <w:pPr>
                    <w:jc w:val="center"/>
                    <w:rPr>
                      <w:color w:val="000000"/>
                      <w:sz w:val="21"/>
                      <w:szCs w:val="21"/>
                    </w:rPr>
                  </w:pPr>
                  <w:r>
                    <w:rPr>
                      <w:color w:val="000000"/>
                      <w:sz w:val="21"/>
                      <w:szCs w:val="21"/>
                    </w:rPr>
                    <w:t>一</w:t>
                  </w:r>
                </w:p>
              </w:tc>
              <w:tc>
                <w:tcPr>
                  <w:tcW w:w="2010" w:type="dxa"/>
                  <w:noWrap w:val="0"/>
                  <w:vAlign w:val="center"/>
                </w:tcPr>
                <w:p>
                  <w:pPr>
                    <w:jc w:val="center"/>
                    <w:rPr>
                      <w:color w:val="000000"/>
                      <w:sz w:val="21"/>
                      <w:szCs w:val="21"/>
                    </w:rPr>
                  </w:pPr>
                  <w:r>
                    <w:rPr>
                      <w:color w:val="000000"/>
                      <w:sz w:val="21"/>
                      <w:szCs w:val="21"/>
                    </w:rPr>
                    <w:t>二</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8" w:type="dxa"/>
                  <w:noWrap w:val="0"/>
                  <w:vAlign w:val="center"/>
                </w:tcPr>
                <w:p>
                  <w:pPr>
                    <w:jc w:val="center"/>
                    <w:rPr>
                      <w:color w:val="000000"/>
                      <w:sz w:val="21"/>
                      <w:szCs w:val="21"/>
                    </w:rPr>
                  </w:pPr>
                  <w:r>
                    <w:rPr>
                      <w:color w:val="000000"/>
                      <w:sz w:val="21"/>
                      <w:szCs w:val="21"/>
                    </w:rPr>
                    <w:t>较敏感</w:t>
                  </w:r>
                </w:p>
              </w:tc>
              <w:tc>
                <w:tcPr>
                  <w:tcW w:w="1659" w:type="dxa"/>
                  <w:noWrap w:val="0"/>
                  <w:vAlign w:val="center"/>
                </w:tcPr>
                <w:p>
                  <w:pPr>
                    <w:jc w:val="center"/>
                    <w:rPr>
                      <w:color w:val="000000"/>
                      <w:sz w:val="21"/>
                      <w:szCs w:val="21"/>
                    </w:rPr>
                  </w:pPr>
                  <w:r>
                    <w:rPr>
                      <w:color w:val="000000"/>
                      <w:sz w:val="21"/>
                      <w:szCs w:val="21"/>
                    </w:rPr>
                    <w:t>一</w:t>
                  </w:r>
                </w:p>
              </w:tc>
              <w:tc>
                <w:tcPr>
                  <w:tcW w:w="1805" w:type="dxa"/>
                  <w:noWrap w:val="0"/>
                  <w:vAlign w:val="center"/>
                </w:tcPr>
                <w:p>
                  <w:pPr>
                    <w:jc w:val="center"/>
                    <w:rPr>
                      <w:color w:val="000000"/>
                      <w:sz w:val="21"/>
                      <w:szCs w:val="21"/>
                    </w:rPr>
                  </w:pPr>
                  <w:r>
                    <w:rPr>
                      <w:color w:val="000000"/>
                      <w:sz w:val="21"/>
                      <w:szCs w:val="21"/>
                    </w:rPr>
                    <w:t>二</w:t>
                  </w:r>
                </w:p>
              </w:tc>
              <w:tc>
                <w:tcPr>
                  <w:tcW w:w="2010" w:type="dxa"/>
                  <w:noWrap w:val="0"/>
                  <w:vAlign w:val="center"/>
                </w:tcPr>
                <w:p>
                  <w:pPr>
                    <w:jc w:val="center"/>
                    <w:rPr>
                      <w:color w:val="000000"/>
                      <w:sz w:val="21"/>
                      <w:szCs w:val="21"/>
                    </w:rPr>
                  </w:pPr>
                  <w:r>
                    <w:rPr>
                      <w:color w:val="000000"/>
                      <w:sz w:val="21"/>
                      <w:szCs w:val="21"/>
                    </w:rPr>
                    <w:t>三</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8" w:type="dxa"/>
                  <w:noWrap w:val="0"/>
                  <w:vAlign w:val="center"/>
                </w:tcPr>
                <w:p>
                  <w:pPr>
                    <w:jc w:val="center"/>
                    <w:rPr>
                      <w:color w:val="000000"/>
                      <w:sz w:val="21"/>
                      <w:szCs w:val="21"/>
                    </w:rPr>
                  </w:pPr>
                  <w:r>
                    <w:rPr>
                      <w:color w:val="000000"/>
                      <w:sz w:val="21"/>
                      <w:szCs w:val="21"/>
                    </w:rPr>
                    <w:t>不敏感</w:t>
                  </w:r>
                </w:p>
              </w:tc>
              <w:tc>
                <w:tcPr>
                  <w:tcW w:w="1659" w:type="dxa"/>
                  <w:noWrap w:val="0"/>
                  <w:vAlign w:val="center"/>
                </w:tcPr>
                <w:p>
                  <w:pPr>
                    <w:jc w:val="center"/>
                    <w:rPr>
                      <w:color w:val="000000"/>
                      <w:sz w:val="21"/>
                      <w:szCs w:val="21"/>
                    </w:rPr>
                  </w:pPr>
                  <w:r>
                    <w:rPr>
                      <w:color w:val="000000"/>
                      <w:sz w:val="21"/>
                      <w:szCs w:val="21"/>
                    </w:rPr>
                    <w:t>二</w:t>
                  </w:r>
                </w:p>
              </w:tc>
              <w:tc>
                <w:tcPr>
                  <w:tcW w:w="1805" w:type="dxa"/>
                  <w:noWrap w:val="0"/>
                  <w:vAlign w:val="center"/>
                </w:tcPr>
                <w:p>
                  <w:pPr>
                    <w:jc w:val="center"/>
                    <w:rPr>
                      <w:color w:val="000000"/>
                      <w:sz w:val="21"/>
                      <w:szCs w:val="21"/>
                    </w:rPr>
                  </w:pPr>
                  <w:r>
                    <w:rPr>
                      <w:color w:val="000000"/>
                      <w:sz w:val="21"/>
                      <w:szCs w:val="21"/>
                    </w:rPr>
                    <w:t>三</w:t>
                  </w:r>
                </w:p>
              </w:tc>
              <w:tc>
                <w:tcPr>
                  <w:tcW w:w="2010" w:type="dxa"/>
                  <w:noWrap w:val="0"/>
                  <w:vAlign w:val="center"/>
                </w:tcPr>
                <w:p>
                  <w:pPr>
                    <w:jc w:val="center"/>
                    <w:rPr>
                      <w:color w:val="000000"/>
                      <w:sz w:val="21"/>
                      <w:szCs w:val="21"/>
                    </w:rPr>
                  </w:pPr>
                  <w:r>
                    <w:rPr>
                      <w:color w:val="000000"/>
                      <w:sz w:val="21"/>
                      <w:szCs w:val="21"/>
                    </w:rPr>
                    <w:t>三</w:t>
                  </w:r>
                </w:p>
              </w:tc>
            </w:tr>
          </w:tbl>
          <w:p>
            <w:pPr>
              <w:keepNext w:val="0"/>
              <w:keepLines w:val="0"/>
              <w:pageBreakBefore w:val="0"/>
              <w:kinsoku/>
              <w:wordWrap/>
              <w:overflowPunct/>
              <w:topLinePunct w:val="0"/>
              <w:autoSpaceDE/>
              <w:autoSpaceDN/>
              <w:bidi w:val="0"/>
              <w:spacing w:line="520" w:lineRule="exact"/>
              <w:ind w:firstLine="482" w:firstLineChars="200"/>
              <w:textAlignment w:val="auto"/>
              <w:rPr>
                <w:b/>
                <w:bCs/>
                <w:color w:val="000000"/>
                <w:kern w:val="0"/>
                <w:sz w:val="24"/>
                <w:szCs w:val="24"/>
                <w:highlight w:val="none"/>
              </w:rPr>
            </w:pPr>
            <w:r>
              <w:rPr>
                <w:rFonts w:hint="eastAsia"/>
                <w:b/>
                <w:bCs/>
                <w:color w:val="000000"/>
                <w:kern w:val="0"/>
                <w:sz w:val="24"/>
                <w:szCs w:val="24"/>
                <w:highlight w:val="none"/>
                <w:lang w:val="en-US" w:eastAsia="zh-CN"/>
              </w:rPr>
              <w:t>3.4</w:t>
            </w:r>
            <w:r>
              <w:rPr>
                <w:b/>
                <w:bCs/>
                <w:color w:val="000000"/>
                <w:kern w:val="0"/>
                <w:sz w:val="24"/>
                <w:szCs w:val="24"/>
                <w:highlight w:val="none"/>
              </w:rPr>
              <w:t>评价范围确定</w:t>
            </w:r>
          </w:p>
          <w:p>
            <w:pPr>
              <w:keepNext w:val="0"/>
              <w:keepLines w:val="0"/>
              <w:pageBreakBefore w:val="0"/>
              <w:kinsoku/>
              <w:wordWrap/>
              <w:overflowPunct/>
              <w:topLinePunct w:val="0"/>
              <w:autoSpaceDE/>
              <w:autoSpaceDN/>
              <w:bidi w:val="0"/>
              <w:spacing w:line="520" w:lineRule="exact"/>
              <w:ind w:firstLine="477" w:firstLineChars="199"/>
              <w:textAlignment w:val="auto"/>
              <w:rPr>
                <w:color w:val="000000"/>
                <w:kern w:val="0"/>
                <w:sz w:val="24"/>
                <w:szCs w:val="24"/>
                <w:highlight w:val="none"/>
              </w:rPr>
            </w:pPr>
            <w:r>
              <w:rPr>
                <w:color w:val="000000"/>
                <w:kern w:val="0"/>
                <w:sz w:val="24"/>
                <w:szCs w:val="24"/>
                <w:highlight w:val="none"/>
              </w:rPr>
              <w:t>根据《环境影响评价技术导则-地下水环境》（HJ610-2016）地下水环境现状调查评价范围参照表，</w:t>
            </w:r>
            <w:r>
              <w:rPr>
                <w:rFonts w:hint="eastAsia"/>
                <w:color w:val="000000"/>
                <w:kern w:val="0"/>
                <w:sz w:val="24"/>
                <w:szCs w:val="24"/>
                <w:highlight w:val="none"/>
                <w:lang w:val="en-US" w:eastAsia="zh-CN"/>
              </w:rPr>
              <w:t>三</w:t>
            </w:r>
            <w:r>
              <w:rPr>
                <w:color w:val="000000"/>
                <w:kern w:val="0"/>
                <w:sz w:val="24"/>
                <w:szCs w:val="24"/>
                <w:highlight w:val="none"/>
              </w:rPr>
              <w:t>级评价的调查评价面积</w:t>
            </w:r>
            <w:r>
              <w:rPr>
                <w:rFonts w:hint="default" w:ascii="Arial" w:hAnsi="Arial" w:cs="Arial"/>
                <w:color w:val="000000"/>
                <w:kern w:val="0"/>
                <w:sz w:val="24"/>
                <w:szCs w:val="24"/>
                <w:highlight w:val="none"/>
              </w:rPr>
              <w:t>≤</w:t>
            </w:r>
            <w:r>
              <w:rPr>
                <w:rFonts w:hint="eastAsia"/>
                <w:color w:val="000000"/>
                <w:kern w:val="0"/>
                <w:sz w:val="24"/>
                <w:szCs w:val="24"/>
                <w:highlight w:val="none"/>
                <w:lang w:val="en-US" w:eastAsia="zh-CN"/>
              </w:rPr>
              <w:t>6</w:t>
            </w:r>
            <w:r>
              <w:rPr>
                <w:color w:val="000000"/>
                <w:kern w:val="0"/>
                <w:sz w:val="24"/>
                <w:szCs w:val="24"/>
                <w:highlight w:val="none"/>
              </w:rPr>
              <w:t>km</w:t>
            </w:r>
            <w:r>
              <w:rPr>
                <w:color w:val="000000"/>
                <w:kern w:val="0"/>
                <w:sz w:val="24"/>
                <w:szCs w:val="24"/>
                <w:highlight w:val="none"/>
                <w:vertAlign w:val="superscript"/>
              </w:rPr>
              <w:t>2</w:t>
            </w:r>
            <w:r>
              <w:rPr>
                <w:rFonts w:hint="eastAsia"/>
                <w:color w:val="000000"/>
                <w:kern w:val="0"/>
                <w:sz w:val="24"/>
                <w:szCs w:val="24"/>
                <w:highlight w:val="none"/>
              </w:rPr>
              <w:t>，本次评价取</w:t>
            </w:r>
            <w:r>
              <w:rPr>
                <w:color w:val="000000"/>
                <w:kern w:val="0"/>
                <w:sz w:val="24"/>
                <w:szCs w:val="24"/>
                <w:highlight w:val="none"/>
              </w:rPr>
              <w:t>6km</w:t>
            </w:r>
            <w:r>
              <w:rPr>
                <w:color w:val="000000"/>
                <w:kern w:val="0"/>
                <w:sz w:val="24"/>
                <w:szCs w:val="24"/>
                <w:highlight w:val="none"/>
                <w:vertAlign w:val="superscript"/>
              </w:rPr>
              <w:t>2</w:t>
            </w:r>
            <w:r>
              <w:rPr>
                <w:color w:val="000000"/>
                <w:kern w:val="0"/>
                <w:sz w:val="24"/>
                <w:szCs w:val="24"/>
                <w:highlight w:val="none"/>
              </w:rPr>
              <w:t>。根据实地调查，本项目所在区域地下水流向为由西南向东北。</w:t>
            </w:r>
          </w:p>
          <w:p>
            <w:pPr>
              <w:keepNext w:val="0"/>
              <w:keepLines w:val="0"/>
              <w:pageBreakBefore w:val="0"/>
              <w:kinsoku/>
              <w:wordWrap/>
              <w:overflowPunct/>
              <w:topLinePunct w:val="0"/>
              <w:autoSpaceDE/>
              <w:autoSpaceDN/>
              <w:bidi w:val="0"/>
              <w:adjustRightInd w:val="0"/>
              <w:snapToGrid w:val="0"/>
              <w:spacing w:line="520" w:lineRule="exact"/>
              <w:ind w:firstLine="482" w:firstLineChars="200"/>
              <w:textAlignment w:val="auto"/>
              <w:rPr>
                <w:rFonts w:hint="eastAsia"/>
                <w:b/>
                <w:bCs/>
                <w:snapToGrid w:val="0"/>
                <w:color w:val="000000"/>
                <w:kern w:val="0"/>
                <w:sz w:val="24"/>
                <w:szCs w:val="24"/>
              </w:rPr>
            </w:pPr>
            <w:r>
              <w:rPr>
                <w:rFonts w:ascii="Times New Roman" w:hAnsi="Times New Roman" w:cs="Times New Roman"/>
                <w:b/>
                <w:bCs/>
                <w:color w:val="auto"/>
                <w:sz w:val="24"/>
                <w:szCs w:val="24"/>
              </w:rPr>
              <w:t xml:space="preserve"> </w:t>
            </w:r>
            <w:r>
              <w:rPr>
                <w:rFonts w:hint="eastAsia"/>
                <w:b/>
                <w:bCs/>
                <w:snapToGrid w:val="0"/>
                <w:color w:val="000000"/>
                <w:kern w:val="0"/>
                <w:sz w:val="24"/>
                <w:szCs w:val="24"/>
                <w:lang w:val="en-US" w:eastAsia="zh-CN"/>
              </w:rPr>
              <w:t>3.5</w:t>
            </w:r>
            <w:r>
              <w:rPr>
                <w:rFonts w:hint="eastAsia"/>
                <w:b/>
                <w:bCs/>
                <w:snapToGrid w:val="0"/>
                <w:color w:val="000000"/>
                <w:kern w:val="0"/>
                <w:sz w:val="24"/>
                <w:szCs w:val="24"/>
              </w:rPr>
              <w:t>预测时段</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根据《环境影响评价技术导则</w:t>
            </w:r>
            <w:r>
              <w:rPr>
                <w:rFonts w:hint="eastAsia" w:hAnsi="宋体"/>
                <w:snapToGrid w:val="0"/>
                <w:color w:val="000000"/>
                <w:kern w:val="0"/>
                <w:sz w:val="24"/>
                <w:szCs w:val="24"/>
              </w:rPr>
              <w:t>•</w:t>
            </w:r>
            <w:r>
              <w:rPr>
                <w:rFonts w:hint="eastAsia"/>
                <w:snapToGrid w:val="0"/>
                <w:color w:val="000000"/>
                <w:kern w:val="0"/>
                <w:sz w:val="24"/>
                <w:szCs w:val="24"/>
              </w:rPr>
              <w:t>地下水环境》（HJ610-2016），地下水环境影响预测时段应选取可能产生地下水污染的关键时段，至少包括污染发生后100d、1000d，服务年限或能反映特征因子迁移规律的其他重要的时间节点。本次评价预测时段选取污染发生后100d、1000d。</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sz w:val="24"/>
                <w:szCs w:val="24"/>
              </w:rPr>
            </w:pPr>
            <w:r>
              <w:rPr>
                <w:rFonts w:hint="eastAsia" w:cs="Times New Roman"/>
                <w:b/>
                <w:bCs/>
                <w:color w:val="auto"/>
                <w:sz w:val="24"/>
                <w:szCs w:val="24"/>
                <w:lang w:val="en-US" w:eastAsia="zh-CN"/>
              </w:rPr>
              <w:t>3.6</w:t>
            </w:r>
            <w:r>
              <w:rPr>
                <w:rFonts w:ascii="Times New Roman" w:hAnsi="Times New Roman" w:cs="Times New Roman"/>
                <w:b/>
                <w:bCs/>
                <w:color w:val="auto"/>
                <w:sz w:val="24"/>
                <w:szCs w:val="24"/>
              </w:rPr>
              <w:t>情景设置</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①正常工况</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正常状况下，企业在严格采取防渗措施下，油罐不会发生渗漏而进入地下水环境，不会对地下水环境构成威胁，参考地下水导则相关要求，正常工况情景不展开预测工作。</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②非正常工况</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snapToGrid w:val="0"/>
                <w:color w:val="000000"/>
                <w:kern w:val="0"/>
                <w:sz w:val="24"/>
                <w:szCs w:val="24"/>
              </w:rPr>
              <w:t>非正常状况通常为工艺设备、地下水环保措施因老化、腐蚀等原因不能正常运行或保护效果达不到设计要求。</w:t>
            </w:r>
            <w:r>
              <w:rPr>
                <w:rFonts w:hint="eastAsia"/>
                <w:snapToGrid w:val="0"/>
                <w:color w:val="000000"/>
                <w:kern w:val="0"/>
                <w:sz w:val="24"/>
                <w:szCs w:val="24"/>
              </w:rPr>
              <w:t>对于企业而言，主要考虑地下储罐等非可视部位因腐蚀或硬化面破损等原因发生小面积渗漏时，少量汽油通过漏点，逐步渗入包气带并可能进入地下水。</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snapToGrid w:val="0"/>
                <w:color w:val="000000"/>
                <w:kern w:val="0"/>
                <w:sz w:val="24"/>
                <w:szCs w:val="24"/>
              </w:rPr>
            </w:pPr>
            <w:r>
              <w:rPr>
                <w:rFonts w:hint="eastAsia"/>
                <w:snapToGrid w:val="0"/>
                <w:color w:val="000000"/>
                <w:kern w:val="0"/>
                <w:sz w:val="24"/>
                <w:szCs w:val="24"/>
              </w:rPr>
              <w:t>本次预测将污染物进入地下水中的过程不考虑包气带吸附性、持水性的情况，废水污染物直接进入含水层，持续对地下水环境产生影响的情景。</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sz w:val="24"/>
                <w:szCs w:val="24"/>
              </w:rPr>
            </w:pPr>
            <w:r>
              <w:rPr>
                <w:rFonts w:hint="eastAsia" w:cs="Times New Roman"/>
                <w:b/>
                <w:bCs/>
                <w:color w:val="auto"/>
                <w:sz w:val="24"/>
                <w:szCs w:val="24"/>
                <w:lang w:val="en-US" w:eastAsia="zh-CN"/>
              </w:rPr>
              <w:t>3.7</w:t>
            </w:r>
            <w:r>
              <w:rPr>
                <w:rFonts w:ascii="Times New Roman" w:hAnsi="Times New Roman" w:cs="Times New Roman"/>
                <w:b/>
                <w:bCs/>
                <w:color w:val="auto"/>
                <w:sz w:val="24"/>
                <w:szCs w:val="24"/>
              </w:rPr>
              <w:t>预测因子及预测源强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1 \* GB3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①</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预测因子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根据项目工程分析，本次地下水预测选取石油类作为预测因子。</w:t>
            </w:r>
            <w:r>
              <w:rPr>
                <w:rFonts w:hint="eastAsia"/>
                <w:color w:val="auto"/>
                <w:sz w:val="24"/>
                <w:szCs w:val="24"/>
              </w:rPr>
              <w:t>按最不利原则，假定储油罐出现裂缝导致油品泄漏进行预测。由于柴油较汽油密度大，因此本次评价石油类源强取纯柴油油品浓度最大值进行预测。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②预测源强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建设项目主要泄漏物质为液态汽（柴）油，其泄漏量按下式计算：</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jc w:val="center"/>
              <w:textAlignment w:val="auto"/>
              <w:rPr>
                <w:rFonts w:ascii="Times New Roman" w:hAnsi="Times New Roman" w:cs="Times New Roman"/>
                <w:bCs/>
                <w:color w:val="auto"/>
                <w:sz w:val="24"/>
                <w:szCs w:val="24"/>
              </w:rPr>
            </w:pPr>
            <w:r>
              <w:rPr>
                <w:rFonts w:ascii="Times New Roman" w:hAnsi="Times New Roman" w:cs="Times New Roman"/>
                <w:color w:val="auto"/>
                <w:position w:val="-30"/>
                <w:sz w:val="24"/>
                <w:szCs w:val="24"/>
              </w:rPr>
              <w:drawing>
                <wp:anchor distT="0" distB="0" distL="114300" distR="114300" simplePos="0" relativeHeight="251668480" behindDoc="0" locked="0" layoutInCell="1" allowOverlap="1">
                  <wp:simplePos x="0" y="0"/>
                  <wp:positionH relativeFrom="column">
                    <wp:posOffset>2028825</wp:posOffset>
                  </wp:positionH>
                  <wp:positionV relativeFrom="paragraph">
                    <wp:posOffset>-33020</wp:posOffset>
                  </wp:positionV>
                  <wp:extent cx="1409700" cy="476250"/>
                  <wp:effectExtent l="0" t="0" r="7620" b="1143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1409700" cy="476250"/>
                          </a:xfrm>
                          <a:prstGeom prst="rect">
                            <a:avLst/>
                          </a:prstGeom>
                          <a:noFill/>
                          <a:ln>
                            <a:noFill/>
                          </a:ln>
                        </pic:spPr>
                      </pic:pic>
                    </a:graphicData>
                  </a:graphic>
                </wp:anchor>
              </w:drawing>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式中：Q——液体泄漏速度，kg/s；</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Cd——液体泄漏系数，常用0.6～0.64；</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A——裂口面积，m</w:t>
            </w:r>
            <w:r>
              <w:rPr>
                <w:rFonts w:ascii="Times New Roman" w:hAnsi="Times New Roman" w:cs="Times New Roman"/>
                <w:bCs/>
                <w:color w:val="auto"/>
                <w:sz w:val="24"/>
                <w:szCs w:val="24"/>
                <w:vertAlign w:val="superscript"/>
              </w:rPr>
              <w:t>2</w:t>
            </w:r>
            <w:r>
              <w:rPr>
                <w:rFonts w:ascii="Times New Roman" w:hAnsi="Times New Roman" w:cs="Times New Roman"/>
                <w:bCs/>
                <w:color w:val="auto"/>
                <w:sz w:val="24"/>
                <w:szCs w:val="24"/>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P——容器内介质压力，Pa；</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t>P</w:t>
            </w:r>
            <w:r>
              <w:rPr>
                <w:rFonts w:ascii="Times New Roman" w:hAnsi="Times New Roman" w:cs="Times New Roman"/>
                <w:bCs/>
                <w:color w:val="auto"/>
                <w:sz w:val="24"/>
                <w:szCs w:val="24"/>
                <w:vertAlign w:val="subscript"/>
              </w:rPr>
              <w:t>0</w:t>
            </w:r>
            <w:r>
              <w:rPr>
                <w:rFonts w:ascii="Times New Roman" w:hAnsi="Times New Roman" w:cs="Times New Roman"/>
                <w:bCs/>
                <w:color w:val="auto"/>
                <w:sz w:val="24"/>
                <w:szCs w:val="24"/>
              </w:rPr>
              <w:t>——环境压力，Pa；</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g——重力加速度；</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eastAsia="宋体" w:cs="Times New Roman"/>
                <w:color w:val="auto"/>
                <w:sz w:val="24"/>
                <w:szCs w:val="24"/>
              </w:rPr>
            </w:pPr>
            <w:r>
              <w:rPr>
                <w:rFonts w:ascii="Times New Roman" w:hAnsi="Times New Roman" w:cs="Times New Roman"/>
                <w:color w:val="auto"/>
                <w:sz w:val="24"/>
                <w:szCs w:val="24"/>
              </w:rPr>
              <w:t xml:space="preserve">h——裂口之上液位高度。      </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管线的直径为0.1m，管线内介质压力P=1.06×10</w:t>
            </w:r>
            <w:r>
              <w:rPr>
                <w:rFonts w:ascii="Times New Roman" w:hAnsi="Times New Roman" w:cs="Times New Roman"/>
                <w:color w:val="auto"/>
                <w:sz w:val="24"/>
                <w:szCs w:val="24"/>
                <w:highlight w:val="none"/>
                <w:vertAlign w:val="superscript"/>
              </w:rPr>
              <w:t>5</w:t>
            </w:r>
            <w:r>
              <w:rPr>
                <w:rFonts w:ascii="Times New Roman" w:hAnsi="Times New Roman" w:cs="Times New Roman"/>
                <w:color w:val="auto"/>
                <w:sz w:val="24"/>
                <w:szCs w:val="24"/>
                <w:highlight w:val="none"/>
              </w:rPr>
              <w:t>Pa，假定发生事故输油管线产生A</w:t>
            </w:r>
            <w:r>
              <w:rPr>
                <w:rFonts w:hint="eastAsia"/>
                <w:color w:val="000000"/>
                <w:sz w:val="24"/>
                <w:szCs w:val="24"/>
                <w:highlight w:val="none"/>
              </w:rPr>
              <w:t>=0.00</w:t>
            </w:r>
            <w:r>
              <w:rPr>
                <w:rFonts w:hint="eastAsia"/>
                <w:color w:val="000000"/>
                <w:sz w:val="24"/>
                <w:szCs w:val="24"/>
                <w:highlight w:val="none"/>
                <w:lang w:val="en-US" w:eastAsia="zh-CN"/>
              </w:rPr>
              <w:t>4</w:t>
            </w:r>
            <w:r>
              <w:rPr>
                <w:rFonts w:hint="eastAsia"/>
                <w:color w:val="000000"/>
                <w:sz w:val="24"/>
                <w:szCs w:val="24"/>
                <w:highlight w:val="none"/>
              </w:rPr>
              <w:t>m</w:t>
            </w:r>
            <w:r>
              <w:rPr>
                <w:rFonts w:hint="eastAsia"/>
                <w:color w:val="000000"/>
                <w:sz w:val="24"/>
                <w:szCs w:val="24"/>
                <w:highlight w:val="none"/>
                <w:vertAlign w:val="superscript"/>
              </w:rPr>
              <w:t>2</w:t>
            </w:r>
            <w:r>
              <w:rPr>
                <w:rFonts w:ascii="Times New Roman" w:hAnsi="Times New Roman" w:cs="Times New Roman"/>
                <w:color w:val="auto"/>
                <w:sz w:val="24"/>
                <w:szCs w:val="24"/>
                <w:highlight w:val="none"/>
              </w:rPr>
              <w:t>的裂口，裂口处于管线底部，h为0.1m。柴油的密度为</w:t>
            </w:r>
            <w:r>
              <w:rPr>
                <w:rFonts w:hint="eastAsia" w:cs="Times New Roman"/>
                <w:color w:val="auto"/>
                <w:sz w:val="24"/>
                <w:szCs w:val="24"/>
                <w:highlight w:val="none"/>
                <w:lang w:val="en-US" w:eastAsia="zh-CN"/>
              </w:rPr>
              <w:t>850</w:t>
            </w:r>
            <w:r>
              <w:rPr>
                <w:rFonts w:ascii="Times New Roman" w:hAnsi="Times New Roman" w:cs="Times New Roman"/>
                <w:color w:val="auto"/>
                <w:sz w:val="24"/>
                <w:szCs w:val="24"/>
                <w:highlight w:val="none"/>
              </w:rPr>
              <w:t>kg/m</w:t>
            </w:r>
            <w:r>
              <w:rPr>
                <w:rFonts w:ascii="Times New Roman" w:hAnsi="Times New Roman" w:cs="Times New Roman"/>
                <w:color w:val="auto"/>
                <w:sz w:val="24"/>
                <w:szCs w:val="24"/>
                <w:highlight w:val="none"/>
                <w:vertAlign w:val="superscript"/>
              </w:rPr>
              <w:t>3</w:t>
            </w:r>
            <w:r>
              <w:rPr>
                <w:rFonts w:ascii="Times New Roman" w:hAnsi="Times New Roman" w:cs="Times New Roman"/>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rPr>
              <w:t>根据计算，由于</w:t>
            </w:r>
            <w:r>
              <w:rPr>
                <w:rFonts w:ascii="Times New Roman" w:hAnsi="Times New Roman" w:cs="Times New Roman"/>
                <w:color w:val="auto"/>
                <w:sz w:val="24"/>
                <w:szCs w:val="24"/>
                <w:highlight w:val="none"/>
              </w:rPr>
              <w:t>输油管线破裂产生的泄漏速度为</w:t>
            </w:r>
            <w:r>
              <w:rPr>
                <w:rFonts w:hint="eastAsia" w:cs="Times New Roman"/>
                <w:color w:val="auto"/>
                <w:sz w:val="24"/>
                <w:szCs w:val="24"/>
                <w:highlight w:val="none"/>
                <w:lang w:val="en-US" w:eastAsia="zh-CN"/>
              </w:rPr>
              <w:t>7.86</w:t>
            </w:r>
            <w:r>
              <w:rPr>
                <w:rFonts w:ascii="Times New Roman" w:hAnsi="Times New Roman" w:cs="Times New Roman"/>
                <w:color w:val="auto"/>
                <w:sz w:val="24"/>
                <w:szCs w:val="24"/>
                <w:highlight w:val="none"/>
              </w:rPr>
              <w:t>kg/s。泄露应急堵漏时间为10min，则汽（柴）油泄露量为</w:t>
            </w:r>
            <w:r>
              <w:rPr>
                <w:rFonts w:hint="eastAsia" w:cs="Times New Roman"/>
                <w:color w:val="auto"/>
                <w:sz w:val="24"/>
                <w:szCs w:val="24"/>
                <w:highlight w:val="none"/>
                <w:lang w:val="en-US" w:eastAsia="zh-CN"/>
              </w:rPr>
              <w:t>4.716t</w:t>
            </w:r>
            <w:r>
              <w:rPr>
                <w:rFonts w:ascii="Times New Roman" w:hAnsi="Times New Roman" w:cs="Times New Roman"/>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按泄漏量进入地下潜水的公式计算：</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Q=A×K×T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A：油罐区泄漏面积，</w:t>
            </w:r>
            <w:r>
              <w:rPr>
                <w:rFonts w:hint="eastAsia" w:cs="Times New Roman"/>
                <w:color w:val="auto"/>
                <w:sz w:val="24"/>
                <w:szCs w:val="24"/>
                <w:highlight w:val="none"/>
                <w:lang w:val="en-US" w:eastAsia="zh-CN"/>
              </w:rPr>
              <w:t>11</w:t>
            </w:r>
            <w:r>
              <w:rPr>
                <w:rFonts w:ascii="Times New Roman" w:hAnsi="Times New Roman" w:cs="Times New Roman"/>
                <w:color w:val="auto"/>
                <w:sz w:val="24"/>
                <w:szCs w:val="24"/>
                <w:highlight w:val="none"/>
              </w:rPr>
              <w:t>7m</w:t>
            </w:r>
            <w:r>
              <w:rPr>
                <w:rFonts w:ascii="Times New Roman" w:hAnsi="Times New Roman" w:cs="Times New Roman"/>
                <w:color w:val="auto"/>
                <w:sz w:val="24"/>
                <w:szCs w:val="24"/>
                <w:highlight w:val="none"/>
                <w:vertAlign w:val="superscript"/>
              </w:rPr>
              <w:t>2</w:t>
            </w:r>
            <w:r>
              <w:rPr>
                <w:rFonts w:ascii="Times New Roman" w:hAnsi="Times New Roman" w:cs="Times New Roman"/>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K：防渗层垂向渗透系数，≤1×10</w:t>
            </w:r>
            <w:r>
              <w:rPr>
                <w:rFonts w:ascii="Times New Roman" w:hAnsi="Times New Roman" w:cs="Times New Roman"/>
                <w:color w:val="auto"/>
                <w:sz w:val="24"/>
                <w:szCs w:val="24"/>
                <w:highlight w:val="none"/>
                <w:vertAlign w:val="superscript"/>
              </w:rPr>
              <w:t>-7</w:t>
            </w:r>
            <w:r>
              <w:rPr>
                <w:rFonts w:ascii="Times New Roman" w:hAnsi="Times New Roman" w:cs="Times New Roman"/>
                <w:color w:val="auto"/>
                <w:sz w:val="24"/>
                <w:szCs w:val="24"/>
                <w:highlight w:val="none"/>
              </w:rPr>
              <w:t>cm/s；</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T：污染物处理时间，2h。</w:t>
            </w:r>
          </w:p>
          <w:p>
            <w:pPr>
              <w:keepNext w:val="0"/>
              <w:keepLines w:val="0"/>
              <w:pageBreakBefore w:val="0"/>
              <w:widowControl/>
              <w:shd w:val="clear" w:color="auto" w:fill="FFFFFF"/>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由此计算得到泄漏进入地下水的汽（柴）油量为0.000</w:t>
            </w:r>
            <w:r>
              <w:rPr>
                <w:rFonts w:hint="eastAsia" w:cs="Times New Roman"/>
                <w:color w:val="auto"/>
                <w:sz w:val="24"/>
                <w:szCs w:val="24"/>
                <w:lang w:val="en-US" w:eastAsia="zh-CN"/>
              </w:rPr>
              <w:t>8</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，平均密度为</w:t>
            </w:r>
            <w:r>
              <w:rPr>
                <w:rFonts w:hint="eastAsia" w:cs="Times New Roman"/>
                <w:color w:val="auto"/>
                <w:sz w:val="24"/>
                <w:szCs w:val="24"/>
                <w:lang w:val="en-US" w:eastAsia="zh-CN"/>
              </w:rPr>
              <w:t>850</w:t>
            </w:r>
            <w:r>
              <w:rPr>
                <w:rFonts w:ascii="Times New Roman" w:hAnsi="Times New Roman" w:cs="Times New Roman"/>
                <w:color w:val="auto"/>
                <w:sz w:val="24"/>
                <w:szCs w:val="24"/>
              </w:rPr>
              <w:t>kg/m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，则进入地下水的污染物量为</w:t>
            </w:r>
            <w:r>
              <w:rPr>
                <w:rFonts w:hint="eastAsia" w:cs="Times New Roman"/>
                <w:color w:val="auto"/>
                <w:sz w:val="24"/>
                <w:szCs w:val="24"/>
                <w:lang w:val="en-US" w:eastAsia="zh-CN"/>
              </w:rPr>
              <w:t>0.68</w:t>
            </w:r>
            <w:r>
              <w:rPr>
                <w:rFonts w:ascii="Times New Roman" w:hAnsi="Times New Roman" w:cs="Times New Roman"/>
                <w:color w:val="auto"/>
                <w:sz w:val="24"/>
                <w:szCs w:val="24"/>
              </w:rPr>
              <w:t>kg。</w:t>
            </w:r>
          </w:p>
          <w:p>
            <w:pPr>
              <w:keepNext w:val="0"/>
              <w:keepLines w:val="0"/>
              <w:pageBreakBefore w:val="0"/>
              <w:kinsoku/>
              <w:wordWrap/>
              <w:overflowPunct/>
              <w:topLinePunct w:val="0"/>
              <w:autoSpaceDE/>
              <w:autoSpaceDN/>
              <w:bidi w:val="0"/>
              <w:adjustRightInd w:val="0"/>
              <w:snapToGrid w:val="0"/>
              <w:spacing w:line="520" w:lineRule="exact"/>
              <w:ind w:firstLine="361" w:firstLineChars="150"/>
              <w:textAlignment w:val="auto"/>
              <w:rPr>
                <w:rFonts w:ascii="Times New Roman" w:hAnsi="Times New Roman" w:cs="Times New Roman"/>
                <w:b/>
                <w:bCs/>
                <w:color w:val="auto"/>
                <w:sz w:val="24"/>
                <w:szCs w:val="24"/>
              </w:rPr>
            </w:pPr>
            <w:r>
              <w:rPr>
                <w:rFonts w:hint="eastAsia" w:cs="Times New Roman"/>
                <w:b/>
                <w:bCs/>
                <w:color w:val="auto"/>
                <w:sz w:val="24"/>
                <w:szCs w:val="24"/>
                <w:lang w:val="en-US" w:eastAsia="zh-CN"/>
              </w:rPr>
              <w:t>3.8</w:t>
            </w:r>
            <w:r>
              <w:rPr>
                <w:rFonts w:ascii="Times New Roman" w:hAnsi="Times New Roman" w:cs="Times New Roman"/>
                <w:b/>
                <w:bCs/>
                <w:color w:val="auto"/>
                <w:sz w:val="24"/>
                <w:szCs w:val="24"/>
              </w:rPr>
              <w:t>预测模型及参数确定</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bCs/>
                <w:color w:val="auto"/>
                <w:sz w:val="24"/>
                <w:szCs w:val="24"/>
              </w:rPr>
            </w:pPr>
            <w:r>
              <w:rPr>
                <w:rFonts w:ascii="Times New Roman" w:hAnsi="Times New Roman" w:cs="Times New Roman"/>
                <w:bCs/>
                <w:color w:val="auto"/>
                <w:sz w:val="24"/>
                <w:szCs w:val="24"/>
              </w:rPr>
              <w:fldChar w:fldCharType="begin"/>
            </w:r>
            <w:r>
              <w:rPr>
                <w:rFonts w:ascii="Times New Roman" w:hAnsi="Times New Roman" w:cs="Times New Roman"/>
                <w:bCs/>
                <w:color w:val="auto"/>
                <w:sz w:val="24"/>
                <w:szCs w:val="24"/>
              </w:rPr>
              <w:instrText xml:space="preserve"> = 1 \* GB3 </w:instrText>
            </w:r>
            <w:r>
              <w:rPr>
                <w:rFonts w:ascii="Times New Roman" w:hAnsi="Times New Roman" w:cs="Times New Roman"/>
                <w:bCs/>
                <w:color w:val="auto"/>
                <w:sz w:val="24"/>
                <w:szCs w:val="24"/>
              </w:rPr>
              <w:fldChar w:fldCharType="separate"/>
            </w:r>
            <w:r>
              <w:rPr>
                <w:rFonts w:ascii="Times New Roman" w:hAnsi="Times New Roman" w:cs="Times New Roman"/>
                <w:bCs/>
                <w:color w:val="auto"/>
                <w:sz w:val="24"/>
                <w:szCs w:val="24"/>
              </w:rPr>
              <w:t>①</w:t>
            </w:r>
            <w:r>
              <w:rPr>
                <w:rFonts w:ascii="Times New Roman" w:hAnsi="Times New Roman" w:cs="Times New Roman"/>
                <w:bCs/>
                <w:color w:val="auto"/>
                <w:sz w:val="24"/>
                <w:szCs w:val="24"/>
              </w:rPr>
              <w:fldChar w:fldCharType="end"/>
            </w:r>
            <w:r>
              <w:rPr>
                <w:rFonts w:ascii="Times New Roman" w:hAnsi="Times New Roman" w:cs="Times New Roman"/>
                <w:bCs/>
                <w:color w:val="auto"/>
                <w:sz w:val="24"/>
                <w:szCs w:val="24"/>
              </w:rPr>
              <w:t>预测模型</w:t>
            </w:r>
          </w:p>
          <w:p>
            <w:pPr>
              <w:keepNext w:val="0"/>
              <w:keepLines w:val="0"/>
              <w:pageBreakBefore w:val="0"/>
              <w:kinsoku/>
              <w:wordWrap/>
              <w:overflowPunct/>
              <w:topLinePunct w:val="0"/>
              <w:autoSpaceDE/>
              <w:autoSpaceDN/>
              <w:bidi w:val="0"/>
              <w:adjustRightInd w:val="0"/>
              <w:snapToGrid w:val="0"/>
              <w:spacing w:line="520" w:lineRule="exact"/>
              <w:ind w:firstLine="480"/>
              <w:textAlignment w:val="auto"/>
              <w:rPr>
                <w:rFonts w:ascii="Times New Roman" w:hAnsi="Times New Roman" w:cs="Times New Roman"/>
                <w:color w:val="auto"/>
                <w:sz w:val="24"/>
                <w:szCs w:val="24"/>
              </w:rPr>
            </w:pPr>
            <w:r>
              <w:rPr>
                <w:rFonts w:ascii="Times New Roman" w:hAnsi="Times New Roman" w:cs="Times New Roman"/>
                <w:color w:val="auto"/>
                <w:sz w:val="24"/>
                <w:szCs w:val="24"/>
              </w:rPr>
              <w:t>本项目采用地下水溶质运移解析法中的一维稳定流动一维水动力弥散模式进行预测及评价，预测模型如下:</w:t>
            </w:r>
          </w:p>
          <w:p>
            <w:pPr>
              <w:keepNext w:val="0"/>
              <w:keepLines w:val="0"/>
              <w:pageBreakBefore w:val="0"/>
              <w:kinsoku/>
              <w:wordWrap/>
              <w:overflowPunct/>
              <w:topLinePunct w:val="0"/>
              <w:autoSpaceDE/>
              <w:autoSpaceDN/>
              <w:bidi w:val="0"/>
              <w:adjustRightInd w:val="0"/>
              <w:snapToGrid w:val="0"/>
              <w:spacing w:line="52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drawing>
                <wp:anchor distT="0" distB="0" distL="114300" distR="114300" simplePos="0" relativeHeight="251661312" behindDoc="0" locked="0" layoutInCell="1" allowOverlap="1">
                  <wp:simplePos x="0" y="0"/>
                  <wp:positionH relativeFrom="column">
                    <wp:posOffset>1285240</wp:posOffset>
                  </wp:positionH>
                  <wp:positionV relativeFrom="paragraph">
                    <wp:posOffset>5080</wp:posOffset>
                  </wp:positionV>
                  <wp:extent cx="2376805" cy="695960"/>
                  <wp:effectExtent l="0" t="0" r="635" b="508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2376805" cy="69596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val="0"/>
              <w:snapToGrid w:val="0"/>
              <w:spacing w:line="520" w:lineRule="exact"/>
              <w:textAlignment w:val="auto"/>
              <w:rPr>
                <w:rFonts w:ascii="Times New Roman" w:hAnsi="Times New Roman" w:cs="Times New Roman"/>
                <w:color w:val="auto"/>
                <w:sz w:val="24"/>
                <w:szCs w:val="24"/>
              </w:rPr>
            </w:pP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式中：x —距注入点的距离，m；</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t —时间，d；</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C (x ,t )—t 时刻x 处的示踪剂浓度，g/L；</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m —注入的示踪剂质量，kg；</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w —横截面面积，按照</w:t>
            </w:r>
            <w:r>
              <w:rPr>
                <w:rFonts w:ascii="Times New Roman" w:hAnsi="Times New Roman" w:cs="Times New Roman"/>
                <w:bCs/>
                <w:color w:val="auto"/>
                <w:sz w:val="24"/>
                <w:szCs w:val="24"/>
                <w:highlight w:val="none"/>
              </w:rPr>
              <w:t>罐区在45°斜面上的投影面积计，为</w:t>
            </w:r>
            <w:r>
              <w:rPr>
                <w:rFonts w:hint="eastAsia" w:cs="Times New Roman"/>
                <w:bCs/>
                <w:color w:val="auto"/>
                <w:sz w:val="24"/>
                <w:szCs w:val="24"/>
                <w:highlight w:val="none"/>
                <w:lang w:val="en-US" w:eastAsia="zh-CN"/>
              </w:rPr>
              <w:t>82.73</w:t>
            </w:r>
            <w:r>
              <w:rPr>
                <w:rFonts w:ascii="Times New Roman" w:hAnsi="Times New Roman" w:cs="Times New Roman"/>
                <w:color w:val="auto"/>
                <w:sz w:val="24"/>
                <w:szCs w:val="24"/>
                <w:highlight w:val="none"/>
              </w:rPr>
              <w:t>m</w:t>
            </w:r>
            <w:r>
              <w:rPr>
                <w:rFonts w:ascii="Times New Roman" w:hAnsi="Times New Roman" w:cs="Times New Roman"/>
                <w:color w:val="auto"/>
                <w:sz w:val="24"/>
                <w:szCs w:val="24"/>
                <w:highlight w:val="none"/>
                <w:vertAlign w:val="superscript"/>
              </w:rPr>
              <w:t>2</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u —水流速度，m/d；</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n —有效孔隙度，根据经验值取0.55，无量纲；</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L</w:t>
            </w:r>
            <w:r>
              <w:rPr>
                <w:rFonts w:ascii="Times New Roman" w:hAnsi="Times New Roman" w:cs="Times New Roman"/>
                <w:color w:val="auto"/>
                <w:sz w:val="24"/>
                <w:szCs w:val="24"/>
                <w:vertAlign w:val="subscript"/>
              </w:rPr>
              <w:t xml:space="preserve"> D</w:t>
            </w:r>
            <w:r>
              <w:rPr>
                <w:rFonts w:ascii="Times New Roman" w:hAnsi="Times New Roman" w:cs="Times New Roman"/>
                <w:color w:val="auto"/>
                <w:sz w:val="24"/>
                <w:szCs w:val="24"/>
              </w:rPr>
              <w:t xml:space="preserve"> —纵向弥散系数，m</w:t>
            </w:r>
            <w:r>
              <w:rPr>
                <w:rFonts w:ascii="Times New Roman" w:hAnsi="Times New Roman" w:cs="Times New Roman"/>
                <w:color w:val="auto"/>
                <w:sz w:val="24"/>
                <w:szCs w:val="24"/>
                <w:vertAlign w:val="superscript"/>
              </w:rPr>
              <w:t>2</w:t>
            </w:r>
            <w:r>
              <w:rPr>
                <w:rFonts w:ascii="Times New Roman" w:hAnsi="Times New Roman" w:cs="Times New Roman"/>
                <w:color w:val="auto"/>
                <w:sz w:val="24"/>
                <w:szCs w:val="24"/>
              </w:rPr>
              <w:t>/d；</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π —圆周率。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2 \* GB3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②</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参数确定</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a.纵向弥散系数</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color w:val="auto"/>
                <w:sz w:val="24"/>
                <w:szCs w:val="24"/>
              </w:rPr>
            </w:pPr>
            <w:r>
              <w:rPr>
                <w:rFonts w:hint="eastAsia"/>
                <w:snapToGrid w:val="0"/>
                <w:color w:val="000000"/>
                <w:kern w:val="0"/>
                <w:sz w:val="24"/>
                <w:szCs w:val="24"/>
              </w:rPr>
              <w:t>根据不同土壤纵向弥散系数的测定（一维土柱水动力弥散试验），可知不同类土壤的纵向弥散系数，</w:t>
            </w:r>
            <w:r>
              <w:rPr>
                <w:rFonts w:ascii="Times New Roman" w:hAnsi="Times New Roman" w:cs="Times New Roman"/>
                <w:color w:val="auto"/>
                <w:sz w:val="24"/>
                <w:szCs w:val="24"/>
              </w:rPr>
              <w:t>详见表</w:t>
            </w:r>
            <w:r>
              <w:rPr>
                <w:rFonts w:hint="eastAsia" w:cs="Times New Roman"/>
                <w:color w:val="auto"/>
                <w:sz w:val="24"/>
                <w:szCs w:val="24"/>
                <w:lang w:val="en-US" w:eastAsia="zh-CN"/>
              </w:rPr>
              <w:t>39</w:t>
            </w:r>
            <w:r>
              <w:rPr>
                <w:rFonts w:ascii="Times New Roman" w:hAnsi="Times New Roman" w:cs="Times New Roman"/>
                <w:color w:val="auto"/>
                <w:sz w:val="24"/>
                <w:szCs w:val="24"/>
              </w:rPr>
              <w:t>。</w:t>
            </w:r>
          </w:p>
          <w:p>
            <w:pPr>
              <w:keepNext w:val="0"/>
              <w:keepLines w:val="0"/>
              <w:pageBreakBefore w:val="0"/>
              <w:kinsoku/>
              <w:wordWrap/>
              <w:overflowPunct/>
              <w:topLinePunct w:val="0"/>
              <w:autoSpaceDE/>
              <w:autoSpaceDN/>
              <w:bidi w:val="0"/>
              <w:snapToGrid w:val="0"/>
              <w:spacing w:line="520" w:lineRule="exact"/>
              <w:ind w:firstLine="361" w:firstLineChars="150"/>
              <w:jc w:val="center"/>
              <w:textAlignment w:val="auto"/>
              <w:rPr>
                <w:rFonts w:hint="eastAsia"/>
                <w:b/>
                <w:bCs/>
                <w:snapToGrid w:val="0"/>
                <w:color w:val="000000"/>
                <w:kern w:val="0"/>
                <w:sz w:val="24"/>
                <w:szCs w:val="24"/>
              </w:rPr>
            </w:pPr>
            <w:r>
              <w:rPr>
                <w:b/>
                <w:bCs/>
                <w:snapToGrid w:val="0"/>
                <w:color w:val="000000"/>
                <w:kern w:val="0"/>
                <w:sz w:val="24"/>
                <w:szCs w:val="24"/>
              </w:rPr>
              <w:t>表</w:t>
            </w:r>
            <w:r>
              <w:rPr>
                <w:rFonts w:hint="eastAsia"/>
                <w:b/>
                <w:bCs/>
                <w:snapToGrid w:val="0"/>
                <w:color w:val="000000"/>
                <w:kern w:val="0"/>
                <w:sz w:val="24"/>
                <w:szCs w:val="24"/>
                <w:lang w:val="en-US" w:eastAsia="zh-CN"/>
              </w:rPr>
              <w:t>39</w:t>
            </w:r>
            <w:r>
              <w:rPr>
                <w:b/>
                <w:bCs/>
                <w:snapToGrid w:val="0"/>
                <w:color w:val="000000"/>
                <w:kern w:val="0"/>
                <w:sz w:val="24"/>
                <w:szCs w:val="24"/>
              </w:rPr>
              <w:t xml:space="preserve">  各</w:t>
            </w:r>
            <w:r>
              <w:rPr>
                <w:rFonts w:hint="eastAsia"/>
                <w:b/>
                <w:bCs/>
                <w:snapToGrid w:val="0"/>
                <w:color w:val="000000"/>
                <w:kern w:val="0"/>
                <w:sz w:val="24"/>
                <w:szCs w:val="24"/>
              </w:rPr>
              <w:t>类土质纵向弥散系数经验值</w:t>
            </w:r>
          </w:p>
          <w:tbl>
            <w:tblPr>
              <w:tblStyle w:val="2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1312"/>
              <w:gridCol w:w="1312"/>
              <w:gridCol w:w="1312"/>
              <w:gridCol w:w="1311"/>
              <w:gridCol w:w="130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93"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土壤类型</w:t>
                  </w:r>
                </w:p>
              </w:tc>
              <w:tc>
                <w:tcPr>
                  <w:tcW w:w="1445"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砂土</w:t>
                  </w:r>
                </w:p>
              </w:tc>
              <w:tc>
                <w:tcPr>
                  <w:tcW w:w="1445"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粉质粘土</w:t>
                  </w:r>
                </w:p>
              </w:tc>
              <w:tc>
                <w:tcPr>
                  <w:tcW w:w="1445"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粉质粉土</w:t>
                  </w:r>
                </w:p>
              </w:tc>
              <w:tc>
                <w:tcPr>
                  <w:tcW w:w="1444"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粘土</w:t>
                  </w:r>
                </w:p>
              </w:tc>
              <w:tc>
                <w:tcPr>
                  <w:tcW w:w="1442" w:type="dxa"/>
                  <w:noWrap w:val="0"/>
                  <w:vAlign w:val="center"/>
                </w:tcPr>
                <w:p>
                  <w:pPr>
                    <w:widowControl/>
                    <w:snapToGrid w:val="0"/>
                    <w:jc w:val="center"/>
                    <w:rPr>
                      <w:rFonts w:ascii="宋体" w:hAnsi="宋体" w:cs="宋体"/>
                      <w:b/>
                      <w:bCs/>
                      <w:snapToGrid w:val="0"/>
                      <w:color w:val="000000"/>
                      <w:kern w:val="0"/>
                      <w:sz w:val="21"/>
                      <w:szCs w:val="21"/>
                    </w:rPr>
                  </w:pPr>
                  <w:r>
                    <w:rPr>
                      <w:rFonts w:hint="eastAsia" w:ascii="宋体" w:hAnsi="宋体" w:cs="宋体"/>
                      <w:b/>
                      <w:bCs/>
                      <w:snapToGrid w:val="0"/>
                      <w:color w:val="000000"/>
                      <w:kern w:val="0"/>
                      <w:sz w:val="21"/>
                      <w:szCs w:val="21"/>
                    </w:rPr>
                    <w:t>灰岩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93" w:type="dxa"/>
                  <w:noWrap w:val="0"/>
                  <w:vAlign w:val="center"/>
                </w:tcPr>
                <w:p>
                  <w:pPr>
                    <w:widowControl/>
                    <w:snapToGrid w:val="0"/>
                    <w:jc w:val="center"/>
                    <w:rPr>
                      <w:snapToGrid w:val="0"/>
                      <w:color w:val="000000"/>
                      <w:kern w:val="0"/>
                      <w:sz w:val="21"/>
                      <w:szCs w:val="21"/>
                    </w:rPr>
                  </w:pPr>
                  <w:r>
                    <w:rPr>
                      <w:snapToGrid w:val="0"/>
                      <w:color w:val="000000"/>
                      <w:kern w:val="0"/>
                      <w:sz w:val="21"/>
                      <w:szCs w:val="21"/>
                    </w:rPr>
                    <w:t>弥散系数（cm</w:t>
                  </w:r>
                  <w:r>
                    <w:rPr>
                      <w:snapToGrid w:val="0"/>
                      <w:color w:val="000000"/>
                      <w:kern w:val="0"/>
                      <w:sz w:val="21"/>
                      <w:szCs w:val="21"/>
                      <w:vertAlign w:val="superscript"/>
                    </w:rPr>
                    <w:t>2</w:t>
                  </w:r>
                  <w:r>
                    <w:rPr>
                      <w:snapToGrid w:val="0"/>
                      <w:color w:val="000000"/>
                      <w:kern w:val="0"/>
                      <w:sz w:val="21"/>
                      <w:szCs w:val="21"/>
                    </w:rPr>
                    <w:t>·s</w:t>
                  </w:r>
                  <w:r>
                    <w:rPr>
                      <w:snapToGrid w:val="0"/>
                      <w:color w:val="000000"/>
                      <w:kern w:val="0"/>
                      <w:sz w:val="21"/>
                      <w:szCs w:val="21"/>
                      <w:vertAlign w:val="superscript"/>
                    </w:rPr>
                    <w:t>-1</w:t>
                  </w:r>
                  <w:r>
                    <w:rPr>
                      <w:snapToGrid w:val="0"/>
                      <w:color w:val="000000"/>
                      <w:kern w:val="0"/>
                      <w:sz w:val="21"/>
                      <w:szCs w:val="21"/>
                    </w:rPr>
                    <w:t>）</w:t>
                  </w:r>
                </w:p>
              </w:tc>
              <w:tc>
                <w:tcPr>
                  <w:tcW w:w="1445" w:type="dxa"/>
                  <w:noWrap w:val="0"/>
                  <w:vAlign w:val="center"/>
                </w:tcPr>
                <w:p>
                  <w:pPr>
                    <w:widowControl/>
                    <w:snapToGrid w:val="0"/>
                    <w:jc w:val="center"/>
                    <w:rPr>
                      <w:snapToGrid w:val="0"/>
                      <w:color w:val="000000"/>
                      <w:kern w:val="0"/>
                      <w:sz w:val="21"/>
                      <w:szCs w:val="21"/>
                    </w:rPr>
                  </w:pPr>
                  <w:r>
                    <w:rPr>
                      <w:snapToGrid w:val="0"/>
                      <w:color w:val="000000"/>
                      <w:kern w:val="0"/>
                      <w:sz w:val="21"/>
                      <w:szCs w:val="21"/>
                    </w:rPr>
                    <w:t>1.46×10</w:t>
                  </w:r>
                  <w:r>
                    <w:rPr>
                      <w:snapToGrid w:val="0"/>
                      <w:color w:val="000000"/>
                      <w:kern w:val="0"/>
                      <w:sz w:val="21"/>
                      <w:szCs w:val="21"/>
                      <w:vertAlign w:val="superscript"/>
                    </w:rPr>
                    <w:t>4</w:t>
                  </w:r>
                </w:p>
              </w:tc>
              <w:tc>
                <w:tcPr>
                  <w:tcW w:w="1445" w:type="dxa"/>
                  <w:noWrap w:val="0"/>
                  <w:vAlign w:val="center"/>
                </w:tcPr>
                <w:p>
                  <w:pPr>
                    <w:widowControl/>
                    <w:snapToGrid w:val="0"/>
                    <w:jc w:val="center"/>
                    <w:rPr>
                      <w:snapToGrid w:val="0"/>
                      <w:color w:val="000000"/>
                      <w:kern w:val="0"/>
                      <w:sz w:val="21"/>
                      <w:szCs w:val="21"/>
                    </w:rPr>
                  </w:pPr>
                  <w:r>
                    <w:rPr>
                      <w:snapToGrid w:val="0"/>
                      <w:color w:val="000000"/>
                      <w:kern w:val="0"/>
                      <w:sz w:val="21"/>
                      <w:szCs w:val="21"/>
                    </w:rPr>
                    <w:t>1.71×10</w:t>
                  </w:r>
                  <w:r>
                    <w:rPr>
                      <w:snapToGrid w:val="0"/>
                      <w:color w:val="000000"/>
                      <w:kern w:val="0"/>
                      <w:sz w:val="21"/>
                      <w:szCs w:val="21"/>
                      <w:vertAlign w:val="superscript"/>
                    </w:rPr>
                    <w:t>-2</w:t>
                  </w:r>
                </w:p>
              </w:tc>
              <w:tc>
                <w:tcPr>
                  <w:tcW w:w="1445" w:type="dxa"/>
                  <w:noWrap w:val="0"/>
                  <w:vAlign w:val="center"/>
                </w:tcPr>
                <w:p>
                  <w:pPr>
                    <w:widowControl/>
                    <w:snapToGrid w:val="0"/>
                    <w:jc w:val="center"/>
                    <w:rPr>
                      <w:snapToGrid w:val="0"/>
                      <w:color w:val="000000"/>
                      <w:kern w:val="0"/>
                      <w:sz w:val="21"/>
                      <w:szCs w:val="21"/>
                    </w:rPr>
                  </w:pPr>
                  <w:r>
                    <w:rPr>
                      <w:snapToGrid w:val="0"/>
                      <w:color w:val="000000"/>
                      <w:kern w:val="0"/>
                      <w:sz w:val="21"/>
                      <w:szCs w:val="21"/>
                    </w:rPr>
                    <w:t>8.46×10</w:t>
                  </w:r>
                  <w:r>
                    <w:rPr>
                      <w:snapToGrid w:val="0"/>
                      <w:color w:val="000000"/>
                      <w:kern w:val="0"/>
                      <w:sz w:val="21"/>
                      <w:szCs w:val="21"/>
                      <w:vertAlign w:val="superscript"/>
                    </w:rPr>
                    <w:t>-2</w:t>
                  </w:r>
                </w:p>
              </w:tc>
              <w:tc>
                <w:tcPr>
                  <w:tcW w:w="1444" w:type="dxa"/>
                  <w:noWrap w:val="0"/>
                  <w:vAlign w:val="center"/>
                </w:tcPr>
                <w:p>
                  <w:pPr>
                    <w:widowControl/>
                    <w:snapToGrid w:val="0"/>
                    <w:jc w:val="center"/>
                    <w:rPr>
                      <w:snapToGrid w:val="0"/>
                      <w:color w:val="000000"/>
                      <w:kern w:val="0"/>
                      <w:sz w:val="21"/>
                      <w:szCs w:val="21"/>
                    </w:rPr>
                  </w:pPr>
                  <w:r>
                    <w:rPr>
                      <w:snapToGrid w:val="0"/>
                      <w:color w:val="000000"/>
                      <w:kern w:val="0"/>
                      <w:sz w:val="21"/>
                      <w:szCs w:val="21"/>
                    </w:rPr>
                    <w:t>2.31×10</w:t>
                  </w:r>
                  <w:r>
                    <w:rPr>
                      <w:snapToGrid w:val="0"/>
                      <w:color w:val="000000"/>
                      <w:kern w:val="0"/>
                      <w:sz w:val="21"/>
                      <w:szCs w:val="21"/>
                      <w:vertAlign w:val="superscript"/>
                    </w:rPr>
                    <w:t>-4</w:t>
                  </w:r>
                </w:p>
              </w:tc>
              <w:tc>
                <w:tcPr>
                  <w:tcW w:w="1442" w:type="dxa"/>
                  <w:noWrap w:val="0"/>
                  <w:vAlign w:val="center"/>
                </w:tcPr>
                <w:p>
                  <w:pPr>
                    <w:widowControl/>
                    <w:snapToGrid w:val="0"/>
                    <w:jc w:val="center"/>
                    <w:rPr>
                      <w:snapToGrid w:val="0"/>
                      <w:color w:val="000000"/>
                      <w:kern w:val="0"/>
                      <w:sz w:val="21"/>
                      <w:szCs w:val="21"/>
                    </w:rPr>
                  </w:pPr>
                  <w:r>
                    <w:rPr>
                      <w:snapToGrid w:val="0"/>
                      <w:color w:val="000000"/>
                      <w:kern w:val="0"/>
                      <w:sz w:val="21"/>
                      <w:szCs w:val="21"/>
                    </w:rPr>
                    <w:t>1.65×10</w:t>
                  </w:r>
                  <w:r>
                    <w:rPr>
                      <w:snapToGrid w:val="0"/>
                      <w:color w:val="000000"/>
                      <w:kern w:val="0"/>
                      <w:sz w:val="21"/>
                      <w:szCs w:val="21"/>
                      <w:vertAlign w:val="superscript"/>
                    </w:rPr>
                    <w:t>4</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360" w:firstLineChars="150"/>
              <w:textAlignment w:val="auto"/>
              <w:rPr>
                <w:rFonts w:ascii="Times New Roman" w:hAnsi="Times New Roman" w:cs="Times New Roman"/>
                <w:color w:val="auto"/>
                <w:sz w:val="24"/>
                <w:szCs w:val="24"/>
              </w:rPr>
            </w:pPr>
            <w:r>
              <w:rPr>
                <w:rFonts w:ascii="Times New Roman" w:hAnsi="Times New Roman" w:cs="Times New Roman"/>
                <w:color w:val="auto"/>
                <w:sz w:val="24"/>
                <w:szCs w:val="24"/>
              </w:rPr>
              <w:t>项目建设区域土质类型主要以</w:t>
            </w:r>
            <w:r>
              <w:rPr>
                <w:rFonts w:hint="eastAsia" w:cs="Times New Roman"/>
                <w:color w:val="auto"/>
                <w:sz w:val="24"/>
                <w:szCs w:val="24"/>
                <w:lang w:val="en-US" w:eastAsia="zh-CN"/>
              </w:rPr>
              <w:t>粉质</w:t>
            </w:r>
            <w:r>
              <w:rPr>
                <w:rFonts w:ascii="Times New Roman" w:hAnsi="Times New Roman" w:cs="Times New Roman"/>
                <w:color w:val="auto"/>
                <w:sz w:val="24"/>
                <w:szCs w:val="24"/>
              </w:rPr>
              <w:t>粘土为主，土质均匀，确定项目所在区域弥散系数为</w:t>
            </w:r>
            <w:r>
              <w:rPr>
                <w:rFonts w:hint="eastAsia"/>
                <w:snapToGrid w:val="0"/>
                <w:color w:val="000000"/>
                <w:kern w:val="0"/>
                <w:sz w:val="24"/>
                <w:szCs w:val="24"/>
                <w:highlight w:val="none"/>
                <w:lang w:val="en-US" w:eastAsia="zh-CN"/>
              </w:rPr>
              <w:t>1.71</w:t>
            </w:r>
            <w:r>
              <w:rPr>
                <w:snapToGrid w:val="0"/>
                <w:color w:val="000000"/>
                <w:kern w:val="0"/>
                <w:sz w:val="24"/>
                <w:szCs w:val="24"/>
                <w:highlight w:val="none"/>
              </w:rPr>
              <w:t>×10</w:t>
            </w:r>
            <w:r>
              <w:rPr>
                <w:snapToGrid w:val="0"/>
                <w:color w:val="000000"/>
                <w:kern w:val="0"/>
                <w:sz w:val="24"/>
                <w:szCs w:val="24"/>
                <w:highlight w:val="none"/>
                <w:vertAlign w:val="superscript"/>
              </w:rPr>
              <w:t>-2</w:t>
            </w:r>
            <w:r>
              <w:rPr>
                <w:snapToGrid w:val="0"/>
                <w:color w:val="000000"/>
                <w:kern w:val="0"/>
                <w:sz w:val="24"/>
                <w:szCs w:val="24"/>
                <w:highlight w:val="none"/>
              </w:rPr>
              <w:t>cm</w:t>
            </w:r>
            <w:r>
              <w:rPr>
                <w:snapToGrid w:val="0"/>
                <w:color w:val="000000"/>
                <w:kern w:val="0"/>
                <w:sz w:val="24"/>
                <w:szCs w:val="24"/>
                <w:highlight w:val="none"/>
                <w:vertAlign w:val="superscript"/>
              </w:rPr>
              <w:t>2</w:t>
            </w:r>
            <w:r>
              <w:rPr>
                <w:snapToGrid w:val="0"/>
                <w:color w:val="000000"/>
                <w:kern w:val="0"/>
                <w:sz w:val="24"/>
                <w:szCs w:val="24"/>
                <w:highlight w:val="none"/>
              </w:rPr>
              <w:t>/s（</w:t>
            </w:r>
            <w:r>
              <w:rPr>
                <w:rFonts w:hint="eastAsia"/>
                <w:snapToGrid w:val="0"/>
                <w:color w:val="000000"/>
                <w:kern w:val="0"/>
                <w:sz w:val="24"/>
                <w:szCs w:val="24"/>
                <w:highlight w:val="none"/>
                <w:lang w:val="en-US" w:eastAsia="zh-CN"/>
              </w:rPr>
              <w:t>0.148</w:t>
            </w:r>
            <w:r>
              <w:rPr>
                <w:snapToGrid w:val="0"/>
                <w:color w:val="000000"/>
                <w:kern w:val="0"/>
                <w:sz w:val="24"/>
                <w:szCs w:val="24"/>
                <w:highlight w:val="none"/>
              </w:rPr>
              <w:t>m</w:t>
            </w:r>
            <w:r>
              <w:rPr>
                <w:snapToGrid w:val="0"/>
                <w:color w:val="000000"/>
                <w:kern w:val="0"/>
                <w:sz w:val="24"/>
                <w:szCs w:val="24"/>
                <w:highlight w:val="none"/>
                <w:vertAlign w:val="superscript"/>
              </w:rPr>
              <w:t>2</w:t>
            </w:r>
            <w:r>
              <w:rPr>
                <w:snapToGrid w:val="0"/>
                <w:color w:val="000000"/>
                <w:kern w:val="0"/>
                <w:sz w:val="24"/>
                <w:szCs w:val="24"/>
                <w:highlight w:val="none"/>
              </w:rPr>
              <w:t>/d）</w:t>
            </w:r>
            <w:r>
              <w:rPr>
                <w:rFonts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b.地下水流速</w:t>
            </w:r>
          </w:p>
          <w:p>
            <w:pPr>
              <w:keepNext w:val="0"/>
              <w:keepLines w:val="0"/>
              <w:pageBreakBefore w:val="0"/>
              <w:widowControl w:val="0"/>
              <w:kinsoku/>
              <w:wordWrap/>
              <w:overflowPunct/>
              <w:topLinePunct w:val="0"/>
              <w:autoSpaceDE/>
              <w:autoSpaceDN/>
              <w:bidi w:val="0"/>
              <w:adjustRightInd w:val="0"/>
              <w:snapToGrid w:val="0"/>
              <w:spacing w:line="520" w:lineRule="exact"/>
              <w:ind w:firstLine="360" w:firstLineChars="15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地下水流速可以利用水力坡度及渗透系数求出，具体计算公式为：       </w:t>
            </w:r>
          </w:p>
          <w:p>
            <w:pPr>
              <w:keepNext w:val="0"/>
              <w:keepLines w:val="0"/>
              <w:pageBreakBefore w:val="0"/>
              <w:widowControl w:val="0"/>
              <w:kinsoku/>
              <w:wordWrap/>
              <w:overflowPunct/>
              <w:topLinePunct w:val="0"/>
              <w:autoSpaceDE/>
              <w:autoSpaceDN/>
              <w:bidi w:val="0"/>
              <w:spacing w:line="520" w:lineRule="exact"/>
              <w:ind w:firstLine="720" w:firstLineChars="300"/>
              <w:textAlignment w:val="auto"/>
              <w:rPr>
                <w:bCs/>
                <w:snapToGrid w:val="0"/>
                <w:color w:val="auto"/>
                <w:sz w:val="24"/>
                <w:szCs w:val="24"/>
              </w:rPr>
            </w:pPr>
            <w:r>
              <w:rPr>
                <w:color w:val="auto"/>
                <w:sz w:val="24"/>
                <w:szCs w:val="24"/>
              </w:rPr>
              <w:pict>
                <v:shape id="图片 100" o:spid="_x0000_s1071" o:spt="75" type="#_x0000_t75" style="position:absolute;left:0pt;margin-left:174.45pt;margin-top:2.85pt;height:13.95pt;width:63pt;mso-wrap-distance-bottom:0pt;mso-wrap-distance-top:0pt;z-index:251675648;mso-width-relative:page;mso-height-relative:page;" o:ole="t" filled="f" o:preferrelative="t" stroked="f" coordsize="21600,21600">
                  <v:path/>
                  <v:fill on="f" focussize="0,0"/>
                  <v:stroke on="f"/>
                  <v:imagedata r:id="rId15" o:title=""/>
                  <o:lock v:ext="edit" aspectratio="t"/>
                  <w10:wrap type="topAndBottom"/>
                </v:shape>
                <o:OLEObject Type="Embed" ProgID="Equations" ShapeID="图片 100" DrawAspect="Content" ObjectID="_1468075725" r:id="rId14">
                  <o:LockedField>false</o:LockedField>
                </o:OLEObject>
              </w:pict>
            </w:r>
            <w:r>
              <w:rPr>
                <w:rFonts w:hint="eastAsia"/>
                <w:bCs/>
                <w:snapToGrid w:val="0"/>
                <w:color w:val="auto"/>
                <w:sz w:val="24"/>
                <w:szCs w:val="24"/>
              </w:rPr>
              <w:t>式中：</w:t>
            </w:r>
            <w:r>
              <w:rPr>
                <w:bCs/>
                <w:snapToGrid w:val="0"/>
                <w:color w:val="auto"/>
                <w:sz w:val="24"/>
                <w:szCs w:val="24"/>
              </w:rPr>
              <w:t>U—</w:t>
            </w:r>
            <w:r>
              <w:rPr>
                <w:rFonts w:hint="eastAsia"/>
                <w:bCs/>
                <w:snapToGrid w:val="0"/>
                <w:color w:val="auto"/>
                <w:sz w:val="24"/>
                <w:szCs w:val="24"/>
              </w:rPr>
              <w:t>地下水实际流速，</w:t>
            </w:r>
            <w:r>
              <w:rPr>
                <w:bCs/>
                <w:snapToGrid w:val="0"/>
                <w:color w:val="auto"/>
                <w:sz w:val="24"/>
                <w:szCs w:val="24"/>
              </w:rPr>
              <w:t>m/d</w:t>
            </w:r>
            <w:r>
              <w:rPr>
                <w:rFonts w:hint="eastAsia"/>
                <w:bCs/>
                <w:snapToGrid w:val="0"/>
                <w:color w:val="auto"/>
                <w:sz w:val="24"/>
                <w:szCs w:val="24"/>
              </w:rPr>
              <w:t>；</w:t>
            </w:r>
          </w:p>
          <w:p>
            <w:pPr>
              <w:keepNext w:val="0"/>
              <w:keepLines w:val="0"/>
              <w:pageBreakBefore w:val="0"/>
              <w:widowControl w:val="0"/>
              <w:kinsoku/>
              <w:wordWrap/>
              <w:overflowPunct/>
              <w:topLinePunct w:val="0"/>
              <w:autoSpaceDE/>
              <w:autoSpaceDN/>
              <w:bidi w:val="0"/>
              <w:spacing w:line="520" w:lineRule="exact"/>
              <w:ind w:firstLine="1320" w:firstLineChars="550"/>
              <w:textAlignment w:val="auto"/>
              <w:rPr>
                <w:bCs/>
                <w:snapToGrid w:val="0"/>
                <w:color w:val="auto"/>
                <w:sz w:val="24"/>
                <w:szCs w:val="24"/>
              </w:rPr>
            </w:pPr>
            <w:r>
              <w:rPr>
                <w:bCs/>
                <w:snapToGrid w:val="0"/>
                <w:color w:val="auto"/>
                <w:sz w:val="24"/>
                <w:szCs w:val="24"/>
              </w:rPr>
              <w:t>K—</w:t>
            </w:r>
            <w:r>
              <w:rPr>
                <w:rFonts w:hint="eastAsia"/>
                <w:bCs/>
                <w:snapToGrid w:val="0"/>
                <w:color w:val="auto"/>
                <w:sz w:val="24"/>
                <w:szCs w:val="24"/>
              </w:rPr>
              <w:t>渗透系数，</w:t>
            </w:r>
            <w:r>
              <w:rPr>
                <w:bCs/>
                <w:snapToGrid w:val="0"/>
                <w:color w:val="auto"/>
                <w:sz w:val="24"/>
                <w:szCs w:val="24"/>
              </w:rPr>
              <w:t>m/d</w:t>
            </w:r>
            <w:r>
              <w:rPr>
                <w:rFonts w:hint="eastAsia"/>
                <w:bCs/>
                <w:snapToGrid w:val="0"/>
                <w:color w:val="auto"/>
                <w:sz w:val="24"/>
                <w:szCs w:val="24"/>
              </w:rPr>
              <w:t>；</w:t>
            </w:r>
            <w:r>
              <w:rPr>
                <w:rFonts w:ascii="Times New Roman" w:hAnsi="Times New Roman" w:cs="Times New Roman"/>
                <w:color w:val="auto"/>
                <w:sz w:val="24"/>
                <w:szCs w:val="24"/>
              </w:rPr>
              <w:t>根据经验值取1m/d；</w:t>
            </w:r>
          </w:p>
          <w:p>
            <w:pPr>
              <w:keepNext w:val="0"/>
              <w:keepLines w:val="0"/>
              <w:pageBreakBefore w:val="0"/>
              <w:widowControl w:val="0"/>
              <w:kinsoku/>
              <w:wordWrap/>
              <w:overflowPunct/>
              <w:topLinePunct w:val="0"/>
              <w:autoSpaceDE/>
              <w:autoSpaceDN/>
              <w:bidi w:val="0"/>
              <w:spacing w:line="520" w:lineRule="exact"/>
              <w:ind w:firstLine="1320" w:firstLineChars="550"/>
              <w:textAlignment w:val="auto"/>
              <w:rPr>
                <w:bCs/>
                <w:snapToGrid w:val="0"/>
                <w:color w:val="auto"/>
                <w:sz w:val="24"/>
                <w:szCs w:val="24"/>
              </w:rPr>
            </w:pPr>
            <w:r>
              <w:rPr>
                <w:bCs/>
                <w:snapToGrid w:val="0"/>
                <w:color w:val="auto"/>
                <w:sz w:val="24"/>
                <w:szCs w:val="24"/>
              </w:rPr>
              <w:t>I—</w:t>
            </w:r>
            <w:r>
              <w:rPr>
                <w:rFonts w:hint="eastAsia"/>
                <w:bCs/>
                <w:snapToGrid w:val="0"/>
                <w:color w:val="auto"/>
                <w:sz w:val="24"/>
                <w:szCs w:val="24"/>
              </w:rPr>
              <w:t>水力坡度；</w:t>
            </w:r>
            <w:r>
              <w:rPr>
                <w:rFonts w:ascii="Times New Roman" w:hAnsi="Times New Roman" w:cs="Times New Roman"/>
                <w:color w:val="auto"/>
                <w:sz w:val="24"/>
                <w:szCs w:val="24"/>
              </w:rPr>
              <w:t>1/2500。</w:t>
            </w:r>
          </w:p>
          <w:p>
            <w:pPr>
              <w:keepNext w:val="0"/>
              <w:keepLines w:val="0"/>
              <w:pageBreakBefore w:val="0"/>
              <w:widowControl w:val="0"/>
              <w:kinsoku/>
              <w:wordWrap/>
              <w:overflowPunct/>
              <w:topLinePunct w:val="0"/>
              <w:autoSpaceDE/>
              <w:autoSpaceDN/>
              <w:bidi w:val="0"/>
              <w:spacing w:line="520" w:lineRule="exact"/>
              <w:ind w:firstLine="1276" w:firstLineChars="532"/>
              <w:textAlignment w:val="auto"/>
              <w:rPr>
                <w:rFonts w:hint="eastAsia" w:eastAsia="宋体"/>
                <w:bCs/>
                <w:snapToGrid w:val="0"/>
                <w:color w:val="auto"/>
                <w:sz w:val="24"/>
                <w:szCs w:val="24"/>
                <w:lang w:val="en-US" w:eastAsia="zh-CN"/>
              </w:rPr>
            </w:pPr>
            <w:r>
              <w:rPr>
                <w:bCs/>
                <w:snapToGrid w:val="0"/>
                <w:color w:val="auto"/>
                <w:sz w:val="24"/>
                <w:szCs w:val="24"/>
              </w:rPr>
              <w:t>n—</w:t>
            </w:r>
            <w:r>
              <w:rPr>
                <w:rFonts w:hint="eastAsia"/>
                <w:bCs/>
                <w:snapToGrid w:val="0"/>
                <w:color w:val="auto"/>
                <w:sz w:val="24"/>
                <w:szCs w:val="24"/>
              </w:rPr>
              <w:t>孔隙度；</w:t>
            </w:r>
            <w:r>
              <w:rPr>
                <w:rFonts w:hint="eastAsia"/>
                <w:bCs/>
                <w:snapToGrid w:val="0"/>
                <w:color w:val="auto"/>
                <w:sz w:val="24"/>
                <w:szCs w:val="24"/>
                <w:lang w:val="en-US" w:eastAsia="zh-CN"/>
              </w:rPr>
              <w:t>0.55。</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snapToGrid w:val="0"/>
                <w:color w:val="000000"/>
                <w:kern w:val="0"/>
                <w:sz w:val="24"/>
                <w:szCs w:val="24"/>
              </w:rPr>
            </w:pPr>
            <w:r>
              <w:rPr>
                <w:snapToGrid w:val="0"/>
                <w:color w:val="000000"/>
                <w:kern w:val="0"/>
                <w:sz w:val="24"/>
                <w:szCs w:val="24"/>
              </w:rPr>
              <w:t>根据地下水流速计算模型及水力坡度、渗透系数，可计算出，建设项目所在区域地下水流速为</w:t>
            </w:r>
            <w:r>
              <w:rPr>
                <w:rFonts w:hint="eastAsia"/>
                <w:snapToGrid w:val="0"/>
                <w:color w:val="000000"/>
                <w:kern w:val="0"/>
                <w:sz w:val="24"/>
                <w:szCs w:val="24"/>
                <w:lang w:val="en-US" w:eastAsia="zh-CN"/>
              </w:rPr>
              <w:t>7.273</w:t>
            </w:r>
            <w:r>
              <w:rPr>
                <w:snapToGrid w:val="0"/>
                <w:color w:val="000000"/>
                <w:kern w:val="0"/>
                <w:sz w:val="24"/>
                <w:szCs w:val="24"/>
              </w:rPr>
              <w:t>×10</w:t>
            </w:r>
            <w:r>
              <w:rPr>
                <w:snapToGrid w:val="0"/>
                <w:color w:val="000000"/>
                <w:kern w:val="0"/>
                <w:sz w:val="24"/>
                <w:szCs w:val="24"/>
                <w:vertAlign w:val="superscript"/>
              </w:rPr>
              <w:t>-</w:t>
            </w:r>
            <w:r>
              <w:rPr>
                <w:rFonts w:hint="eastAsia"/>
                <w:snapToGrid w:val="0"/>
                <w:color w:val="000000"/>
                <w:kern w:val="0"/>
                <w:sz w:val="24"/>
                <w:szCs w:val="24"/>
                <w:vertAlign w:val="superscript"/>
                <w:lang w:val="en-US" w:eastAsia="zh-CN"/>
              </w:rPr>
              <w:t>4</w:t>
            </w:r>
            <w:r>
              <w:rPr>
                <w:snapToGrid w:val="0"/>
                <w:color w:val="000000"/>
                <w:kern w:val="0"/>
                <w:sz w:val="24"/>
                <w:szCs w:val="24"/>
              </w:rPr>
              <w:t>m/d。</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b/>
                <w:bCs/>
                <w:snapToGrid w:val="0"/>
                <w:color w:val="000000"/>
                <w:kern w:val="0"/>
                <w:sz w:val="24"/>
                <w:szCs w:val="24"/>
                <w:highlight w:val="none"/>
              </w:rPr>
            </w:pPr>
            <w:r>
              <w:rPr>
                <w:rFonts w:hint="eastAsia"/>
                <w:b/>
                <w:bCs/>
                <w:snapToGrid w:val="0"/>
                <w:color w:val="000000"/>
                <w:kern w:val="0"/>
                <w:sz w:val="24"/>
                <w:szCs w:val="24"/>
                <w:highlight w:val="none"/>
                <w:lang w:val="en-US" w:eastAsia="zh-CN"/>
              </w:rPr>
              <w:t>3.9</w:t>
            </w:r>
            <w:r>
              <w:rPr>
                <w:b/>
                <w:bCs/>
                <w:snapToGrid w:val="0"/>
                <w:color w:val="000000"/>
                <w:kern w:val="0"/>
                <w:sz w:val="24"/>
                <w:szCs w:val="24"/>
                <w:highlight w:val="none"/>
              </w:rPr>
              <w:t>预测结果</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olor w:val="000000"/>
                <w:sz w:val="24"/>
                <w:szCs w:val="24"/>
                <w:highlight w:val="none"/>
              </w:rPr>
            </w:pPr>
            <w:r>
              <w:rPr>
                <w:snapToGrid w:val="0"/>
                <w:color w:val="000000"/>
                <w:kern w:val="0"/>
                <w:sz w:val="24"/>
                <w:szCs w:val="24"/>
                <w:highlight w:val="none"/>
              </w:rPr>
              <w:t>根据预测模型，预测不同时段地下水环境影响，在非正常情况下发生泄漏，根据预测结果泄露100d后，预测的最大值为</w:t>
            </w:r>
            <w:r>
              <w:rPr>
                <w:rFonts w:hint="eastAsia"/>
                <w:snapToGrid w:val="0"/>
                <w:color w:val="000000"/>
                <w:kern w:val="0"/>
                <w:sz w:val="24"/>
                <w:szCs w:val="24"/>
                <w:highlight w:val="none"/>
                <w:lang w:val="en-US" w:eastAsia="zh-CN"/>
              </w:rPr>
              <w:t>7.60</w:t>
            </w:r>
            <w:r>
              <w:rPr>
                <w:rFonts w:ascii="Arial" w:hAnsi="Arial" w:cs="Arial"/>
                <w:snapToGrid w:val="0"/>
                <w:color w:val="000000"/>
                <w:kern w:val="0"/>
                <w:sz w:val="24"/>
                <w:szCs w:val="24"/>
                <w:highlight w:val="none"/>
              </w:rPr>
              <w:t>×</w:t>
            </w:r>
            <w:r>
              <w:rPr>
                <w:rFonts w:hint="eastAsia"/>
                <w:snapToGrid w:val="0"/>
                <w:color w:val="000000"/>
                <w:kern w:val="0"/>
                <w:sz w:val="24"/>
                <w:szCs w:val="24"/>
                <w:highlight w:val="none"/>
              </w:rPr>
              <w:t>10</w:t>
            </w:r>
            <w:r>
              <w:rPr>
                <w:rFonts w:hint="eastAsia"/>
                <w:snapToGrid w:val="0"/>
                <w:color w:val="000000"/>
                <w:kern w:val="0"/>
                <w:sz w:val="24"/>
                <w:szCs w:val="24"/>
                <w:highlight w:val="none"/>
                <w:vertAlign w:val="superscript"/>
                <w:lang w:val="en-US" w:eastAsia="zh-CN"/>
              </w:rPr>
              <w:t>3</w:t>
            </w:r>
            <w:r>
              <w:rPr>
                <w:snapToGrid w:val="0"/>
                <w:color w:val="000000"/>
                <w:kern w:val="0"/>
                <w:sz w:val="24"/>
                <w:szCs w:val="24"/>
                <w:highlight w:val="none"/>
              </w:rPr>
              <w:t>mg/l，石油类最远影响到地下水下游</w:t>
            </w:r>
            <w:r>
              <w:rPr>
                <w:rFonts w:hint="eastAsia"/>
                <w:snapToGrid w:val="0"/>
                <w:color w:val="000000"/>
                <w:kern w:val="0"/>
                <w:sz w:val="24"/>
                <w:szCs w:val="24"/>
                <w:highlight w:val="none"/>
                <w:lang w:val="en-US" w:eastAsia="zh-CN"/>
              </w:rPr>
              <w:t>23</w:t>
            </w:r>
            <w:r>
              <w:rPr>
                <w:snapToGrid w:val="0"/>
                <w:color w:val="000000"/>
                <w:kern w:val="0"/>
                <w:sz w:val="24"/>
                <w:szCs w:val="24"/>
                <w:highlight w:val="none"/>
              </w:rPr>
              <w:t>m处，该位置浓度贡献值为</w:t>
            </w:r>
            <w:r>
              <w:rPr>
                <w:rFonts w:hint="eastAsia"/>
                <w:snapToGrid w:val="0"/>
                <w:color w:val="000000"/>
                <w:kern w:val="0"/>
                <w:sz w:val="24"/>
                <w:szCs w:val="24"/>
                <w:highlight w:val="none"/>
                <w:lang w:val="en-US" w:eastAsia="zh-CN"/>
              </w:rPr>
              <w:t>1.058362</w:t>
            </w:r>
            <w:r>
              <w:rPr>
                <w:snapToGrid w:val="0"/>
                <w:color w:val="000000"/>
                <w:kern w:val="0"/>
                <w:sz w:val="24"/>
                <w:szCs w:val="24"/>
                <w:highlight w:val="none"/>
              </w:rPr>
              <w:t>mg/L；泄露1000d后，预测的最大值为</w:t>
            </w:r>
            <w:r>
              <w:rPr>
                <w:rFonts w:hint="eastAsia"/>
                <w:snapToGrid w:val="0"/>
                <w:color w:val="000000"/>
                <w:kern w:val="0"/>
                <w:sz w:val="24"/>
                <w:szCs w:val="24"/>
                <w:highlight w:val="none"/>
                <w:lang w:val="en-US" w:eastAsia="zh-CN"/>
              </w:rPr>
              <w:t>2.403</w:t>
            </w:r>
            <w:r>
              <w:rPr>
                <w:rFonts w:ascii="Arial" w:hAnsi="Arial" w:cs="Arial"/>
                <w:snapToGrid w:val="0"/>
                <w:color w:val="000000"/>
                <w:kern w:val="0"/>
                <w:sz w:val="24"/>
                <w:szCs w:val="24"/>
                <w:highlight w:val="none"/>
              </w:rPr>
              <w:t>×</w:t>
            </w:r>
            <w:r>
              <w:rPr>
                <w:rFonts w:hint="eastAsia"/>
                <w:snapToGrid w:val="0"/>
                <w:color w:val="000000"/>
                <w:kern w:val="0"/>
                <w:sz w:val="24"/>
                <w:szCs w:val="24"/>
                <w:highlight w:val="none"/>
              </w:rPr>
              <w:t>10</w:t>
            </w:r>
            <w:r>
              <w:rPr>
                <w:rFonts w:hint="eastAsia"/>
                <w:snapToGrid w:val="0"/>
                <w:color w:val="000000"/>
                <w:kern w:val="0"/>
                <w:sz w:val="24"/>
                <w:szCs w:val="24"/>
                <w:highlight w:val="none"/>
                <w:vertAlign w:val="superscript"/>
                <w:lang w:val="en-US" w:eastAsia="zh-CN"/>
              </w:rPr>
              <w:t>3</w:t>
            </w:r>
            <w:r>
              <w:rPr>
                <w:snapToGrid w:val="0"/>
                <w:color w:val="000000"/>
                <w:kern w:val="0"/>
                <w:sz w:val="24"/>
                <w:szCs w:val="24"/>
                <w:highlight w:val="none"/>
              </w:rPr>
              <w:t>mg/l，石油类最远影响到地下水下游</w:t>
            </w:r>
            <w:r>
              <w:rPr>
                <w:rFonts w:hint="eastAsia"/>
                <w:snapToGrid w:val="0"/>
                <w:color w:val="000000"/>
                <w:kern w:val="0"/>
                <w:sz w:val="24"/>
                <w:szCs w:val="24"/>
                <w:highlight w:val="none"/>
                <w:lang w:val="en-US" w:eastAsia="zh-CN"/>
              </w:rPr>
              <w:t>71</w:t>
            </w:r>
            <w:r>
              <w:rPr>
                <w:snapToGrid w:val="0"/>
                <w:color w:val="000000"/>
                <w:kern w:val="0"/>
                <w:sz w:val="24"/>
                <w:szCs w:val="24"/>
                <w:highlight w:val="none"/>
              </w:rPr>
              <w:t>m处，该位置浓度贡献值为</w:t>
            </w:r>
            <w:r>
              <w:rPr>
                <w:rFonts w:hint="eastAsia"/>
                <w:snapToGrid w:val="0"/>
                <w:color w:val="000000"/>
                <w:kern w:val="0"/>
                <w:sz w:val="24"/>
                <w:szCs w:val="24"/>
                <w:highlight w:val="none"/>
                <w:lang w:val="en-US" w:eastAsia="zh-CN"/>
              </w:rPr>
              <w:t>0.573</w:t>
            </w:r>
            <w:r>
              <w:rPr>
                <w:snapToGrid w:val="0"/>
                <w:color w:val="000000"/>
                <w:kern w:val="0"/>
                <w:sz w:val="24"/>
                <w:szCs w:val="24"/>
                <w:highlight w:val="none"/>
              </w:rPr>
              <w:t>mg/L。因此非正常情况下，项目会对区域地下水产生一定的影响。</w:t>
            </w:r>
            <w:r>
              <w:rPr>
                <w:color w:val="000000"/>
                <w:sz w:val="24"/>
                <w:szCs w:val="24"/>
                <w:highlight w:val="none"/>
              </w:rPr>
              <w:t>根据工程区域资料，工程区域以</w:t>
            </w:r>
            <w:r>
              <w:rPr>
                <w:rFonts w:hint="eastAsia"/>
                <w:color w:val="000000"/>
                <w:sz w:val="24"/>
                <w:szCs w:val="24"/>
                <w:highlight w:val="none"/>
                <w:lang w:eastAsia="zh-CN"/>
              </w:rPr>
              <w:t>粉质</w:t>
            </w:r>
            <w:r>
              <w:rPr>
                <w:color w:val="000000"/>
                <w:sz w:val="24"/>
                <w:szCs w:val="24"/>
                <w:highlight w:val="none"/>
              </w:rPr>
              <w:t>粘土为主。</w:t>
            </w:r>
            <w:r>
              <w:rPr>
                <w:color w:val="000000"/>
                <w:kern w:val="0"/>
                <w:sz w:val="24"/>
                <w:szCs w:val="24"/>
                <w:highlight w:val="none"/>
              </w:rPr>
              <w:t>土壤质地一般在重壤以上，通透性不</w:t>
            </w:r>
            <w:r>
              <w:rPr>
                <w:rFonts w:hint="eastAsia"/>
                <w:color w:val="000000"/>
                <w:kern w:val="0"/>
                <w:sz w:val="24"/>
                <w:szCs w:val="24"/>
                <w:highlight w:val="none"/>
                <w:lang w:eastAsia="zh-CN"/>
              </w:rPr>
              <w:t>强</w:t>
            </w:r>
            <w:r>
              <w:rPr>
                <w:color w:val="000000"/>
                <w:sz w:val="24"/>
                <w:szCs w:val="24"/>
                <w:highlight w:val="none"/>
              </w:rPr>
              <w:t>，不利于污染物下渗。同时，通过土壤的阻隔、吸附作用后，评价认为本次工程对地下水环境影响较小。</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sz w:val="24"/>
                <w:szCs w:val="24"/>
              </w:rPr>
            </w:pPr>
            <w:r>
              <w:rPr>
                <w:rFonts w:hint="eastAsia" w:cs="Times New Roman"/>
                <w:b/>
                <w:bCs/>
                <w:color w:val="auto"/>
                <w:sz w:val="24"/>
                <w:szCs w:val="24"/>
                <w:lang w:val="en-US" w:eastAsia="zh-CN" w:bidi="ar"/>
              </w:rPr>
              <w:t>3.10</w:t>
            </w:r>
            <w:r>
              <w:rPr>
                <w:rFonts w:ascii="Times New Roman" w:hAnsi="Times New Roman" w:eastAsia="宋体" w:cs="Times New Roman"/>
                <w:b/>
                <w:bCs/>
                <w:color w:val="auto"/>
                <w:sz w:val="24"/>
                <w:szCs w:val="24"/>
                <w:lang w:bidi="ar"/>
              </w:rPr>
              <w:t>地下水污染防治措施</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eastAsia="宋体" w:cs="Times New Roman"/>
                <w:color w:val="auto"/>
                <w:sz w:val="24"/>
                <w:szCs w:val="24"/>
              </w:rPr>
              <w:t>根据上述预测结果，在风险事故状况下，项目对地下水水质会产生一定的影响，因此地下水的污染防控措施及跟踪监测和管理就显得尤为重要。针对物料、废水、固废的产生、输送和储存过程，采取合理有效的措施防止污染物对地下水的污染。按照</w:t>
            </w:r>
            <w:r>
              <w:rPr>
                <w:rFonts w:ascii="Times New Roman" w:hAnsi="Times New Roman" w:cs="Times New Roman"/>
                <w:color w:val="auto"/>
                <w:sz w:val="24"/>
                <w:szCs w:val="24"/>
              </w:rPr>
              <w:t>“</w:t>
            </w:r>
            <w:r>
              <w:rPr>
                <w:rFonts w:ascii="Times New Roman" w:hAnsi="Times New Roman" w:eastAsia="宋体" w:cs="Times New Roman"/>
                <w:color w:val="auto"/>
                <w:sz w:val="24"/>
                <w:szCs w:val="24"/>
              </w:rPr>
              <w:t>源头控制、分区防控</w:t>
            </w:r>
            <w:r>
              <w:rPr>
                <w:rFonts w:ascii="Times New Roman" w:hAnsi="Times New Roman" w:cs="Times New Roman"/>
                <w:color w:val="auto"/>
                <w:sz w:val="24"/>
                <w:szCs w:val="24"/>
              </w:rPr>
              <w:t>”</w:t>
            </w:r>
            <w:r>
              <w:rPr>
                <w:rFonts w:ascii="Times New Roman" w:hAnsi="Times New Roman" w:eastAsia="宋体" w:cs="Times New Roman"/>
                <w:color w:val="auto"/>
                <w:sz w:val="24"/>
                <w:szCs w:val="24"/>
              </w:rPr>
              <w:t>原则制定地下水污染防治措施与对策，可有效减轻、及时避免项目非正常状况等对区域地下水的影响。具体措施如下：</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hint="eastAsia" w:cs="Times New Roman"/>
                <w:color w:val="auto"/>
                <w:sz w:val="24"/>
                <w:szCs w:val="24"/>
                <w:lang w:val="en-US" w:eastAsia="zh-CN"/>
              </w:rPr>
              <w:t>3.10.1</w:t>
            </w:r>
            <w:r>
              <w:rPr>
                <w:rFonts w:ascii="Times New Roman" w:hAnsi="Times New Roman" w:cs="Times New Roman"/>
                <w:color w:val="auto"/>
                <w:sz w:val="24"/>
                <w:szCs w:val="24"/>
              </w:rPr>
              <w:t xml:space="preserve"> </w:t>
            </w:r>
            <w:r>
              <w:rPr>
                <w:rFonts w:ascii="Times New Roman" w:hAnsi="Times New Roman" w:eastAsia="宋体" w:cs="Times New Roman"/>
                <w:color w:val="auto"/>
                <w:sz w:val="24"/>
                <w:szCs w:val="24"/>
              </w:rPr>
              <w:t>污染源头控制措施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eastAsia="宋体" w:cs="Times New Roman"/>
                <w:color w:val="auto"/>
                <w:sz w:val="24"/>
                <w:szCs w:val="24"/>
              </w:rPr>
              <w:t>管道、设备均应符合国标及工艺技术要求，并加强设备的日常维护和管理，防止污染物跑、冒、滴、漏现象发生；储罐区应严格按照要求做好防渗处理，避免出现裂纹而导致物料、废水下渗污染地下水。</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hint="eastAsia" w:cs="Times New Roman"/>
                <w:color w:val="auto"/>
                <w:sz w:val="24"/>
                <w:szCs w:val="24"/>
                <w:lang w:val="en-US" w:eastAsia="zh-CN"/>
              </w:rPr>
              <w:t>3.10.2</w:t>
            </w:r>
            <w:r>
              <w:rPr>
                <w:rFonts w:ascii="Times New Roman" w:hAnsi="Times New Roman" w:eastAsia="宋体" w:cs="Times New Roman"/>
                <w:color w:val="auto"/>
                <w:sz w:val="24"/>
                <w:szCs w:val="24"/>
              </w:rPr>
              <w:t>分区防治措施</w:t>
            </w:r>
          </w:p>
          <w:p>
            <w:pPr>
              <w:keepNext w:val="0"/>
              <w:keepLines w:val="0"/>
              <w:pageBreakBefore w:val="0"/>
              <w:widowControl w:val="0"/>
              <w:tabs>
                <w:tab w:val="left" w:pos="1605"/>
              </w:tabs>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根据分区防治的原则对储罐区、危废暂存间、装置区等区域进行分区防渗。</w:t>
            </w:r>
          </w:p>
          <w:p>
            <w:pPr>
              <w:keepNext w:val="0"/>
              <w:keepLines w:val="0"/>
              <w:pageBreakBefore w:val="0"/>
              <w:widowControl w:val="0"/>
              <w:tabs>
                <w:tab w:val="left" w:pos="1605"/>
              </w:tabs>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①</w:t>
            </w:r>
            <w:r>
              <w:rPr>
                <w:rFonts w:ascii="Times New Roman" w:hAnsi="Times New Roman" w:eastAsia="宋体" w:cs="Times New Roman"/>
                <w:color w:val="auto"/>
                <w:sz w:val="24"/>
                <w:szCs w:val="24"/>
              </w:rPr>
              <w:t>重点防渗区：</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bCs/>
                <w:color w:val="auto"/>
                <w:sz w:val="24"/>
                <w:szCs w:val="24"/>
              </w:rPr>
            </w:pPr>
            <w:r>
              <w:rPr>
                <w:rFonts w:ascii="Times New Roman" w:hAnsi="Times New Roman" w:eastAsia="宋体" w:cs="Times New Roman"/>
                <w:color w:val="auto"/>
                <w:sz w:val="24"/>
                <w:szCs w:val="24"/>
              </w:rPr>
              <w:t>油罐区：工程油罐区事故风险发生概率较高，物料一旦泄露对周围环境包括地下水影响较大。由于油品储罐为地下布置，评价要求油罐周边</w:t>
            </w:r>
            <w:r>
              <w:rPr>
                <w:rFonts w:ascii="Times New Roman" w:hAnsi="Times New Roman" w:eastAsia="宋体" w:cs="Times New Roman"/>
                <w:bCs/>
                <w:color w:val="auto"/>
                <w:sz w:val="24"/>
                <w:szCs w:val="24"/>
              </w:rPr>
              <w:t>采取高密度聚乙烯膜防渗层，膜上膜下设置长丝无纺土工布作为保护层，膜厚度不小于</w:t>
            </w:r>
            <w:r>
              <w:rPr>
                <w:rFonts w:ascii="Times New Roman" w:hAnsi="Times New Roman" w:cs="Times New Roman"/>
                <w:bCs/>
                <w:color w:val="auto"/>
                <w:sz w:val="24"/>
                <w:szCs w:val="24"/>
              </w:rPr>
              <w:t>1.5mm</w:t>
            </w:r>
            <w:r>
              <w:rPr>
                <w:rFonts w:ascii="Times New Roman" w:hAnsi="Times New Roman" w:eastAsia="宋体" w:cs="Times New Roman"/>
                <w:bCs/>
                <w:color w:val="auto"/>
                <w:sz w:val="24"/>
                <w:szCs w:val="24"/>
              </w:rPr>
              <w:t>，防渗系数不大于</w:t>
            </w:r>
            <w:r>
              <w:rPr>
                <w:rFonts w:ascii="Times New Roman" w:hAnsi="Times New Roman" w:cs="Times New Roman"/>
                <w:bCs/>
                <w:color w:val="auto"/>
                <w:sz w:val="24"/>
                <w:szCs w:val="24"/>
              </w:rPr>
              <w:t>1.0×10</w:t>
            </w:r>
            <w:r>
              <w:rPr>
                <w:rFonts w:ascii="Times New Roman" w:hAnsi="Times New Roman" w:cs="Times New Roman"/>
                <w:bCs/>
                <w:color w:val="auto"/>
                <w:sz w:val="24"/>
                <w:szCs w:val="24"/>
                <w:vertAlign w:val="superscript"/>
              </w:rPr>
              <w:t>-7</w:t>
            </w:r>
            <w:r>
              <w:rPr>
                <w:rFonts w:ascii="Times New Roman" w:hAnsi="Times New Roman" w:cs="Times New Roman"/>
                <w:bCs/>
                <w:color w:val="auto"/>
                <w:sz w:val="24"/>
                <w:szCs w:val="24"/>
              </w:rPr>
              <w:t>cm/s</w:t>
            </w:r>
            <w:r>
              <w:rPr>
                <w:rFonts w:ascii="Times New Roman" w:hAnsi="Times New Roman" w:eastAsia="宋体" w:cs="Times New Roman"/>
                <w:bCs/>
                <w:color w:val="auto"/>
                <w:sz w:val="24"/>
                <w:szCs w:val="24"/>
              </w:rPr>
              <w:t>。</w:t>
            </w:r>
          </w:p>
          <w:p>
            <w:pPr>
              <w:keepNext w:val="0"/>
              <w:keepLines w:val="0"/>
              <w:pageBreakBefore w:val="0"/>
              <w:widowControl w:val="0"/>
              <w:tabs>
                <w:tab w:val="left" w:pos="1605"/>
              </w:tabs>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bCs/>
                <w:color w:val="auto"/>
                <w:sz w:val="24"/>
                <w:szCs w:val="24"/>
              </w:rPr>
              <w:t>②</w:t>
            </w:r>
            <w:r>
              <w:rPr>
                <w:rFonts w:hint="eastAsia" w:ascii="Times New Roman" w:hAnsi="Times New Roman" w:cs="Times New Roman"/>
                <w:color w:val="auto"/>
                <w:sz w:val="24"/>
                <w:szCs w:val="24"/>
                <w:lang w:eastAsia="zh-CN"/>
              </w:rPr>
              <w:t>一般</w:t>
            </w:r>
            <w:r>
              <w:rPr>
                <w:rFonts w:ascii="Times New Roman" w:hAnsi="Times New Roman" w:eastAsia="宋体" w:cs="Times New Roman"/>
                <w:color w:val="auto"/>
                <w:sz w:val="24"/>
                <w:szCs w:val="24"/>
              </w:rPr>
              <w:t>防渗区：</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bCs/>
                <w:color w:val="auto"/>
                <w:sz w:val="24"/>
                <w:szCs w:val="24"/>
              </w:rPr>
            </w:pPr>
            <w:r>
              <w:rPr>
                <w:rFonts w:ascii="Times New Roman" w:hAnsi="Times New Roman" w:eastAsia="宋体" w:cs="Times New Roman"/>
                <w:bCs/>
                <w:color w:val="auto"/>
                <w:sz w:val="24"/>
                <w:szCs w:val="24"/>
              </w:rPr>
              <w:t>加油区：加油</w:t>
            </w:r>
            <w:r>
              <w:rPr>
                <w:rFonts w:ascii="Times New Roman" w:hAnsi="Times New Roman" w:eastAsia="宋体" w:cs="Times New Roman"/>
                <w:color w:val="auto"/>
                <w:sz w:val="24"/>
                <w:szCs w:val="24"/>
              </w:rPr>
              <w:t>装置中存在的油品等</w:t>
            </w:r>
            <w:r>
              <w:rPr>
                <w:rFonts w:ascii="Times New Roman" w:hAnsi="Times New Roman" w:eastAsia="宋体" w:cs="Times New Roman"/>
                <w:bCs/>
                <w:color w:val="auto"/>
                <w:sz w:val="24"/>
                <w:szCs w:val="24"/>
              </w:rPr>
              <w:t>可能会因操作不当引起泄漏，评价要求加油装置区地面采用水泥基渗透结晶抗渗混凝土（厚度不宜小于</w:t>
            </w:r>
            <w:r>
              <w:rPr>
                <w:rFonts w:ascii="Times New Roman" w:hAnsi="Times New Roman" w:cs="Times New Roman"/>
                <w:bCs/>
                <w:color w:val="auto"/>
                <w:sz w:val="24"/>
                <w:szCs w:val="24"/>
              </w:rPr>
              <w:t>250mm</w:t>
            </w:r>
            <w:r>
              <w:rPr>
                <w:rFonts w:ascii="Times New Roman" w:hAnsi="Times New Roman" w:eastAsia="宋体" w:cs="Times New Roman"/>
                <w:bCs/>
                <w:color w:val="auto"/>
                <w:sz w:val="24"/>
                <w:szCs w:val="24"/>
              </w:rPr>
              <w:t>）</w:t>
            </w:r>
            <w:r>
              <w:rPr>
                <w:rFonts w:ascii="Times New Roman" w:hAnsi="Times New Roman" w:cs="Times New Roman"/>
                <w:bCs/>
                <w:color w:val="auto"/>
                <w:sz w:val="24"/>
                <w:szCs w:val="24"/>
              </w:rPr>
              <w:t>+</w:t>
            </w:r>
            <w:r>
              <w:rPr>
                <w:rFonts w:ascii="Times New Roman" w:hAnsi="Times New Roman" w:eastAsia="宋体" w:cs="Times New Roman"/>
                <w:bCs/>
                <w:color w:val="auto"/>
                <w:sz w:val="24"/>
                <w:szCs w:val="24"/>
              </w:rPr>
              <w:t>水泥基渗透结晶型防渗涂层（厚度不小于</w:t>
            </w:r>
            <w:r>
              <w:rPr>
                <w:rFonts w:ascii="Times New Roman" w:hAnsi="Times New Roman" w:cs="Times New Roman"/>
                <w:bCs/>
                <w:color w:val="auto"/>
                <w:sz w:val="24"/>
                <w:szCs w:val="24"/>
              </w:rPr>
              <w:t>1.0mm</w:t>
            </w:r>
            <w:r>
              <w:rPr>
                <w:rFonts w:ascii="Times New Roman" w:hAnsi="Times New Roman" w:eastAsia="宋体" w:cs="Times New Roman"/>
                <w:bCs/>
                <w:color w:val="auto"/>
                <w:sz w:val="24"/>
                <w:szCs w:val="24"/>
              </w:rPr>
              <w:t>）结构形式，渗透系数不大于</w:t>
            </w:r>
            <w:r>
              <w:rPr>
                <w:rFonts w:ascii="Times New Roman" w:hAnsi="Times New Roman" w:cs="Times New Roman"/>
                <w:bCs/>
                <w:color w:val="auto"/>
                <w:sz w:val="24"/>
                <w:szCs w:val="24"/>
              </w:rPr>
              <w:t>1.0×10</w:t>
            </w:r>
            <w:r>
              <w:rPr>
                <w:rFonts w:ascii="Times New Roman" w:hAnsi="Times New Roman" w:cs="Times New Roman"/>
                <w:bCs/>
                <w:color w:val="auto"/>
                <w:sz w:val="24"/>
                <w:szCs w:val="24"/>
                <w:vertAlign w:val="superscript"/>
              </w:rPr>
              <w:t>-7</w:t>
            </w:r>
            <w:r>
              <w:rPr>
                <w:rFonts w:ascii="Times New Roman" w:hAnsi="Times New Roman" w:cs="Times New Roman"/>
                <w:bCs/>
                <w:color w:val="auto"/>
                <w:sz w:val="24"/>
                <w:szCs w:val="24"/>
              </w:rPr>
              <w:t>cm/s</w:t>
            </w:r>
            <w:r>
              <w:rPr>
                <w:rFonts w:ascii="Times New Roman" w:hAnsi="Times New Roman" w:eastAsia="宋体" w:cs="Times New Roman"/>
                <w:bCs/>
                <w:color w:val="auto"/>
                <w:sz w:val="24"/>
                <w:szCs w:val="24"/>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危废暂存间</w:t>
            </w:r>
            <w:r>
              <w:rPr>
                <w:rFonts w:hint="eastAsia" w:ascii="Times New Roman" w:hAnsi="Times New Roman" w:cs="Times New Roman"/>
                <w:bCs/>
                <w:color w:val="auto"/>
                <w:sz w:val="24"/>
                <w:szCs w:val="24"/>
                <w:lang w:eastAsia="zh-CN"/>
              </w:rPr>
              <w:t>、洗车区</w:t>
            </w:r>
            <w:r>
              <w:rPr>
                <w:rFonts w:ascii="Times New Roman" w:hAnsi="Times New Roman" w:eastAsia="宋体" w:cs="Times New Roman"/>
                <w:bCs/>
                <w:color w:val="auto"/>
                <w:sz w:val="24"/>
                <w:szCs w:val="24"/>
              </w:rPr>
              <w:t>：评价要求防渗层采用水泥基渗透结晶抗渗混凝土（厚度不宜小于</w:t>
            </w:r>
            <w:r>
              <w:rPr>
                <w:rFonts w:ascii="Times New Roman" w:hAnsi="Times New Roman" w:cs="Times New Roman"/>
                <w:bCs/>
                <w:color w:val="auto"/>
                <w:sz w:val="24"/>
                <w:szCs w:val="24"/>
              </w:rPr>
              <w:t>250mm</w:t>
            </w:r>
            <w:r>
              <w:rPr>
                <w:rFonts w:ascii="Times New Roman" w:hAnsi="Times New Roman" w:eastAsia="宋体" w:cs="Times New Roman"/>
                <w:bCs/>
                <w:color w:val="auto"/>
                <w:sz w:val="24"/>
                <w:szCs w:val="24"/>
              </w:rPr>
              <w:t>）</w:t>
            </w:r>
            <w:r>
              <w:rPr>
                <w:rFonts w:ascii="Times New Roman" w:hAnsi="Times New Roman" w:cs="Times New Roman"/>
                <w:bCs/>
                <w:color w:val="auto"/>
                <w:sz w:val="24"/>
                <w:szCs w:val="24"/>
              </w:rPr>
              <w:t>+</w:t>
            </w:r>
            <w:r>
              <w:rPr>
                <w:rFonts w:ascii="Times New Roman" w:hAnsi="Times New Roman" w:eastAsia="宋体" w:cs="Times New Roman"/>
                <w:bCs/>
                <w:color w:val="auto"/>
                <w:sz w:val="24"/>
                <w:szCs w:val="24"/>
              </w:rPr>
              <w:t>水泥基渗透结晶型防渗涂层（厚度不小于</w:t>
            </w:r>
            <w:r>
              <w:rPr>
                <w:rFonts w:ascii="Times New Roman" w:hAnsi="Times New Roman" w:cs="Times New Roman"/>
                <w:bCs/>
                <w:color w:val="auto"/>
                <w:sz w:val="24"/>
                <w:szCs w:val="24"/>
              </w:rPr>
              <w:t>1.0mm</w:t>
            </w:r>
            <w:r>
              <w:rPr>
                <w:rFonts w:ascii="Times New Roman" w:hAnsi="Times New Roman" w:eastAsia="宋体" w:cs="Times New Roman"/>
                <w:bCs/>
                <w:color w:val="auto"/>
                <w:sz w:val="24"/>
                <w:szCs w:val="24"/>
              </w:rPr>
              <w:t>）结构形式，防渗结构层渗透系数不应大于</w:t>
            </w:r>
            <w:r>
              <w:rPr>
                <w:rFonts w:ascii="Times New Roman" w:hAnsi="Times New Roman" w:cs="Times New Roman"/>
                <w:bCs/>
                <w:color w:val="auto"/>
                <w:sz w:val="24"/>
                <w:szCs w:val="24"/>
              </w:rPr>
              <w:t>1.0×10</w:t>
            </w:r>
            <w:r>
              <w:rPr>
                <w:rFonts w:ascii="Times New Roman" w:hAnsi="Times New Roman" w:cs="Times New Roman"/>
                <w:bCs/>
                <w:color w:val="auto"/>
                <w:sz w:val="24"/>
                <w:szCs w:val="24"/>
                <w:vertAlign w:val="superscript"/>
              </w:rPr>
              <w:t>-7</w:t>
            </w:r>
            <w:r>
              <w:rPr>
                <w:rFonts w:ascii="Times New Roman" w:hAnsi="Times New Roman" w:cs="Times New Roman"/>
                <w:bCs/>
                <w:color w:val="auto"/>
                <w:sz w:val="24"/>
                <w:szCs w:val="24"/>
              </w:rPr>
              <w:t>cm/s</w:t>
            </w:r>
            <w:r>
              <w:rPr>
                <w:rFonts w:ascii="Times New Roman" w:hAnsi="Times New Roman" w:eastAsia="宋体" w:cs="Times New Roman"/>
                <w:bCs/>
                <w:color w:val="auto"/>
                <w:sz w:val="24"/>
                <w:szCs w:val="24"/>
              </w:rPr>
              <w:t>。</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default" w:ascii="Times New Roman" w:hAnsi="Times New Roman" w:cs="Times New Roman"/>
                <w:bCs/>
                <w:color w:val="auto"/>
                <w:sz w:val="24"/>
                <w:szCs w:val="24"/>
              </w:rPr>
            </w:pPr>
            <w:r>
              <w:rPr>
                <w:rFonts w:hint="default" w:ascii="Times New Roman" w:hAnsi="Times New Roman" w:eastAsia="宋体" w:cs="Times New Roman"/>
                <w:bCs/>
                <w:color w:val="auto"/>
                <w:sz w:val="24"/>
                <w:szCs w:val="24"/>
              </w:rPr>
              <w:t>③简单防渗区</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站房、配电室及其他区域等</w:t>
            </w:r>
            <w:r>
              <w:rPr>
                <w:rFonts w:ascii="Times New Roman" w:hAnsi="Times New Roman" w:eastAsia="宋体" w:cs="Times New Roman"/>
                <w:color w:val="auto"/>
                <w:sz w:val="24"/>
                <w:szCs w:val="24"/>
              </w:rPr>
              <w:t>属于简单防渗区，</w:t>
            </w:r>
            <w:r>
              <w:rPr>
                <w:rFonts w:ascii="Times New Roman" w:hAnsi="Times New Roman" w:eastAsia="宋体" w:cs="Times New Roman"/>
                <w:bCs/>
                <w:color w:val="auto"/>
                <w:sz w:val="24"/>
                <w:szCs w:val="24"/>
              </w:rPr>
              <w:t>评价要求进行地面硬化。</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kern w:val="0"/>
                <w:sz w:val="24"/>
                <w:szCs w:val="24"/>
              </w:rPr>
            </w:pPr>
            <w:r>
              <w:rPr>
                <w:rFonts w:ascii="Times New Roman" w:hAnsi="Times New Roman" w:eastAsia="宋体" w:cs="Times New Roman"/>
                <w:b/>
                <w:bCs/>
                <w:color w:val="auto"/>
                <w:sz w:val="24"/>
                <w:szCs w:val="24"/>
              </w:rPr>
              <w:t>3.</w:t>
            </w:r>
            <w:r>
              <w:rPr>
                <w:rFonts w:hint="eastAsia" w:cs="Times New Roman"/>
                <w:b/>
                <w:bCs/>
                <w:color w:val="auto"/>
                <w:sz w:val="24"/>
                <w:szCs w:val="24"/>
                <w:lang w:val="en-US" w:eastAsia="zh-CN"/>
              </w:rPr>
              <w:t>11</w:t>
            </w:r>
            <w:r>
              <w:rPr>
                <w:rFonts w:ascii="Times New Roman" w:hAnsi="Times New Roman" w:cs="Times New Roman"/>
                <w:b/>
                <w:bCs/>
                <w:color w:val="auto"/>
                <w:sz w:val="24"/>
                <w:szCs w:val="24"/>
              </w:rPr>
              <w:t xml:space="preserve"> </w:t>
            </w:r>
            <w:r>
              <w:rPr>
                <w:rFonts w:ascii="Times New Roman" w:hAnsi="Times New Roman" w:eastAsia="宋体" w:cs="Times New Roman"/>
                <w:b/>
                <w:bCs/>
                <w:color w:val="auto"/>
                <w:sz w:val="24"/>
                <w:szCs w:val="24"/>
              </w:rPr>
              <w:t>地下水污染监控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eastAsia="宋体" w:cs="Times New Roman"/>
                <w:color w:val="auto"/>
                <w:sz w:val="24"/>
                <w:szCs w:val="24"/>
                <w:lang w:bidi="ar"/>
              </w:rPr>
              <w:t>本加油站不属于地下水饮用水源保护区和补给径流区，可设一个地下水监测井，地下水监测井尽量设置在加油站内。且地下水监测井应设在埋地油罐区地下水流向的下游，在保证安全的情况下，尽可能靠近埋地油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eastAsia="宋体" w:cs="Times New Roman"/>
                <w:color w:val="auto"/>
                <w:sz w:val="24"/>
                <w:szCs w:val="24"/>
                <w:lang w:bidi="ar"/>
              </w:rPr>
              <w:t>地下水监测井结构采用一孔成井工艺。设计需结合当地水文地质条件，并充分考虑区域</w:t>
            </w:r>
            <w:r>
              <w:rPr>
                <w:rFonts w:ascii="Times New Roman" w:hAnsi="Times New Roman" w:cs="Times New Roman"/>
                <w:color w:val="auto"/>
                <w:sz w:val="24"/>
                <w:szCs w:val="24"/>
                <w:lang w:bidi="ar"/>
              </w:rPr>
              <w:t xml:space="preserve">10 </w:t>
            </w:r>
            <w:r>
              <w:rPr>
                <w:rFonts w:ascii="Times New Roman" w:hAnsi="Times New Roman" w:eastAsia="宋体" w:cs="Times New Roman"/>
                <w:color w:val="auto"/>
                <w:sz w:val="24"/>
                <w:szCs w:val="24"/>
                <w:lang w:bidi="ar"/>
              </w:rPr>
              <w:t>年内地下水位变幅，</w:t>
            </w:r>
            <w:r>
              <w:rPr>
                <w:rFonts w:hint="eastAsia" w:cs="Times New Roman"/>
                <w:color w:val="auto"/>
                <w:sz w:val="24"/>
                <w:szCs w:val="24"/>
                <w:lang w:val="en-US" w:eastAsia="zh-CN" w:bidi="ar"/>
              </w:rPr>
              <w:t>考</w:t>
            </w:r>
            <w:r>
              <w:rPr>
                <w:rFonts w:ascii="Times New Roman" w:hAnsi="Times New Roman" w:eastAsia="宋体" w:cs="Times New Roman"/>
                <w:color w:val="auto"/>
                <w:sz w:val="24"/>
                <w:szCs w:val="24"/>
                <w:lang w:bidi="ar"/>
              </w:rPr>
              <w:t>滤水管长度和设置位置应覆盖水位变幅。监测井设置的其他要求可参照《场地环境监测技术导则》（</w:t>
            </w:r>
            <w:r>
              <w:rPr>
                <w:rFonts w:ascii="Times New Roman" w:hAnsi="Times New Roman" w:cs="Times New Roman"/>
                <w:color w:val="auto"/>
                <w:sz w:val="24"/>
                <w:szCs w:val="24"/>
                <w:lang w:bidi="ar"/>
              </w:rPr>
              <w:t>HJ/T 25.2</w:t>
            </w:r>
            <w:r>
              <w:rPr>
                <w:rFonts w:ascii="Times New Roman" w:hAnsi="Times New Roman" w:eastAsia="宋体" w:cs="Times New Roman"/>
                <w:color w:val="auto"/>
                <w:sz w:val="24"/>
                <w:szCs w:val="24"/>
                <w:lang w:bidi="ar"/>
              </w:rPr>
              <w:t>）执行。</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eastAsia="宋体" w:cs="Times New Roman"/>
                <w:color w:val="auto"/>
                <w:sz w:val="24"/>
                <w:szCs w:val="24"/>
                <w:lang w:bidi="ar"/>
              </w:rPr>
              <w:t>地下水监测指标及频率：</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cs="Times New Roman"/>
                <w:color w:val="auto"/>
                <w:sz w:val="24"/>
                <w:szCs w:val="24"/>
                <w:lang w:bidi="ar"/>
              </w:rPr>
              <w:t>a</w:t>
            </w:r>
            <w:r>
              <w:rPr>
                <w:rFonts w:ascii="Times New Roman" w:hAnsi="Times New Roman" w:eastAsia="宋体" w:cs="Times New Roman"/>
                <w:color w:val="auto"/>
                <w:sz w:val="24"/>
                <w:szCs w:val="24"/>
                <w:lang w:bidi="ar"/>
              </w:rPr>
              <w:t>、定性监测。可通过肉眼观察、使用测油膏、便携式气体监测仪等其他快速方法判定地下水监测井中是否存在油品污染，定性监测每周一次。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cs="Times New Roman"/>
                <w:color w:val="auto"/>
                <w:sz w:val="24"/>
                <w:szCs w:val="24"/>
                <w:lang w:bidi="ar"/>
              </w:rPr>
              <w:t xml:space="preserve"> b</w:t>
            </w:r>
            <w:r>
              <w:rPr>
                <w:rFonts w:ascii="Times New Roman" w:hAnsi="Times New Roman" w:eastAsia="宋体" w:cs="Times New Roman"/>
                <w:color w:val="auto"/>
                <w:sz w:val="24"/>
                <w:szCs w:val="24"/>
                <w:lang w:bidi="ar"/>
              </w:rPr>
              <w:t>、定量监测。若定性监测发现地下水存在油品污染，立即启动定量监测；若定性监测未发现问题，则每季度监测</w:t>
            </w:r>
            <w:r>
              <w:rPr>
                <w:rFonts w:ascii="Times New Roman" w:hAnsi="Times New Roman" w:cs="Times New Roman"/>
                <w:color w:val="auto"/>
                <w:sz w:val="24"/>
                <w:szCs w:val="24"/>
                <w:lang w:bidi="ar"/>
              </w:rPr>
              <w:t xml:space="preserve">1 </w:t>
            </w:r>
            <w:r>
              <w:rPr>
                <w:rFonts w:ascii="Times New Roman" w:hAnsi="Times New Roman" w:eastAsia="宋体" w:cs="Times New Roman"/>
                <w:color w:val="auto"/>
                <w:sz w:val="24"/>
                <w:szCs w:val="24"/>
                <w:lang w:bidi="ar"/>
              </w:rPr>
              <w:t>次，具体监测指标见下表。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40</w:t>
            </w:r>
            <w:r>
              <w:rPr>
                <w:rFonts w:hint="eastAsia" w:ascii="Times New Roman" w:hAnsi="Times New Roman" w:eastAsia="宋体" w:cs="Times New Roman"/>
                <w:b/>
                <w:bCs/>
                <w:color w:val="auto"/>
                <w:kern w:val="2"/>
                <w:sz w:val="24"/>
                <w:szCs w:val="24"/>
                <w:lang w:val="en-US" w:eastAsia="zh-CN" w:bidi="ar-SA"/>
              </w:rPr>
              <w:t xml:space="preserve">   加油站地下水监测项目表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617"/>
              <w:gridCol w:w="4590"/>
              <w:gridCol w:w="12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91" w:type="dxa"/>
                  <w:gridSpan w:val="2"/>
                  <w:tcBorders>
                    <w:tl2br w:val="nil"/>
                    <w:tr2bl w:val="nil"/>
                  </w:tcBorders>
                  <w:noWrap w:val="0"/>
                  <w:vAlign w:val="center"/>
                </w:tcPr>
                <w:p>
                  <w:pPr>
                    <w:jc w:val="center"/>
                    <w:rPr>
                      <w:rFonts w:ascii="Times New Roman" w:hAnsi="Times New Roman" w:eastAsia="黑体" w:cs="Times New Roman"/>
                      <w:b/>
                      <w:bCs/>
                      <w:color w:val="auto"/>
                      <w:sz w:val="21"/>
                      <w:szCs w:val="21"/>
                      <w:lang w:bidi="ar"/>
                    </w:rPr>
                  </w:pPr>
                  <w:r>
                    <w:rPr>
                      <w:rFonts w:ascii="Times New Roman" w:hAnsi="Times New Roman" w:eastAsia="宋体" w:cs="Times New Roman"/>
                      <w:b/>
                      <w:bCs/>
                      <w:color w:val="auto"/>
                      <w:kern w:val="24"/>
                      <w:sz w:val="21"/>
                      <w:szCs w:val="21"/>
                      <w:lang w:bidi="ar"/>
                    </w:rPr>
                    <w:t>指标类型</w:t>
                  </w:r>
                </w:p>
              </w:tc>
              <w:tc>
                <w:tcPr>
                  <w:tcW w:w="4590" w:type="dxa"/>
                  <w:tcBorders>
                    <w:tl2br w:val="nil"/>
                    <w:tr2bl w:val="nil"/>
                  </w:tcBorders>
                  <w:noWrap w:val="0"/>
                  <w:vAlign w:val="center"/>
                </w:tcPr>
                <w:p>
                  <w:pPr>
                    <w:jc w:val="center"/>
                    <w:rPr>
                      <w:rFonts w:ascii="Times New Roman" w:hAnsi="Times New Roman" w:eastAsia="黑体" w:cs="Times New Roman"/>
                      <w:b/>
                      <w:bCs/>
                      <w:color w:val="auto"/>
                      <w:sz w:val="21"/>
                      <w:szCs w:val="21"/>
                      <w:lang w:bidi="ar"/>
                    </w:rPr>
                  </w:pPr>
                  <w:r>
                    <w:rPr>
                      <w:rFonts w:ascii="Times New Roman" w:hAnsi="Times New Roman" w:eastAsia="宋体" w:cs="Times New Roman"/>
                      <w:b/>
                      <w:bCs/>
                      <w:color w:val="auto"/>
                      <w:kern w:val="24"/>
                      <w:sz w:val="21"/>
                      <w:szCs w:val="21"/>
                      <w:lang w:bidi="ar"/>
                    </w:rPr>
                    <w:t>指标名称</w:t>
                  </w:r>
                </w:p>
              </w:tc>
              <w:tc>
                <w:tcPr>
                  <w:tcW w:w="1205" w:type="dxa"/>
                  <w:tcBorders>
                    <w:tl2br w:val="nil"/>
                    <w:tr2bl w:val="nil"/>
                  </w:tcBorders>
                  <w:noWrap w:val="0"/>
                  <w:vAlign w:val="center"/>
                </w:tcPr>
                <w:p>
                  <w:pPr>
                    <w:jc w:val="center"/>
                    <w:rPr>
                      <w:rFonts w:ascii="Times New Roman" w:hAnsi="Times New Roman" w:eastAsia="黑体" w:cs="Times New Roman"/>
                      <w:b/>
                      <w:bCs/>
                      <w:color w:val="auto"/>
                      <w:sz w:val="21"/>
                      <w:szCs w:val="21"/>
                      <w:lang w:bidi="ar"/>
                    </w:rPr>
                  </w:pPr>
                  <w:r>
                    <w:rPr>
                      <w:rFonts w:ascii="Times New Roman" w:hAnsi="Times New Roman" w:eastAsia="宋体" w:cs="Times New Roman"/>
                      <w:b/>
                      <w:bCs/>
                      <w:color w:val="auto"/>
                      <w:kern w:val="24"/>
                      <w:sz w:val="21"/>
                      <w:szCs w:val="21"/>
                      <w:lang w:bidi="ar"/>
                    </w:rPr>
                    <w:t>指标数量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restart"/>
                  <w:tcBorders>
                    <w:tl2br w:val="nil"/>
                    <w:tr2bl w:val="nil"/>
                  </w:tcBorders>
                  <w:noWrap w:val="0"/>
                  <w:vAlign w:val="center"/>
                </w:tcPr>
                <w:p>
                  <w:pPr>
                    <w:autoSpaceDE w:val="0"/>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特征指标</w:t>
                  </w:r>
                </w:p>
              </w:tc>
              <w:tc>
                <w:tcPr>
                  <w:tcW w:w="1617" w:type="dxa"/>
                  <w:vMerge w:val="restart"/>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挥发性有机物</w:t>
                  </w:r>
                </w:p>
              </w:tc>
              <w:tc>
                <w:tcPr>
                  <w:tcW w:w="4590"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萘</w:t>
                  </w:r>
                </w:p>
              </w:tc>
              <w:tc>
                <w:tcPr>
                  <w:tcW w:w="1205"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tl2br w:val="nil"/>
                    <w:tr2bl w:val="nil"/>
                  </w:tcBorders>
                  <w:noWrap w:val="0"/>
                  <w:vAlign w:val="top"/>
                </w:tcPr>
                <w:p>
                  <w:pPr>
                    <w:pStyle w:val="20"/>
                    <w:ind w:firstLine="560"/>
                    <w:rPr>
                      <w:rFonts w:ascii="Times New Roman" w:hAnsi="Times New Roman" w:eastAsia="黑体" w:cs="Times New Roman"/>
                      <w:b w:val="0"/>
                      <w:color w:val="auto"/>
                      <w:sz w:val="21"/>
                      <w:szCs w:val="21"/>
                      <w:lang w:val="en-US" w:eastAsia="zh-CN" w:bidi="ar"/>
                    </w:rPr>
                  </w:pPr>
                </w:p>
              </w:tc>
              <w:tc>
                <w:tcPr>
                  <w:tcW w:w="1617" w:type="dxa"/>
                  <w:vMerge w:val="continue"/>
                  <w:tcBorders>
                    <w:tl2br w:val="nil"/>
                    <w:tr2bl w:val="nil"/>
                  </w:tcBorders>
                  <w:noWrap w:val="0"/>
                  <w:vAlign w:val="top"/>
                </w:tcPr>
                <w:p>
                  <w:pPr>
                    <w:pStyle w:val="20"/>
                    <w:ind w:firstLine="560"/>
                    <w:rPr>
                      <w:rFonts w:ascii="Times New Roman" w:hAnsi="Times New Roman" w:eastAsia="黑体" w:cs="Times New Roman"/>
                      <w:b w:val="0"/>
                      <w:color w:val="auto"/>
                      <w:sz w:val="21"/>
                      <w:szCs w:val="21"/>
                      <w:lang w:val="en-US" w:eastAsia="zh-CN" w:bidi="ar"/>
                    </w:rPr>
                  </w:pPr>
                </w:p>
              </w:tc>
              <w:tc>
                <w:tcPr>
                  <w:tcW w:w="4590"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苯、甲苯、乙苯、邻二甲苯、间（对）二甲苯</w:t>
                  </w:r>
                </w:p>
              </w:tc>
              <w:tc>
                <w:tcPr>
                  <w:tcW w:w="1205"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Merge w:val="continue"/>
                  <w:tcBorders>
                    <w:tl2br w:val="nil"/>
                    <w:tr2bl w:val="nil"/>
                  </w:tcBorders>
                  <w:noWrap w:val="0"/>
                  <w:vAlign w:val="top"/>
                </w:tcPr>
                <w:p>
                  <w:pPr>
                    <w:pStyle w:val="20"/>
                    <w:ind w:firstLine="560"/>
                    <w:rPr>
                      <w:rFonts w:ascii="Times New Roman" w:hAnsi="Times New Roman" w:eastAsia="黑体" w:cs="Times New Roman"/>
                      <w:b w:val="0"/>
                      <w:color w:val="auto"/>
                      <w:sz w:val="21"/>
                      <w:szCs w:val="21"/>
                      <w:lang w:val="en-US" w:eastAsia="zh-CN" w:bidi="ar"/>
                    </w:rPr>
                  </w:pPr>
                </w:p>
              </w:tc>
              <w:tc>
                <w:tcPr>
                  <w:tcW w:w="1617" w:type="dxa"/>
                  <w:vMerge w:val="continue"/>
                  <w:tcBorders>
                    <w:tl2br w:val="nil"/>
                    <w:tr2bl w:val="nil"/>
                  </w:tcBorders>
                  <w:noWrap w:val="0"/>
                  <w:vAlign w:val="top"/>
                </w:tcPr>
                <w:p>
                  <w:pPr>
                    <w:pStyle w:val="20"/>
                    <w:ind w:firstLine="560"/>
                    <w:rPr>
                      <w:rFonts w:ascii="Times New Roman" w:hAnsi="Times New Roman" w:eastAsia="黑体" w:cs="Times New Roman"/>
                      <w:b w:val="0"/>
                      <w:color w:val="auto"/>
                      <w:sz w:val="21"/>
                      <w:szCs w:val="21"/>
                      <w:lang w:val="en-US" w:eastAsia="zh-CN" w:bidi="ar"/>
                    </w:rPr>
                  </w:pPr>
                </w:p>
              </w:tc>
              <w:tc>
                <w:tcPr>
                  <w:tcW w:w="4590"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甲基叔丁基醚</w:t>
                  </w:r>
                </w:p>
              </w:tc>
              <w:tc>
                <w:tcPr>
                  <w:tcW w:w="1205" w:type="dxa"/>
                  <w:tcBorders>
                    <w:tl2br w:val="nil"/>
                    <w:tr2bl w:val="nil"/>
                  </w:tcBorders>
                  <w:noWrap w:val="0"/>
                  <w:vAlign w:val="center"/>
                </w:tcPr>
                <w:p>
                  <w:pPr>
                    <w:jc w:val="center"/>
                    <w:rPr>
                      <w:rFonts w:ascii="Times New Roman" w:hAnsi="Times New Roman" w:eastAsia="黑体" w:cs="Times New Roman"/>
                      <w:color w:val="auto"/>
                      <w:sz w:val="21"/>
                      <w:szCs w:val="21"/>
                      <w:lang w:bidi="ar"/>
                    </w:rPr>
                  </w:pPr>
                  <w:r>
                    <w:rPr>
                      <w:rFonts w:ascii="Times New Roman" w:hAnsi="Times New Roman" w:eastAsia="宋体" w:cs="Times New Roman"/>
                      <w:color w:val="auto"/>
                      <w:kern w:val="24"/>
                      <w:sz w:val="21"/>
                      <w:szCs w:val="21"/>
                      <w:lang w:bidi="ar"/>
                    </w:rPr>
                    <w:t>1</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Times New Roman" w:hAnsi="Times New Roman" w:cs="Times New Roman"/>
                <w:b/>
                <w:bCs/>
                <w:color w:val="auto"/>
                <w:kern w:val="0"/>
                <w:sz w:val="24"/>
                <w:szCs w:val="24"/>
              </w:rPr>
            </w:pPr>
            <w:r>
              <w:rPr>
                <w:rFonts w:ascii="Times New Roman" w:hAnsi="Times New Roman" w:eastAsia="宋体" w:cs="Times New Roman"/>
                <w:b/>
                <w:bCs/>
                <w:color w:val="auto"/>
                <w:sz w:val="24"/>
                <w:szCs w:val="24"/>
                <w:lang w:bidi="ar"/>
              </w:rPr>
              <w:t>3</w:t>
            </w:r>
            <w:r>
              <w:rPr>
                <w:rFonts w:hint="eastAsia" w:ascii="Times New Roman" w:hAnsi="Times New Roman" w:eastAsia="宋体" w:cs="Times New Roman"/>
                <w:b/>
                <w:bCs/>
                <w:color w:val="auto"/>
                <w:sz w:val="24"/>
                <w:szCs w:val="24"/>
                <w:lang w:eastAsia="zh-CN" w:bidi="ar"/>
              </w:rPr>
              <w:t>.</w:t>
            </w:r>
            <w:r>
              <w:rPr>
                <w:rFonts w:hint="eastAsia" w:cs="Times New Roman"/>
                <w:b/>
                <w:bCs/>
                <w:color w:val="auto"/>
                <w:sz w:val="24"/>
                <w:szCs w:val="24"/>
                <w:lang w:val="en-US" w:eastAsia="zh-CN" w:bidi="ar"/>
              </w:rPr>
              <w:t>12</w:t>
            </w:r>
            <w:r>
              <w:rPr>
                <w:rFonts w:ascii="Times New Roman" w:hAnsi="Times New Roman" w:eastAsia="宋体" w:cs="Times New Roman"/>
                <w:b/>
                <w:bCs/>
                <w:color w:val="auto"/>
                <w:sz w:val="24"/>
                <w:szCs w:val="24"/>
                <w:lang w:bidi="ar"/>
              </w:rPr>
              <w:t xml:space="preserve"> 应急响应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kern w:val="0"/>
                <w:sz w:val="24"/>
                <w:szCs w:val="24"/>
              </w:rPr>
            </w:pPr>
            <w:r>
              <w:rPr>
                <w:rFonts w:ascii="Times New Roman" w:hAnsi="Times New Roman" w:eastAsia="宋体" w:cs="Times New Roman"/>
                <w:color w:val="auto"/>
                <w:sz w:val="24"/>
                <w:szCs w:val="24"/>
                <w:lang w:bidi="ar"/>
              </w:rPr>
              <w:t>若发现油品泄漏，需启动环境预警和开展应急响应。应急响应措施主要有泄漏加油站停运、油品阻隔和泄漏油品回收。在</w:t>
            </w:r>
            <w:r>
              <w:rPr>
                <w:rFonts w:ascii="Times New Roman" w:hAnsi="Times New Roman" w:cs="Times New Roman"/>
                <w:color w:val="auto"/>
                <w:sz w:val="24"/>
                <w:szCs w:val="24"/>
                <w:lang w:bidi="ar"/>
              </w:rPr>
              <w:t>1</w:t>
            </w:r>
            <w:r>
              <w:rPr>
                <w:rFonts w:ascii="Times New Roman" w:hAnsi="Times New Roman" w:eastAsia="宋体" w:cs="Times New Roman"/>
                <w:color w:val="auto"/>
                <w:sz w:val="24"/>
                <w:szCs w:val="24"/>
                <w:lang w:bidi="ar"/>
              </w:rPr>
              <w:t>天内向环境保护主管部门报告，在</w:t>
            </w:r>
            <w:r>
              <w:rPr>
                <w:rFonts w:ascii="Times New Roman" w:hAnsi="Times New Roman" w:cs="Times New Roman"/>
                <w:color w:val="auto"/>
                <w:sz w:val="24"/>
                <w:szCs w:val="24"/>
                <w:lang w:bidi="ar"/>
              </w:rPr>
              <w:t>5</w:t>
            </w:r>
            <w:r>
              <w:rPr>
                <w:rFonts w:ascii="Times New Roman" w:hAnsi="Times New Roman" w:eastAsia="宋体" w:cs="Times New Roman"/>
                <w:color w:val="auto"/>
                <w:sz w:val="24"/>
                <w:szCs w:val="24"/>
                <w:lang w:bidi="ar"/>
              </w:rPr>
              <w:t>个工作日内提供泄漏加油站的初始环境报告，包括责任人的名称和电话号码，泄漏物的类型、体积和地下水污染物浓度，采取应急响应措施。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b/>
                <w:color w:val="auto"/>
                <w:kern w:val="0"/>
                <w:sz w:val="24"/>
                <w:szCs w:val="24"/>
                <w:lang w:bidi="ar"/>
              </w:rPr>
            </w:pPr>
            <w:r>
              <w:rPr>
                <w:rFonts w:ascii="Times New Roman" w:hAnsi="Times New Roman" w:eastAsia="宋体" w:cs="Times New Roman"/>
                <w:color w:val="auto"/>
                <w:sz w:val="24"/>
                <w:szCs w:val="24"/>
                <w:lang w:bidi="ar"/>
              </w:rPr>
              <w:t>项目建设应严格按照相关规定设计、施工，完善地下水日常监测和应急措施。项目在采取并落实环评中所提的相关污染防控措施后，</w:t>
            </w:r>
            <w:r>
              <w:rPr>
                <w:rFonts w:ascii="Times New Roman" w:hAnsi="Times New Roman" w:eastAsia="宋体" w:cs="Times New Roman"/>
                <w:color w:val="auto"/>
                <w:spacing w:val="3"/>
                <w:sz w:val="24"/>
                <w:szCs w:val="24"/>
                <w:lang w:bidi="ar"/>
              </w:rPr>
              <w:t>营运期不会对地下水造成明显影响。</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正常情况下，对地下水的污染主要是由于污染物迁移穿过包气带进入含水层造成。项目相关场地已采取了有效的防渗措施，污染物不会很快穿过包气带进入浅层地下水，项目废水污染物排放对地下水的潜在影响及威胁较小。</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由污染途径及对应措施分析可知，本项目对可能产生地下水影响的各项途径均需进行有效预防，在确保各项防渗措施得以落实，并加强维护和厂区环境管理的前提下，可有效控制</w:t>
            </w:r>
            <w:r>
              <w:rPr>
                <w:rFonts w:hint="eastAsia" w:cs="Times New Roman"/>
                <w:color w:val="auto"/>
                <w:kern w:val="0"/>
                <w:sz w:val="24"/>
                <w:szCs w:val="24"/>
                <w:lang w:val="en-US" w:eastAsia="zh-CN"/>
              </w:rPr>
              <w:t>站</w:t>
            </w:r>
            <w:r>
              <w:rPr>
                <w:rFonts w:ascii="Times New Roman" w:hAnsi="Times New Roman" w:eastAsia="宋体" w:cs="Times New Roman"/>
                <w:color w:val="auto"/>
                <w:kern w:val="0"/>
                <w:sz w:val="24"/>
                <w:szCs w:val="24"/>
              </w:rPr>
              <w:t>区内的废水污染物下渗现象，避免污染地下水，因此项目不会对区域地下水环境产生明显影响。</w:t>
            </w:r>
          </w:p>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综上所述，从地下水环境保护角度看，本项目的地下水环境影响是可以接受的。</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bCs/>
                <w:snapToGrid w:val="0"/>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b/>
                <w:bCs/>
                <w:snapToGrid w:val="0"/>
                <w:color w:val="auto"/>
                <w:kern w:val="0"/>
                <w:sz w:val="24"/>
                <w:szCs w:val="24"/>
                <w:highlight w:val="none"/>
              </w:rPr>
            </w:pPr>
            <w:r>
              <w:rPr>
                <w:rFonts w:hint="eastAsia"/>
                <w:b/>
                <w:bCs/>
                <w:snapToGrid w:val="0"/>
                <w:color w:val="auto"/>
                <w:kern w:val="0"/>
                <w:sz w:val="24"/>
                <w:szCs w:val="24"/>
                <w:highlight w:val="none"/>
                <w:lang w:val="en-US" w:eastAsia="zh-CN"/>
              </w:rPr>
              <w:t>4</w:t>
            </w:r>
            <w:r>
              <w:rPr>
                <w:rFonts w:hint="eastAsia"/>
                <w:b/>
                <w:bCs/>
                <w:snapToGrid w:val="0"/>
                <w:color w:val="auto"/>
                <w:kern w:val="0"/>
                <w:sz w:val="24"/>
                <w:szCs w:val="24"/>
                <w:highlight w:val="none"/>
              </w:rPr>
              <w:t>、</w:t>
            </w:r>
            <w:r>
              <w:rPr>
                <w:b/>
                <w:bCs/>
                <w:snapToGrid w:val="0"/>
                <w:color w:val="auto"/>
                <w:kern w:val="0"/>
                <w:sz w:val="24"/>
                <w:szCs w:val="24"/>
                <w:highlight w:val="none"/>
              </w:rPr>
              <w:t>噪声对环境的影响分析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工程噪声主要包括加油机</w:t>
            </w:r>
            <w:r>
              <w:rPr>
                <w:rFonts w:hint="eastAsia" w:cs="Times New Roman"/>
                <w:color w:val="auto"/>
                <w:sz w:val="24"/>
                <w:szCs w:val="24"/>
                <w:highlight w:val="none"/>
                <w:lang w:eastAsia="zh-CN"/>
              </w:rPr>
              <w:t>油泵</w:t>
            </w:r>
            <w:r>
              <w:rPr>
                <w:rFonts w:ascii="Times New Roman" w:hAnsi="Times New Roman" w:eastAsia="宋体" w:cs="Times New Roman"/>
                <w:color w:val="auto"/>
                <w:sz w:val="24"/>
                <w:szCs w:val="24"/>
                <w:highlight w:val="none"/>
              </w:rPr>
              <w:t>等设备噪声，噪声源强为70~</w:t>
            </w:r>
            <w:r>
              <w:rPr>
                <w:rFonts w:hint="eastAsia" w:eastAsia="宋体" w:cs="Times New Roman"/>
                <w:color w:val="auto"/>
                <w:sz w:val="24"/>
                <w:szCs w:val="24"/>
                <w:highlight w:val="none"/>
                <w:lang w:val="en-US" w:eastAsia="zh-CN"/>
              </w:rPr>
              <w:t>80</w:t>
            </w:r>
            <w:r>
              <w:rPr>
                <w:rFonts w:ascii="Times New Roman" w:hAnsi="Times New Roman" w:cs="Times New Roman"/>
                <w:color w:val="auto"/>
                <w:sz w:val="24"/>
                <w:szCs w:val="24"/>
                <w:highlight w:val="none"/>
              </w:rPr>
              <w:t xml:space="preserve"> dB(A)</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进出车辆交通噪声，噪声源强约为60~75</w:t>
            </w:r>
            <w:r>
              <w:rPr>
                <w:rFonts w:ascii="Times New Roman" w:hAnsi="Times New Roman" w:cs="Times New Roman"/>
                <w:color w:val="auto"/>
                <w:sz w:val="24"/>
                <w:szCs w:val="24"/>
                <w:highlight w:val="none"/>
              </w:rPr>
              <w:t xml:space="preserve"> dB(A)</w:t>
            </w:r>
            <w:r>
              <w:rPr>
                <w:rFonts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color w:val="auto"/>
                <w:sz w:val="24"/>
                <w:szCs w:val="24"/>
                <w:highlight w:val="none"/>
              </w:rPr>
            </w:pPr>
            <w:r>
              <w:rPr>
                <w:rFonts w:hint="eastAsia" w:eastAsia="新宋体"/>
                <w:bCs/>
                <w:sz w:val="24"/>
                <w:szCs w:val="24"/>
                <w:highlight w:val="none"/>
                <w:lang w:val="en-US" w:eastAsia="zh-CN"/>
              </w:rPr>
              <w:t>为降低其噪声对周围环境的影响</w:t>
            </w:r>
            <w:r>
              <w:rPr>
                <w:rFonts w:eastAsia="新宋体"/>
                <w:bCs/>
                <w:sz w:val="24"/>
                <w:szCs w:val="24"/>
                <w:highlight w:val="none"/>
              </w:rPr>
              <w:t>。评价建议</w:t>
            </w:r>
            <w:r>
              <w:rPr>
                <w:rFonts w:ascii="Times New Roman" w:hAnsi="Times New Roman" w:eastAsia="宋体" w:cs="Times New Roman"/>
                <w:color w:val="auto"/>
                <w:sz w:val="24"/>
                <w:szCs w:val="24"/>
                <w:highlight w:val="none"/>
              </w:rPr>
              <w:t>工程设备优先采用低噪声设备，同时设备均加装减振基础，</w:t>
            </w:r>
            <w:r>
              <w:rPr>
                <w:rFonts w:eastAsia="新宋体"/>
                <w:bCs/>
                <w:sz w:val="24"/>
                <w:szCs w:val="24"/>
                <w:highlight w:val="none"/>
              </w:rPr>
              <w:t>加油站对出入区域内来往的机动车严格管理，采取车辆进站时减速、禁止鸣笛、加油时车辆熄火和平稳启动等措施，使区域内的交通噪声降到最低值</w:t>
            </w:r>
            <w:r>
              <w:rPr>
                <w:rFonts w:hint="eastAsia" w:eastAsia="新宋体"/>
                <w:bCs/>
                <w:sz w:val="24"/>
                <w:szCs w:val="24"/>
                <w:highlight w:val="none"/>
                <w:lang w:eastAsia="zh-CN"/>
              </w:rPr>
              <w:t>；加强设备的使用和日常维护管理，使设备处于良好的运转状态，定期检修，及时更换，避免因设备运转不正常导致的噪声值增加。</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黑体" w:cs="Times New Roman"/>
                <w:color w:val="auto"/>
                <w:sz w:val="24"/>
                <w:szCs w:val="24"/>
                <w:highlight w:val="none"/>
              </w:rPr>
            </w:pPr>
            <w:r>
              <w:rPr>
                <w:rFonts w:ascii="Times New Roman" w:hAnsi="Times New Roman" w:eastAsia="宋体" w:cs="Times New Roman"/>
                <w:color w:val="auto"/>
                <w:sz w:val="24"/>
                <w:szCs w:val="24"/>
                <w:highlight w:val="none"/>
              </w:rPr>
              <w:t>工程高噪声设备降噪措施及效果详见表</w:t>
            </w:r>
            <w:r>
              <w:rPr>
                <w:rFonts w:hint="eastAsia" w:cs="Times New Roman"/>
                <w:color w:val="auto"/>
                <w:sz w:val="24"/>
                <w:szCs w:val="24"/>
                <w:highlight w:val="none"/>
                <w:lang w:val="en-US" w:eastAsia="zh-CN"/>
              </w:rPr>
              <w:t>41</w:t>
            </w:r>
            <w:r>
              <w:rPr>
                <w:rFonts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jc w:val="center"/>
              <w:textAlignment w:val="auto"/>
              <w:rPr>
                <w:rFonts w:hAnsi="黑体" w:eastAsia="黑体"/>
                <w:color w:val="auto"/>
                <w:sz w:val="24"/>
                <w:szCs w:val="24"/>
                <w:highlight w:val="none"/>
              </w:rPr>
            </w:pPr>
            <w:r>
              <w:rPr>
                <w:b/>
                <w:color w:val="auto"/>
                <w:sz w:val="24"/>
                <w:szCs w:val="24"/>
                <w:highlight w:val="none"/>
              </w:rPr>
              <w:t>表</w:t>
            </w:r>
            <w:r>
              <w:rPr>
                <w:rFonts w:hint="eastAsia"/>
                <w:b/>
                <w:color w:val="auto"/>
                <w:sz w:val="24"/>
                <w:szCs w:val="24"/>
                <w:highlight w:val="none"/>
                <w:lang w:val="en-US" w:eastAsia="zh-CN"/>
              </w:rPr>
              <w:t xml:space="preserve">41   </w:t>
            </w:r>
            <w:r>
              <w:rPr>
                <w:b/>
                <w:color w:val="auto"/>
                <w:sz w:val="24"/>
                <w:szCs w:val="24"/>
                <w:highlight w:val="none"/>
              </w:rPr>
              <w:t>各噪声源排放情况一览表</w:t>
            </w:r>
          </w:p>
          <w:tbl>
            <w:tblPr>
              <w:tblStyle w:val="21"/>
              <w:tblW w:w="862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384"/>
              <w:gridCol w:w="2147"/>
              <w:gridCol w:w="1514"/>
              <w:gridCol w:w="164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931" w:type="dxa"/>
                  <w:vAlign w:val="center"/>
                </w:tcPr>
                <w:p>
                  <w:pPr>
                    <w:widowControl/>
                    <w:spacing w:line="240" w:lineRule="atLeast"/>
                    <w:jc w:val="center"/>
                    <w:rPr>
                      <w:rFonts w:ascii="Times New Roman" w:hAnsi="Times New Roman" w:eastAsia="宋体" w:cs="Times New Roman"/>
                      <w:b/>
                      <w:bCs w:val="0"/>
                      <w:color w:val="auto"/>
                      <w:sz w:val="21"/>
                      <w:szCs w:val="21"/>
                      <w:highlight w:val="none"/>
                    </w:rPr>
                  </w:pPr>
                  <w:r>
                    <w:rPr>
                      <w:rFonts w:ascii="Times New Roman" w:hAnsi="Times New Roman" w:eastAsia="宋体" w:cs="Times New Roman"/>
                      <w:b/>
                      <w:bCs w:val="0"/>
                      <w:color w:val="auto"/>
                      <w:sz w:val="21"/>
                      <w:szCs w:val="21"/>
                      <w:highlight w:val="none"/>
                    </w:rPr>
                    <w:t>序号</w:t>
                  </w:r>
                </w:p>
              </w:tc>
              <w:tc>
                <w:tcPr>
                  <w:tcW w:w="2384" w:type="dxa"/>
                  <w:vAlign w:val="center"/>
                </w:tcPr>
                <w:p>
                  <w:pPr>
                    <w:widowControl/>
                    <w:spacing w:line="240" w:lineRule="atLeast"/>
                    <w:jc w:val="center"/>
                    <w:rPr>
                      <w:rFonts w:ascii="Times New Roman" w:hAnsi="Times New Roman" w:eastAsia="宋体" w:cs="Times New Roman"/>
                      <w:b/>
                      <w:bCs w:val="0"/>
                      <w:color w:val="auto"/>
                      <w:sz w:val="21"/>
                      <w:szCs w:val="21"/>
                      <w:highlight w:val="none"/>
                    </w:rPr>
                  </w:pPr>
                  <w:r>
                    <w:rPr>
                      <w:rFonts w:ascii="Times New Roman" w:hAnsi="Times New Roman" w:eastAsia="宋体" w:cs="Times New Roman"/>
                      <w:b/>
                      <w:bCs w:val="0"/>
                      <w:color w:val="auto"/>
                      <w:sz w:val="21"/>
                      <w:szCs w:val="21"/>
                      <w:highlight w:val="none"/>
                    </w:rPr>
                    <w:t>声源名称</w:t>
                  </w:r>
                </w:p>
              </w:tc>
              <w:tc>
                <w:tcPr>
                  <w:tcW w:w="2147" w:type="dxa"/>
                  <w:vAlign w:val="center"/>
                </w:tcPr>
                <w:p>
                  <w:pPr>
                    <w:widowControl/>
                    <w:spacing w:line="240" w:lineRule="atLeast"/>
                    <w:jc w:val="center"/>
                    <w:rPr>
                      <w:rFonts w:ascii="Times New Roman" w:hAnsi="Times New Roman" w:eastAsia="宋体" w:cs="Times New Roman"/>
                      <w:b/>
                      <w:bCs w:val="0"/>
                      <w:color w:val="auto"/>
                      <w:sz w:val="21"/>
                      <w:szCs w:val="21"/>
                      <w:highlight w:val="none"/>
                    </w:rPr>
                  </w:pPr>
                  <w:r>
                    <w:rPr>
                      <w:rFonts w:ascii="Times New Roman" w:hAnsi="Times New Roman" w:eastAsia="宋体" w:cs="Times New Roman"/>
                      <w:b/>
                      <w:bCs w:val="0"/>
                      <w:color w:val="auto"/>
                      <w:sz w:val="21"/>
                      <w:szCs w:val="21"/>
                      <w:highlight w:val="none"/>
                    </w:rPr>
                    <w:t>措施</w:t>
                  </w:r>
                </w:p>
              </w:tc>
              <w:tc>
                <w:tcPr>
                  <w:tcW w:w="1514" w:type="dxa"/>
                  <w:vAlign w:val="center"/>
                </w:tcPr>
                <w:p>
                  <w:pPr>
                    <w:widowControl/>
                    <w:spacing w:line="240" w:lineRule="atLeast"/>
                    <w:jc w:val="center"/>
                    <w:rPr>
                      <w:rFonts w:ascii="Times New Roman" w:hAnsi="Times New Roman" w:eastAsia="宋体" w:cs="Times New Roman"/>
                      <w:b/>
                      <w:bCs w:val="0"/>
                      <w:color w:val="auto"/>
                      <w:sz w:val="21"/>
                      <w:szCs w:val="21"/>
                      <w:highlight w:val="none"/>
                    </w:rPr>
                  </w:pPr>
                  <w:r>
                    <w:rPr>
                      <w:rFonts w:ascii="Times New Roman" w:hAnsi="Times New Roman" w:eastAsia="宋体" w:cs="Times New Roman"/>
                      <w:b/>
                      <w:bCs w:val="0"/>
                      <w:color w:val="auto"/>
                      <w:sz w:val="21"/>
                      <w:szCs w:val="21"/>
                      <w:highlight w:val="none"/>
                    </w:rPr>
                    <w:t>产生源强</w:t>
                  </w:r>
                  <w:r>
                    <w:rPr>
                      <w:rFonts w:ascii="Times New Roman" w:hAnsi="Times New Roman" w:eastAsia="宋体" w:cs="Times New Roman"/>
                      <w:b/>
                      <w:bCs w:val="0"/>
                      <w:color w:val="auto"/>
                      <w:sz w:val="21"/>
                      <w:szCs w:val="21"/>
                      <w:highlight w:val="none"/>
                    </w:rPr>
                    <w:br w:type="textWrapping"/>
                  </w:r>
                  <w:r>
                    <w:rPr>
                      <w:rFonts w:ascii="Times New Roman" w:hAnsi="Times New Roman" w:eastAsia="宋体" w:cs="Times New Roman"/>
                      <w:b/>
                      <w:bCs w:val="0"/>
                      <w:color w:val="auto"/>
                      <w:sz w:val="21"/>
                      <w:szCs w:val="21"/>
                      <w:highlight w:val="none"/>
                    </w:rPr>
                    <w:t>dB（A）</w:t>
                  </w:r>
                </w:p>
              </w:tc>
              <w:tc>
                <w:tcPr>
                  <w:tcW w:w="1647" w:type="dxa"/>
                  <w:vAlign w:val="center"/>
                </w:tcPr>
                <w:p>
                  <w:pPr>
                    <w:widowControl/>
                    <w:spacing w:line="240" w:lineRule="atLeast"/>
                    <w:jc w:val="center"/>
                    <w:rPr>
                      <w:rFonts w:ascii="Times New Roman" w:hAnsi="Times New Roman" w:eastAsia="宋体" w:cs="Times New Roman"/>
                      <w:b/>
                      <w:bCs w:val="0"/>
                      <w:color w:val="auto"/>
                      <w:sz w:val="21"/>
                      <w:szCs w:val="21"/>
                      <w:highlight w:val="none"/>
                    </w:rPr>
                  </w:pPr>
                  <w:r>
                    <w:rPr>
                      <w:rFonts w:ascii="Times New Roman" w:hAnsi="Times New Roman" w:eastAsia="宋体" w:cs="Times New Roman"/>
                      <w:b/>
                      <w:bCs w:val="0"/>
                      <w:color w:val="auto"/>
                      <w:sz w:val="21"/>
                      <w:szCs w:val="21"/>
                      <w:highlight w:val="none"/>
                    </w:rPr>
                    <w:t>排放源强</w:t>
                  </w:r>
                  <w:r>
                    <w:rPr>
                      <w:rFonts w:ascii="Times New Roman" w:hAnsi="Times New Roman" w:eastAsia="宋体" w:cs="Times New Roman"/>
                      <w:b/>
                      <w:bCs w:val="0"/>
                      <w:color w:val="auto"/>
                      <w:sz w:val="21"/>
                      <w:szCs w:val="21"/>
                      <w:highlight w:val="none"/>
                    </w:rPr>
                    <w:br w:type="textWrapping"/>
                  </w:r>
                  <w:r>
                    <w:rPr>
                      <w:rFonts w:ascii="Times New Roman" w:hAnsi="Times New Roman" w:eastAsia="宋体" w:cs="Times New Roman"/>
                      <w:b/>
                      <w:bCs w:val="0"/>
                      <w:color w:val="auto"/>
                      <w:sz w:val="21"/>
                      <w:szCs w:val="21"/>
                      <w:highlight w:val="none"/>
                    </w:rPr>
                    <w:t>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931" w:type="dxa"/>
                  <w:vAlign w:val="center"/>
                </w:tcPr>
                <w:p>
                  <w:pPr>
                    <w:widowControl/>
                    <w:spacing w:line="240" w:lineRule="atLeast"/>
                    <w:jc w:val="center"/>
                    <w:rPr>
                      <w:rFonts w:hint="eastAsia"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1</w:t>
                  </w:r>
                </w:p>
              </w:tc>
              <w:tc>
                <w:tcPr>
                  <w:tcW w:w="2384" w:type="dxa"/>
                  <w:vAlign w:val="center"/>
                </w:tcPr>
                <w:p>
                  <w:pPr>
                    <w:widowControl/>
                    <w:spacing w:line="240" w:lineRule="atLeast"/>
                    <w:jc w:val="center"/>
                    <w:rPr>
                      <w:rFonts w:hint="eastAsia" w:ascii="Times New Roman" w:hAnsi="Times New Roman" w:eastAsia="宋体" w:cs="Times New Roman"/>
                      <w:bCs/>
                      <w:color w:val="auto"/>
                      <w:sz w:val="21"/>
                      <w:szCs w:val="21"/>
                      <w:highlight w:val="none"/>
                      <w:lang w:val="en-US" w:eastAsia="zh-CN"/>
                    </w:rPr>
                  </w:pPr>
                  <w:r>
                    <w:rPr>
                      <w:rFonts w:ascii="Times New Roman" w:hAnsi="Times New Roman" w:eastAsia="宋体" w:cs="Times New Roman"/>
                      <w:bCs/>
                      <w:color w:val="auto"/>
                      <w:sz w:val="21"/>
                      <w:szCs w:val="21"/>
                      <w:highlight w:val="none"/>
                    </w:rPr>
                    <w:t>加油机</w:t>
                  </w:r>
                </w:p>
              </w:tc>
              <w:tc>
                <w:tcPr>
                  <w:tcW w:w="2147" w:type="dxa"/>
                  <w:vAlign w:val="center"/>
                </w:tcPr>
                <w:p>
                  <w:pPr>
                    <w:widowControl/>
                    <w:spacing w:line="240" w:lineRule="atLeast"/>
                    <w:jc w:val="center"/>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隔声、减振</w:t>
                  </w:r>
                </w:p>
              </w:tc>
              <w:tc>
                <w:tcPr>
                  <w:tcW w:w="1514" w:type="dxa"/>
                  <w:vAlign w:val="center"/>
                </w:tcPr>
                <w:p>
                  <w:pPr>
                    <w:widowControl/>
                    <w:spacing w:line="240" w:lineRule="atLeast"/>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80</w:t>
                  </w:r>
                </w:p>
              </w:tc>
              <w:tc>
                <w:tcPr>
                  <w:tcW w:w="1647" w:type="dxa"/>
                  <w:vAlign w:val="center"/>
                </w:tcPr>
                <w:p>
                  <w:pPr>
                    <w:widowControl/>
                    <w:spacing w:line="240" w:lineRule="atLeast"/>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60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931" w:type="dxa"/>
                  <w:vAlign w:val="center"/>
                </w:tcPr>
                <w:p>
                  <w:pPr>
                    <w:widowControl/>
                    <w:spacing w:line="240" w:lineRule="atLeast"/>
                    <w:jc w:val="center"/>
                    <w:rPr>
                      <w:rFonts w:hint="eastAsia"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2</w:t>
                  </w:r>
                </w:p>
              </w:tc>
              <w:tc>
                <w:tcPr>
                  <w:tcW w:w="2384" w:type="dxa"/>
                  <w:vAlign w:val="center"/>
                </w:tcPr>
                <w:p>
                  <w:pPr>
                    <w:widowControl/>
                    <w:spacing w:line="240" w:lineRule="atLeast"/>
                    <w:jc w:val="center"/>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交通噪声</w:t>
                  </w:r>
                </w:p>
              </w:tc>
              <w:tc>
                <w:tcPr>
                  <w:tcW w:w="2147" w:type="dxa"/>
                  <w:vAlign w:val="center"/>
                </w:tcPr>
                <w:p>
                  <w:pPr>
                    <w:widowControl/>
                    <w:spacing w:line="240" w:lineRule="atLeast"/>
                    <w:jc w:val="center"/>
                    <w:rPr>
                      <w:rFonts w:hint="eastAsia" w:ascii="Times New Roman" w:hAnsi="Times New Roman" w:eastAsia="宋体" w:cs="Times New Roman"/>
                      <w:bCs/>
                      <w:color w:val="auto"/>
                      <w:kern w:val="2"/>
                      <w:sz w:val="21"/>
                      <w:szCs w:val="21"/>
                      <w:highlight w:val="none"/>
                      <w:lang w:val="en-US" w:eastAsia="zh-CN" w:bidi="ar-SA"/>
                    </w:rPr>
                  </w:pPr>
                  <w:r>
                    <w:rPr>
                      <w:rFonts w:ascii="Times New Roman" w:hAnsi="Times New Roman" w:eastAsia="宋体" w:cs="Times New Roman"/>
                      <w:bCs/>
                      <w:color w:val="auto"/>
                      <w:sz w:val="21"/>
                      <w:szCs w:val="21"/>
                      <w:highlight w:val="none"/>
                    </w:rPr>
                    <w:t>减速慢行，绿化吸声，距离衰减</w:t>
                  </w:r>
                </w:p>
              </w:tc>
              <w:tc>
                <w:tcPr>
                  <w:tcW w:w="1514" w:type="dxa"/>
                  <w:vAlign w:val="center"/>
                </w:tcPr>
                <w:p>
                  <w:pPr>
                    <w:widowControl/>
                    <w:spacing w:line="240" w:lineRule="atLeast"/>
                    <w:jc w:val="center"/>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60~75</w:t>
                  </w:r>
                </w:p>
              </w:tc>
              <w:tc>
                <w:tcPr>
                  <w:tcW w:w="1647" w:type="dxa"/>
                  <w:vAlign w:val="center"/>
                </w:tcPr>
                <w:p>
                  <w:pPr>
                    <w:widowControl/>
                    <w:spacing w:line="240" w:lineRule="atLeast"/>
                    <w:jc w:val="center"/>
                    <w:rPr>
                      <w:rFonts w:hint="eastAsia"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50</w:t>
                  </w:r>
                  <w:r>
                    <w:rPr>
                      <w:rFonts w:hint="eastAsia" w:ascii="Times New Roman" w:hAnsi="Times New Roman" w:eastAsia="宋体" w:cs="Times New Roman"/>
                      <w:bCs/>
                      <w:color w:val="auto"/>
                      <w:sz w:val="21"/>
                      <w:szCs w:val="21"/>
                      <w:highlight w:val="none"/>
                    </w:rPr>
                    <w:t>~6</w:t>
                  </w:r>
                  <w:r>
                    <w:rPr>
                      <w:rFonts w:hint="eastAsia" w:cs="Times New Roman"/>
                      <w:bCs/>
                      <w:color w:val="auto"/>
                      <w:sz w:val="21"/>
                      <w:szCs w:val="21"/>
                      <w:highlight w:val="none"/>
                      <w:lang w:val="en-US" w:eastAsia="zh-CN"/>
                    </w:rPr>
                    <w:t>5</w:t>
                  </w:r>
                </w:p>
              </w:tc>
            </w:tr>
          </w:tbl>
          <w:p>
            <w:pPr>
              <w:keepNext w:val="0"/>
              <w:keepLines w:val="0"/>
              <w:pageBreakBefore w:val="0"/>
              <w:widowControl w:val="0"/>
              <w:kinsoku/>
              <w:wordWrap/>
              <w:overflowPunct/>
              <w:topLinePunct w:val="0"/>
              <w:autoSpaceDE/>
              <w:autoSpaceDN/>
              <w:bidi w:val="0"/>
              <w:spacing w:line="520" w:lineRule="exact"/>
              <w:ind w:firstLine="480" w:firstLineChars="200"/>
              <w:contextualSpacing/>
              <w:textAlignment w:val="auto"/>
              <w:rPr>
                <w:color w:val="auto"/>
                <w:sz w:val="24"/>
                <w:szCs w:val="24"/>
                <w:highlight w:val="none"/>
              </w:rPr>
            </w:pPr>
            <w:r>
              <w:rPr>
                <w:rFonts w:hAnsi="宋体"/>
                <w:color w:val="auto"/>
                <w:sz w:val="24"/>
                <w:szCs w:val="24"/>
                <w:highlight w:val="none"/>
              </w:rPr>
              <w:t>本项目夜间生产，因此，环评针对</w:t>
            </w:r>
            <w:r>
              <w:rPr>
                <w:rFonts w:hint="eastAsia" w:hAnsi="宋体"/>
                <w:color w:val="auto"/>
                <w:sz w:val="24"/>
                <w:szCs w:val="24"/>
                <w:highlight w:val="none"/>
                <w:lang w:val="en-US" w:eastAsia="zh-CN"/>
              </w:rPr>
              <w:t>全天</w:t>
            </w:r>
            <w:r>
              <w:rPr>
                <w:rFonts w:hAnsi="宋体"/>
                <w:color w:val="auto"/>
                <w:sz w:val="24"/>
                <w:szCs w:val="24"/>
                <w:highlight w:val="none"/>
              </w:rPr>
              <w:t>噪声对周围声环境的影响进行分析。</w:t>
            </w:r>
          </w:p>
          <w:p>
            <w:pPr>
              <w:keepNext w:val="0"/>
              <w:keepLines w:val="0"/>
              <w:pageBreakBefore w:val="0"/>
              <w:widowControl w:val="0"/>
              <w:kinsoku/>
              <w:wordWrap/>
              <w:overflowPunct/>
              <w:topLinePunct w:val="0"/>
              <w:autoSpaceDE/>
              <w:autoSpaceDN/>
              <w:bidi w:val="0"/>
              <w:spacing w:line="520" w:lineRule="exact"/>
              <w:ind w:firstLine="480"/>
              <w:contextualSpacing/>
              <w:textAlignment w:val="auto"/>
              <w:rPr>
                <w:bCs/>
                <w:color w:val="auto"/>
                <w:sz w:val="24"/>
                <w:szCs w:val="24"/>
                <w:highlight w:val="none"/>
              </w:rPr>
            </w:pPr>
            <w:r>
              <w:rPr>
                <w:rFonts w:hint="eastAsia" w:hAnsi="宋体"/>
                <w:bCs/>
                <w:color w:val="auto"/>
                <w:sz w:val="24"/>
                <w:szCs w:val="24"/>
                <w:highlight w:val="none"/>
                <w:lang w:val="en-US" w:eastAsia="zh-CN"/>
              </w:rPr>
              <w:t>（1）</w:t>
            </w:r>
            <w:r>
              <w:rPr>
                <w:rFonts w:hAnsi="宋体"/>
                <w:bCs/>
                <w:color w:val="auto"/>
                <w:sz w:val="24"/>
                <w:szCs w:val="24"/>
                <w:highlight w:val="none"/>
              </w:rPr>
              <w:t>预测模式</w:t>
            </w:r>
          </w:p>
          <w:p>
            <w:pPr>
              <w:keepNext w:val="0"/>
              <w:keepLines w:val="0"/>
              <w:pageBreakBefore w:val="0"/>
              <w:widowControl w:val="0"/>
              <w:kinsoku/>
              <w:wordWrap/>
              <w:overflowPunct/>
              <w:topLinePunct w:val="0"/>
              <w:autoSpaceDE/>
              <w:autoSpaceDN/>
              <w:bidi w:val="0"/>
              <w:spacing w:line="520" w:lineRule="exact"/>
              <w:ind w:firstLine="480"/>
              <w:contextualSpacing/>
              <w:textAlignment w:val="auto"/>
              <w:rPr>
                <w:color w:val="auto"/>
                <w:sz w:val="24"/>
                <w:szCs w:val="24"/>
                <w:highlight w:val="none"/>
              </w:rPr>
            </w:pPr>
            <w:r>
              <w:rPr>
                <w:rFonts w:ascii="宋体" w:hAnsi="宋体"/>
                <w:bCs/>
                <w:color w:val="auto"/>
                <w:sz w:val="24"/>
                <w:szCs w:val="24"/>
                <w:highlight w:val="none"/>
              </w:rPr>
              <w:t>①</w:t>
            </w:r>
            <w:r>
              <w:rPr>
                <w:rFonts w:hAnsi="宋体"/>
                <w:bCs/>
                <w:color w:val="auto"/>
                <w:sz w:val="24"/>
                <w:szCs w:val="24"/>
                <w:highlight w:val="none"/>
              </w:rPr>
              <w:t>噪</w:t>
            </w:r>
            <w:r>
              <w:rPr>
                <w:rFonts w:hAnsi="宋体"/>
                <w:color w:val="auto"/>
                <w:sz w:val="24"/>
                <w:szCs w:val="24"/>
                <w:highlight w:val="none"/>
              </w:rPr>
              <w:t>声在空气中的理论衰减公式为：</w:t>
            </w:r>
          </w:p>
          <w:p>
            <w:pPr>
              <w:keepNext w:val="0"/>
              <w:keepLines w:val="0"/>
              <w:pageBreakBefore w:val="0"/>
              <w:widowControl w:val="0"/>
              <w:kinsoku/>
              <w:wordWrap/>
              <w:overflowPunct/>
              <w:topLinePunct w:val="0"/>
              <w:autoSpaceDE/>
              <w:autoSpaceDN/>
              <w:bidi w:val="0"/>
              <w:adjustRightInd w:val="0"/>
              <w:snapToGrid w:val="0"/>
              <w:spacing w:line="520" w:lineRule="exact"/>
              <w:ind w:left="359" w:leftChars="171" w:firstLine="1440" w:firstLineChars="600"/>
              <w:textAlignment w:val="auto"/>
              <w:rPr>
                <w:color w:val="auto"/>
                <w:sz w:val="24"/>
                <w:szCs w:val="24"/>
                <w:highlight w:val="none"/>
              </w:rPr>
            </w:pPr>
            <w:r>
              <w:rPr>
                <w:color w:val="auto"/>
                <w:position w:val="-30"/>
                <w:sz w:val="24"/>
                <w:szCs w:val="24"/>
                <w:highlight w:val="none"/>
              </w:rPr>
              <w:object>
                <v:shape id="_x0000_i1025" o:spt="75" type="#_x0000_t75" style="height:40.9pt;width:111.7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6" r:id="rId16">
                  <o:LockedField>false</o:LockedField>
                </o:OLEObject>
              </w:object>
            </w:r>
          </w:p>
          <w:p>
            <w:pPr>
              <w:pStyle w:val="10"/>
              <w:keepNext w:val="0"/>
              <w:keepLines w:val="0"/>
              <w:pageBreakBefore w:val="0"/>
              <w:widowControl w:val="0"/>
              <w:kinsoku/>
              <w:wordWrap/>
              <w:overflowPunct/>
              <w:topLinePunct w:val="0"/>
              <w:autoSpaceDE/>
              <w:autoSpaceDN/>
              <w:bidi w:val="0"/>
              <w:spacing w:line="520" w:lineRule="exact"/>
              <w:ind w:firstLine="454"/>
              <w:contextualSpacing/>
              <w:textAlignment w:val="auto"/>
              <w:rPr>
                <w:rFonts w:ascii="Times New Roman" w:hAnsi="Times New Roman"/>
                <w:color w:val="auto"/>
                <w:sz w:val="24"/>
                <w:szCs w:val="24"/>
                <w:highlight w:val="none"/>
              </w:rPr>
            </w:pPr>
            <w:r>
              <w:rPr>
                <w:rFonts w:ascii="Times New Roman" w:hAnsi="宋体"/>
                <w:color w:val="auto"/>
                <w:sz w:val="24"/>
                <w:szCs w:val="24"/>
                <w:highlight w:val="none"/>
              </w:rPr>
              <w:t>式中：</w:t>
            </w:r>
            <w:r>
              <w:rPr>
                <w:rFonts w:ascii="Times New Roman" w:hAnsi="Times New Roman"/>
                <w:color w:val="auto"/>
                <w:sz w:val="24"/>
                <w:szCs w:val="24"/>
                <w:highlight w:val="none"/>
              </w:rPr>
              <w:t>L</w:t>
            </w:r>
            <w:r>
              <w:rPr>
                <w:rFonts w:ascii="Times New Roman" w:hAnsi="Times New Roman"/>
                <w:color w:val="auto"/>
                <w:sz w:val="24"/>
                <w:szCs w:val="24"/>
                <w:highlight w:val="none"/>
                <w:vertAlign w:val="subscript"/>
              </w:rPr>
              <w:t>p</w:t>
            </w:r>
            <w:r>
              <w:rPr>
                <w:rFonts w:ascii="Times New Roman" w:hAnsi="宋体"/>
                <w:color w:val="auto"/>
                <w:sz w:val="24"/>
                <w:szCs w:val="24"/>
                <w:highlight w:val="none"/>
              </w:rPr>
              <w:t>：距声源</w:t>
            </w:r>
            <w:r>
              <w:rPr>
                <w:rFonts w:ascii="Times New Roman" w:hAnsi="Times New Roman"/>
                <w:color w:val="auto"/>
                <w:sz w:val="24"/>
                <w:szCs w:val="24"/>
                <w:highlight w:val="none"/>
              </w:rPr>
              <w:t>r(m)</w:t>
            </w:r>
            <w:r>
              <w:rPr>
                <w:rFonts w:ascii="Times New Roman" w:hAnsi="宋体"/>
                <w:color w:val="auto"/>
                <w:sz w:val="24"/>
                <w:szCs w:val="24"/>
                <w:highlight w:val="none"/>
              </w:rPr>
              <w:t>处的噪声值，</w:t>
            </w:r>
            <w:r>
              <w:rPr>
                <w:rFonts w:ascii="Times New Roman" w:hAnsi="Times New Roman"/>
                <w:color w:val="auto"/>
                <w:sz w:val="24"/>
                <w:szCs w:val="24"/>
                <w:highlight w:val="none"/>
              </w:rPr>
              <w:t>dB(A)</w:t>
            </w:r>
            <w:r>
              <w:rPr>
                <w:rFonts w:ascii="Times New Roman" w:hAnsi="宋体"/>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520" w:lineRule="exact"/>
              <w:ind w:firstLine="480" w:firstLineChars="200"/>
              <w:contextualSpacing/>
              <w:textAlignment w:val="auto"/>
              <w:rPr>
                <w:rFonts w:ascii="Times New Roman" w:hAnsi="Times New Roman"/>
                <w:color w:val="auto"/>
                <w:sz w:val="24"/>
                <w:szCs w:val="24"/>
                <w:highlight w:val="none"/>
              </w:rPr>
            </w:pPr>
            <w:r>
              <w:rPr>
                <w:rFonts w:ascii="Times New Roman" w:hAnsi="Times New Roman"/>
                <w:color w:val="auto"/>
                <w:sz w:val="24"/>
                <w:szCs w:val="24"/>
                <w:highlight w:val="none"/>
              </w:rPr>
              <w:t>L</w:t>
            </w:r>
            <w:r>
              <w:rPr>
                <w:rFonts w:ascii="Times New Roman" w:hAnsi="Times New Roman"/>
                <w:color w:val="auto"/>
                <w:sz w:val="24"/>
                <w:szCs w:val="24"/>
                <w:highlight w:val="none"/>
                <w:vertAlign w:val="subscript"/>
              </w:rPr>
              <w:t>0</w:t>
            </w:r>
            <w:r>
              <w:rPr>
                <w:rFonts w:ascii="Times New Roman" w:hAnsi="宋体"/>
                <w:color w:val="auto"/>
                <w:sz w:val="24"/>
                <w:szCs w:val="24"/>
                <w:highlight w:val="none"/>
              </w:rPr>
              <w:t>：距声源</w:t>
            </w: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0</w:t>
            </w:r>
            <w:r>
              <w:rPr>
                <w:rFonts w:ascii="Times New Roman" w:hAnsi="Times New Roman"/>
                <w:color w:val="auto"/>
                <w:sz w:val="24"/>
                <w:szCs w:val="24"/>
                <w:highlight w:val="none"/>
              </w:rPr>
              <w:t>(m)</w:t>
            </w:r>
            <w:r>
              <w:rPr>
                <w:rFonts w:ascii="Times New Roman" w:hAnsi="宋体"/>
                <w:color w:val="auto"/>
                <w:sz w:val="24"/>
                <w:szCs w:val="24"/>
                <w:highlight w:val="none"/>
              </w:rPr>
              <w:t>处声源值，</w:t>
            </w:r>
            <w:r>
              <w:rPr>
                <w:rFonts w:ascii="Times New Roman" w:hAnsi="Times New Roman"/>
                <w:color w:val="auto"/>
                <w:sz w:val="24"/>
                <w:szCs w:val="24"/>
                <w:highlight w:val="none"/>
              </w:rPr>
              <w:t>dB(A)</w:t>
            </w:r>
            <w:r>
              <w:rPr>
                <w:rFonts w:ascii="Times New Roman" w:hAnsi="宋体"/>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520" w:lineRule="exact"/>
              <w:ind w:firstLine="480" w:firstLineChars="200"/>
              <w:contextualSpacing/>
              <w:textAlignment w:val="auto"/>
              <w:rPr>
                <w:rFonts w:ascii="Times New Roman" w:hAnsi="Times New Roman"/>
                <w:color w:val="auto"/>
                <w:sz w:val="24"/>
                <w:szCs w:val="24"/>
                <w:highlight w:val="none"/>
              </w:rPr>
            </w:pPr>
            <w:r>
              <w:rPr>
                <w:rFonts w:ascii="Times New Roman" w:hAnsi="Times New Roman"/>
                <w:color w:val="auto"/>
                <w:sz w:val="24"/>
                <w:szCs w:val="24"/>
                <w:highlight w:val="none"/>
              </w:rPr>
              <w:t>r</w:t>
            </w:r>
            <w:r>
              <w:rPr>
                <w:rFonts w:ascii="Times New Roman" w:hAnsi="Times New Roman"/>
                <w:color w:val="auto"/>
                <w:sz w:val="24"/>
                <w:szCs w:val="24"/>
                <w:highlight w:val="none"/>
                <w:vertAlign w:val="subscript"/>
              </w:rPr>
              <w:t>0</w:t>
            </w:r>
            <w:r>
              <w:rPr>
                <w:rFonts w:ascii="Times New Roman" w:hAnsi="宋体"/>
                <w:color w:val="auto"/>
                <w:sz w:val="24"/>
                <w:szCs w:val="24"/>
                <w:highlight w:val="none"/>
              </w:rPr>
              <w:t>：测定声源时距离，</w:t>
            </w:r>
            <w:r>
              <w:rPr>
                <w:rFonts w:ascii="Times New Roman" w:hAnsi="Times New Roman"/>
                <w:color w:val="auto"/>
                <w:sz w:val="24"/>
                <w:szCs w:val="24"/>
                <w:highlight w:val="none"/>
              </w:rPr>
              <w:t>m</w:t>
            </w:r>
            <w:r>
              <w:rPr>
                <w:rFonts w:ascii="Times New Roman" w:hAnsi="宋体"/>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520" w:lineRule="exact"/>
              <w:ind w:firstLine="480" w:firstLineChars="200"/>
              <w:contextualSpacing/>
              <w:textAlignment w:val="auto"/>
              <w:rPr>
                <w:rFonts w:ascii="Times New Roman" w:hAnsi="Times New Roman"/>
                <w:color w:val="auto"/>
                <w:sz w:val="24"/>
                <w:szCs w:val="24"/>
                <w:highlight w:val="none"/>
              </w:rPr>
            </w:pPr>
            <w:r>
              <w:rPr>
                <w:rFonts w:ascii="Times New Roman" w:hAnsi="Times New Roman"/>
                <w:color w:val="auto"/>
                <w:sz w:val="24"/>
                <w:szCs w:val="24"/>
                <w:highlight w:val="none"/>
              </w:rPr>
              <w:t>r</w:t>
            </w:r>
            <w:r>
              <w:rPr>
                <w:rFonts w:ascii="Times New Roman" w:hAnsi="宋体"/>
                <w:color w:val="auto"/>
                <w:sz w:val="24"/>
                <w:szCs w:val="24"/>
                <w:highlight w:val="none"/>
              </w:rPr>
              <w:t>：衰减距离，</w:t>
            </w:r>
            <w:r>
              <w:rPr>
                <w:rFonts w:ascii="Times New Roman" w:hAnsi="Times New Roman"/>
                <w:color w:val="auto"/>
                <w:sz w:val="24"/>
                <w:szCs w:val="24"/>
                <w:highlight w:val="none"/>
              </w:rPr>
              <w:t>m</w:t>
            </w:r>
            <w:r>
              <w:rPr>
                <w:rFonts w:ascii="Times New Roman" w:hAnsi="宋体"/>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520" w:lineRule="exact"/>
              <w:ind w:firstLine="454"/>
              <w:contextualSpacing/>
              <w:textAlignment w:val="auto"/>
              <w:rPr>
                <w:rFonts w:ascii="Times New Roman" w:hAnsi="Times New Roman"/>
                <w:color w:val="auto"/>
                <w:sz w:val="24"/>
                <w:szCs w:val="24"/>
                <w:highlight w:val="none"/>
              </w:rPr>
            </w:pPr>
            <w:r>
              <w:rPr>
                <w:rFonts w:hAnsi="宋体"/>
                <w:color w:val="auto"/>
                <w:sz w:val="24"/>
                <w:szCs w:val="24"/>
                <w:highlight w:val="none"/>
              </w:rPr>
              <w:t>②</w:t>
            </w:r>
            <w:r>
              <w:rPr>
                <w:rFonts w:ascii="Times New Roman" w:hAnsi="宋体"/>
                <w:color w:val="auto"/>
                <w:sz w:val="24"/>
                <w:szCs w:val="24"/>
                <w:highlight w:val="none"/>
              </w:rPr>
              <w:t>噪声叠加计算模式</w:t>
            </w:r>
          </w:p>
          <w:p>
            <w:pPr>
              <w:pStyle w:val="10"/>
              <w:keepNext w:val="0"/>
              <w:keepLines w:val="0"/>
              <w:pageBreakBefore w:val="0"/>
              <w:widowControl w:val="0"/>
              <w:kinsoku/>
              <w:wordWrap/>
              <w:overflowPunct/>
              <w:topLinePunct w:val="0"/>
              <w:autoSpaceDE/>
              <w:autoSpaceDN/>
              <w:bidi w:val="0"/>
              <w:spacing w:line="520" w:lineRule="exact"/>
              <w:ind w:firstLine="1785"/>
              <w:contextualSpacing/>
              <w:textAlignment w:val="auto"/>
              <w:rPr>
                <w:rFonts w:ascii="Times New Roman" w:hAnsi="Times New Roman"/>
                <w:color w:val="auto"/>
                <w:sz w:val="24"/>
                <w:szCs w:val="24"/>
                <w:highlight w:val="none"/>
              </w:rPr>
            </w:pPr>
            <w:r>
              <w:rPr>
                <w:rFonts w:ascii="Times New Roman" w:hAnsi="Times New Roman"/>
                <w:color w:val="auto"/>
                <w:position w:val="-30"/>
                <w:sz w:val="24"/>
                <w:szCs w:val="24"/>
                <w:highlight w:val="none"/>
              </w:rPr>
              <w:object>
                <v:shape id="_x0000_i1026" o:spt="75" type="#_x0000_t75" style="height:38pt;width:88.7pt;" o:ole="t" fillcolor="#000005"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7" r:id="rId18">
                  <o:LockedField>false</o:LockedField>
                </o:OLEObject>
              </w:object>
            </w:r>
          </w:p>
          <w:p>
            <w:pPr>
              <w:pStyle w:val="10"/>
              <w:keepNext w:val="0"/>
              <w:keepLines w:val="0"/>
              <w:pageBreakBefore w:val="0"/>
              <w:widowControl w:val="0"/>
              <w:kinsoku/>
              <w:wordWrap/>
              <w:overflowPunct/>
              <w:topLinePunct w:val="0"/>
              <w:autoSpaceDE/>
              <w:autoSpaceDN/>
              <w:bidi w:val="0"/>
              <w:spacing w:line="520" w:lineRule="exact"/>
              <w:ind w:firstLine="454"/>
              <w:contextualSpacing/>
              <w:textAlignment w:val="auto"/>
              <w:rPr>
                <w:rFonts w:ascii="Times New Roman" w:hAnsi="Times New Roman"/>
                <w:color w:val="auto"/>
                <w:sz w:val="24"/>
                <w:szCs w:val="24"/>
                <w:highlight w:val="none"/>
              </w:rPr>
            </w:pPr>
            <w:r>
              <w:rPr>
                <w:rFonts w:ascii="Times New Roman" w:hAnsi="宋体"/>
                <w:color w:val="auto"/>
                <w:sz w:val="24"/>
                <w:szCs w:val="24"/>
                <w:highlight w:val="none"/>
              </w:rPr>
              <w:t>式中：</w:t>
            </w:r>
            <w:r>
              <w:rPr>
                <w:rFonts w:ascii="Times New Roman" w:hAnsi="Times New Roman"/>
                <w:color w:val="auto"/>
                <w:sz w:val="24"/>
                <w:szCs w:val="24"/>
                <w:highlight w:val="none"/>
              </w:rPr>
              <w:t>L</w:t>
            </w:r>
            <w:r>
              <w:rPr>
                <w:rFonts w:ascii="Times New Roman" w:hAnsi="宋体"/>
                <w:color w:val="auto"/>
                <w:sz w:val="24"/>
                <w:szCs w:val="24"/>
                <w:highlight w:val="none"/>
              </w:rPr>
              <w:t>：噪声叠加后噪声值</w:t>
            </w:r>
            <w:r>
              <w:rPr>
                <w:rFonts w:ascii="Times New Roman" w:hAnsi="Times New Roman"/>
                <w:color w:val="auto"/>
                <w:sz w:val="24"/>
                <w:szCs w:val="24"/>
                <w:highlight w:val="none"/>
              </w:rPr>
              <w:t>dB(A)</w:t>
            </w:r>
            <w:r>
              <w:rPr>
                <w:rFonts w:ascii="Times New Roman" w:hAnsi="宋体"/>
                <w:color w:val="auto"/>
                <w:sz w:val="24"/>
                <w:szCs w:val="24"/>
                <w:highlight w:val="none"/>
              </w:rPr>
              <w:t>；</w:t>
            </w:r>
          </w:p>
          <w:p>
            <w:pPr>
              <w:pStyle w:val="10"/>
              <w:keepNext w:val="0"/>
              <w:keepLines w:val="0"/>
              <w:pageBreakBefore w:val="0"/>
              <w:widowControl w:val="0"/>
              <w:kinsoku/>
              <w:wordWrap/>
              <w:overflowPunct/>
              <w:topLinePunct w:val="0"/>
              <w:autoSpaceDE/>
              <w:autoSpaceDN/>
              <w:bidi w:val="0"/>
              <w:spacing w:line="520" w:lineRule="exact"/>
              <w:ind w:firstLine="1316"/>
              <w:contextualSpacing/>
              <w:textAlignment w:val="auto"/>
              <w:rPr>
                <w:rFonts w:ascii="Times New Roman" w:hAnsi="Times New Roman"/>
                <w:color w:val="auto"/>
                <w:sz w:val="24"/>
                <w:szCs w:val="24"/>
                <w:highlight w:val="none"/>
              </w:rPr>
            </w:pPr>
            <w:r>
              <w:rPr>
                <w:rFonts w:ascii="Times New Roman" w:hAnsi="Times New Roman"/>
                <w:color w:val="auto"/>
                <w:sz w:val="24"/>
                <w:szCs w:val="24"/>
                <w:highlight w:val="none"/>
              </w:rPr>
              <w:t>L</w:t>
            </w:r>
            <w:r>
              <w:rPr>
                <w:rFonts w:ascii="Times New Roman" w:hAnsi="Times New Roman"/>
                <w:color w:val="auto"/>
                <w:sz w:val="24"/>
                <w:szCs w:val="24"/>
                <w:highlight w:val="none"/>
                <w:vertAlign w:val="subscript"/>
              </w:rPr>
              <w:t>i</w:t>
            </w:r>
            <w:r>
              <w:rPr>
                <w:rFonts w:ascii="Times New Roman" w:hAnsi="宋体"/>
                <w:color w:val="auto"/>
                <w:sz w:val="24"/>
                <w:szCs w:val="24"/>
                <w:highlight w:val="none"/>
              </w:rPr>
              <w:t>：第</w:t>
            </w:r>
            <w:r>
              <w:rPr>
                <w:rFonts w:ascii="Times New Roman" w:hAnsi="Times New Roman"/>
                <w:color w:val="auto"/>
                <w:sz w:val="24"/>
                <w:szCs w:val="24"/>
                <w:highlight w:val="none"/>
              </w:rPr>
              <w:t>i</w:t>
            </w:r>
            <w:r>
              <w:rPr>
                <w:rFonts w:ascii="Times New Roman" w:hAnsi="宋体"/>
                <w:color w:val="auto"/>
                <w:sz w:val="24"/>
                <w:szCs w:val="24"/>
                <w:highlight w:val="none"/>
              </w:rPr>
              <w:t>个噪声值，</w:t>
            </w:r>
            <w:r>
              <w:rPr>
                <w:rFonts w:ascii="Times New Roman" w:hAnsi="Times New Roman"/>
                <w:color w:val="auto"/>
                <w:sz w:val="24"/>
                <w:szCs w:val="24"/>
                <w:highlight w:val="none"/>
              </w:rPr>
              <w:t>dB(A)</w:t>
            </w:r>
            <w:r>
              <w:rPr>
                <w:rFonts w:ascii="Times New Roman" w:hAnsi="宋体"/>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ind w:firstLine="480"/>
              <w:contextualSpacing/>
              <w:textAlignment w:val="auto"/>
              <w:rPr>
                <w:bCs/>
                <w:color w:val="auto"/>
                <w:sz w:val="24"/>
                <w:szCs w:val="24"/>
                <w:highlight w:val="none"/>
              </w:rPr>
            </w:pPr>
            <w:r>
              <w:rPr>
                <w:rFonts w:ascii="宋体" w:hAnsi="宋体"/>
                <w:bCs/>
                <w:color w:val="auto"/>
                <w:sz w:val="24"/>
                <w:szCs w:val="24"/>
                <w:highlight w:val="none"/>
              </w:rPr>
              <w:t>③</w:t>
            </w:r>
            <w:r>
              <w:rPr>
                <w:rFonts w:hAnsi="宋体"/>
                <w:bCs/>
                <w:color w:val="auto"/>
                <w:sz w:val="24"/>
                <w:szCs w:val="24"/>
                <w:highlight w:val="none"/>
              </w:rPr>
              <w:t>计算结果</w:t>
            </w:r>
          </w:p>
          <w:p>
            <w:pPr>
              <w:pStyle w:val="15"/>
              <w:keepNext w:val="0"/>
              <w:keepLines w:val="0"/>
              <w:pageBreakBefore w:val="0"/>
              <w:widowControl w:val="0"/>
              <w:kinsoku/>
              <w:wordWrap/>
              <w:overflowPunct/>
              <w:topLinePunct w:val="0"/>
              <w:autoSpaceDE/>
              <w:autoSpaceDN/>
              <w:bidi w:val="0"/>
              <w:spacing w:after="0" w:line="520" w:lineRule="exact"/>
              <w:ind w:left="0" w:leftChars="0" w:firstLine="480" w:firstLineChars="200"/>
              <w:contextualSpacing/>
              <w:jc w:val="left"/>
              <w:textAlignment w:val="auto"/>
              <w:rPr>
                <w:rFonts w:hint="eastAsia" w:eastAsia="宋体"/>
                <w:color w:val="auto"/>
                <w:sz w:val="24"/>
                <w:szCs w:val="24"/>
                <w:highlight w:val="none"/>
                <w:lang w:eastAsia="zh-CN"/>
              </w:rPr>
            </w:pPr>
            <w:r>
              <w:rPr>
                <w:color w:val="auto"/>
                <w:sz w:val="24"/>
                <w:szCs w:val="24"/>
                <w:highlight w:val="none"/>
              </w:rPr>
              <w:t>按上述预测模式，项目设备噪声值及其通过距离衰减到厂界处贡献值见</w:t>
            </w:r>
            <w:r>
              <w:rPr>
                <w:rFonts w:hint="eastAsia"/>
                <w:color w:val="auto"/>
                <w:sz w:val="24"/>
                <w:szCs w:val="24"/>
                <w:highlight w:val="none"/>
              </w:rPr>
              <w:t>下表</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spacing w:line="520" w:lineRule="exact"/>
              <w:jc w:val="center"/>
              <w:textAlignment w:val="auto"/>
              <w:rPr>
                <w:b/>
                <w:color w:val="auto"/>
                <w:sz w:val="24"/>
                <w:highlight w:val="none"/>
              </w:rPr>
            </w:pPr>
            <w:r>
              <w:rPr>
                <w:b/>
                <w:color w:val="auto"/>
                <w:sz w:val="24"/>
                <w:szCs w:val="24"/>
                <w:highlight w:val="none"/>
              </w:rPr>
              <w:t>表</w:t>
            </w:r>
            <w:r>
              <w:rPr>
                <w:rFonts w:hint="eastAsia"/>
                <w:b/>
                <w:color w:val="auto"/>
                <w:sz w:val="24"/>
                <w:szCs w:val="24"/>
                <w:highlight w:val="none"/>
                <w:lang w:val="en-US" w:eastAsia="zh-CN"/>
              </w:rPr>
              <w:t xml:space="preserve">42  </w:t>
            </w:r>
            <w:r>
              <w:rPr>
                <w:b/>
                <w:color w:val="auto"/>
                <w:sz w:val="24"/>
                <w:szCs w:val="24"/>
                <w:highlight w:val="none"/>
              </w:rPr>
              <w:t>设备噪声声级值及其贡献值一览表</w:t>
            </w:r>
            <w:r>
              <w:rPr>
                <w:rFonts w:hint="eastAsia"/>
                <w:b/>
                <w:color w:val="auto"/>
                <w:sz w:val="24"/>
                <w:szCs w:val="24"/>
                <w:highlight w:val="none"/>
              </w:rPr>
              <w:t xml:space="preserve">  </w:t>
            </w:r>
            <w:r>
              <w:rPr>
                <w:b/>
                <w:color w:val="auto"/>
                <w:sz w:val="24"/>
                <w:szCs w:val="24"/>
                <w:highlight w:val="none"/>
              </w:rPr>
              <w:t>单位：dB（A）</w:t>
            </w:r>
          </w:p>
          <w:tbl>
            <w:tblPr>
              <w:tblStyle w:val="21"/>
              <w:tblW w:w="862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760"/>
              <w:gridCol w:w="1256"/>
              <w:gridCol w:w="1256"/>
              <w:gridCol w:w="19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1" w:type="dxa"/>
                  <w:gridSpan w:val="2"/>
                  <w:vMerge w:val="restart"/>
                  <w:vAlign w:val="center"/>
                </w:tcPr>
                <w:p>
                  <w:pPr>
                    <w:keepNext/>
                    <w:adjustRightInd w:val="0"/>
                    <w:snapToGrid w:val="0"/>
                    <w:jc w:val="center"/>
                    <w:rPr>
                      <w:rFonts w:ascii="Times New Roman" w:hAnsi="Times New Roman" w:cs="Times New Roman"/>
                      <w:b/>
                      <w:bCs w:val="0"/>
                      <w:color w:val="auto"/>
                      <w:szCs w:val="21"/>
                      <w:highlight w:val="none"/>
                    </w:rPr>
                  </w:pPr>
                  <w:r>
                    <w:rPr>
                      <w:rFonts w:ascii="Times New Roman" w:hAnsi="Times New Roman" w:cs="Times New Roman"/>
                      <w:b/>
                      <w:bCs w:val="0"/>
                      <w:color w:val="auto"/>
                      <w:szCs w:val="21"/>
                      <w:highlight w:val="none"/>
                    </w:rPr>
                    <w:t>预测点位</w:t>
                  </w:r>
                </w:p>
              </w:tc>
              <w:tc>
                <w:tcPr>
                  <w:tcW w:w="1256" w:type="dxa"/>
                  <w:vAlign w:val="center"/>
                </w:tcPr>
                <w:p>
                  <w:pPr>
                    <w:keepNext/>
                    <w:adjustRightInd w:val="0"/>
                    <w:snapToGrid w:val="0"/>
                    <w:jc w:val="center"/>
                    <w:rPr>
                      <w:rFonts w:ascii="Times New Roman" w:hAnsi="Times New Roman" w:cs="Times New Roman"/>
                      <w:b/>
                      <w:bCs w:val="0"/>
                      <w:color w:val="auto"/>
                      <w:szCs w:val="21"/>
                      <w:highlight w:val="none"/>
                    </w:rPr>
                  </w:pPr>
                  <w:r>
                    <w:rPr>
                      <w:rFonts w:ascii="Times New Roman" w:hAnsi="Times New Roman" w:cs="Times New Roman"/>
                      <w:b/>
                      <w:bCs w:val="0"/>
                      <w:color w:val="auto"/>
                      <w:szCs w:val="21"/>
                      <w:highlight w:val="none"/>
                    </w:rPr>
                    <w:t>贡献值</w:t>
                  </w:r>
                </w:p>
              </w:tc>
              <w:tc>
                <w:tcPr>
                  <w:tcW w:w="1256" w:type="dxa"/>
                  <w:vAlign w:val="center"/>
                </w:tcPr>
                <w:p>
                  <w:pPr>
                    <w:keepNext/>
                    <w:adjustRightInd w:val="0"/>
                    <w:snapToGrid w:val="0"/>
                    <w:jc w:val="center"/>
                    <w:rPr>
                      <w:rFonts w:ascii="Times New Roman" w:hAnsi="Times New Roman" w:cs="Times New Roman"/>
                      <w:b/>
                      <w:bCs w:val="0"/>
                      <w:color w:val="auto"/>
                      <w:szCs w:val="21"/>
                      <w:highlight w:val="none"/>
                    </w:rPr>
                  </w:pPr>
                  <w:r>
                    <w:rPr>
                      <w:rFonts w:ascii="Times New Roman" w:hAnsi="Times New Roman" w:cs="Times New Roman"/>
                      <w:b/>
                      <w:bCs w:val="0"/>
                      <w:color w:val="auto"/>
                      <w:szCs w:val="21"/>
                      <w:highlight w:val="none"/>
                    </w:rPr>
                    <w:t>贡献值</w:t>
                  </w:r>
                </w:p>
              </w:tc>
              <w:tc>
                <w:tcPr>
                  <w:tcW w:w="1960" w:type="dxa"/>
                  <w:vAlign w:val="center"/>
                </w:tcPr>
                <w:p>
                  <w:pPr>
                    <w:keepNext/>
                    <w:adjustRightInd w:val="0"/>
                    <w:snapToGrid w:val="0"/>
                    <w:jc w:val="center"/>
                    <w:rPr>
                      <w:rFonts w:ascii="Times New Roman" w:hAnsi="Times New Roman" w:cs="Times New Roman"/>
                      <w:b/>
                      <w:bCs w:val="0"/>
                      <w:color w:val="auto"/>
                      <w:szCs w:val="21"/>
                      <w:highlight w:val="none"/>
                    </w:rPr>
                  </w:pPr>
                  <w:r>
                    <w:rPr>
                      <w:rFonts w:ascii="Times New Roman" w:hAnsi="Times New Roman" w:cs="Times New Roman"/>
                      <w:b/>
                      <w:bCs w:val="0"/>
                      <w:color w:val="auto"/>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51" w:type="dxa"/>
                  <w:gridSpan w:val="2"/>
                  <w:vMerge w:val="continue"/>
                  <w:vAlign w:val="center"/>
                </w:tcPr>
                <w:p>
                  <w:pPr>
                    <w:keepNext/>
                    <w:adjustRightInd w:val="0"/>
                    <w:snapToGrid w:val="0"/>
                    <w:jc w:val="center"/>
                    <w:rPr>
                      <w:rFonts w:ascii="Times New Roman" w:hAnsi="Times New Roman" w:cs="Times New Roman"/>
                      <w:b/>
                      <w:bCs w:val="0"/>
                      <w:color w:val="auto"/>
                      <w:szCs w:val="21"/>
                      <w:highlight w:val="none"/>
                    </w:rPr>
                  </w:pPr>
                </w:p>
              </w:tc>
              <w:tc>
                <w:tcPr>
                  <w:tcW w:w="1256" w:type="dxa"/>
                  <w:vAlign w:val="center"/>
                </w:tcPr>
                <w:p>
                  <w:pPr>
                    <w:keepNext/>
                    <w:adjustRightInd w:val="0"/>
                    <w:snapToGrid w:val="0"/>
                    <w:jc w:val="center"/>
                    <w:rPr>
                      <w:rFonts w:ascii="Times New Roman" w:hAnsi="Times New Roman" w:cs="Times New Roman"/>
                      <w:b/>
                      <w:bCs w:val="0"/>
                      <w:color w:val="auto"/>
                      <w:szCs w:val="21"/>
                      <w:highlight w:val="none"/>
                    </w:rPr>
                  </w:pPr>
                  <w:r>
                    <w:rPr>
                      <w:rFonts w:ascii="Times New Roman" w:hAnsi="Times New Roman" w:cs="Times New Roman"/>
                      <w:b/>
                      <w:bCs w:val="0"/>
                      <w:color w:val="auto"/>
                      <w:szCs w:val="21"/>
                      <w:highlight w:val="none"/>
                    </w:rPr>
                    <w:t>昼间</w:t>
                  </w:r>
                </w:p>
              </w:tc>
              <w:tc>
                <w:tcPr>
                  <w:tcW w:w="1256" w:type="dxa"/>
                  <w:vAlign w:val="center"/>
                </w:tcPr>
                <w:p>
                  <w:pPr>
                    <w:keepNext/>
                    <w:adjustRightInd w:val="0"/>
                    <w:snapToGrid w:val="0"/>
                    <w:jc w:val="center"/>
                    <w:rPr>
                      <w:rFonts w:hint="eastAsia" w:ascii="Times New Roman" w:hAnsi="Times New Roman" w:eastAsia="宋体" w:cs="Times New Roman"/>
                      <w:b/>
                      <w:bCs w:val="0"/>
                      <w:color w:val="auto"/>
                      <w:szCs w:val="21"/>
                      <w:highlight w:val="none"/>
                      <w:lang w:val="en-US" w:eastAsia="zh-CN"/>
                    </w:rPr>
                  </w:pPr>
                  <w:r>
                    <w:rPr>
                      <w:rFonts w:hint="eastAsia" w:cs="Times New Roman"/>
                      <w:b/>
                      <w:bCs w:val="0"/>
                      <w:color w:val="auto"/>
                      <w:szCs w:val="21"/>
                      <w:highlight w:val="none"/>
                      <w:lang w:val="en-US" w:eastAsia="zh-CN"/>
                    </w:rPr>
                    <w:t>夜间</w:t>
                  </w:r>
                </w:p>
              </w:tc>
              <w:tc>
                <w:tcPr>
                  <w:tcW w:w="1960" w:type="dxa"/>
                  <w:vAlign w:val="center"/>
                </w:tcPr>
                <w:p>
                  <w:pPr>
                    <w:keepNext/>
                    <w:adjustRightInd w:val="0"/>
                    <w:snapToGrid w:val="0"/>
                    <w:jc w:val="center"/>
                    <w:rPr>
                      <w:rFonts w:ascii="Times New Roman" w:hAnsi="Times New Roman" w:cs="Times New Roman"/>
                      <w:b/>
                      <w:bCs w:val="0"/>
                      <w:color w:val="auto"/>
                      <w:szCs w:val="21"/>
                      <w:highlight w:val="none"/>
                    </w:rPr>
                  </w:pPr>
                  <w:r>
                    <w:rPr>
                      <w:rFonts w:hint="eastAsia" w:ascii="Times New Roman" w:hAnsi="Times New Roman" w:cs="Times New Roman"/>
                      <w:b/>
                      <w:bCs w:val="0"/>
                      <w:color w:val="auto"/>
                      <w:szCs w:val="21"/>
                      <w:highlight w:val="none"/>
                      <w:lang w:val="en-US" w:eastAsia="zh-CN"/>
                    </w:rPr>
                    <w:t>2</w:t>
                  </w:r>
                  <w:r>
                    <w:rPr>
                      <w:rFonts w:hint="eastAsia" w:ascii="Times New Roman" w:hAnsi="Times New Roman" w:cs="Times New Roman"/>
                      <w:b/>
                      <w:bCs w:val="0"/>
                      <w:color w:val="auto"/>
                      <w:szCs w:val="21"/>
                      <w:highlight w:val="none"/>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391" w:type="dxa"/>
                  <w:vAlign w:val="center"/>
                </w:tcPr>
                <w:p>
                  <w:pPr>
                    <w:keepNext/>
                    <w:adjustRightInd w:val="0"/>
                    <w:snapToGrid w:val="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1#</w:t>
                  </w:r>
                </w:p>
              </w:tc>
              <w:tc>
                <w:tcPr>
                  <w:tcW w:w="2760" w:type="dxa"/>
                  <w:vAlign w:val="center"/>
                </w:tcPr>
                <w:p>
                  <w:pPr>
                    <w:keepNext/>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东</w:t>
                  </w:r>
                  <w:r>
                    <w:rPr>
                      <w:rFonts w:ascii="Times New Roman" w:hAnsi="Times New Roman" w:cs="Times New Roman"/>
                      <w:bCs/>
                      <w:color w:val="auto"/>
                      <w:szCs w:val="21"/>
                      <w:highlight w:val="none"/>
                    </w:rPr>
                    <w:t>厂界</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lang w:val="en-US" w:eastAsia="zh-CN"/>
                    </w:rPr>
                    <w:t>52.</w:t>
                  </w:r>
                  <w:r>
                    <w:rPr>
                      <w:rFonts w:hint="eastAsia" w:cs="Times New Roman"/>
                      <w:bCs/>
                      <w:color w:val="auto"/>
                      <w:szCs w:val="21"/>
                      <w:highlight w:val="none"/>
                      <w:lang w:val="en-US" w:eastAsia="zh-CN"/>
                    </w:rPr>
                    <w:t>8</w:t>
                  </w:r>
                </w:p>
              </w:tc>
              <w:tc>
                <w:tcPr>
                  <w:tcW w:w="1256" w:type="dxa"/>
                  <w:vAlign w:val="center"/>
                </w:tcPr>
                <w:p>
                  <w:pPr>
                    <w:keepNext/>
                    <w:adjustRightInd w:val="0"/>
                    <w:snapToGrid w:val="0"/>
                    <w:jc w:val="center"/>
                    <w:rPr>
                      <w:rFonts w:hint="default" w:ascii="Times New Roman" w:hAnsi="Times New Roman" w:cs="Times New Roman"/>
                      <w:bCs/>
                      <w:color w:val="auto"/>
                      <w:szCs w:val="21"/>
                      <w:highlight w:val="none"/>
                      <w:lang w:val="en-US" w:eastAsia="zh-CN"/>
                    </w:rPr>
                  </w:pPr>
                  <w:r>
                    <w:rPr>
                      <w:rFonts w:hint="eastAsia" w:cs="Times New Roman"/>
                      <w:bCs/>
                      <w:color w:val="auto"/>
                      <w:szCs w:val="21"/>
                      <w:highlight w:val="none"/>
                      <w:lang w:val="en-US" w:eastAsia="zh-CN"/>
                    </w:rPr>
                    <w:t>42.7</w:t>
                  </w:r>
                </w:p>
              </w:tc>
              <w:tc>
                <w:tcPr>
                  <w:tcW w:w="1960" w:type="dxa"/>
                  <w:vMerge w:val="restart"/>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ascii="Times New Roman" w:hAnsi="Times New Roman" w:cs="Times New Roman"/>
                      <w:bCs/>
                      <w:color w:val="auto"/>
                      <w:szCs w:val="21"/>
                      <w:highlight w:val="none"/>
                    </w:rPr>
                    <w:t>昼间</w:t>
                  </w:r>
                  <w:r>
                    <w:rPr>
                      <w:rFonts w:hint="eastAsia" w:ascii="Times New Roman" w:hAnsi="Times New Roman" w:cs="Times New Roman"/>
                      <w:bCs/>
                      <w:color w:val="auto"/>
                      <w:szCs w:val="21"/>
                      <w:highlight w:val="none"/>
                    </w:rPr>
                    <w:t>6</w:t>
                  </w:r>
                  <w:r>
                    <w:rPr>
                      <w:rFonts w:hint="eastAsia" w:ascii="Times New Roman" w:hAnsi="Times New Roman" w:cs="Times New Roman"/>
                      <w:bCs/>
                      <w:color w:val="auto"/>
                      <w:szCs w:val="21"/>
                      <w:highlight w:val="none"/>
                      <w:lang w:val="en-US" w:eastAsia="zh-CN"/>
                    </w:rPr>
                    <w:t>0</w:t>
                  </w:r>
                  <w:r>
                    <w:rPr>
                      <w:rFonts w:hint="eastAsia" w:cs="Times New Roman"/>
                      <w:bCs/>
                      <w:color w:val="auto"/>
                      <w:szCs w:val="21"/>
                      <w:highlight w:val="none"/>
                      <w:lang w:val="en-US" w:eastAsia="zh-CN"/>
                    </w:rPr>
                    <w:t>dB；夜间50dB</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391" w:type="dxa"/>
                  <w:vAlign w:val="center"/>
                </w:tcPr>
                <w:p>
                  <w:pPr>
                    <w:keepNext/>
                    <w:adjustRightInd w:val="0"/>
                    <w:snapToGrid w:val="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2#</w:t>
                  </w:r>
                </w:p>
              </w:tc>
              <w:tc>
                <w:tcPr>
                  <w:tcW w:w="2760" w:type="dxa"/>
                  <w:vAlign w:val="center"/>
                </w:tcPr>
                <w:p>
                  <w:pPr>
                    <w:keepNext/>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南</w:t>
                  </w:r>
                  <w:r>
                    <w:rPr>
                      <w:rFonts w:ascii="Times New Roman" w:hAnsi="Times New Roman" w:cs="Times New Roman"/>
                      <w:bCs/>
                      <w:color w:val="auto"/>
                      <w:szCs w:val="21"/>
                      <w:highlight w:val="none"/>
                    </w:rPr>
                    <w:t>厂界</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58.5</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48.6</w:t>
                  </w:r>
                </w:p>
              </w:tc>
              <w:tc>
                <w:tcPr>
                  <w:tcW w:w="1960" w:type="dxa"/>
                  <w:vMerge w:val="continue"/>
                  <w:vAlign w:val="center"/>
                </w:tcPr>
                <w:p>
                  <w:pPr>
                    <w:keepNext/>
                    <w:adjustRightInd w:val="0"/>
                    <w:snapToGrid w:val="0"/>
                    <w:jc w:val="center"/>
                    <w:rPr>
                      <w:rFonts w:ascii="Times New Roman" w:hAnsi="Times New Roman" w:cs="Times New Roman"/>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391" w:type="dxa"/>
                  <w:vAlign w:val="center"/>
                </w:tcPr>
                <w:p>
                  <w:pPr>
                    <w:keepNext/>
                    <w:adjustRightInd w:val="0"/>
                    <w:snapToGrid w:val="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3#</w:t>
                  </w:r>
                </w:p>
              </w:tc>
              <w:tc>
                <w:tcPr>
                  <w:tcW w:w="2760" w:type="dxa"/>
                  <w:vAlign w:val="center"/>
                </w:tcPr>
                <w:p>
                  <w:pPr>
                    <w:keepNext/>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西</w:t>
                  </w:r>
                  <w:r>
                    <w:rPr>
                      <w:rFonts w:ascii="Times New Roman" w:hAnsi="Times New Roman" w:cs="Times New Roman"/>
                      <w:bCs/>
                      <w:color w:val="auto"/>
                      <w:szCs w:val="21"/>
                      <w:highlight w:val="none"/>
                    </w:rPr>
                    <w:t>厂界</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cs="Times New Roman"/>
                      <w:bCs/>
                      <w:color w:val="auto"/>
                      <w:szCs w:val="21"/>
                      <w:highlight w:val="none"/>
                    </w:rPr>
                    <w:t>5</w:t>
                  </w:r>
                  <w:r>
                    <w:rPr>
                      <w:rFonts w:hint="eastAsia" w:ascii="Times New Roman" w:hAnsi="Times New Roman" w:cs="Times New Roman"/>
                      <w:bCs/>
                      <w:color w:val="auto"/>
                      <w:szCs w:val="21"/>
                      <w:highlight w:val="none"/>
                      <w:lang w:val="en-US" w:eastAsia="zh-CN"/>
                    </w:rPr>
                    <w:t>0.</w:t>
                  </w:r>
                  <w:r>
                    <w:rPr>
                      <w:rFonts w:hint="eastAsia" w:cs="Times New Roman"/>
                      <w:bCs/>
                      <w:color w:val="auto"/>
                      <w:szCs w:val="21"/>
                      <w:highlight w:val="none"/>
                      <w:lang w:val="en-US" w:eastAsia="zh-CN"/>
                    </w:rPr>
                    <w:t>6</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42.5</w:t>
                  </w:r>
                </w:p>
              </w:tc>
              <w:tc>
                <w:tcPr>
                  <w:tcW w:w="1960" w:type="dxa"/>
                  <w:vMerge w:val="continue"/>
                  <w:vAlign w:val="center"/>
                </w:tcPr>
                <w:p>
                  <w:pPr>
                    <w:keepNext/>
                    <w:adjustRightInd w:val="0"/>
                    <w:snapToGrid w:val="0"/>
                    <w:jc w:val="center"/>
                    <w:rPr>
                      <w:rFonts w:ascii="Times New Roman" w:hAnsi="Times New Roman" w:cs="Times New Roman"/>
                      <w:bCs/>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1391" w:type="dxa"/>
                  <w:vAlign w:val="center"/>
                </w:tcPr>
                <w:p>
                  <w:pPr>
                    <w:keepNext/>
                    <w:adjustRightInd w:val="0"/>
                    <w:snapToGrid w:val="0"/>
                    <w:jc w:val="center"/>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4#</w:t>
                  </w:r>
                </w:p>
              </w:tc>
              <w:tc>
                <w:tcPr>
                  <w:tcW w:w="2760" w:type="dxa"/>
                  <w:vAlign w:val="center"/>
                </w:tcPr>
                <w:p>
                  <w:pPr>
                    <w:keepNext/>
                    <w:adjustRightInd w:val="0"/>
                    <w:snapToGrid w:val="0"/>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北</w:t>
                  </w:r>
                  <w:r>
                    <w:rPr>
                      <w:rFonts w:ascii="Times New Roman" w:hAnsi="Times New Roman" w:cs="Times New Roman"/>
                      <w:bCs/>
                      <w:color w:val="auto"/>
                      <w:szCs w:val="21"/>
                      <w:highlight w:val="none"/>
                    </w:rPr>
                    <w:t>厂界</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49</w:t>
                  </w:r>
                  <w:r>
                    <w:rPr>
                      <w:rFonts w:hint="eastAsia" w:ascii="Times New Roman" w:hAnsi="Times New Roman" w:cs="Times New Roman"/>
                      <w:bCs/>
                      <w:color w:val="auto"/>
                      <w:szCs w:val="21"/>
                      <w:highlight w:val="none"/>
                      <w:lang w:val="en-US" w:eastAsia="zh-CN"/>
                    </w:rPr>
                    <w:t>.</w:t>
                  </w:r>
                  <w:r>
                    <w:rPr>
                      <w:rFonts w:hint="eastAsia" w:cs="Times New Roman"/>
                      <w:bCs/>
                      <w:color w:val="auto"/>
                      <w:szCs w:val="21"/>
                      <w:highlight w:val="none"/>
                      <w:lang w:val="en-US" w:eastAsia="zh-CN"/>
                    </w:rPr>
                    <w:t>7</w:t>
                  </w:r>
                </w:p>
              </w:tc>
              <w:tc>
                <w:tcPr>
                  <w:tcW w:w="1256" w:type="dxa"/>
                  <w:vAlign w:val="center"/>
                </w:tcPr>
                <w:p>
                  <w:pPr>
                    <w:keepNext/>
                    <w:adjustRightInd w:val="0"/>
                    <w:snapToGrid w:val="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39.8</w:t>
                  </w:r>
                </w:p>
              </w:tc>
              <w:tc>
                <w:tcPr>
                  <w:tcW w:w="1960" w:type="dxa"/>
                  <w:vMerge w:val="continue"/>
                  <w:vAlign w:val="center"/>
                </w:tcPr>
                <w:p>
                  <w:pPr>
                    <w:keepNext/>
                    <w:adjustRightInd w:val="0"/>
                    <w:snapToGrid w:val="0"/>
                    <w:jc w:val="center"/>
                    <w:rPr>
                      <w:rFonts w:ascii="Times New Roman" w:hAnsi="Times New Roman" w:cs="Times New Roman"/>
                      <w:bCs/>
                      <w:color w:val="auto"/>
                      <w:szCs w:val="21"/>
                      <w:highlight w:val="none"/>
                    </w:rPr>
                  </w:pPr>
                </w:p>
              </w:tc>
            </w:tr>
          </w:tbl>
          <w:p>
            <w:pPr>
              <w:keepNext w:val="0"/>
              <w:keepLines w:val="0"/>
              <w:pageBreakBefore w:val="0"/>
              <w:widowControl w:val="0"/>
              <w:kinsoku/>
              <w:wordWrap/>
              <w:overflowPunct/>
              <w:topLinePunct w:val="0"/>
              <w:autoSpaceDE/>
              <w:autoSpaceDN/>
              <w:bidi w:val="0"/>
              <w:spacing w:line="520" w:lineRule="exact"/>
              <w:ind w:firstLine="480" w:firstLineChars="200"/>
              <w:contextualSpacing/>
              <w:textAlignment w:val="auto"/>
              <w:rPr>
                <w:rFonts w:hAnsi="宋体"/>
                <w:snapToGrid w:val="0"/>
                <w:color w:val="auto"/>
                <w:kern w:val="0"/>
                <w:sz w:val="24"/>
                <w:highlight w:val="none"/>
              </w:rPr>
            </w:pPr>
            <w:r>
              <w:rPr>
                <w:rFonts w:hAnsi="宋体"/>
                <w:color w:val="auto"/>
                <w:sz w:val="24"/>
                <w:highlight w:val="none"/>
              </w:rPr>
              <w:t>从</w:t>
            </w:r>
            <w:r>
              <w:rPr>
                <w:rFonts w:hint="eastAsia" w:hAnsi="宋体"/>
                <w:color w:val="auto"/>
                <w:sz w:val="24"/>
                <w:highlight w:val="none"/>
                <w:lang w:val="en-US" w:eastAsia="zh-CN"/>
              </w:rPr>
              <w:t>上表</w:t>
            </w:r>
            <w:r>
              <w:rPr>
                <w:rFonts w:hAnsi="宋体"/>
                <w:color w:val="auto"/>
                <w:sz w:val="24"/>
                <w:highlight w:val="none"/>
              </w:rPr>
              <w:t>预测结果可以看出，本项目投产运行后，在采取噪声防治措施下，项目</w:t>
            </w:r>
            <w:r>
              <w:rPr>
                <w:rFonts w:hint="eastAsia" w:hAnsi="宋体"/>
                <w:color w:val="auto"/>
                <w:sz w:val="24"/>
                <w:highlight w:val="none"/>
              </w:rPr>
              <w:t>营运期各厂界噪声均能够满足</w:t>
            </w:r>
            <w:r>
              <w:rPr>
                <w:rFonts w:hAnsi="宋体"/>
                <w:snapToGrid w:val="0"/>
                <w:color w:val="auto"/>
                <w:kern w:val="0"/>
                <w:sz w:val="24"/>
                <w:highlight w:val="none"/>
              </w:rPr>
              <w:t>《工业企业厂界环境噪声排放标准》</w:t>
            </w:r>
            <w:r>
              <w:rPr>
                <w:rFonts w:hint="eastAsia" w:hAnsi="宋体"/>
                <w:snapToGrid w:val="0"/>
                <w:color w:val="auto"/>
                <w:kern w:val="0"/>
                <w:sz w:val="24"/>
                <w:highlight w:val="none"/>
              </w:rPr>
              <w:t>（</w:t>
            </w:r>
            <w:r>
              <w:rPr>
                <w:snapToGrid w:val="0"/>
                <w:color w:val="auto"/>
                <w:kern w:val="0"/>
                <w:sz w:val="24"/>
                <w:highlight w:val="none"/>
              </w:rPr>
              <w:t>GB12348-2008</w:t>
            </w:r>
            <w:r>
              <w:rPr>
                <w:rFonts w:hint="eastAsia"/>
                <w:snapToGrid w:val="0"/>
                <w:color w:val="auto"/>
                <w:kern w:val="0"/>
                <w:sz w:val="24"/>
                <w:highlight w:val="none"/>
              </w:rPr>
              <w:t>）</w:t>
            </w:r>
            <w:r>
              <w:rPr>
                <w:rFonts w:hAnsi="宋体"/>
                <w:snapToGrid w:val="0"/>
                <w:color w:val="auto"/>
                <w:kern w:val="0"/>
                <w:sz w:val="24"/>
                <w:highlight w:val="none"/>
              </w:rPr>
              <w:t>的</w:t>
            </w:r>
            <w:r>
              <w:rPr>
                <w:rFonts w:hint="eastAsia"/>
                <w:snapToGrid w:val="0"/>
                <w:color w:val="auto"/>
                <w:kern w:val="0"/>
                <w:sz w:val="24"/>
                <w:highlight w:val="none"/>
                <w:lang w:val="en-US" w:eastAsia="zh-CN"/>
              </w:rPr>
              <w:t>2</w:t>
            </w:r>
            <w:r>
              <w:rPr>
                <w:rFonts w:hint="eastAsia"/>
                <w:snapToGrid w:val="0"/>
                <w:color w:val="auto"/>
                <w:kern w:val="0"/>
                <w:sz w:val="24"/>
                <w:highlight w:val="none"/>
              </w:rPr>
              <w:t>类</w:t>
            </w:r>
            <w:r>
              <w:rPr>
                <w:rFonts w:hAnsi="宋体"/>
                <w:snapToGrid w:val="0"/>
                <w:color w:val="auto"/>
                <w:kern w:val="0"/>
                <w:sz w:val="24"/>
                <w:highlight w:val="none"/>
              </w:rPr>
              <w:t>标准要求</w:t>
            </w:r>
            <w:r>
              <w:rPr>
                <w:rFonts w:hint="eastAsia" w:hAnsi="宋体"/>
                <w:snapToGrid w:val="0"/>
                <w:color w:val="auto"/>
                <w:kern w:val="0"/>
                <w:sz w:val="24"/>
                <w:highlight w:val="none"/>
              </w:rPr>
              <w:t>，厂界噪声能做到达标排放</w:t>
            </w:r>
            <w:r>
              <w:rPr>
                <w:rFonts w:hAnsi="宋体"/>
                <w:snapToGrid w:val="0"/>
                <w:color w:val="auto"/>
                <w:kern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Ansi="宋体"/>
                <w:color w:val="auto"/>
                <w:sz w:val="24"/>
                <w:highlight w:val="none"/>
              </w:rPr>
            </w:pPr>
            <w:r>
              <w:rPr>
                <w:rFonts w:hint="eastAsia" w:hAnsi="宋体"/>
                <w:color w:val="auto"/>
                <w:sz w:val="24"/>
                <w:highlight w:val="none"/>
              </w:rPr>
              <w:t>由上述可知，</w:t>
            </w:r>
            <w:r>
              <w:rPr>
                <w:rFonts w:hAnsi="宋体"/>
                <w:color w:val="auto"/>
                <w:sz w:val="24"/>
                <w:highlight w:val="none"/>
              </w:rPr>
              <w:t>本项目噪声对</w:t>
            </w:r>
            <w:r>
              <w:rPr>
                <w:rFonts w:hint="eastAsia" w:hAnsi="宋体"/>
                <w:color w:val="auto"/>
                <w:sz w:val="24"/>
                <w:highlight w:val="none"/>
              </w:rPr>
              <w:t>声</w:t>
            </w:r>
            <w:r>
              <w:rPr>
                <w:rFonts w:hAnsi="宋体"/>
                <w:color w:val="auto"/>
                <w:sz w:val="24"/>
                <w:highlight w:val="none"/>
              </w:rPr>
              <w:t>周围环境影响</w:t>
            </w:r>
            <w:r>
              <w:rPr>
                <w:rFonts w:hint="eastAsia" w:hAnsi="宋体"/>
                <w:color w:val="auto"/>
                <w:sz w:val="24"/>
                <w:highlight w:val="none"/>
              </w:rPr>
              <w:t>较</w:t>
            </w:r>
            <w:r>
              <w:rPr>
                <w:rFonts w:hAnsi="宋体"/>
                <w:color w:val="auto"/>
                <w:sz w:val="24"/>
                <w:highlight w:val="none"/>
              </w:rPr>
              <w:t>小。</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b/>
                <w:bCs/>
                <w:color w:val="auto"/>
                <w:kern w:val="0"/>
                <w:sz w:val="24"/>
                <w:highlight w:val="none"/>
              </w:rPr>
            </w:pPr>
            <w:r>
              <w:rPr>
                <w:rFonts w:hint="eastAsia"/>
                <w:b/>
                <w:bCs/>
                <w:color w:val="auto"/>
                <w:kern w:val="0"/>
                <w:sz w:val="24"/>
                <w:highlight w:val="none"/>
                <w:lang w:val="en-US" w:eastAsia="zh-CN"/>
              </w:rPr>
              <w:t>5</w:t>
            </w:r>
            <w:r>
              <w:rPr>
                <w:rFonts w:hint="eastAsia"/>
                <w:b/>
                <w:bCs/>
                <w:color w:val="auto"/>
                <w:kern w:val="0"/>
                <w:sz w:val="24"/>
                <w:highlight w:val="none"/>
              </w:rPr>
              <w:t>、</w:t>
            </w:r>
            <w:r>
              <w:rPr>
                <w:b/>
                <w:bCs/>
                <w:color w:val="auto"/>
                <w:kern w:val="0"/>
                <w:sz w:val="24"/>
                <w:highlight w:val="none"/>
              </w:rPr>
              <w:t>固体废物对环境的影响分析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000000"/>
                <w:sz w:val="24"/>
                <w:szCs w:val="24"/>
                <w:highlight w:val="none"/>
              </w:rPr>
            </w:pPr>
            <w:r>
              <w:rPr>
                <w:color w:val="000000"/>
                <w:sz w:val="24"/>
                <w:szCs w:val="24"/>
                <w:highlight w:val="none"/>
              </w:rPr>
              <w:t>本项目固体废物主要为员工办公及生活垃圾、储油罐产生的</w:t>
            </w:r>
            <w:r>
              <w:rPr>
                <w:rFonts w:hint="eastAsia"/>
                <w:color w:val="000000"/>
                <w:sz w:val="24"/>
                <w:szCs w:val="24"/>
                <w:highlight w:val="none"/>
                <w:lang w:eastAsia="zh-CN"/>
              </w:rPr>
              <w:t>油泥及清罐废水</w:t>
            </w:r>
            <w:r>
              <w:rPr>
                <w:color w:val="000000"/>
                <w:sz w:val="24"/>
                <w:szCs w:val="24"/>
                <w:highlight w:val="none"/>
              </w:rPr>
              <w:t>。</w:t>
            </w:r>
          </w:p>
          <w:p>
            <w:pPr>
              <w:keepNext w:val="0"/>
              <w:keepLines w:val="0"/>
              <w:pageBreakBefore w:val="0"/>
              <w:widowControl w:val="0"/>
              <w:numPr>
                <w:ilvl w:val="0"/>
                <w:numId w:val="1"/>
              </w:numPr>
              <w:tabs>
                <w:tab w:val="left" w:pos="1154"/>
              </w:tabs>
              <w:kinsoku/>
              <w:wordWrap/>
              <w:overflowPunct/>
              <w:topLinePunct w:val="0"/>
              <w:autoSpaceDE/>
              <w:autoSpaceDN/>
              <w:bidi w:val="0"/>
              <w:adjustRightInd w:val="0"/>
              <w:snapToGrid w:val="0"/>
              <w:spacing w:line="520" w:lineRule="exact"/>
              <w:ind w:firstLine="480" w:firstLineChars="200"/>
              <w:textAlignment w:val="auto"/>
              <w:rPr>
                <w:color w:val="000000"/>
                <w:sz w:val="24"/>
                <w:szCs w:val="24"/>
              </w:rPr>
            </w:pPr>
            <w:r>
              <w:rPr>
                <w:color w:val="000000"/>
                <w:sz w:val="24"/>
                <w:szCs w:val="24"/>
                <w:highlight w:val="none"/>
              </w:rPr>
              <w:t>员工办公及生活垃圾：本项</w:t>
            </w:r>
            <w:r>
              <w:rPr>
                <w:color w:val="000000"/>
                <w:sz w:val="24"/>
                <w:szCs w:val="24"/>
              </w:rPr>
              <w:t>目员工</w:t>
            </w:r>
            <w:r>
              <w:rPr>
                <w:rFonts w:hint="eastAsia"/>
                <w:color w:val="000000"/>
                <w:sz w:val="24"/>
                <w:szCs w:val="24"/>
                <w:lang w:val="en-US" w:eastAsia="zh-CN"/>
              </w:rPr>
              <w:t>9</w:t>
            </w:r>
            <w:r>
              <w:rPr>
                <w:color w:val="000000"/>
                <w:sz w:val="24"/>
                <w:szCs w:val="24"/>
              </w:rPr>
              <w:t>人，生活</w:t>
            </w:r>
            <w:r>
              <w:rPr>
                <w:rFonts w:hint="eastAsia"/>
                <w:color w:val="000000"/>
                <w:sz w:val="24"/>
                <w:szCs w:val="24"/>
                <w:lang w:val="en-US" w:eastAsia="zh-CN"/>
              </w:rPr>
              <w:t>垃圾</w:t>
            </w:r>
            <w:r>
              <w:rPr>
                <w:rFonts w:hint="eastAsia"/>
                <w:sz w:val="24"/>
                <w:szCs w:val="24"/>
              </w:rPr>
              <w:t>产生量按0.5kg/（人</w:t>
            </w:r>
            <w:r>
              <w:rPr>
                <w:sz w:val="24"/>
                <w:szCs w:val="24"/>
              </w:rPr>
              <w:t>·</w:t>
            </w:r>
            <w:r>
              <w:rPr>
                <w:rFonts w:hint="eastAsia"/>
                <w:sz w:val="24"/>
                <w:szCs w:val="24"/>
              </w:rPr>
              <w:t>d）</w:t>
            </w:r>
            <w:r>
              <w:rPr>
                <w:rFonts w:hint="eastAsia"/>
                <w:sz w:val="24"/>
                <w:szCs w:val="24"/>
                <w:lang w:val="en-US" w:eastAsia="zh-CN"/>
              </w:rPr>
              <w:t>计，</w:t>
            </w:r>
            <w:r>
              <w:rPr>
                <w:rFonts w:hint="eastAsia"/>
                <w:sz w:val="24"/>
                <w:szCs w:val="24"/>
              </w:rPr>
              <w:t>垃圾产生量为</w:t>
            </w:r>
            <w:r>
              <w:rPr>
                <w:rFonts w:hint="eastAsia"/>
                <w:sz w:val="24"/>
                <w:szCs w:val="24"/>
                <w:lang w:val="en-US" w:eastAsia="zh-CN"/>
              </w:rPr>
              <w:t>1.643</w:t>
            </w:r>
            <w:r>
              <w:rPr>
                <w:rFonts w:hint="eastAsia"/>
                <w:sz w:val="24"/>
                <w:szCs w:val="24"/>
              </w:rPr>
              <w:t>t/a；</w:t>
            </w:r>
            <w:r>
              <w:rPr>
                <w:color w:val="000000"/>
                <w:sz w:val="24"/>
                <w:szCs w:val="24"/>
              </w:rPr>
              <w:t>加油站</w:t>
            </w:r>
            <w:r>
              <w:rPr>
                <w:rFonts w:hint="eastAsia"/>
                <w:color w:val="000000"/>
                <w:sz w:val="24"/>
                <w:szCs w:val="24"/>
                <w:lang w:val="en-US" w:eastAsia="zh-CN"/>
              </w:rPr>
              <w:t>顾客</w:t>
            </w:r>
            <w:r>
              <w:rPr>
                <w:color w:val="000000"/>
                <w:sz w:val="24"/>
                <w:szCs w:val="24"/>
              </w:rPr>
              <w:t>按</w:t>
            </w:r>
            <w:r>
              <w:rPr>
                <w:rFonts w:hint="eastAsia"/>
                <w:color w:val="000000"/>
                <w:sz w:val="24"/>
                <w:szCs w:val="24"/>
                <w:lang w:val="en-US" w:eastAsia="zh-CN"/>
              </w:rPr>
              <w:t>30</w:t>
            </w:r>
            <w:r>
              <w:rPr>
                <w:color w:val="000000"/>
                <w:sz w:val="24"/>
                <w:szCs w:val="24"/>
              </w:rPr>
              <w:t>人/d，生活垃圾按0.1kg/（d·人），</w:t>
            </w:r>
            <w:r>
              <w:rPr>
                <w:rFonts w:hint="eastAsia"/>
                <w:sz w:val="24"/>
                <w:szCs w:val="24"/>
              </w:rPr>
              <w:t>垃圾产生量为</w:t>
            </w:r>
            <w:r>
              <w:rPr>
                <w:rFonts w:hint="eastAsia"/>
                <w:sz w:val="24"/>
                <w:szCs w:val="24"/>
                <w:lang w:val="en-US" w:eastAsia="zh-CN"/>
              </w:rPr>
              <w:t>1.095</w:t>
            </w:r>
            <w:r>
              <w:rPr>
                <w:rFonts w:hint="eastAsia"/>
                <w:sz w:val="24"/>
                <w:szCs w:val="24"/>
              </w:rPr>
              <w:t>t/a，</w:t>
            </w:r>
            <w:r>
              <w:rPr>
                <w:color w:val="000000"/>
                <w:sz w:val="24"/>
                <w:szCs w:val="24"/>
              </w:rPr>
              <w:t>则项目的生活垃圾产生量</w:t>
            </w:r>
            <w:r>
              <w:rPr>
                <w:rFonts w:hint="eastAsia"/>
                <w:color w:val="000000"/>
                <w:sz w:val="24"/>
                <w:szCs w:val="24"/>
                <w:lang w:val="en-US" w:eastAsia="zh-CN"/>
              </w:rPr>
              <w:t>为2.738</w:t>
            </w:r>
            <w:r>
              <w:rPr>
                <w:color w:val="000000"/>
                <w:sz w:val="24"/>
                <w:szCs w:val="24"/>
              </w:rPr>
              <w:t>t/a。加油站内设置垃圾箱，收集交由环卫部门处置。</w:t>
            </w:r>
          </w:p>
          <w:p>
            <w:pPr>
              <w:keepNext w:val="0"/>
              <w:keepLines w:val="0"/>
              <w:pageBreakBefore w:val="0"/>
              <w:widowControl w:val="0"/>
              <w:numPr>
                <w:ilvl w:val="0"/>
                <w:numId w:val="0"/>
              </w:numPr>
              <w:tabs>
                <w:tab w:val="left" w:pos="1154"/>
              </w:tabs>
              <w:kinsoku/>
              <w:wordWrap/>
              <w:overflowPunct/>
              <w:topLinePunct w:val="0"/>
              <w:autoSpaceDE/>
              <w:autoSpaceDN/>
              <w:bidi w:val="0"/>
              <w:adjustRightInd w:val="0"/>
              <w:snapToGrid w:val="0"/>
              <w:spacing w:line="520" w:lineRule="exact"/>
              <w:ind w:firstLine="480" w:firstLineChars="200"/>
              <w:textAlignment w:val="auto"/>
              <w:rPr>
                <w:rFonts w:hint="eastAsia" w:eastAsia="宋体"/>
                <w:color w:val="000000"/>
                <w:sz w:val="24"/>
                <w:szCs w:val="24"/>
                <w:lang w:eastAsia="zh-CN"/>
              </w:rPr>
            </w:pPr>
            <w:r>
              <w:rPr>
                <w:color w:val="000000"/>
                <w:sz w:val="24"/>
                <w:szCs w:val="24"/>
              </w:rPr>
              <w:t>（2）储油罐产生的油泥</w:t>
            </w:r>
            <w:r>
              <w:rPr>
                <w:rFonts w:hint="eastAsia"/>
                <w:color w:val="000000"/>
                <w:sz w:val="24"/>
                <w:szCs w:val="24"/>
                <w:lang w:eastAsia="zh-CN"/>
              </w:rPr>
              <w:t>及清罐废水</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ascii="Times New Roman" w:hAnsi="Times New Roman"/>
                <w:snapToGrid w:val="0"/>
                <w:color w:val="000000"/>
              </w:rPr>
            </w:pPr>
            <w:r>
              <w:rPr>
                <w:rFonts w:ascii="Times New Roman" w:hAnsi="Times New Roman"/>
                <w:snapToGrid w:val="0"/>
                <w:color w:val="000000"/>
                <w:lang w:bidi="ar"/>
              </w:rPr>
              <w:t>①危险废物产生情况</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480" w:firstLineChars="200"/>
              <w:textAlignment w:val="auto"/>
              <w:rPr>
                <w:rFonts w:hint="default" w:ascii="Times New Roman" w:hAnsi="Times New Roman" w:eastAsia="宋体" w:cs="Times New Roman"/>
                <w:b w:val="0"/>
                <w:bCs w:val="0"/>
                <w:snapToGrid w:val="0"/>
                <w:color w:val="000000"/>
                <w:u w:val="none"/>
              </w:rPr>
            </w:pPr>
            <w:r>
              <w:rPr>
                <w:rFonts w:hint="default" w:ascii="Times New Roman" w:hAnsi="Times New Roman" w:eastAsia="宋体" w:cs="Times New Roman"/>
                <w:b w:val="0"/>
                <w:bCs w:val="0"/>
                <w:color w:val="000000"/>
                <w:kern w:val="2"/>
                <w:u w:val="none"/>
                <w:lang w:val="en-US" w:eastAsia="zh-CN" w:bidi="ar"/>
              </w:rPr>
              <w:t>根据企业运营情况，</w:t>
            </w:r>
            <w:r>
              <w:rPr>
                <w:rFonts w:hint="default" w:ascii="Times New Roman" w:hAnsi="Times New Roman" w:eastAsia="宋体" w:cs="Times New Roman"/>
                <w:b w:val="0"/>
                <w:bCs w:val="0"/>
                <w:color w:val="000000"/>
                <w:kern w:val="2"/>
                <w:u w:val="none"/>
                <w:lang w:bidi="ar"/>
              </w:rPr>
              <w:t>储油罐每</w:t>
            </w:r>
            <w:r>
              <w:rPr>
                <w:rFonts w:hint="default" w:ascii="Times New Roman" w:hAnsi="Times New Roman" w:eastAsia="宋体" w:cs="Times New Roman"/>
                <w:b w:val="0"/>
                <w:bCs w:val="0"/>
                <w:color w:val="000000"/>
                <w:kern w:val="2"/>
                <w:u w:val="none"/>
                <w:lang w:val="en-US" w:eastAsia="zh-CN" w:bidi="ar"/>
              </w:rPr>
              <w:t>五</w:t>
            </w:r>
            <w:r>
              <w:rPr>
                <w:rFonts w:hint="default" w:ascii="Times New Roman" w:hAnsi="Times New Roman" w:eastAsia="宋体" w:cs="Times New Roman"/>
                <w:b w:val="0"/>
                <w:bCs w:val="0"/>
                <w:color w:val="000000"/>
                <w:kern w:val="2"/>
                <w:u w:val="none"/>
                <w:lang w:bidi="ar"/>
              </w:rPr>
              <w:t>年清理一次，清理过程中会产生油泥</w:t>
            </w:r>
            <w:r>
              <w:rPr>
                <w:rFonts w:hint="default" w:ascii="Times New Roman" w:hAnsi="Times New Roman" w:eastAsia="宋体" w:cs="Times New Roman"/>
                <w:b w:val="0"/>
                <w:bCs w:val="0"/>
                <w:color w:val="000000"/>
                <w:kern w:val="2"/>
                <w:u w:val="none"/>
                <w:lang w:val="en-US" w:eastAsia="zh-CN" w:bidi="ar"/>
              </w:rPr>
              <w:t>及清洗废水</w:t>
            </w:r>
            <w:r>
              <w:rPr>
                <w:rFonts w:hint="default" w:ascii="Times New Roman" w:hAnsi="Times New Roman" w:eastAsia="宋体" w:cs="Times New Roman"/>
                <w:b w:val="0"/>
                <w:bCs w:val="0"/>
                <w:color w:val="000000"/>
                <w:kern w:val="2"/>
                <w:u w:val="none"/>
                <w:lang w:bidi="ar"/>
              </w:rPr>
              <w:t>，</w:t>
            </w:r>
            <w:r>
              <w:rPr>
                <w:rFonts w:hint="default" w:ascii="Times New Roman" w:hAnsi="Times New Roman" w:eastAsia="宋体" w:cs="Times New Roman"/>
                <w:b w:val="0"/>
                <w:bCs w:val="0"/>
                <w:color w:val="000000"/>
                <w:sz w:val="24"/>
                <w:u w:val="none"/>
              </w:rPr>
              <w:t>经类比同类项目，柴油油罐清掏油泥产生量200kg/罐左右，本项目共设置</w:t>
            </w:r>
            <w:r>
              <w:rPr>
                <w:rFonts w:hint="default" w:ascii="Times New Roman" w:hAnsi="Times New Roman" w:eastAsia="宋体" w:cs="Times New Roman"/>
                <w:b w:val="0"/>
                <w:bCs w:val="0"/>
                <w:color w:val="000000"/>
                <w:sz w:val="24"/>
                <w:u w:val="none"/>
                <w:lang w:val="en-US" w:eastAsia="zh-CN"/>
              </w:rPr>
              <w:t>2</w:t>
            </w:r>
            <w:r>
              <w:rPr>
                <w:rFonts w:hint="default" w:ascii="Times New Roman" w:hAnsi="Times New Roman" w:eastAsia="宋体" w:cs="Times New Roman"/>
                <w:b w:val="0"/>
                <w:bCs w:val="0"/>
                <w:color w:val="000000"/>
                <w:sz w:val="24"/>
                <w:u w:val="none"/>
              </w:rPr>
              <w:t xml:space="preserve"> 座柴油罐</w:t>
            </w:r>
            <w:r>
              <w:rPr>
                <w:rFonts w:hint="default" w:ascii="Times New Roman" w:hAnsi="Times New Roman" w:eastAsia="宋体" w:cs="Times New Roman"/>
                <w:b w:val="0"/>
                <w:bCs w:val="0"/>
                <w:color w:val="000000"/>
                <w:sz w:val="24"/>
                <w:u w:val="none"/>
                <w:lang w:eastAsia="zh-CN"/>
              </w:rPr>
              <w:t>，</w:t>
            </w:r>
            <w:r>
              <w:rPr>
                <w:rFonts w:hint="default" w:ascii="Times New Roman" w:hAnsi="Times New Roman" w:eastAsia="宋体" w:cs="Times New Roman"/>
                <w:b w:val="0"/>
                <w:bCs w:val="0"/>
                <w:color w:val="000000"/>
                <w:sz w:val="24"/>
                <w:u w:val="none"/>
              </w:rPr>
              <w:t>则柴油油泥产生量为</w:t>
            </w:r>
            <w:r>
              <w:rPr>
                <w:rFonts w:hint="default" w:ascii="Times New Roman" w:hAnsi="Times New Roman" w:eastAsia="宋体" w:cs="Times New Roman"/>
                <w:b w:val="0"/>
                <w:bCs w:val="0"/>
                <w:color w:val="000000"/>
                <w:sz w:val="24"/>
                <w:u w:val="none"/>
                <w:lang w:val="en-US" w:eastAsia="zh-CN"/>
              </w:rPr>
              <w:t>4</w:t>
            </w:r>
            <w:r>
              <w:rPr>
                <w:rFonts w:hint="default" w:ascii="Times New Roman" w:hAnsi="Times New Roman" w:eastAsia="宋体" w:cs="Times New Roman"/>
                <w:b w:val="0"/>
                <w:bCs w:val="0"/>
                <w:color w:val="000000"/>
                <w:sz w:val="24"/>
                <w:u w:val="none"/>
              </w:rPr>
              <w:t>00kg/次，汽油油罐油泥产生量20kg/罐，项目共设置</w:t>
            </w:r>
            <w:r>
              <w:rPr>
                <w:rFonts w:hint="default" w:ascii="Times New Roman" w:hAnsi="Times New Roman" w:eastAsia="宋体" w:cs="Times New Roman"/>
                <w:b w:val="0"/>
                <w:bCs w:val="0"/>
                <w:color w:val="000000"/>
                <w:sz w:val="24"/>
                <w:u w:val="none"/>
                <w:lang w:val="en-US" w:eastAsia="zh-CN"/>
              </w:rPr>
              <w:t>2</w:t>
            </w:r>
            <w:r>
              <w:rPr>
                <w:rFonts w:hint="default" w:ascii="Times New Roman" w:hAnsi="Times New Roman" w:eastAsia="宋体" w:cs="Times New Roman"/>
                <w:b w:val="0"/>
                <w:bCs w:val="0"/>
                <w:color w:val="000000"/>
                <w:sz w:val="24"/>
                <w:u w:val="none"/>
              </w:rPr>
              <w:t xml:space="preserve"> 座汽油罐，则汽油油泥产生量为</w:t>
            </w:r>
            <w:r>
              <w:rPr>
                <w:rFonts w:hint="default" w:ascii="Times New Roman" w:hAnsi="Times New Roman" w:eastAsia="宋体" w:cs="Times New Roman"/>
                <w:b w:val="0"/>
                <w:bCs w:val="0"/>
                <w:color w:val="000000"/>
                <w:sz w:val="24"/>
                <w:u w:val="none"/>
                <w:lang w:val="en-US" w:eastAsia="zh-CN"/>
              </w:rPr>
              <w:t>40</w:t>
            </w:r>
            <w:r>
              <w:rPr>
                <w:rFonts w:hint="default" w:ascii="Times New Roman" w:hAnsi="Times New Roman" w:eastAsia="宋体" w:cs="Times New Roman"/>
                <w:b w:val="0"/>
                <w:bCs w:val="0"/>
                <w:color w:val="000000"/>
                <w:sz w:val="24"/>
                <w:u w:val="none"/>
              </w:rPr>
              <w:t>kg/次，</w:t>
            </w:r>
            <w:r>
              <w:rPr>
                <w:rFonts w:hint="default" w:ascii="Times New Roman" w:hAnsi="Times New Roman" w:eastAsia="宋体" w:cs="Times New Roman"/>
                <w:b w:val="0"/>
                <w:bCs w:val="0"/>
                <w:color w:val="000000"/>
                <w:sz w:val="24"/>
                <w:u w:val="none"/>
                <w:lang w:val="en-US" w:eastAsia="zh-CN"/>
              </w:rPr>
              <w:t>则</w:t>
            </w:r>
            <w:r>
              <w:rPr>
                <w:rFonts w:hint="default" w:ascii="Times New Roman" w:hAnsi="Times New Roman" w:eastAsia="宋体" w:cs="Times New Roman"/>
                <w:b w:val="0"/>
                <w:bCs w:val="0"/>
                <w:color w:val="000000"/>
                <w:sz w:val="24"/>
                <w:u w:val="none"/>
              </w:rPr>
              <w:t>项目汽油、柴油油罐清掏产生的油泥量为</w:t>
            </w:r>
            <w:r>
              <w:rPr>
                <w:rFonts w:hint="default" w:ascii="Times New Roman" w:hAnsi="Times New Roman" w:eastAsia="宋体" w:cs="Times New Roman"/>
                <w:b w:val="0"/>
                <w:bCs w:val="0"/>
                <w:color w:val="000000"/>
                <w:sz w:val="24"/>
                <w:u w:val="none"/>
                <w:lang w:val="en-US" w:eastAsia="zh-CN"/>
              </w:rPr>
              <w:t>0.44t</w:t>
            </w:r>
            <w:r>
              <w:rPr>
                <w:rFonts w:hint="default" w:ascii="Times New Roman" w:hAnsi="Times New Roman" w:eastAsia="宋体" w:cs="Times New Roman"/>
                <w:b w:val="0"/>
                <w:bCs w:val="0"/>
                <w:color w:val="000000"/>
                <w:sz w:val="24"/>
                <w:u w:val="none"/>
              </w:rPr>
              <w:t>/</w:t>
            </w:r>
            <w:r>
              <w:rPr>
                <w:rFonts w:hint="default" w:ascii="Times New Roman" w:hAnsi="Times New Roman" w:eastAsia="宋体" w:cs="Times New Roman"/>
                <w:b w:val="0"/>
                <w:bCs w:val="0"/>
                <w:color w:val="000000"/>
                <w:sz w:val="24"/>
                <w:u w:val="none"/>
                <w:lang w:val="en-US" w:eastAsia="zh-CN"/>
              </w:rPr>
              <w:t>5</w:t>
            </w:r>
            <w:r>
              <w:rPr>
                <w:rFonts w:hint="default" w:ascii="Times New Roman" w:hAnsi="Times New Roman" w:eastAsia="宋体" w:cs="Times New Roman"/>
                <w:b w:val="0"/>
                <w:bCs w:val="0"/>
                <w:color w:val="000000"/>
                <w:sz w:val="24"/>
                <w:u w:val="none"/>
              </w:rPr>
              <w:t>a（约</w:t>
            </w:r>
            <w:r>
              <w:rPr>
                <w:rFonts w:hint="default" w:ascii="Times New Roman" w:hAnsi="Times New Roman" w:eastAsia="宋体" w:cs="Times New Roman"/>
                <w:b w:val="0"/>
                <w:bCs w:val="0"/>
                <w:color w:val="000000"/>
                <w:sz w:val="24"/>
                <w:u w:val="none"/>
                <w:lang w:val="en-US" w:eastAsia="zh-CN"/>
              </w:rPr>
              <w:t>0.088t</w:t>
            </w:r>
            <w:r>
              <w:rPr>
                <w:rFonts w:hint="default" w:ascii="Times New Roman" w:hAnsi="Times New Roman" w:eastAsia="宋体" w:cs="Times New Roman"/>
                <w:b w:val="0"/>
                <w:bCs w:val="0"/>
                <w:color w:val="000000"/>
                <w:sz w:val="24"/>
                <w:u w:val="none"/>
              </w:rPr>
              <w:t>/a）</w:t>
            </w:r>
            <w:r>
              <w:rPr>
                <w:rFonts w:hint="default" w:ascii="Times New Roman" w:hAnsi="Times New Roman" w:eastAsia="宋体" w:cs="Times New Roman"/>
                <w:b w:val="0"/>
                <w:bCs w:val="0"/>
                <w:color w:val="000000"/>
                <w:kern w:val="2"/>
                <w:szCs w:val="20"/>
                <w:u w:val="none"/>
                <w:lang w:bidi="ar"/>
              </w:rPr>
              <w:t>。</w:t>
            </w:r>
            <w:r>
              <w:rPr>
                <w:rFonts w:hint="default" w:ascii="Times New Roman" w:hAnsi="Times New Roman" w:eastAsia="宋体" w:cs="Times New Roman"/>
                <w:b w:val="0"/>
                <w:bCs w:val="0"/>
                <w:color w:val="000000"/>
                <w:kern w:val="2"/>
                <w:szCs w:val="20"/>
                <w:u w:val="none"/>
                <w:lang w:val="en-US" w:eastAsia="zh-CN" w:bidi="ar"/>
              </w:rPr>
              <w:t>油罐清洗废水每个罐产生量为0.25t，</w:t>
            </w:r>
            <w:r>
              <w:rPr>
                <w:rFonts w:hint="default" w:ascii="Times New Roman" w:hAnsi="Times New Roman" w:eastAsia="宋体" w:cs="Times New Roman"/>
                <w:b w:val="0"/>
                <w:bCs w:val="0"/>
                <w:color w:val="000000"/>
                <w:sz w:val="24"/>
                <w:szCs w:val="24"/>
                <w:u w:val="none"/>
              </w:rPr>
              <w:t>清洗废水产生量为</w:t>
            </w:r>
            <w:r>
              <w:rPr>
                <w:rFonts w:hint="default" w:ascii="Times New Roman" w:hAnsi="Times New Roman" w:eastAsia="宋体" w:cs="Times New Roman"/>
                <w:b w:val="0"/>
                <w:bCs w:val="0"/>
                <w:color w:val="000000"/>
                <w:sz w:val="24"/>
                <w:szCs w:val="24"/>
                <w:u w:val="none"/>
                <w:lang w:val="en-US" w:eastAsia="zh-CN"/>
              </w:rPr>
              <w:t>1</w:t>
            </w:r>
            <w:r>
              <w:rPr>
                <w:rFonts w:hint="default" w:ascii="Times New Roman" w:hAnsi="Times New Roman" w:eastAsia="宋体" w:cs="Times New Roman"/>
                <w:b w:val="0"/>
                <w:bCs w:val="0"/>
                <w:color w:val="000000"/>
                <w:sz w:val="24"/>
                <w:szCs w:val="24"/>
                <w:u w:val="none"/>
              </w:rPr>
              <w:t>t/</w:t>
            </w:r>
            <w:r>
              <w:rPr>
                <w:rFonts w:hint="default" w:ascii="Times New Roman" w:hAnsi="Times New Roman" w:eastAsia="宋体" w:cs="Times New Roman"/>
                <w:b w:val="0"/>
                <w:bCs w:val="0"/>
                <w:color w:val="000000"/>
                <w:sz w:val="24"/>
                <w:szCs w:val="24"/>
                <w:u w:val="none"/>
                <w:lang w:val="en-US" w:eastAsia="zh-CN"/>
              </w:rPr>
              <w:t>5a（0.2</w:t>
            </w:r>
            <w:r>
              <w:rPr>
                <w:rFonts w:hint="default" w:ascii="Times New Roman" w:hAnsi="Times New Roman" w:eastAsia="宋体" w:cs="Times New Roman"/>
                <w:b w:val="0"/>
                <w:bCs w:val="0"/>
                <w:color w:val="000000"/>
                <w:sz w:val="24"/>
                <w:szCs w:val="24"/>
                <w:u w:val="none"/>
              </w:rPr>
              <w:t>t/</w:t>
            </w:r>
            <w:r>
              <w:rPr>
                <w:rFonts w:hint="default" w:ascii="Times New Roman" w:hAnsi="Times New Roman" w:eastAsia="宋体" w:cs="Times New Roman"/>
                <w:b w:val="0"/>
                <w:bCs w:val="0"/>
                <w:color w:val="000000"/>
                <w:sz w:val="24"/>
                <w:szCs w:val="24"/>
                <w:u w:val="none"/>
                <w:lang w:val="en-US" w:eastAsia="zh-CN"/>
              </w:rPr>
              <w:t>a）</w:t>
            </w:r>
            <w:r>
              <w:rPr>
                <w:rFonts w:hint="default" w:ascii="Times New Roman" w:hAnsi="Times New Roman" w:eastAsia="宋体" w:cs="Times New Roman"/>
                <w:b w:val="0"/>
                <w:bCs w:val="0"/>
                <w:color w:val="000000"/>
                <w:sz w:val="24"/>
                <w:szCs w:val="24"/>
                <w:u w:val="none"/>
              </w:rPr>
              <w:t>，</w:t>
            </w:r>
            <w:r>
              <w:rPr>
                <w:rFonts w:hint="default" w:ascii="Times New Roman" w:hAnsi="Times New Roman" w:eastAsia="宋体" w:cs="Times New Roman"/>
                <w:b w:val="0"/>
                <w:bCs w:val="0"/>
                <w:color w:val="000000"/>
                <w:kern w:val="2"/>
                <w:szCs w:val="20"/>
                <w:u w:val="none"/>
                <w:lang w:bidi="ar"/>
              </w:rPr>
              <w:t>油泥</w:t>
            </w:r>
            <w:r>
              <w:rPr>
                <w:rFonts w:hint="default" w:ascii="Times New Roman" w:hAnsi="Times New Roman" w:eastAsia="宋体" w:cs="Times New Roman"/>
                <w:b w:val="0"/>
                <w:bCs w:val="0"/>
                <w:color w:val="000000"/>
                <w:kern w:val="2"/>
                <w:szCs w:val="20"/>
                <w:u w:val="none"/>
                <w:lang w:val="en-US" w:eastAsia="zh-CN" w:bidi="ar"/>
              </w:rPr>
              <w:t>及清罐废水</w:t>
            </w:r>
            <w:r>
              <w:rPr>
                <w:rFonts w:hint="default" w:ascii="Times New Roman" w:hAnsi="Times New Roman" w:eastAsia="宋体" w:cs="Times New Roman"/>
                <w:b w:val="0"/>
                <w:bCs w:val="0"/>
                <w:color w:val="000000"/>
                <w:kern w:val="2"/>
                <w:szCs w:val="20"/>
                <w:u w:val="none"/>
                <w:lang w:bidi="ar"/>
              </w:rPr>
              <w:t>属于危险废物，</w:t>
            </w:r>
            <w:r>
              <w:rPr>
                <w:rFonts w:hint="default" w:ascii="Times New Roman" w:hAnsi="Times New Roman" w:eastAsia="宋体" w:cs="Times New Roman"/>
                <w:b w:val="0"/>
                <w:bCs w:val="0"/>
                <w:snapToGrid w:val="0"/>
                <w:color w:val="000000"/>
                <w:u w:val="none"/>
                <w:lang w:bidi="ar"/>
              </w:rPr>
              <w:t>废物类别</w:t>
            </w:r>
            <w:r>
              <w:rPr>
                <w:rFonts w:hint="default" w:ascii="Times New Roman" w:hAnsi="Times New Roman" w:eastAsia="宋体" w:cs="Times New Roman"/>
                <w:b w:val="0"/>
                <w:bCs w:val="0"/>
                <w:color w:val="000000"/>
                <w:kern w:val="2"/>
                <w:szCs w:val="20"/>
                <w:u w:val="none"/>
                <w:lang w:bidi="ar"/>
              </w:rPr>
              <w:t>HW08，评价建议项</w:t>
            </w:r>
            <w:r>
              <w:rPr>
                <w:rFonts w:hint="default" w:ascii="Times New Roman" w:hAnsi="Times New Roman" w:eastAsia="宋体" w:cs="Times New Roman"/>
                <w:b w:val="0"/>
                <w:bCs w:val="0"/>
                <w:color w:val="000000"/>
                <w:kern w:val="2"/>
                <w:u w:val="none"/>
                <w:lang w:bidi="ar"/>
              </w:rPr>
              <w:t>目罐底油泥</w:t>
            </w:r>
            <w:r>
              <w:rPr>
                <w:rFonts w:hint="default" w:ascii="Times New Roman" w:hAnsi="Times New Roman" w:eastAsia="宋体" w:cs="Times New Roman"/>
                <w:b w:val="0"/>
                <w:bCs w:val="0"/>
                <w:color w:val="000000"/>
                <w:kern w:val="2"/>
                <w:u w:val="none"/>
                <w:lang w:val="en-US" w:eastAsia="zh-CN" w:bidi="ar"/>
              </w:rPr>
              <w:t>及清洗废水</w:t>
            </w:r>
            <w:r>
              <w:rPr>
                <w:rFonts w:hint="default" w:ascii="Times New Roman" w:hAnsi="Times New Roman" w:eastAsia="宋体" w:cs="Times New Roman"/>
                <w:b w:val="0"/>
                <w:bCs w:val="0"/>
                <w:color w:val="000000"/>
                <w:kern w:val="2"/>
                <w:u w:val="none"/>
                <w:lang w:bidi="ar"/>
              </w:rPr>
              <w:t>交由专业单位</w:t>
            </w:r>
            <w:r>
              <w:rPr>
                <w:rFonts w:hint="default" w:ascii="Times New Roman" w:hAnsi="Times New Roman" w:eastAsia="宋体" w:cs="Times New Roman"/>
                <w:b w:val="0"/>
                <w:bCs w:val="0"/>
                <w:color w:val="000000"/>
                <w:kern w:val="2"/>
                <w:u w:val="none"/>
                <w:lang w:val="en-US" w:eastAsia="zh-CN" w:bidi="ar"/>
              </w:rPr>
              <w:t>清掏清洗</w:t>
            </w:r>
            <w:r>
              <w:rPr>
                <w:rFonts w:hint="default" w:ascii="Times New Roman" w:hAnsi="Times New Roman" w:eastAsia="宋体" w:cs="Times New Roman"/>
                <w:b w:val="0"/>
                <w:bCs w:val="0"/>
                <w:color w:val="000000"/>
                <w:u w:val="none"/>
              </w:rPr>
              <w:t>，</w:t>
            </w:r>
            <w:r>
              <w:rPr>
                <w:rFonts w:hint="default" w:ascii="Times New Roman" w:hAnsi="Times New Roman" w:eastAsia="宋体" w:cs="Times New Roman"/>
                <w:b w:val="0"/>
                <w:bCs w:val="0"/>
                <w:color w:val="000000"/>
                <w:u w:val="none"/>
                <w:lang w:val="en-US" w:eastAsia="zh-CN"/>
              </w:rPr>
              <w:t>集中收集后暂存于危废暂存间</w:t>
            </w:r>
            <w:r>
              <w:rPr>
                <w:rFonts w:hint="default" w:ascii="Times New Roman" w:hAnsi="Times New Roman" w:eastAsia="宋体" w:cs="Times New Roman"/>
                <w:b w:val="0"/>
                <w:bCs w:val="0"/>
                <w:color w:val="000000"/>
                <w:u w:val="none"/>
              </w:rPr>
              <w:t>，</w:t>
            </w:r>
            <w:r>
              <w:rPr>
                <w:rFonts w:hint="default" w:ascii="Times New Roman" w:hAnsi="Times New Roman" w:eastAsia="宋体" w:cs="Times New Roman"/>
                <w:b w:val="0"/>
                <w:bCs w:val="0"/>
                <w:color w:val="000000"/>
                <w:u w:val="none"/>
                <w:lang w:val="en-US" w:eastAsia="zh-CN"/>
              </w:rPr>
              <w:t>及时</w:t>
            </w:r>
            <w:r>
              <w:rPr>
                <w:rFonts w:hint="default" w:ascii="Times New Roman" w:hAnsi="Times New Roman" w:eastAsia="宋体" w:cs="Times New Roman"/>
                <w:b w:val="0"/>
                <w:bCs w:val="0"/>
                <w:color w:val="000000"/>
                <w:u w:val="none"/>
              </w:rPr>
              <w:t>交由有危险废物处置资质的单位进行处理。</w:t>
            </w:r>
          </w:p>
          <w:p>
            <w:pPr>
              <w:pStyle w:val="1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jc w:val="center"/>
              <w:textAlignment w:val="auto"/>
              <w:rPr>
                <w:rFonts w:ascii="Times New Roman" w:hAnsi="Times New Roman"/>
                <w:b/>
                <w:bCs/>
                <w:color w:val="000000"/>
                <w:kern w:val="2"/>
                <w:lang w:bidi="ar"/>
              </w:rPr>
            </w:pPr>
            <w:r>
              <w:rPr>
                <w:rFonts w:ascii="Times New Roman" w:hAnsi="Times New Roman"/>
                <w:b/>
                <w:bCs/>
                <w:color w:val="000000"/>
                <w:kern w:val="2"/>
                <w:lang w:bidi="ar"/>
              </w:rPr>
              <w:t>表</w:t>
            </w:r>
            <w:r>
              <w:rPr>
                <w:rFonts w:hint="eastAsia" w:ascii="Times New Roman" w:hAnsi="Times New Roman"/>
                <w:b/>
                <w:bCs/>
                <w:color w:val="000000"/>
                <w:kern w:val="2"/>
                <w:lang w:val="en-US" w:eastAsia="zh-CN" w:bidi="ar"/>
              </w:rPr>
              <w:t xml:space="preserve">43  </w:t>
            </w:r>
            <w:r>
              <w:rPr>
                <w:rFonts w:ascii="Times New Roman" w:hAnsi="Times New Roman"/>
                <w:b/>
                <w:bCs/>
                <w:color w:val="000000"/>
                <w:kern w:val="2"/>
                <w:lang w:bidi="ar"/>
              </w:rPr>
              <w:t xml:space="preserve">  本项目危险废物产生情况一览表</w:t>
            </w:r>
          </w:p>
          <w:tbl>
            <w:tblPr>
              <w:tblStyle w:val="21"/>
              <w:tblW w:w="8623" w:type="dxa"/>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957"/>
              <w:gridCol w:w="958"/>
              <w:gridCol w:w="958"/>
              <w:gridCol w:w="958"/>
              <w:gridCol w:w="958"/>
              <w:gridCol w:w="958"/>
              <w:gridCol w:w="694"/>
              <w:gridCol w:w="699"/>
              <w:gridCol w:w="14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957" w:type="dxa"/>
                  <w:noWrap w:val="0"/>
                  <w:vAlign w:val="center"/>
                </w:tcPr>
                <w:p>
                  <w:pPr>
                    <w:adjustRightInd w:val="0"/>
                    <w:snapToGrid w:val="0"/>
                    <w:jc w:val="center"/>
                    <w:rPr>
                      <w:b/>
                      <w:bCs/>
                      <w:color w:val="000000"/>
                      <w:lang w:bidi="ar"/>
                    </w:rPr>
                  </w:pPr>
                  <w:r>
                    <w:rPr>
                      <w:b/>
                      <w:bCs/>
                      <w:color w:val="000000"/>
                      <w:sz w:val="21"/>
                      <w:szCs w:val="21"/>
                      <w:lang w:bidi="ar"/>
                    </w:rPr>
                    <w:t>序号</w:t>
                  </w:r>
                </w:p>
              </w:tc>
              <w:tc>
                <w:tcPr>
                  <w:tcW w:w="958" w:type="dxa"/>
                  <w:noWrap w:val="0"/>
                  <w:vAlign w:val="center"/>
                </w:tcPr>
                <w:p>
                  <w:pPr>
                    <w:adjustRightInd w:val="0"/>
                    <w:snapToGrid w:val="0"/>
                    <w:jc w:val="center"/>
                    <w:rPr>
                      <w:b/>
                      <w:bCs/>
                      <w:color w:val="000000"/>
                      <w:lang w:bidi="ar"/>
                    </w:rPr>
                  </w:pPr>
                  <w:r>
                    <w:rPr>
                      <w:b/>
                      <w:bCs/>
                      <w:color w:val="000000"/>
                      <w:sz w:val="21"/>
                      <w:szCs w:val="21"/>
                      <w:lang w:bidi="ar"/>
                    </w:rPr>
                    <w:t>名称</w:t>
                  </w:r>
                </w:p>
              </w:tc>
              <w:tc>
                <w:tcPr>
                  <w:tcW w:w="958" w:type="dxa"/>
                  <w:noWrap w:val="0"/>
                  <w:vAlign w:val="center"/>
                </w:tcPr>
                <w:p>
                  <w:pPr>
                    <w:adjustRightInd w:val="0"/>
                    <w:snapToGrid w:val="0"/>
                    <w:jc w:val="center"/>
                    <w:rPr>
                      <w:b/>
                      <w:bCs/>
                      <w:color w:val="000000"/>
                      <w:lang w:bidi="ar"/>
                    </w:rPr>
                  </w:pPr>
                  <w:r>
                    <w:rPr>
                      <w:b/>
                      <w:bCs/>
                      <w:color w:val="000000"/>
                      <w:sz w:val="21"/>
                      <w:szCs w:val="21"/>
                      <w:lang w:bidi="ar"/>
                    </w:rPr>
                    <w:t>废物类别</w:t>
                  </w:r>
                </w:p>
              </w:tc>
              <w:tc>
                <w:tcPr>
                  <w:tcW w:w="958" w:type="dxa"/>
                  <w:noWrap w:val="0"/>
                  <w:vAlign w:val="center"/>
                </w:tcPr>
                <w:p>
                  <w:pPr>
                    <w:adjustRightInd w:val="0"/>
                    <w:snapToGrid w:val="0"/>
                    <w:jc w:val="center"/>
                    <w:rPr>
                      <w:b/>
                      <w:bCs/>
                      <w:color w:val="000000"/>
                      <w:lang w:bidi="ar"/>
                    </w:rPr>
                  </w:pPr>
                  <w:r>
                    <w:rPr>
                      <w:b/>
                      <w:bCs/>
                      <w:color w:val="000000"/>
                      <w:sz w:val="21"/>
                      <w:szCs w:val="21"/>
                    </w:rPr>
                    <w:t>废物代码</w:t>
                  </w:r>
                </w:p>
              </w:tc>
              <w:tc>
                <w:tcPr>
                  <w:tcW w:w="958" w:type="dxa"/>
                  <w:noWrap w:val="0"/>
                  <w:vAlign w:val="center"/>
                </w:tcPr>
                <w:p>
                  <w:pPr>
                    <w:adjustRightInd w:val="0"/>
                    <w:snapToGrid w:val="0"/>
                    <w:jc w:val="center"/>
                    <w:rPr>
                      <w:b/>
                      <w:bCs/>
                      <w:color w:val="000000"/>
                      <w:lang w:bidi="ar"/>
                    </w:rPr>
                  </w:pPr>
                  <w:r>
                    <w:rPr>
                      <w:b/>
                      <w:bCs/>
                      <w:color w:val="000000"/>
                      <w:sz w:val="21"/>
                      <w:szCs w:val="21"/>
                      <w:lang w:bidi="ar"/>
                    </w:rPr>
                    <w:t>产生量</w:t>
                  </w:r>
                </w:p>
              </w:tc>
              <w:tc>
                <w:tcPr>
                  <w:tcW w:w="958" w:type="dxa"/>
                  <w:noWrap w:val="0"/>
                  <w:vAlign w:val="center"/>
                </w:tcPr>
                <w:p>
                  <w:pPr>
                    <w:adjustRightInd w:val="0"/>
                    <w:snapToGrid w:val="0"/>
                    <w:jc w:val="center"/>
                    <w:rPr>
                      <w:b/>
                      <w:bCs/>
                      <w:color w:val="000000"/>
                      <w:lang w:bidi="ar"/>
                    </w:rPr>
                  </w:pPr>
                  <w:r>
                    <w:rPr>
                      <w:b/>
                      <w:bCs/>
                      <w:color w:val="000000"/>
                      <w:sz w:val="21"/>
                      <w:szCs w:val="21"/>
                      <w:lang w:bidi="ar"/>
                    </w:rPr>
                    <w:t>产生工序</w:t>
                  </w:r>
                </w:p>
              </w:tc>
              <w:tc>
                <w:tcPr>
                  <w:tcW w:w="694" w:type="dxa"/>
                  <w:noWrap w:val="0"/>
                  <w:vAlign w:val="center"/>
                </w:tcPr>
                <w:p>
                  <w:pPr>
                    <w:adjustRightInd w:val="0"/>
                    <w:snapToGrid w:val="0"/>
                    <w:jc w:val="center"/>
                    <w:rPr>
                      <w:b/>
                      <w:bCs/>
                      <w:color w:val="000000"/>
                      <w:lang w:bidi="ar"/>
                    </w:rPr>
                  </w:pPr>
                  <w:r>
                    <w:rPr>
                      <w:b/>
                      <w:bCs/>
                      <w:color w:val="000000"/>
                      <w:sz w:val="21"/>
                      <w:szCs w:val="21"/>
                      <w:lang w:bidi="ar"/>
                    </w:rPr>
                    <w:t>形态</w:t>
                  </w:r>
                </w:p>
              </w:tc>
              <w:tc>
                <w:tcPr>
                  <w:tcW w:w="699" w:type="dxa"/>
                  <w:noWrap w:val="0"/>
                  <w:vAlign w:val="center"/>
                </w:tcPr>
                <w:p>
                  <w:pPr>
                    <w:adjustRightInd w:val="0"/>
                    <w:snapToGrid w:val="0"/>
                    <w:jc w:val="center"/>
                    <w:rPr>
                      <w:b/>
                      <w:bCs/>
                      <w:color w:val="000000"/>
                      <w:lang w:bidi="ar"/>
                    </w:rPr>
                  </w:pPr>
                  <w:r>
                    <w:rPr>
                      <w:b/>
                      <w:bCs/>
                      <w:color w:val="000000"/>
                      <w:sz w:val="21"/>
                      <w:szCs w:val="21"/>
                      <w:lang w:bidi="ar"/>
                    </w:rPr>
                    <w:t>危险特性</w:t>
                  </w:r>
                </w:p>
              </w:tc>
              <w:tc>
                <w:tcPr>
                  <w:tcW w:w="1483" w:type="dxa"/>
                  <w:noWrap w:val="0"/>
                  <w:vAlign w:val="center"/>
                </w:tcPr>
                <w:p>
                  <w:pPr>
                    <w:adjustRightInd w:val="0"/>
                    <w:snapToGrid w:val="0"/>
                    <w:jc w:val="center"/>
                    <w:rPr>
                      <w:b/>
                      <w:bCs/>
                      <w:color w:val="000000"/>
                      <w:lang w:bidi="ar"/>
                    </w:rPr>
                  </w:pPr>
                  <w:r>
                    <w:rPr>
                      <w:b/>
                      <w:bCs/>
                      <w:color w:val="000000"/>
                      <w:sz w:val="21"/>
                      <w:szCs w:val="21"/>
                      <w:lang w:bidi="ar"/>
                    </w:rPr>
                    <w:t>防治措施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957" w:type="dxa"/>
                  <w:noWrap w:val="0"/>
                  <w:vAlign w:val="center"/>
                </w:tcPr>
                <w:p>
                  <w:pPr>
                    <w:adjustRightInd w:val="0"/>
                    <w:snapToGrid w:val="0"/>
                    <w:jc w:val="center"/>
                    <w:rPr>
                      <w:b/>
                      <w:bCs/>
                      <w:color w:val="000000"/>
                      <w:lang w:bidi="ar"/>
                    </w:rPr>
                  </w:pPr>
                  <w:r>
                    <w:rPr>
                      <w:color w:val="000000"/>
                      <w:sz w:val="21"/>
                      <w:szCs w:val="21"/>
                      <w:lang w:bidi="ar"/>
                    </w:rPr>
                    <w:t>1</w:t>
                  </w:r>
                </w:p>
              </w:tc>
              <w:tc>
                <w:tcPr>
                  <w:tcW w:w="958" w:type="dxa"/>
                  <w:noWrap w:val="0"/>
                  <w:vAlign w:val="center"/>
                </w:tcPr>
                <w:p>
                  <w:pPr>
                    <w:adjustRightInd w:val="0"/>
                    <w:snapToGrid w:val="0"/>
                    <w:jc w:val="center"/>
                    <w:rPr>
                      <w:rFonts w:hint="eastAsia" w:eastAsia="宋体"/>
                      <w:b/>
                      <w:bCs/>
                      <w:color w:val="000000"/>
                      <w:lang w:eastAsia="zh-CN" w:bidi="ar"/>
                    </w:rPr>
                  </w:pPr>
                  <w:r>
                    <w:rPr>
                      <w:snapToGrid w:val="0"/>
                      <w:color w:val="000000"/>
                      <w:kern w:val="0"/>
                      <w:sz w:val="21"/>
                      <w:szCs w:val="21"/>
                      <w:lang w:bidi="ar"/>
                    </w:rPr>
                    <w:t>罐底油泥</w:t>
                  </w:r>
                </w:p>
              </w:tc>
              <w:tc>
                <w:tcPr>
                  <w:tcW w:w="958" w:type="dxa"/>
                  <w:noWrap w:val="0"/>
                  <w:vAlign w:val="center"/>
                </w:tcPr>
                <w:p>
                  <w:pPr>
                    <w:adjustRightInd w:val="0"/>
                    <w:snapToGrid w:val="0"/>
                    <w:jc w:val="center"/>
                    <w:rPr>
                      <w:b/>
                      <w:bCs/>
                      <w:color w:val="000000"/>
                      <w:lang w:bidi="ar"/>
                    </w:rPr>
                  </w:pPr>
                  <w:r>
                    <w:rPr>
                      <w:snapToGrid w:val="0"/>
                      <w:color w:val="000000"/>
                      <w:kern w:val="0"/>
                      <w:sz w:val="21"/>
                      <w:szCs w:val="21"/>
                      <w:lang w:bidi="ar"/>
                    </w:rPr>
                    <w:t>HW08</w:t>
                  </w:r>
                </w:p>
              </w:tc>
              <w:tc>
                <w:tcPr>
                  <w:tcW w:w="958" w:type="dxa"/>
                  <w:noWrap w:val="0"/>
                  <w:vAlign w:val="center"/>
                </w:tcPr>
                <w:p>
                  <w:pPr>
                    <w:adjustRightInd w:val="0"/>
                    <w:snapToGrid w:val="0"/>
                    <w:jc w:val="center"/>
                    <w:rPr>
                      <w:b/>
                      <w:bCs/>
                      <w:color w:val="000000"/>
                      <w:lang w:bidi="ar"/>
                    </w:rPr>
                  </w:pPr>
                  <w:r>
                    <w:rPr>
                      <w:snapToGrid w:val="0"/>
                      <w:color w:val="000000"/>
                      <w:kern w:val="0"/>
                      <w:sz w:val="21"/>
                      <w:szCs w:val="21"/>
                    </w:rPr>
                    <w:t>900-249-08</w:t>
                  </w:r>
                </w:p>
              </w:tc>
              <w:tc>
                <w:tcPr>
                  <w:tcW w:w="958" w:type="dxa"/>
                  <w:noWrap w:val="0"/>
                  <w:vAlign w:val="center"/>
                </w:tcPr>
                <w:p>
                  <w:pPr>
                    <w:adjustRightInd w:val="0"/>
                    <w:snapToGrid w:val="0"/>
                    <w:jc w:val="center"/>
                    <w:rPr>
                      <w:b/>
                      <w:bCs/>
                      <w:color w:val="000000"/>
                      <w:lang w:bidi="ar"/>
                    </w:rPr>
                  </w:pPr>
                  <w:r>
                    <w:rPr>
                      <w:rFonts w:hint="eastAsia"/>
                      <w:snapToGrid w:val="0"/>
                      <w:color w:val="000000"/>
                      <w:kern w:val="0"/>
                      <w:sz w:val="21"/>
                      <w:szCs w:val="21"/>
                      <w:lang w:val="en-US" w:eastAsia="zh-CN" w:bidi="ar"/>
                    </w:rPr>
                    <w:t>0.44</w:t>
                  </w:r>
                  <w:r>
                    <w:rPr>
                      <w:snapToGrid w:val="0"/>
                      <w:color w:val="000000"/>
                      <w:kern w:val="0"/>
                      <w:sz w:val="21"/>
                      <w:szCs w:val="21"/>
                      <w:lang w:bidi="ar"/>
                    </w:rPr>
                    <w:t>t/</w:t>
                  </w:r>
                  <w:r>
                    <w:rPr>
                      <w:rFonts w:hint="eastAsia"/>
                      <w:snapToGrid w:val="0"/>
                      <w:color w:val="000000"/>
                      <w:kern w:val="0"/>
                      <w:sz w:val="21"/>
                      <w:szCs w:val="21"/>
                      <w:lang w:val="en-US" w:eastAsia="zh-CN" w:bidi="ar"/>
                    </w:rPr>
                    <w:t>5</w:t>
                  </w:r>
                  <w:r>
                    <w:rPr>
                      <w:snapToGrid w:val="0"/>
                      <w:color w:val="000000"/>
                      <w:kern w:val="0"/>
                      <w:sz w:val="21"/>
                      <w:szCs w:val="21"/>
                      <w:lang w:bidi="ar"/>
                    </w:rPr>
                    <w:t>a</w:t>
                  </w:r>
                </w:p>
              </w:tc>
              <w:tc>
                <w:tcPr>
                  <w:tcW w:w="958" w:type="dxa"/>
                  <w:noWrap w:val="0"/>
                  <w:vAlign w:val="center"/>
                </w:tcPr>
                <w:p>
                  <w:pPr>
                    <w:adjustRightInd w:val="0"/>
                    <w:snapToGrid w:val="0"/>
                    <w:jc w:val="center"/>
                    <w:rPr>
                      <w:b/>
                      <w:bCs/>
                      <w:color w:val="000000"/>
                      <w:lang w:bidi="ar"/>
                    </w:rPr>
                  </w:pPr>
                  <w:r>
                    <w:rPr>
                      <w:snapToGrid w:val="0"/>
                      <w:color w:val="000000"/>
                      <w:kern w:val="0"/>
                      <w:sz w:val="21"/>
                      <w:szCs w:val="21"/>
                      <w:lang w:bidi="ar"/>
                    </w:rPr>
                    <w:t>油罐</w:t>
                  </w:r>
                  <w:r>
                    <w:rPr>
                      <w:rFonts w:hint="eastAsia"/>
                      <w:snapToGrid w:val="0"/>
                      <w:color w:val="000000"/>
                      <w:kern w:val="0"/>
                      <w:sz w:val="21"/>
                      <w:szCs w:val="21"/>
                      <w:lang w:val="en-US" w:eastAsia="zh-CN" w:bidi="ar"/>
                    </w:rPr>
                    <w:t>清掏</w:t>
                  </w:r>
                  <w:r>
                    <w:rPr>
                      <w:snapToGrid w:val="0"/>
                      <w:color w:val="000000"/>
                      <w:kern w:val="0"/>
                      <w:sz w:val="21"/>
                      <w:szCs w:val="21"/>
                      <w:lang w:bidi="ar"/>
                    </w:rPr>
                    <w:t>工序</w:t>
                  </w:r>
                </w:p>
              </w:tc>
              <w:tc>
                <w:tcPr>
                  <w:tcW w:w="694" w:type="dxa"/>
                  <w:noWrap w:val="0"/>
                  <w:vAlign w:val="center"/>
                </w:tcPr>
                <w:p>
                  <w:pPr>
                    <w:adjustRightInd w:val="0"/>
                    <w:snapToGrid w:val="0"/>
                    <w:jc w:val="center"/>
                    <w:rPr>
                      <w:b/>
                      <w:bCs/>
                      <w:color w:val="000000"/>
                      <w:lang w:bidi="ar"/>
                    </w:rPr>
                  </w:pPr>
                  <w:r>
                    <w:rPr>
                      <w:snapToGrid w:val="0"/>
                      <w:color w:val="000000"/>
                      <w:kern w:val="0"/>
                      <w:sz w:val="21"/>
                      <w:szCs w:val="21"/>
                      <w:lang w:bidi="ar"/>
                    </w:rPr>
                    <w:t>固态</w:t>
                  </w:r>
                </w:p>
              </w:tc>
              <w:tc>
                <w:tcPr>
                  <w:tcW w:w="699" w:type="dxa"/>
                  <w:noWrap w:val="0"/>
                  <w:vAlign w:val="center"/>
                </w:tcPr>
                <w:p>
                  <w:pPr>
                    <w:adjustRightInd w:val="0"/>
                    <w:snapToGrid w:val="0"/>
                    <w:jc w:val="center"/>
                    <w:rPr>
                      <w:b/>
                      <w:bCs/>
                      <w:color w:val="000000"/>
                      <w:lang w:bidi="ar"/>
                    </w:rPr>
                  </w:pPr>
                  <w:r>
                    <w:rPr>
                      <w:snapToGrid w:val="0"/>
                      <w:color w:val="000000"/>
                      <w:kern w:val="0"/>
                      <w:sz w:val="21"/>
                      <w:szCs w:val="21"/>
                      <w:lang w:bidi="ar"/>
                    </w:rPr>
                    <w:t>毒性、易燃性</w:t>
                  </w:r>
                </w:p>
              </w:tc>
              <w:tc>
                <w:tcPr>
                  <w:tcW w:w="1483" w:type="dxa"/>
                  <w:vMerge w:val="restart"/>
                  <w:noWrap w:val="0"/>
                  <w:vAlign w:val="center"/>
                </w:tcPr>
                <w:p>
                  <w:pPr>
                    <w:adjustRightInd w:val="0"/>
                    <w:snapToGrid w:val="0"/>
                    <w:jc w:val="center"/>
                    <w:rPr>
                      <w:b/>
                      <w:bCs/>
                      <w:color w:val="000000"/>
                      <w:lang w:bidi="ar"/>
                    </w:rPr>
                  </w:pPr>
                  <w:r>
                    <w:rPr>
                      <w:rFonts w:hint="eastAsia"/>
                      <w:color w:val="000000"/>
                      <w:sz w:val="21"/>
                      <w:szCs w:val="21"/>
                      <w:lang w:val="en-US" w:eastAsia="zh-CN"/>
                    </w:rPr>
                    <w:t>暂存于危废暂存间</w:t>
                  </w:r>
                  <w:r>
                    <w:rPr>
                      <w:rFonts w:hint="eastAsia"/>
                      <w:color w:val="000000"/>
                      <w:sz w:val="21"/>
                      <w:szCs w:val="21"/>
                    </w:rPr>
                    <w:t>，</w:t>
                  </w:r>
                  <w:r>
                    <w:rPr>
                      <w:rFonts w:hint="eastAsia"/>
                      <w:color w:val="000000"/>
                      <w:sz w:val="21"/>
                      <w:szCs w:val="21"/>
                      <w:lang w:val="en-US" w:eastAsia="zh-CN"/>
                    </w:rPr>
                    <w:t>及时</w:t>
                  </w:r>
                  <w:r>
                    <w:rPr>
                      <w:rFonts w:hint="eastAsia"/>
                      <w:color w:val="000000"/>
                      <w:sz w:val="21"/>
                      <w:szCs w:val="21"/>
                    </w:rPr>
                    <w:t>交由有危险废物处置资质的单位进行处理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957" w:type="dxa"/>
                  <w:noWrap w:val="0"/>
                  <w:vAlign w:val="center"/>
                </w:tcPr>
                <w:p>
                  <w:pPr>
                    <w:adjustRightInd w:val="0"/>
                    <w:snapToGrid w:val="0"/>
                    <w:jc w:val="center"/>
                    <w:rPr>
                      <w:rFonts w:hint="default" w:eastAsia="宋体"/>
                      <w:color w:val="000000"/>
                      <w:sz w:val="21"/>
                      <w:szCs w:val="21"/>
                      <w:lang w:val="en-US" w:eastAsia="zh-CN" w:bidi="ar"/>
                    </w:rPr>
                  </w:pPr>
                  <w:r>
                    <w:rPr>
                      <w:rFonts w:hint="eastAsia"/>
                      <w:color w:val="000000"/>
                      <w:sz w:val="21"/>
                      <w:szCs w:val="21"/>
                      <w:lang w:val="en-US" w:eastAsia="zh-CN" w:bidi="ar"/>
                    </w:rPr>
                    <w:t>2</w:t>
                  </w:r>
                </w:p>
              </w:tc>
              <w:tc>
                <w:tcPr>
                  <w:tcW w:w="958" w:type="dxa"/>
                  <w:noWrap w:val="0"/>
                  <w:vAlign w:val="center"/>
                </w:tcPr>
                <w:p>
                  <w:pPr>
                    <w:adjustRightInd w:val="0"/>
                    <w:snapToGrid w:val="0"/>
                    <w:jc w:val="center"/>
                    <w:rPr>
                      <w:snapToGrid w:val="0"/>
                      <w:color w:val="000000"/>
                      <w:kern w:val="0"/>
                      <w:sz w:val="21"/>
                      <w:szCs w:val="21"/>
                      <w:lang w:bidi="ar"/>
                    </w:rPr>
                  </w:pPr>
                  <w:r>
                    <w:rPr>
                      <w:rFonts w:hint="eastAsia"/>
                      <w:color w:val="000000"/>
                      <w:sz w:val="21"/>
                      <w:szCs w:val="21"/>
                      <w:lang w:val="en-US" w:eastAsia="zh-CN" w:bidi="ar"/>
                    </w:rPr>
                    <w:t>清罐废水</w:t>
                  </w:r>
                </w:p>
              </w:tc>
              <w:tc>
                <w:tcPr>
                  <w:tcW w:w="958" w:type="dxa"/>
                  <w:noWrap w:val="0"/>
                  <w:vAlign w:val="center"/>
                </w:tcPr>
                <w:p>
                  <w:pPr>
                    <w:adjustRightInd w:val="0"/>
                    <w:snapToGrid w:val="0"/>
                    <w:jc w:val="center"/>
                    <w:rPr>
                      <w:rFonts w:ascii="Times New Roman" w:hAnsi="Times New Roman" w:eastAsia="宋体" w:cs="Times New Roman"/>
                      <w:b/>
                      <w:bCs/>
                      <w:color w:val="000000"/>
                      <w:kern w:val="2"/>
                      <w:sz w:val="21"/>
                      <w:szCs w:val="24"/>
                      <w:lang w:val="en-US" w:eastAsia="zh-CN" w:bidi="ar"/>
                    </w:rPr>
                  </w:pPr>
                  <w:r>
                    <w:rPr>
                      <w:snapToGrid w:val="0"/>
                      <w:color w:val="000000"/>
                      <w:kern w:val="0"/>
                      <w:sz w:val="21"/>
                      <w:szCs w:val="21"/>
                      <w:lang w:bidi="ar"/>
                    </w:rPr>
                    <w:t>HW08</w:t>
                  </w:r>
                </w:p>
              </w:tc>
              <w:tc>
                <w:tcPr>
                  <w:tcW w:w="958" w:type="dxa"/>
                  <w:noWrap w:val="0"/>
                  <w:vAlign w:val="center"/>
                </w:tcPr>
                <w:p>
                  <w:pPr>
                    <w:adjustRightInd w:val="0"/>
                    <w:snapToGrid w:val="0"/>
                    <w:jc w:val="center"/>
                    <w:rPr>
                      <w:rFonts w:ascii="Times New Roman" w:hAnsi="Times New Roman" w:eastAsia="宋体" w:cs="Times New Roman"/>
                      <w:b/>
                      <w:bCs/>
                      <w:color w:val="000000"/>
                      <w:kern w:val="2"/>
                      <w:sz w:val="21"/>
                      <w:szCs w:val="24"/>
                      <w:lang w:val="en-US" w:eastAsia="zh-CN" w:bidi="ar"/>
                    </w:rPr>
                  </w:pPr>
                  <w:r>
                    <w:rPr>
                      <w:snapToGrid w:val="0"/>
                      <w:color w:val="000000"/>
                      <w:kern w:val="0"/>
                      <w:sz w:val="21"/>
                      <w:szCs w:val="21"/>
                    </w:rPr>
                    <w:t>900-249-08</w:t>
                  </w:r>
                </w:p>
              </w:tc>
              <w:tc>
                <w:tcPr>
                  <w:tcW w:w="958" w:type="dxa"/>
                  <w:noWrap w:val="0"/>
                  <w:vAlign w:val="center"/>
                </w:tcPr>
                <w:p>
                  <w:pPr>
                    <w:adjustRightInd w:val="0"/>
                    <w:snapToGrid w:val="0"/>
                    <w:jc w:val="center"/>
                    <w:rPr>
                      <w:snapToGrid w:val="0"/>
                      <w:color w:val="000000"/>
                      <w:kern w:val="0"/>
                      <w:sz w:val="21"/>
                      <w:szCs w:val="21"/>
                      <w:lang w:bidi="ar"/>
                    </w:rPr>
                  </w:pPr>
                  <w:r>
                    <w:rPr>
                      <w:rFonts w:hint="eastAsia"/>
                      <w:color w:val="000000"/>
                      <w:sz w:val="24"/>
                      <w:szCs w:val="24"/>
                      <w:lang w:val="en-US" w:eastAsia="zh-CN"/>
                    </w:rPr>
                    <w:t>1</w:t>
                  </w:r>
                  <w:r>
                    <w:rPr>
                      <w:rFonts w:hint="eastAsia"/>
                      <w:color w:val="000000"/>
                      <w:sz w:val="24"/>
                      <w:szCs w:val="24"/>
                    </w:rPr>
                    <w:t>t/</w:t>
                  </w:r>
                  <w:r>
                    <w:rPr>
                      <w:rFonts w:hint="eastAsia"/>
                      <w:color w:val="000000"/>
                      <w:sz w:val="24"/>
                      <w:szCs w:val="24"/>
                      <w:lang w:val="en-US" w:eastAsia="zh-CN"/>
                    </w:rPr>
                    <w:t>5a</w:t>
                  </w:r>
                </w:p>
              </w:tc>
              <w:tc>
                <w:tcPr>
                  <w:tcW w:w="958" w:type="dxa"/>
                  <w:noWrap w:val="0"/>
                  <w:vAlign w:val="center"/>
                </w:tcPr>
                <w:p>
                  <w:pPr>
                    <w:adjustRightInd w:val="0"/>
                    <w:snapToGrid w:val="0"/>
                    <w:jc w:val="center"/>
                    <w:rPr>
                      <w:snapToGrid w:val="0"/>
                      <w:color w:val="000000"/>
                      <w:kern w:val="0"/>
                      <w:sz w:val="21"/>
                      <w:szCs w:val="21"/>
                      <w:lang w:bidi="ar"/>
                    </w:rPr>
                  </w:pPr>
                  <w:r>
                    <w:rPr>
                      <w:snapToGrid w:val="0"/>
                      <w:color w:val="000000"/>
                      <w:kern w:val="0"/>
                      <w:sz w:val="21"/>
                      <w:szCs w:val="21"/>
                      <w:lang w:bidi="ar"/>
                    </w:rPr>
                    <w:t>油罐</w:t>
                  </w:r>
                  <w:r>
                    <w:rPr>
                      <w:rFonts w:hint="eastAsia"/>
                      <w:snapToGrid w:val="0"/>
                      <w:color w:val="000000"/>
                      <w:kern w:val="0"/>
                      <w:sz w:val="21"/>
                      <w:szCs w:val="21"/>
                      <w:lang w:val="en-US" w:eastAsia="zh-CN" w:bidi="ar"/>
                    </w:rPr>
                    <w:t>清洗</w:t>
                  </w:r>
                  <w:r>
                    <w:rPr>
                      <w:snapToGrid w:val="0"/>
                      <w:color w:val="000000"/>
                      <w:kern w:val="0"/>
                      <w:sz w:val="21"/>
                      <w:szCs w:val="21"/>
                      <w:lang w:bidi="ar"/>
                    </w:rPr>
                    <w:t>工序</w:t>
                  </w:r>
                </w:p>
              </w:tc>
              <w:tc>
                <w:tcPr>
                  <w:tcW w:w="694" w:type="dxa"/>
                  <w:noWrap w:val="0"/>
                  <w:vAlign w:val="center"/>
                </w:tcPr>
                <w:p>
                  <w:pPr>
                    <w:adjustRightInd w:val="0"/>
                    <w:snapToGrid w:val="0"/>
                    <w:jc w:val="center"/>
                    <w:rPr>
                      <w:rFonts w:hint="eastAsia" w:eastAsia="宋体"/>
                      <w:snapToGrid w:val="0"/>
                      <w:color w:val="000000"/>
                      <w:kern w:val="0"/>
                      <w:sz w:val="21"/>
                      <w:szCs w:val="21"/>
                      <w:lang w:val="en-US" w:eastAsia="zh-CN" w:bidi="ar"/>
                    </w:rPr>
                  </w:pPr>
                  <w:r>
                    <w:rPr>
                      <w:rFonts w:hint="eastAsia"/>
                      <w:snapToGrid w:val="0"/>
                      <w:color w:val="000000"/>
                      <w:kern w:val="0"/>
                      <w:sz w:val="21"/>
                      <w:szCs w:val="21"/>
                      <w:lang w:val="en-US" w:eastAsia="zh-CN" w:bidi="ar"/>
                    </w:rPr>
                    <w:t>液态</w:t>
                  </w:r>
                </w:p>
              </w:tc>
              <w:tc>
                <w:tcPr>
                  <w:tcW w:w="699" w:type="dxa"/>
                  <w:noWrap w:val="0"/>
                  <w:vAlign w:val="center"/>
                </w:tcPr>
                <w:p>
                  <w:pPr>
                    <w:adjustRightInd w:val="0"/>
                    <w:snapToGrid w:val="0"/>
                    <w:jc w:val="center"/>
                    <w:rPr>
                      <w:snapToGrid w:val="0"/>
                      <w:color w:val="000000"/>
                      <w:kern w:val="0"/>
                      <w:sz w:val="21"/>
                      <w:szCs w:val="21"/>
                      <w:lang w:bidi="ar"/>
                    </w:rPr>
                  </w:pPr>
                  <w:r>
                    <w:rPr>
                      <w:snapToGrid w:val="0"/>
                      <w:color w:val="000000"/>
                      <w:kern w:val="0"/>
                      <w:sz w:val="21"/>
                      <w:szCs w:val="21"/>
                      <w:lang w:bidi="ar"/>
                    </w:rPr>
                    <w:t>毒性</w:t>
                  </w:r>
                </w:p>
              </w:tc>
              <w:tc>
                <w:tcPr>
                  <w:tcW w:w="1483" w:type="dxa"/>
                  <w:vMerge w:val="continue"/>
                  <w:noWrap w:val="0"/>
                  <w:vAlign w:val="center"/>
                </w:tcPr>
                <w:p>
                  <w:pPr>
                    <w:adjustRightInd w:val="0"/>
                    <w:snapToGrid w:val="0"/>
                    <w:jc w:val="center"/>
                    <w:rPr>
                      <w:rFonts w:hint="eastAsia"/>
                      <w:color w:val="000000"/>
                      <w:sz w:val="21"/>
                      <w:szCs w:val="21"/>
                      <w:lang w:val="en-US" w:eastAsia="zh-CN"/>
                    </w:rPr>
                  </w:pPr>
                </w:p>
              </w:tc>
            </w:tr>
          </w:tbl>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bCs/>
                <w:color w:val="auto"/>
                <w:sz w:val="24"/>
                <w:highlight w:val="none"/>
              </w:rPr>
            </w:pPr>
            <w:r>
              <w:rPr>
                <w:bCs/>
                <w:color w:val="auto"/>
                <w:sz w:val="24"/>
                <w:highlight w:val="none"/>
              </w:rPr>
              <w:t>项目产生的危险废物应收集后妥善处理，不得外排</w:t>
            </w:r>
            <w:r>
              <w:rPr>
                <w:rFonts w:hint="eastAsia"/>
                <w:bCs/>
                <w:color w:val="auto"/>
                <w:sz w:val="24"/>
                <w:highlight w:val="none"/>
              </w:rPr>
              <w:t>；</w:t>
            </w:r>
            <w:r>
              <w:rPr>
                <w:bCs/>
                <w:color w:val="auto"/>
                <w:sz w:val="24"/>
                <w:highlight w:val="none"/>
              </w:rPr>
              <w:t>危险废物要放入符合标准的收集桶内，加上标签</w:t>
            </w:r>
            <w:r>
              <w:rPr>
                <w:rFonts w:hint="eastAsia"/>
                <w:bCs/>
                <w:color w:val="auto"/>
                <w:sz w:val="24"/>
                <w:highlight w:val="none"/>
              </w:rPr>
              <w:t>，</w:t>
            </w:r>
            <w:r>
              <w:rPr>
                <w:bCs/>
                <w:color w:val="auto"/>
                <w:sz w:val="24"/>
                <w:highlight w:val="none"/>
              </w:rPr>
              <w:t>收集桶</w:t>
            </w:r>
            <w:r>
              <w:rPr>
                <w:rFonts w:hint="eastAsia"/>
                <w:bCs/>
                <w:color w:val="auto"/>
                <w:sz w:val="24"/>
                <w:highlight w:val="none"/>
              </w:rPr>
              <w:t>应</w:t>
            </w:r>
            <w:r>
              <w:rPr>
                <w:bCs/>
                <w:color w:val="auto"/>
                <w:sz w:val="24"/>
                <w:highlight w:val="none"/>
              </w:rPr>
              <w:t>放入采取“</w:t>
            </w:r>
            <w:r>
              <w:rPr>
                <w:rFonts w:hint="eastAsia"/>
                <w:bCs/>
                <w:color w:val="auto"/>
                <w:sz w:val="24"/>
                <w:highlight w:val="none"/>
              </w:rPr>
              <w:t>四</w:t>
            </w:r>
            <w:r>
              <w:rPr>
                <w:bCs/>
                <w:color w:val="auto"/>
                <w:sz w:val="24"/>
                <w:highlight w:val="none"/>
              </w:rPr>
              <w:t>防”措施的危废</w:t>
            </w:r>
            <w:r>
              <w:rPr>
                <w:rFonts w:hint="eastAsia"/>
                <w:bCs/>
                <w:color w:val="auto"/>
                <w:sz w:val="24"/>
                <w:highlight w:val="none"/>
              </w:rPr>
              <w:t>暂存</w:t>
            </w:r>
            <w:r>
              <w:rPr>
                <w:bCs/>
                <w:color w:val="auto"/>
                <w:sz w:val="24"/>
                <w:highlight w:val="none"/>
              </w:rPr>
              <w:t>间内</w:t>
            </w:r>
            <w:r>
              <w:rPr>
                <w:rFonts w:hint="eastAsia"/>
                <w:bCs/>
                <w:color w:val="auto"/>
                <w:sz w:val="24"/>
                <w:highlight w:val="none"/>
              </w:rPr>
              <w:t>，</w:t>
            </w:r>
            <w:r>
              <w:rPr>
                <w:bCs/>
                <w:color w:val="auto"/>
                <w:sz w:val="24"/>
                <w:highlight w:val="none"/>
              </w:rPr>
              <w:t>满足</w:t>
            </w:r>
            <w:r>
              <w:rPr>
                <w:color w:val="auto"/>
                <w:sz w:val="24"/>
                <w:highlight w:val="none"/>
              </w:rPr>
              <w:t>《</w:t>
            </w:r>
            <w:r>
              <w:rPr>
                <w:rFonts w:hint="eastAsia"/>
                <w:color w:val="auto"/>
                <w:sz w:val="24"/>
                <w:highlight w:val="none"/>
              </w:rPr>
              <w:t>危险</w:t>
            </w:r>
            <w:r>
              <w:rPr>
                <w:color w:val="auto"/>
                <w:sz w:val="24"/>
                <w:highlight w:val="none"/>
              </w:rPr>
              <w:t>废物贮存污染控制标准》（GB1859</w:t>
            </w:r>
            <w:r>
              <w:rPr>
                <w:rFonts w:hint="eastAsia"/>
                <w:color w:val="auto"/>
                <w:sz w:val="24"/>
                <w:highlight w:val="none"/>
              </w:rPr>
              <w:t>7</w:t>
            </w:r>
            <w:r>
              <w:rPr>
                <w:color w:val="auto"/>
                <w:sz w:val="24"/>
                <w:highlight w:val="none"/>
              </w:rPr>
              <w:t>-2001）及2013修改单的要求</w:t>
            </w:r>
            <w:r>
              <w:rPr>
                <w:bCs/>
                <w:color w:val="auto"/>
                <w:sz w:val="24"/>
                <w:highlight w:val="none"/>
              </w:rPr>
              <w:t>。</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rFonts w:hint="default" w:ascii="Times New Roman" w:hAnsi="Times New Roman" w:cs="Times New Roman"/>
                <w:bCs/>
                <w:color w:val="auto"/>
                <w:sz w:val="24"/>
                <w:highlight w:val="none"/>
              </w:rPr>
            </w:pPr>
            <w:r>
              <w:rPr>
                <w:rFonts w:hint="eastAsia"/>
                <w:bCs/>
                <w:color w:val="auto"/>
                <w:sz w:val="24"/>
                <w:highlight w:val="none"/>
              </w:rPr>
              <w:t>本项目</w:t>
            </w:r>
            <w:r>
              <w:rPr>
                <w:bCs/>
                <w:color w:val="auto"/>
                <w:sz w:val="24"/>
                <w:highlight w:val="none"/>
              </w:rPr>
              <w:t>危废</w:t>
            </w:r>
            <w:r>
              <w:rPr>
                <w:rFonts w:hint="eastAsia"/>
                <w:bCs/>
                <w:color w:val="auto"/>
                <w:sz w:val="24"/>
                <w:highlight w:val="none"/>
              </w:rPr>
              <w:t>暂存</w:t>
            </w:r>
            <w:r>
              <w:rPr>
                <w:bCs/>
                <w:color w:val="auto"/>
                <w:sz w:val="24"/>
                <w:highlight w:val="none"/>
              </w:rPr>
              <w:t>间面积不</w:t>
            </w:r>
            <w:r>
              <w:rPr>
                <w:rFonts w:hint="eastAsia"/>
                <w:bCs/>
                <w:color w:val="auto"/>
                <w:sz w:val="24"/>
                <w:highlight w:val="none"/>
              </w:rPr>
              <w:t>小</w:t>
            </w:r>
            <w:r>
              <w:rPr>
                <w:bCs/>
                <w:color w:val="auto"/>
                <w:sz w:val="24"/>
                <w:highlight w:val="none"/>
              </w:rPr>
              <w:t>于</w:t>
            </w:r>
            <w:r>
              <w:rPr>
                <w:rFonts w:hint="eastAsia"/>
                <w:bCs/>
                <w:color w:val="auto"/>
                <w:sz w:val="24"/>
                <w:highlight w:val="none"/>
                <w:lang w:val="en-US" w:eastAsia="zh-CN"/>
              </w:rPr>
              <w:t>5</w:t>
            </w:r>
            <w:r>
              <w:rPr>
                <w:bCs/>
                <w:color w:val="auto"/>
                <w:sz w:val="24"/>
                <w:highlight w:val="none"/>
              </w:rPr>
              <w:t>m</w:t>
            </w:r>
            <w:r>
              <w:rPr>
                <w:bCs/>
                <w:color w:val="auto"/>
                <w:sz w:val="24"/>
                <w:highlight w:val="none"/>
                <w:vertAlign w:val="superscript"/>
              </w:rPr>
              <w:t>2</w:t>
            </w:r>
            <w:r>
              <w:rPr>
                <w:bCs/>
                <w:color w:val="auto"/>
                <w:sz w:val="24"/>
                <w:highlight w:val="none"/>
              </w:rPr>
              <w:t>，且设立明显的警示标志。在</w:t>
            </w:r>
            <w:r>
              <w:rPr>
                <w:rFonts w:hint="eastAsia"/>
                <w:bCs/>
                <w:color w:val="auto"/>
                <w:sz w:val="24"/>
                <w:highlight w:val="none"/>
              </w:rPr>
              <w:t>暂存间</w:t>
            </w:r>
            <w:r>
              <w:rPr>
                <w:bCs/>
                <w:color w:val="auto"/>
                <w:sz w:val="24"/>
                <w:highlight w:val="none"/>
              </w:rPr>
              <w:t>储存</w:t>
            </w:r>
            <w:r>
              <w:rPr>
                <w:rFonts w:hint="eastAsia"/>
                <w:bCs/>
                <w:color w:val="auto"/>
                <w:sz w:val="24"/>
                <w:highlight w:val="none"/>
              </w:rPr>
              <w:t>时</w:t>
            </w:r>
            <w:r>
              <w:rPr>
                <w:bCs/>
                <w:color w:val="auto"/>
                <w:sz w:val="24"/>
                <w:highlight w:val="none"/>
              </w:rPr>
              <w:t>，企业须作好危险废物情况的记录，记录上须注明危险废物的名称、来源、数量、特性和包装容器的类别、入库日期、出库日期及接收单位名称；危废</w:t>
            </w:r>
            <w:r>
              <w:rPr>
                <w:rFonts w:hint="eastAsia"/>
                <w:bCs/>
                <w:color w:val="auto"/>
                <w:sz w:val="24"/>
                <w:highlight w:val="none"/>
              </w:rPr>
              <w:t>暂</w:t>
            </w:r>
            <w:r>
              <w:rPr>
                <w:bCs/>
                <w:color w:val="auto"/>
                <w:sz w:val="24"/>
                <w:highlight w:val="none"/>
              </w:rPr>
              <w:t>存间</w:t>
            </w:r>
            <w:r>
              <w:rPr>
                <w:rFonts w:hint="eastAsia"/>
                <w:bCs/>
                <w:color w:val="auto"/>
                <w:sz w:val="24"/>
                <w:highlight w:val="none"/>
              </w:rPr>
              <w:t>须</w:t>
            </w:r>
            <w:r>
              <w:rPr>
                <w:bCs/>
                <w:color w:val="auto"/>
                <w:sz w:val="24"/>
                <w:highlight w:val="none"/>
              </w:rPr>
              <w:t>有专人管理，必须定期对所贮存的危险废物包装容器及贮存设施进行检查，发现破损，应及时采</w:t>
            </w:r>
            <w:r>
              <w:rPr>
                <w:rFonts w:hint="default" w:ascii="Times New Roman" w:hAnsi="Times New Roman" w:cs="Times New Roman"/>
                <w:bCs/>
                <w:color w:val="auto"/>
                <w:sz w:val="24"/>
                <w:highlight w:val="none"/>
              </w:rPr>
              <w:t>取措施清理更换。本项目</w:t>
            </w:r>
            <w:r>
              <w:rPr>
                <w:rFonts w:hint="default" w:ascii="Times New Roman" w:hAnsi="Times New Roman" w:cs="Times New Roman"/>
                <w:bCs/>
                <w:color w:val="auto"/>
                <w:sz w:val="24"/>
                <w:highlight w:val="none"/>
                <w:lang w:val="en-US" w:eastAsia="zh-CN"/>
              </w:rPr>
              <w:t>油罐清洗废水及罐底油泥</w:t>
            </w:r>
            <w:r>
              <w:rPr>
                <w:rFonts w:hint="default" w:ascii="Times New Roman" w:hAnsi="Times New Roman" w:cs="Times New Roman"/>
                <w:bCs/>
                <w:color w:val="auto"/>
                <w:sz w:val="24"/>
                <w:highlight w:val="none"/>
              </w:rPr>
              <w:t>在危废暂存间临时贮存后，最终交由有资质的单位收集处理，不外排。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②根据《危险废物贮存污染控制标准》（GB18597－2001）及修改单，评价对本工程危险废物贮存设施、转移管理提出如下要求：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贮存设施（危废暂存库）的设计要求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rFonts w:hint="default" w:ascii="Times New Roman" w:hAnsi="Times New Roman" w:cs="Times New Roman"/>
                <w:color w:val="auto"/>
                <w:sz w:val="24"/>
                <w:highlight w:val="none"/>
              </w:rPr>
              <w:t>a地面与裙脚要用</w:t>
            </w:r>
            <w:r>
              <w:rPr>
                <w:color w:val="auto"/>
                <w:sz w:val="24"/>
                <w:highlight w:val="none"/>
              </w:rPr>
              <w:t>用坚固、防渗的材料建造，建筑材料必须与危险废物相容；</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b不同废物分区堆放，并进行标示；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c设施内要有安全照明设施和观察窗口；</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d贮存场设置明显的贮存危险废物种类标志和警示标志。</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危险废物管理要求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a对危险废物分类进行收集包装、登记和设有专人管理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b危险废物的收集运输采用专用密闭容器、车辆暂存危废定期由专用运输车运走处置，运输过程中需防止散落和流洒。</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危险废物转移要求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a按照《危险废物转移联单管理办法》，危险废物产生单位在转移危险废物前，须按照国家有关规定报批危险废物转移计划；经批准后，产生单位应当向移出地环境保护行政主管部门申请领取联单。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b产生单位应当在危险废物转移前三日内报告移出地环境保护行政主管部门，并同时将预期到达时间报告接受地环境保护行政主管部门。</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ascii="宋体" w:hAnsi="宋体" w:cs="宋体"/>
                <w:color w:val="auto"/>
                <w:sz w:val="24"/>
                <w:highlight w:val="none"/>
              </w:rPr>
            </w:pPr>
            <w:r>
              <w:rPr>
                <w:color w:val="auto"/>
                <w:sz w:val="24"/>
                <w:highlight w:val="none"/>
              </w:rPr>
              <w:t>c危险废物产生单位每转移一车同类危险废物，应当填写一份联单。每车有多类危险废物的，应当按每一类危险废物填写一份联单。</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color w:val="auto"/>
                <w:sz w:val="24"/>
                <w:highlight w:val="none"/>
              </w:rPr>
            </w:pPr>
            <w:r>
              <w:rPr>
                <w:rFonts w:hAnsi="宋体"/>
                <w:color w:val="auto"/>
                <w:sz w:val="24"/>
                <w:highlight w:val="none"/>
              </w:rPr>
              <w:t>综上所述，本项目所产生的固体废物经收集后外可以妥善处理，对周边环境影响较小。</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6、土壤环境影响分析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（1）项目类别</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000000"/>
                <w:sz w:val="24"/>
                <w:szCs w:val="24"/>
                <w:highlight w:val="none"/>
                <w:lang w:eastAsia="zh-CN"/>
              </w:rPr>
              <w:t>项目属于“四十、社会事业与服务业”中124项中的“加油加气站”。本项目为加油站项目，</w:t>
            </w:r>
            <w:r>
              <w:rPr>
                <w:rFonts w:hint="default" w:ascii="Times New Roman" w:hAnsi="Times New Roman" w:cs="Times New Roman"/>
                <w:color w:val="auto"/>
                <w:sz w:val="24"/>
                <w:szCs w:val="24"/>
                <w:highlight w:val="none"/>
              </w:rPr>
              <w:t>土壤环境影响类型为污染影响性</w:t>
            </w:r>
            <w:r>
              <w:rPr>
                <w:rFonts w:hint="eastAsia" w:ascii="Times New Roman" w:hAnsi="Times New Roman" w:cs="Times New Roman"/>
                <w:color w:val="auto"/>
                <w:sz w:val="24"/>
                <w:szCs w:val="24"/>
                <w:highlight w:val="none"/>
                <w:lang w:eastAsia="zh-CN"/>
              </w:rPr>
              <w:t>；根据</w:t>
            </w:r>
            <w:r>
              <w:rPr>
                <w:rFonts w:hAnsi="黑体"/>
                <w:bCs/>
                <w:sz w:val="24"/>
                <w:highlight w:val="none"/>
              </w:rPr>
              <w:t>《环境影响评价技术导则</w:t>
            </w:r>
            <w:r>
              <w:rPr>
                <w:bCs/>
                <w:sz w:val="24"/>
                <w:highlight w:val="none"/>
              </w:rPr>
              <w:t xml:space="preserve"> </w:t>
            </w:r>
            <w:r>
              <w:rPr>
                <w:rFonts w:hAnsi="黑体"/>
                <w:bCs/>
                <w:sz w:val="24"/>
                <w:highlight w:val="none"/>
              </w:rPr>
              <w:t>土壤环境（试行）》（</w:t>
            </w:r>
            <w:r>
              <w:rPr>
                <w:bCs/>
                <w:sz w:val="24"/>
                <w:highlight w:val="none"/>
              </w:rPr>
              <w:t>HJ 964-2018</w:t>
            </w:r>
            <w:r>
              <w:rPr>
                <w:rFonts w:hAnsi="黑体"/>
                <w:bCs/>
                <w:sz w:val="24"/>
                <w:highlight w:val="none"/>
              </w:rPr>
              <w:t>）中附录</w:t>
            </w:r>
            <w:r>
              <w:rPr>
                <w:bCs/>
                <w:sz w:val="24"/>
                <w:highlight w:val="none"/>
              </w:rPr>
              <w:t>A</w:t>
            </w:r>
            <w:r>
              <w:rPr>
                <w:rFonts w:hAnsi="黑体"/>
                <w:bCs/>
                <w:sz w:val="24"/>
                <w:highlight w:val="none"/>
              </w:rPr>
              <w:t>土壤环境影响评价项目类别知，</w:t>
            </w:r>
            <w:r>
              <w:rPr>
                <w:color w:val="000000"/>
                <w:sz w:val="24"/>
                <w:szCs w:val="24"/>
                <w:highlight w:val="none"/>
              </w:rPr>
              <w:t>项目属于“</w:t>
            </w:r>
            <w:r>
              <w:rPr>
                <w:rFonts w:hint="eastAsia"/>
                <w:color w:val="000000"/>
                <w:sz w:val="24"/>
                <w:szCs w:val="24"/>
                <w:highlight w:val="none"/>
              </w:rPr>
              <w:t>社会</w:t>
            </w:r>
            <w:r>
              <w:rPr>
                <w:rFonts w:hint="eastAsia"/>
                <w:color w:val="000000"/>
                <w:sz w:val="24"/>
                <w:szCs w:val="24"/>
                <w:highlight w:val="none"/>
                <w:lang w:eastAsia="zh-CN"/>
              </w:rPr>
              <w:t>事业与</w:t>
            </w:r>
            <w:r>
              <w:rPr>
                <w:rFonts w:hint="eastAsia"/>
                <w:color w:val="000000"/>
                <w:sz w:val="24"/>
                <w:szCs w:val="24"/>
                <w:highlight w:val="none"/>
              </w:rPr>
              <w:t>服务业</w:t>
            </w:r>
            <w:r>
              <w:rPr>
                <w:color w:val="000000"/>
                <w:sz w:val="24"/>
                <w:szCs w:val="24"/>
                <w:highlight w:val="none"/>
              </w:rPr>
              <w:t>”中“</w:t>
            </w:r>
            <w:r>
              <w:rPr>
                <w:rFonts w:hint="eastAsia"/>
                <w:color w:val="000000"/>
                <w:sz w:val="24"/>
                <w:szCs w:val="24"/>
                <w:highlight w:val="none"/>
              </w:rPr>
              <w:t>高尔夫球场；加油站；赛车场</w:t>
            </w:r>
            <w:r>
              <w:rPr>
                <w:color w:val="000000"/>
                <w:sz w:val="24"/>
                <w:szCs w:val="24"/>
                <w:highlight w:val="none"/>
              </w:rPr>
              <w:t>”，评价类别为</w:t>
            </w:r>
            <w:r>
              <w:rPr>
                <w:rFonts w:hint="default" w:ascii="Times New Roman" w:hAnsi="Times New Roman" w:cs="Times New Roman"/>
                <w:color w:val="auto"/>
                <w:sz w:val="24"/>
                <w:szCs w:val="24"/>
                <w:highlight w:val="none"/>
              </w:rPr>
              <w:t xml:space="preserve">III </w:t>
            </w:r>
            <w:r>
              <w:rPr>
                <w:color w:val="000000"/>
                <w:sz w:val="24"/>
                <w:szCs w:val="24"/>
                <w:highlight w:val="none"/>
              </w:rPr>
              <w:t>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（2）占地类型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根据环境影响评价技术导则</w:t>
            </w:r>
            <w:r>
              <w:rPr>
                <w:color w:val="000000"/>
                <w:sz w:val="24"/>
                <w:szCs w:val="24"/>
                <w:highlight w:val="none"/>
              </w:rPr>
              <w:t xml:space="preserve"> 土壤环境（HJ964-2018），建设项目占地规模分为大型（≥50hm</w:t>
            </w:r>
            <w:r>
              <w:rPr>
                <w:color w:val="000000"/>
                <w:sz w:val="24"/>
                <w:szCs w:val="24"/>
                <w:highlight w:val="none"/>
                <w:vertAlign w:val="superscript"/>
              </w:rPr>
              <w:t>2</w:t>
            </w:r>
            <w:r>
              <w:rPr>
                <w:color w:val="000000"/>
                <w:sz w:val="24"/>
                <w:szCs w:val="24"/>
                <w:highlight w:val="none"/>
              </w:rPr>
              <w:t>）、中型（5~50hm</w:t>
            </w:r>
            <w:r>
              <w:rPr>
                <w:color w:val="000000"/>
                <w:sz w:val="24"/>
                <w:szCs w:val="24"/>
                <w:highlight w:val="none"/>
                <w:vertAlign w:val="superscript"/>
              </w:rPr>
              <w:t>2</w:t>
            </w:r>
            <w:r>
              <w:rPr>
                <w:color w:val="000000"/>
                <w:sz w:val="24"/>
                <w:szCs w:val="24"/>
                <w:highlight w:val="none"/>
              </w:rPr>
              <w:t>）、小型（≤5hm</w:t>
            </w:r>
            <w:r>
              <w:rPr>
                <w:color w:val="000000"/>
                <w:sz w:val="24"/>
                <w:szCs w:val="24"/>
                <w:highlight w:val="none"/>
                <w:vertAlign w:val="superscript"/>
              </w:rPr>
              <w:t>2</w:t>
            </w:r>
            <w:r>
              <w:rPr>
                <w:color w:val="000000"/>
                <w:sz w:val="24"/>
                <w:szCs w:val="24"/>
                <w:highlight w:val="none"/>
              </w:rPr>
              <w:t>）。本项目占地为</w:t>
            </w:r>
            <w:r>
              <w:rPr>
                <w:rFonts w:hint="eastAsia"/>
                <w:color w:val="000000"/>
                <w:sz w:val="24"/>
                <w:szCs w:val="24"/>
                <w:highlight w:val="none"/>
                <w:lang w:val="en-US" w:eastAsia="zh-CN"/>
              </w:rPr>
              <w:t>1476</w:t>
            </w:r>
            <w:r>
              <w:rPr>
                <w:color w:val="000000"/>
                <w:sz w:val="24"/>
                <w:szCs w:val="24"/>
                <w:highlight w:val="none"/>
              </w:rPr>
              <w:t>平方米</w:t>
            </w:r>
            <w:r>
              <w:rPr>
                <w:rFonts w:hint="eastAsia" w:ascii="Times New Roman" w:hAnsi="Times New Roman" w:cs="Times New Roman"/>
                <w:color w:val="000000"/>
                <w:sz w:val="24"/>
                <w:szCs w:val="24"/>
                <w:highlight w:val="none"/>
                <w:lang w:eastAsia="zh-CN"/>
              </w:rPr>
              <w:t>，占地规模属于小型。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000000"/>
                <w:sz w:val="24"/>
                <w:szCs w:val="24"/>
                <w:highlight w:val="none"/>
                <w:lang w:eastAsia="zh-CN"/>
              </w:rPr>
            </w:pPr>
            <w:r>
              <w:rPr>
                <w:rFonts w:hint="eastAsia" w:ascii="Times New Roman" w:hAnsi="Times New Roman" w:cs="Times New Roman"/>
                <w:color w:val="000000"/>
                <w:sz w:val="24"/>
                <w:szCs w:val="24"/>
                <w:highlight w:val="none"/>
                <w:lang w:eastAsia="zh-CN"/>
              </w:rPr>
              <w:t>（3）项目</w:t>
            </w:r>
            <w:r>
              <w:rPr>
                <w:rFonts w:hint="default" w:ascii="Times New Roman" w:hAnsi="Times New Roman" w:cs="Times New Roman"/>
                <w:color w:val="auto"/>
                <w:sz w:val="24"/>
                <w:szCs w:val="24"/>
                <w:highlight w:val="none"/>
              </w:rPr>
              <w:t>所在地周边的土壤环境敏感程度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sz w:val="24"/>
                <w:szCs w:val="24"/>
                <w:highlight w:val="none"/>
              </w:rPr>
            </w:pPr>
            <w:r>
              <w:rPr>
                <w:rFonts w:hint="eastAsia" w:ascii="Times New Roman" w:hAnsi="Times New Roman" w:cs="Times New Roman"/>
                <w:color w:val="000000"/>
                <w:sz w:val="24"/>
                <w:szCs w:val="24"/>
                <w:highlight w:val="none"/>
                <w:lang w:eastAsia="zh-CN"/>
              </w:rPr>
              <w:t>根据环境影响评价技术导则</w:t>
            </w:r>
            <w:r>
              <w:rPr>
                <w:color w:val="000000"/>
                <w:sz w:val="24"/>
                <w:szCs w:val="24"/>
                <w:highlight w:val="none"/>
              </w:rPr>
              <w:t xml:space="preserve"> 土壤环境（HJ964-2018），建设项目所在地周边的土壤环境敏感程度分为敏感、较敏感、不敏感，判断依据见下表。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b/>
                <w:bCs/>
                <w:color w:val="000000"/>
                <w:sz w:val="24"/>
                <w:szCs w:val="24"/>
                <w:highlight w:val="none"/>
              </w:rPr>
            </w:pPr>
            <w:r>
              <w:rPr>
                <w:b/>
                <w:bCs/>
                <w:color w:val="000000"/>
                <w:sz w:val="24"/>
                <w:szCs w:val="24"/>
                <w:highlight w:val="none"/>
              </w:rPr>
              <w:t>表</w:t>
            </w:r>
            <w:r>
              <w:rPr>
                <w:rFonts w:hint="eastAsia"/>
                <w:b/>
                <w:bCs/>
                <w:color w:val="000000"/>
                <w:sz w:val="24"/>
                <w:szCs w:val="24"/>
                <w:highlight w:val="none"/>
                <w:lang w:val="en-US" w:eastAsia="zh-CN"/>
              </w:rPr>
              <w:t xml:space="preserve">44 </w:t>
            </w:r>
            <w:r>
              <w:rPr>
                <w:b/>
                <w:bCs/>
                <w:color w:val="000000"/>
                <w:sz w:val="24"/>
                <w:szCs w:val="24"/>
                <w:highlight w:val="none"/>
              </w:rPr>
              <w:t xml:space="preserve">  污染影响型敏感程度分级表</w:t>
            </w:r>
          </w:p>
          <w:tbl>
            <w:tblPr>
              <w:tblStyle w:val="21"/>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1534"/>
              <w:gridCol w:w="70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1668" w:type="dxa"/>
                  <w:noWrap w:val="0"/>
                  <w:vAlign w:val="center"/>
                </w:tcPr>
                <w:p>
                  <w:pPr>
                    <w:adjustRightInd w:val="0"/>
                    <w:snapToGrid w:val="0"/>
                    <w:jc w:val="center"/>
                    <w:rPr>
                      <w:b/>
                      <w:bCs/>
                      <w:color w:val="000000"/>
                      <w:sz w:val="21"/>
                      <w:szCs w:val="21"/>
                    </w:rPr>
                  </w:pPr>
                  <w:r>
                    <w:rPr>
                      <w:b/>
                      <w:bCs/>
                      <w:color w:val="000000"/>
                      <w:sz w:val="21"/>
                      <w:szCs w:val="21"/>
                    </w:rPr>
                    <w:t>敏感程度</w:t>
                  </w:r>
                </w:p>
              </w:tc>
              <w:tc>
                <w:tcPr>
                  <w:tcW w:w="7792" w:type="dxa"/>
                  <w:noWrap w:val="0"/>
                  <w:vAlign w:val="center"/>
                </w:tcPr>
                <w:p>
                  <w:pPr>
                    <w:adjustRightInd w:val="0"/>
                    <w:snapToGrid w:val="0"/>
                    <w:jc w:val="center"/>
                    <w:rPr>
                      <w:b/>
                      <w:bCs/>
                      <w:color w:val="000000"/>
                      <w:sz w:val="21"/>
                      <w:szCs w:val="21"/>
                    </w:rPr>
                  </w:pPr>
                  <w:r>
                    <w:rPr>
                      <w:b/>
                      <w:bCs/>
                      <w:color w:val="000000"/>
                      <w:sz w:val="21"/>
                      <w:szCs w:val="21"/>
                    </w:rPr>
                    <w:t>判别依据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1668" w:type="dxa"/>
                  <w:noWrap w:val="0"/>
                  <w:vAlign w:val="center"/>
                </w:tcPr>
                <w:p>
                  <w:pPr>
                    <w:adjustRightInd w:val="0"/>
                    <w:snapToGrid w:val="0"/>
                    <w:jc w:val="center"/>
                    <w:rPr>
                      <w:color w:val="000000"/>
                      <w:sz w:val="21"/>
                      <w:szCs w:val="21"/>
                    </w:rPr>
                  </w:pPr>
                  <w:r>
                    <w:rPr>
                      <w:color w:val="000000"/>
                      <w:sz w:val="21"/>
                      <w:szCs w:val="21"/>
                    </w:rPr>
                    <w:t>敏感</w:t>
                  </w:r>
                </w:p>
              </w:tc>
              <w:tc>
                <w:tcPr>
                  <w:tcW w:w="7792" w:type="dxa"/>
                  <w:noWrap w:val="0"/>
                  <w:vAlign w:val="center"/>
                </w:tcPr>
                <w:p>
                  <w:pPr>
                    <w:adjustRightInd w:val="0"/>
                    <w:snapToGrid w:val="0"/>
                    <w:jc w:val="center"/>
                    <w:rPr>
                      <w:color w:val="000000"/>
                      <w:sz w:val="21"/>
                      <w:szCs w:val="21"/>
                    </w:rPr>
                  </w:pPr>
                  <w:r>
                    <w:rPr>
                      <w:color w:val="000000"/>
                      <w:sz w:val="21"/>
                      <w:szCs w:val="21"/>
                    </w:rPr>
                    <w:t>建设项目周边存在耕地、园地、牧草地、饮用水水源地或居民区、学校、医院、疗养院、养老院等土壤环境敏感目标的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57" w:type="dxa"/>
                  <w:left w:w="108" w:type="dxa"/>
                  <w:bottom w:w="57" w:type="dxa"/>
                  <w:right w:w="108" w:type="dxa"/>
                </w:tblCellMar>
              </w:tblPrEx>
              <w:tc>
                <w:tcPr>
                  <w:tcW w:w="1668" w:type="dxa"/>
                  <w:noWrap w:val="0"/>
                  <w:vAlign w:val="center"/>
                </w:tcPr>
                <w:p>
                  <w:pPr>
                    <w:adjustRightInd w:val="0"/>
                    <w:snapToGrid w:val="0"/>
                    <w:jc w:val="center"/>
                    <w:rPr>
                      <w:color w:val="000000"/>
                      <w:sz w:val="21"/>
                      <w:szCs w:val="21"/>
                    </w:rPr>
                  </w:pPr>
                  <w:r>
                    <w:rPr>
                      <w:color w:val="000000"/>
                      <w:sz w:val="21"/>
                      <w:szCs w:val="21"/>
                    </w:rPr>
                    <w:t>较敏感</w:t>
                  </w:r>
                </w:p>
              </w:tc>
              <w:tc>
                <w:tcPr>
                  <w:tcW w:w="7792" w:type="dxa"/>
                  <w:noWrap w:val="0"/>
                  <w:vAlign w:val="center"/>
                </w:tcPr>
                <w:p>
                  <w:pPr>
                    <w:adjustRightInd w:val="0"/>
                    <w:snapToGrid w:val="0"/>
                    <w:jc w:val="center"/>
                    <w:rPr>
                      <w:color w:val="000000"/>
                      <w:sz w:val="21"/>
                      <w:szCs w:val="21"/>
                    </w:rPr>
                  </w:pPr>
                  <w:r>
                    <w:rPr>
                      <w:color w:val="000000"/>
                      <w:sz w:val="21"/>
                      <w:szCs w:val="21"/>
                    </w:rPr>
                    <w:t>建设项目周边存在其他土壤环境敏感目标的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1668" w:type="dxa"/>
                  <w:noWrap w:val="0"/>
                  <w:vAlign w:val="center"/>
                </w:tcPr>
                <w:p>
                  <w:pPr>
                    <w:adjustRightInd w:val="0"/>
                    <w:snapToGrid w:val="0"/>
                    <w:jc w:val="center"/>
                    <w:rPr>
                      <w:color w:val="000000"/>
                      <w:sz w:val="21"/>
                      <w:szCs w:val="21"/>
                    </w:rPr>
                  </w:pPr>
                  <w:r>
                    <w:rPr>
                      <w:color w:val="000000"/>
                      <w:sz w:val="21"/>
                      <w:szCs w:val="21"/>
                    </w:rPr>
                    <w:t>不敏感</w:t>
                  </w:r>
                </w:p>
              </w:tc>
              <w:tc>
                <w:tcPr>
                  <w:tcW w:w="7792" w:type="dxa"/>
                  <w:noWrap w:val="0"/>
                  <w:vAlign w:val="center"/>
                </w:tcPr>
                <w:p>
                  <w:pPr>
                    <w:adjustRightInd w:val="0"/>
                    <w:snapToGrid w:val="0"/>
                    <w:jc w:val="center"/>
                    <w:rPr>
                      <w:color w:val="000000"/>
                      <w:sz w:val="21"/>
                      <w:szCs w:val="21"/>
                    </w:rPr>
                  </w:pPr>
                  <w:r>
                    <w:rPr>
                      <w:color w:val="000000"/>
                      <w:sz w:val="21"/>
                      <w:szCs w:val="21"/>
                    </w:rPr>
                    <w:t>其他情况</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sz w:val="24"/>
                <w:szCs w:val="24"/>
              </w:rPr>
            </w:pPr>
            <w:r>
              <w:rPr>
                <w:rFonts w:hint="eastAsia"/>
                <w:sz w:val="24"/>
                <w:szCs w:val="24"/>
                <w:lang w:eastAsia="zh-CN"/>
              </w:rPr>
              <w:t>项目北侧现状为苗圃地，西侧及西北侧均为闲置厂房，西南侧为阳光电源厂，南侧为新秀路，隔路</w:t>
            </w:r>
            <w:r>
              <w:rPr>
                <w:rFonts w:hint="eastAsia"/>
                <w:sz w:val="24"/>
                <w:szCs w:val="24"/>
                <w:lang w:val="en-US" w:eastAsia="zh-CN"/>
              </w:rPr>
              <w:t>30m</w:t>
            </w:r>
            <w:r>
              <w:rPr>
                <w:rFonts w:hint="eastAsia"/>
                <w:sz w:val="24"/>
                <w:szCs w:val="24"/>
                <w:lang w:eastAsia="zh-CN"/>
              </w:rPr>
              <w:t>为盛达科技，东南侧为维修店及超市，东侧为一闲置厂房，东北侧为林地。</w:t>
            </w:r>
            <w:r>
              <w:rPr>
                <w:rFonts w:hint="default" w:ascii="Times New Roman" w:hAnsi="Times New Roman" w:cs="Times New Roman"/>
                <w:color w:val="auto"/>
                <w:sz w:val="24"/>
                <w:szCs w:val="24"/>
                <w:lang w:val="en-US" w:eastAsia="zh-CN"/>
              </w:rPr>
              <w:t>建设项目土壤环境敏感程度为</w:t>
            </w:r>
            <w:r>
              <w:rPr>
                <w:rFonts w:hint="eastAsia" w:ascii="Times New Roman" w:hAnsi="Times New Roman" w:cs="Times New Roman"/>
                <w:color w:val="auto"/>
                <w:sz w:val="24"/>
                <w:szCs w:val="24"/>
                <w:lang w:val="en-US" w:eastAsia="zh-CN"/>
              </w:rPr>
              <w:t>不</w:t>
            </w:r>
            <w:r>
              <w:rPr>
                <w:rFonts w:hint="default" w:ascii="Times New Roman" w:hAnsi="Times New Roman" w:cs="Times New Roman"/>
                <w:color w:val="auto"/>
                <w:sz w:val="24"/>
                <w:szCs w:val="24"/>
                <w:lang w:val="en-US" w:eastAsia="zh-CN"/>
              </w:rPr>
              <w:t>敏感</w:t>
            </w:r>
            <w:r>
              <w:rPr>
                <w:rFonts w:hint="default" w:ascii="Times New Roman" w:hAnsi="Times New Roman"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000000"/>
                <w:sz w:val="24"/>
                <w:szCs w:val="24"/>
                <w:highlight w:val="none"/>
                <w:lang w:eastAsia="zh-CN"/>
              </w:rPr>
            </w:pPr>
            <w:r>
              <w:rPr>
                <w:rFonts w:hint="eastAsia" w:ascii="Times New Roman" w:hAnsi="Times New Roman" w:cs="Times New Roman"/>
                <w:color w:val="000000"/>
                <w:sz w:val="24"/>
                <w:szCs w:val="24"/>
                <w:lang w:eastAsia="zh-CN"/>
              </w:rPr>
              <w:t>（</w:t>
            </w:r>
            <w:r>
              <w:rPr>
                <w:rFonts w:hint="eastAsia" w:ascii="Times New Roman" w:hAnsi="Times New Roman" w:cs="Times New Roman"/>
                <w:color w:val="000000"/>
                <w:sz w:val="24"/>
                <w:szCs w:val="24"/>
                <w:lang w:val="en-US" w:eastAsia="zh-CN"/>
              </w:rPr>
              <w:t>4</w:t>
            </w:r>
            <w:r>
              <w:rPr>
                <w:rFonts w:hint="eastAsia" w:ascii="Times New Roman" w:hAnsi="Times New Roman" w:cs="Times New Roman"/>
                <w:color w:val="000000"/>
                <w:sz w:val="24"/>
                <w:szCs w:val="24"/>
                <w:lang w:eastAsia="zh-CN"/>
              </w:rPr>
              <w:t>）</w:t>
            </w:r>
            <w:r>
              <w:rPr>
                <w:rFonts w:hint="eastAsia" w:ascii="Times New Roman" w:hAnsi="Times New Roman" w:cs="Times New Roman"/>
                <w:color w:val="auto"/>
                <w:sz w:val="24"/>
                <w:szCs w:val="24"/>
                <w:lang w:eastAsia="zh-CN"/>
              </w:rPr>
              <w:t>土</w:t>
            </w:r>
            <w:r>
              <w:rPr>
                <w:rFonts w:hint="eastAsia" w:ascii="Times New Roman" w:hAnsi="Times New Roman" w:cs="Times New Roman"/>
                <w:color w:val="auto"/>
                <w:sz w:val="24"/>
                <w:szCs w:val="24"/>
                <w:highlight w:val="none"/>
                <w:lang w:eastAsia="zh-CN"/>
              </w:rPr>
              <w:t>壤评价等级</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eastAsia="zh-CN"/>
              </w:rPr>
              <w:t>项目土壤环境影响评价等级判定表见表</w:t>
            </w:r>
            <w:r>
              <w:rPr>
                <w:rFonts w:hint="eastAsia" w:cs="Times New Roman"/>
                <w:color w:val="auto"/>
                <w:sz w:val="24"/>
                <w:szCs w:val="24"/>
                <w:highlight w:val="none"/>
                <w:lang w:val="en-US" w:eastAsia="zh-CN"/>
              </w:rPr>
              <w:t>45</w:t>
            </w:r>
            <w:r>
              <w:rPr>
                <w:rFonts w:hint="eastAsia"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pacing w:line="520" w:lineRule="exact"/>
              <w:jc w:val="center"/>
              <w:textAlignment w:val="auto"/>
              <w:rPr>
                <w:b/>
                <w:color w:val="auto"/>
                <w:sz w:val="24"/>
                <w:szCs w:val="24"/>
                <w:highlight w:val="none"/>
                <w:lang w:val="zh-CN"/>
              </w:rPr>
            </w:pPr>
            <w:r>
              <w:rPr>
                <w:sz w:val="24"/>
                <w:szCs w:val="24"/>
                <w:highlight w:val="none"/>
              </w:rPr>
              <w:pict>
                <v:shape id="文本框 1433" o:spid="_x0000_s1064" o:spt="202" type="#_x0000_t202" style="position:absolute;left:0pt;margin-left:13.5pt;margin-top:23.15pt;height:44.6pt;width:47.25pt;z-index:251672576;mso-width-relative:page;mso-height-relative:page;" filled="f" stroked="f" coordsize="21600,21600">
                  <v:path/>
                  <v:fill on="f" focussize="0,0"/>
                  <v:stroke on="f"/>
                  <v:imagedata o:title=""/>
                  <o:lock v:ext="edit" aspectratio="f"/>
                  <v:textbox>
                    <w:txbxContent>
                      <w:p>
                        <w:pPr>
                          <w:rPr>
                            <w:b/>
                            <w:bCs/>
                          </w:rPr>
                        </w:pPr>
                        <w:r>
                          <w:rPr>
                            <w:rFonts w:hint="eastAsia"/>
                            <w:b/>
                            <w:bCs/>
                          </w:rPr>
                          <w:t>评价工作等级</w:t>
                        </w:r>
                      </w:p>
                    </w:txbxContent>
                  </v:textbox>
                </v:shape>
              </w:pict>
            </w:r>
            <w:r>
              <w:rPr>
                <w:sz w:val="24"/>
                <w:szCs w:val="24"/>
                <w:highlight w:val="none"/>
                <w:u w:val="single"/>
              </w:rPr>
              <w:pict>
                <v:shape id="文本框 1435" o:spid="_x0000_s1065" o:spt="202" type="#_x0000_t202" style="position:absolute;left:0pt;margin-left:70.25pt;margin-top:24pt;height:42.95pt;width:37.75pt;z-index:251674624;mso-width-relative:page;mso-height-relative:page;" filled="f" stroked="f" coordsize="21600,21600">
                  <v:path/>
                  <v:fill on="f" focussize="0,0"/>
                  <v:stroke on="f"/>
                  <v:imagedata o:title=""/>
                  <o:lock v:ext="edit" aspectratio="f"/>
                  <v:textbox>
                    <w:txbxContent>
                      <w:p>
                        <w:pPr>
                          <w:jc w:val="center"/>
                          <w:rPr>
                            <w:b/>
                            <w:bCs/>
                          </w:rPr>
                        </w:pPr>
                        <w:r>
                          <w:rPr>
                            <w:rFonts w:hint="eastAsia"/>
                            <w:b/>
                            <w:bCs/>
                          </w:rPr>
                          <w:t>占地规模</w:t>
                        </w:r>
                      </w:p>
                    </w:txbxContent>
                  </v:textbox>
                </v:shape>
              </w:pict>
            </w:r>
            <w:r>
              <w:rPr>
                <w:b/>
                <w:color w:val="auto"/>
                <w:sz w:val="24"/>
                <w:szCs w:val="24"/>
                <w:highlight w:val="none"/>
                <w:lang w:val="zh-CN"/>
              </w:rPr>
              <w:t>表</w:t>
            </w:r>
            <w:r>
              <w:rPr>
                <w:rFonts w:hint="eastAsia"/>
                <w:b/>
                <w:color w:val="auto"/>
                <w:sz w:val="24"/>
                <w:szCs w:val="24"/>
                <w:highlight w:val="none"/>
                <w:lang w:val="en-US" w:eastAsia="zh-CN"/>
              </w:rPr>
              <w:t xml:space="preserve">45   </w:t>
            </w:r>
            <w:r>
              <w:rPr>
                <w:rFonts w:hint="eastAsia"/>
                <w:b/>
                <w:color w:val="auto"/>
                <w:sz w:val="24"/>
                <w:szCs w:val="24"/>
                <w:highlight w:val="none"/>
                <w:lang w:val="zh-CN" w:eastAsia="zh-CN"/>
              </w:rPr>
              <w:t>污染影响型评价工作等级划分表</w:t>
            </w:r>
          </w:p>
          <w:tbl>
            <w:tblPr>
              <w:tblStyle w:val="21"/>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678"/>
              <w:gridCol w:w="775"/>
              <w:gridCol w:w="650"/>
              <w:gridCol w:w="650"/>
              <w:gridCol w:w="774"/>
              <w:gridCol w:w="650"/>
              <w:gridCol w:w="650"/>
              <w:gridCol w:w="774"/>
              <w:gridCol w:w="9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2297" w:type="dxa"/>
                  <w:vMerge w:val="restart"/>
                  <w:noWrap w:val="0"/>
                  <w:vAlign w:val="center"/>
                </w:tcPr>
                <w:p>
                  <w:pPr>
                    <w:spacing w:line="400" w:lineRule="exact"/>
                    <w:jc w:val="center"/>
                    <w:rPr>
                      <w:b w:val="0"/>
                      <w:bCs w:val="0"/>
                      <w:sz w:val="21"/>
                      <w:szCs w:val="21"/>
                      <w:highlight w:val="none"/>
                    </w:rPr>
                  </w:pPr>
                  <w:r>
                    <w:rPr>
                      <w:b w:val="0"/>
                      <w:bCs w:val="0"/>
                      <w:sz w:val="21"/>
                      <w:szCs w:val="21"/>
                      <w:highlight w:val="none"/>
                    </w:rPr>
                    <w:pict>
                      <v:shape id="自选图形 1431" o:spid="_x0000_s1066" o:spt="32" type="#_x0000_t32" style="position:absolute;left:0pt;flip:x y;margin-left:41.45pt;margin-top:0.4pt;height:56.7pt;width:57.45pt;z-index:251670528;mso-width-relative:page;mso-height-relative:page;" filled="f" stroked="t" coordsize="21600,21600">
                        <v:path arrowok="t"/>
                        <v:fill on="f" focussize="0,0"/>
                        <v:stroke color="#000000"/>
                        <v:imagedata o:title=""/>
                        <o:lock v:ext="edit" aspectratio="f"/>
                      </v:shape>
                    </w:pict>
                  </w:r>
                  <w:r>
                    <w:rPr>
                      <w:rFonts w:hint="eastAsia"/>
                      <w:b w:val="0"/>
                      <w:bCs w:val="0"/>
                      <w:sz w:val="21"/>
                      <w:szCs w:val="21"/>
                      <w:highlight w:val="none"/>
                    </w:rPr>
                    <w:t xml:space="preserve">          </w:t>
                  </w:r>
                </w:p>
                <w:p>
                  <w:pPr>
                    <w:rPr>
                      <w:b w:val="0"/>
                      <w:bCs w:val="0"/>
                      <w:sz w:val="21"/>
                      <w:szCs w:val="21"/>
                      <w:highlight w:val="none"/>
                    </w:rPr>
                  </w:pPr>
                  <w:r>
                    <w:rPr>
                      <w:b w:val="0"/>
                      <w:bCs w:val="0"/>
                      <w:sz w:val="21"/>
                      <w:szCs w:val="21"/>
                      <w:highlight w:val="none"/>
                    </w:rPr>
                    <w:pict>
                      <v:shape id="自选图形 1432" o:spid="_x0000_s1067" o:spt="32" type="#_x0000_t32" style="position:absolute;left:0pt;flip:x y;margin-left:-5.35pt;margin-top:2.4pt;height:33.75pt;width:105.75pt;z-index:251671552;mso-width-relative:page;mso-height-relative:page;" filled="f" stroked="t" coordsize="21600,21600">
                        <v:path arrowok="t"/>
                        <v:fill on="f" focussize="0,0"/>
                        <v:stroke color="#000000"/>
                        <v:imagedata o:title=""/>
                        <o:lock v:ext="edit" aspectratio="f"/>
                      </v:shape>
                    </w:pict>
                  </w:r>
                  <w:r>
                    <w:rPr>
                      <w:b w:val="0"/>
                      <w:bCs w:val="0"/>
                      <w:sz w:val="21"/>
                      <w:szCs w:val="21"/>
                      <w:highlight w:val="none"/>
                    </w:rPr>
                    <w:pict>
                      <v:shape id="文本框 1434" o:spid="_x0000_s1068" o:spt="202" type="#_x0000_t202" style="position:absolute;left:0pt;margin-left:-9.25pt;margin-top:13.65pt;height:22.15pt;width:76.05pt;z-index:251673600;mso-width-relative:page;mso-height-relative:page;" filled="f" stroked="f" insetpen="f" coordsize="21600,21600">
                        <v:path/>
                        <v:fill on="f" focussize="0,0"/>
                        <v:stroke on="f" imagealignshape="1"/>
                        <v:imagedata o:title=""/>
                        <o:lock v:ext="edit"/>
                        <v:textbox>
                          <w:txbxContent>
                            <w:p>
                              <w:pPr>
                                <w:rPr>
                                  <w:b/>
                                  <w:bCs/>
                                </w:rPr>
                              </w:pPr>
                              <w:r>
                                <w:rPr>
                                  <w:rFonts w:hint="eastAsia"/>
                                  <w:b/>
                                  <w:bCs/>
                                </w:rPr>
                                <w:t>敏感程度</w:t>
                              </w:r>
                            </w:p>
                          </w:txbxContent>
                        </v:textbox>
                      </v:shape>
                    </w:pict>
                  </w:r>
                </w:p>
              </w:tc>
              <w:tc>
                <w:tcPr>
                  <w:tcW w:w="2267" w:type="dxa"/>
                  <w:gridSpan w:val="3"/>
                  <w:noWrap w:val="0"/>
                  <w:vAlign w:val="center"/>
                </w:tcPr>
                <w:p>
                  <w:pPr>
                    <w:spacing w:line="400" w:lineRule="exact"/>
                    <w:jc w:val="center"/>
                    <w:rPr>
                      <w:b/>
                      <w:bCs/>
                      <w:sz w:val="21"/>
                      <w:szCs w:val="21"/>
                      <w:highlight w:val="none"/>
                    </w:rPr>
                  </w:pPr>
                  <w:r>
                    <w:rPr>
                      <w:rFonts w:hAnsi="宋体"/>
                      <w:b/>
                      <w:bCs/>
                      <w:sz w:val="21"/>
                      <w:szCs w:val="21"/>
                      <w:highlight w:val="none"/>
                    </w:rPr>
                    <w:t>Ⅰ</w:t>
                  </w:r>
                  <w:r>
                    <w:rPr>
                      <w:b/>
                      <w:bCs/>
                      <w:sz w:val="21"/>
                      <w:szCs w:val="21"/>
                      <w:highlight w:val="none"/>
                    </w:rPr>
                    <w:t>类</w:t>
                  </w:r>
                </w:p>
              </w:tc>
              <w:tc>
                <w:tcPr>
                  <w:tcW w:w="2235" w:type="dxa"/>
                  <w:gridSpan w:val="3"/>
                  <w:noWrap w:val="0"/>
                  <w:vAlign w:val="center"/>
                </w:tcPr>
                <w:p>
                  <w:pPr>
                    <w:spacing w:line="400" w:lineRule="exact"/>
                    <w:jc w:val="center"/>
                    <w:rPr>
                      <w:b/>
                      <w:bCs/>
                      <w:sz w:val="21"/>
                      <w:szCs w:val="21"/>
                      <w:highlight w:val="none"/>
                    </w:rPr>
                  </w:pPr>
                  <w:r>
                    <w:rPr>
                      <w:rFonts w:hAnsi="宋体"/>
                      <w:b/>
                      <w:bCs/>
                      <w:sz w:val="21"/>
                      <w:szCs w:val="21"/>
                      <w:highlight w:val="none"/>
                    </w:rPr>
                    <w:t>Ⅱ</w:t>
                  </w:r>
                  <w:r>
                    <w:rPr>
                      <w:b/>
                      <w:bCs/>
                      <w:sz w:val="21"/>
                      <w:szCs w:val="21"/>
                      <w:highlight w:val="none"/>
                    </w:rPr>
                    <w:t>类</w:t>
                  </w:r>
                </w:p>
              </w:tc>
              <w:tc>
                <w:tcPr>
                  <w:tcW w:w="2557" w:type="dxa"/>
                  <w:gridSpan w:val="3"/>
                  <w:noWrap w:val="0"/>
                  <w:vAlign w:val="center"/>
                </w:tcPr>
                <w:p>
                  <w:pPr>
                    <w:spacing w:line="400" w:lineRule="exact"/>
                    <w:jc w:val="center"/>
                    <w:rPr>
                      <w:b/>
                      <w:bCs/>
                      <w:sz w:val="21"/>
                      <w:szCs w:val="21"/>
                      <w:highlight w:val="none"/>
                    </w:rPr>
                  </w:pPr>
                  <w:r>
                    <w:rPr>
                      <w:rFonts w:hAnsi="宋体"/>
                      <w:b/>
                      <w:bCs/>
                      <w:sz w:val="21"/>
                      <w:szCs w:val="21"/>
                      <w:highlight w:val="none"/>
                    </w:rPr>
                    <w:t>Ⅲ</w:t>
                  </w:r>
                  <w:r>
                    <w:rPr>
                      <w:b/>
                      <w:bCs/>
                      <w:sz w:val="21"/>
                      <w:szCs w:val="21"/>
                      <w:highlight w:val="none"/>
                    </w:rPr>
                    <w:t>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297" w:type="dxa"/>
                  <w:vMerge w:val="continue"/>
                  <w:noWrap w:val="0"/>
                  <w:vAlign w:val="center"/>
                </w:tcPr>
                <w:p>
                  <w:pPr>
                    <w:spacing w:line="400" w:lineRule="exact"/>
                    <w:jc w:val="center"/>
                    <w:rPr>
                      <w:b w:val="0"/>
                      <w:bCs w:val="0"/>
                      <w:sz w:val="21"/>
                      <w:szCs w:val="21"/>
                      <w:highlight w:val="none"/>
                      <w:u w:val="single"/>
                    </w:rPr>
                  </w:pPr>
                </w:p>
              </w:tc>
              <w:tc>
                <w:tcPr>
                  <w:tcW w:w="730" w:type="dxa"/>
                  <w:noWrap w:val="0"/>
                  <w:vAlign w:val="center"/>
                </w:tcPr>
                <w:p>
                  <w:pPr>
                    <w:spacing w:line="400" w:lineRule="exact"/>
                    <w:jc w:val="center"/>
                    <w:rPr>
                      <w:b/>
                      <w:bCs/>
                      <w:sz w:val="21"/>
                      <w:szCs w:val="21"/>
                      <w:highlight w:val="none"/>
                      <w:u w:val="single"/>
                    </w:rPr>
                  </w:pPr>
                  <w:r>
                    <w:rPr>
                      <w:rFonts w:hint="eastAsia"/>
                      <w:b/>
                      <w:bCs/>
                      <w:sz w:val="21"/>
                      <w:szCs w:val="21"/>
                      <w:highlight w:val="none"/>
                      <w:u w:val="single"/>
                    </w:rPr>
                    <w:t>大</w:t>
                  </w:r>
                </w:p>
              </w:tc>
              <w:tc>
                <w:tcPr>
                  <w:tcW w:w="838" w:type="dxa"/>
                  <w:noWrap w:val="0"/>
                  <w:vAlign w:val="center"/>
                </w:tcPr>
                <w:p>
                  <w:pPr>
                    <w:spacing w:line="400" w:lineRule="exact"/>
                    <w:jc w:val="center"/>
                    <w:rPr>
                      <w:b/>
                      <w:bCs/>
                      <w:sz w:val="21"/>
                      <w:szCs w:val="21"/>
                      <w:highlight w:val="none"/>
                      <w:u w:val="single"/>
                    </w:rPr>
                  </w:pPr>
                  <w:r>
                    <w:rPr>
                      <w:rFonts w:hint="eastAsia"/>
                      <w:b/>
                      <w:bCs/>
                      <w:sz w:val="21"/>
                      <w:szCs w:val="21"/>
                      <w:highlight w:val="none"/>
                      <w:u w:val="single"/>
                    </w:rPr>
                    <w:t>中</w:t>
                  </w:r>
                </w:p>
              </w:tc>
              <w:tc>
                <w:tcPr>
                  <w:tcW w:w="699" w:type="dxa"/>
                  <w:noWrap w:val="0"/>
                  <w:vAlign w:val="center"/>
                </w:tcPr>
                <w:p>
                  <w:pPr>
                    <w:spacing w:line="400" w:lineRule="exact"/>
                    <w:jc w:val="center"/>
                    <w:rPr>
                      <w:b/>
                      <w:bCs/>
                      <w:sz w:val="21"/>
                      <w:szCs w:val="21"/>
                      <w:highlight w:val="none"/>
                    </w:rPr>
                  </w:pPr>
                  <w:r>
                    <w:rPr>
                      <w:rFonts w:hint="eastAsia"/>
                      <w:b/>
                      <w:bCs/>
                      <w:sz w:val="21"/>
                      <w:szCs w:val="21"/>
                      <w:highlight w:val="none"/>
                    </w:rPr>
                    <w:t>小</w:t>
                  </w:r>
                </w:p>
              </w:tc>
              <w:tc>
                <w:tcPr>
                  <w:tcW w:w="699" w:type="dxa"/>
                  <w:noWrap w:val="0"/>
                  <w:vAlign w:val="center"/>
                </w:tcPr>
                <w:p>
                  <w:pPr>
                    <w:spacing w:line="400" w:lineRule="exact"/>
                    <w:jc w:val="center"/>
                    <w:rPr>
                      <w:b/>
                      <w:bCs/>
                      <w:sz w:val="21"/>
                      <w:szCs w:val="21"/>
                      <w:highlight w:val="none"/>
                    </w:rPr>
                  </w:pPr>
                  <w:r>
                    <w:rPr>
                      <w:rFonts w:hint="eastAsia"/>
                      <w:b/>
                      <w:bCs/>
                      <w:sz w:val="21"/>
                      <w:szCs w:val="21"/>
                      <w:highlight w:val="none"/>
                    </w:rPr>
                    <w:t>大</w:t>
                  </w:r>
                </w:p>
              </w:tc>
              <w:tc>
                <w:tcPr>
                  <w:tcW w:w="837" w:type="dxa"/>
                  <w:noWrap w:val="0"/>
                  <w:vAlign w:val="center"/>
                </w:tcPr>
                <w:p>
                  <w:pPr>
                    <w:spacing w:line="400" w:lineRule="exact"/>
                    <w:jc w:val="center"/>
                    <w:rPr>
                      <w:b/>
                      <w:bCs/>
                      <w:sz w:val="21"/>
                      <w:szCs w:val="21"/>
                      <w:highlight w:val="none"/>
                    </w:rPr>
                  </w:pPr>
                  <w:r>
                    <w:rPr>
                      <w:rFonts w:hint="eastAsia"/>
                      <w:b/>
                      <w:bCs/>
                      <w:sz w:val="21"/>
                      <w:szCs w:val="21"/>
                      <w:highlight w:val="none"/>
                    </w:rPr>
                    <w:t>中</w:t>
                  </w:r>
                </w:p>
              </w:tc>
              <w:tc>
                <w:tcPr>
                  <w:tcW w:w="699" w:type="dxa"/>
                  <w:noWrap w:val="0"/>
                  <w:vAlign w:val="center"/>
                </w:tcPr>
                <w:p>
                  <w:pPr>
                    <w:spacing w:line="400" w:lineRule="exact"/>
                    <w:jc w:val="center"/>
                    <w:rPr>
                      <w:b/>
                      <w:bCs/>
                      <w:sz w:val="21"/>
                      <w:szCs w:val="21"/>
                      <w:highlight w:val="none"/>
                    </w:rPr>
                  </w:pPr>
                  <w:r>
                    <w:rPr>
                      <w:rFonts w:hint="eastAsia"/>
                      <w:b/>
                      <w:bCs/>
                      <w:sz w:val="21"/>
                      <w:szCs w:val="21"/>
                      <w:highlight w:val="none"/>
                    </w:rPr>
                    <w:t>小</w:t>
                  </w:r>
                </w:p>
              </w:tc>
              <w:tc>
                <w:tcPr>
                  <w:tcW w:w="699" w:type="dxa"/>
                  <w:noWrap w:val="0"/>
                  <w:vAlign w:val="center"/>
                </w:tcPr>
                <w:p>
                  <w:pPr>
                    <w:spacing w:line="400" w:lineRule="exact"/>
                    <w:jc w:val="center"/>
                    <w:rPr>
                      <w:b/>
                      <w:bCs/>
                      <w:sz w:val="21"/>
                      <w:szCs w:val="21"/>
                      <w:highlight w:val="none"/>
                    </w:rPr>
                  </w:pPr>
                  <w:r>
                    <w:rPr>
                      <w:rFonts w:hint="eastAsia"/>
                      <w:b/>
                      <w:bCs/>
                      <w:sz w:val="21"/>
                      <w:szCs w:val="21"/>
                      <w:highlight w:val="none"/>
                    </w:rPr>
                    <w:t>大</w:t>
                  </w:r>
                </w:p>
              </w:tc>
              <w:tc>
                <w:tcPr>
                  <w:tcW w:w="837" w:type="dxa"/>
                  <w:noWrap w:val="0"/>
                  <w:vAlign w:val="center"/>
                </w:tcPr>
                <w:p>
                  <w:pPr>
                    <w:spacing w:line="400" w:lineRule="exact"/>
                    <w:jc w:val="center"/>
                    <w:rPr>
                      <w:b/>
                      <w:bCs/>
                      <w:sz w:val="21"/>
                      <w:szCs w:val="21"/>
                      <w:highlight w:val="none"/>
                    </w:rPr>
                  </w:pPr>
                  <w:r>
                    <w:rPr>
                      <w:rFonts w:hint="eastAsia"/>
                      <w:b/>
                      <w:bCs/>
                      <w:sz w:val="21"/>
                      <w:szCs w:val="21"/>
                      <w:highlight w:val="none"/>
                    </w:rPr>
                    <w:t>中</w:t>
                  </w:r>
                </w:p>
              </w:tc>
              <w:tc>
                <w:tcPr>
                  <w:tcW w:w="1021" w:type="dxa"/>
                  <w:noWrap w:val="0"/>
                  <w:vAlign w:val="center"/>
                </w:tcPr>
                <w:p>
                  <w:pPr>
                    <w:spacing w:line="400" w:lineRule="exact"/>
                    <w:jc w:val="center"/>
                    <w:rPr>
                      <w:b/>
                      <w:bCs/>
                      <w:sz w:val="21"/>
                      <w:szCs w:val="21"/>
                      <w:highlight w:val="none"/>
                    </w:rPr>
                  </w:pPr>
                  <w:r>
                    <w:rPr>
                      <w:rFonts w:hint="eastAsia"/>
                      <w:b/>
                      <w:bCs/>
                      <w:sz w:val="21"/>
                      <w:szCs w:val="21"/>
                      <w:highlight w:val="none"/>
                    </w:rPr>
                    <w:t>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2297" w:type="dxa"/>
                  <w:noWrap w:val="0"/>
                  <w:vAlign w:val="center"/>
                </w:tcPr>
                <w:p>
                  <w:pPr>
                    <w:jc w:val="center"/>
                    <w:rPr>
                      <w:b w:val="0"/>
                      <w:bCs w:val="0"/>
                      <w:sz w:val="21"/>
                      <w:szCs w:val="21"/>
                      <w:highlight w:val="none"/>
                    </w:rPr>
                  </w:pPr>
                  <w:r>
                    <w:rPr>
                      <w:rFonts w:hint="eastAsia"/>
                      <w:b w:val="0"/>
                      <w:bCs w:val="0"/>
                      <w:sz w:val="21"/>
                      <w:szCs w:val="21"/>
                      <w:highlight w:val="none"/>
                    </w:rPr>
                    <w:t>敏感</w:t>
                  </w:r>
                </w:p>
              </w:tc>
              <w:tc>
                <w:tcPr>
                  <w:tcW w:w="730" w:type="dxa"/>
                  <w:noWrap w:val="0"/>
                  <w:vAlign w:val="center"/>
                </w:tcPr>
                <w:p>
                  <w:pPr>
                    <w:jc w:val="center"/>
                    <w:rPr>
                      <w:b w:val="0"/>
                      <w:bCs w:val="0"/>
                      <w:sz w:val="21"/>
                      <w:szCs w:val="21"/>
                      <w:highlight w:val="none"/>
                    </w:rPr>
                  </w:pPr>
                  <w:r>
                    <w:rPr>
                      <w:rFonts w:hint="eastAsia"/>
                      <w:b w:val="0"/>
                      <w:bCs w:val="0"/>
                      <w:sz w:val="21"/>
                      <w:szCs w:val="21"/>
                      <w:highlight w:val="none"/>
                    </w:rPr>
                    <w:t>一级</w:t>
                  </w:r>
                </w:p>
              </w:tc>
              <w:tc>
                <w:tcPr>
                  <w:tcW w:w="838" w:type="dxa"/>
                  <w:noWrap w:val="0"/>
                  <w:vAlign w:val="center"/>
                </w:tcPr>
                <w:p>
                  <w:pPr>
                    <w:jc w:val="center"/>
                    <w:rPr>
                      <w:b w:val="0"/>
                      <w:bCs w:val="0"/>
                      <w:sz w:val="21"/>
                      <w:szCs w:val="21"/>
                      <w:highlight w:val="none"/>
                    </w:rPr>
                  </w:pPr>
                  <w:r>
                    <w:rPr>
                      <w:rFonts w:hint="eastAsia"/>
                      <w:b w:val="0"/>
                      <w:bCs w:val="0"/>
                      <w:sz w:val="21"/>
                      <w:szCs w:val="21"/>
                      <w:highlight w:val="none"/>
                    </w:rPr>
                    <w:t>一级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一级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1021" w:type="dxa"/>
                  <w:noWrap w:val="0"/>
                  <w:vAlign w:val="center"/>
                </w:tcPr>
                <w:p>
                  <w:pPr>
                    <w:jc w:val="center"/>
                    <w:rPr>
                      <w:b w:val="0"/>
                      <w:bCs w:val="0"/>
                      <w:sz w:val="21"/>
                      <w:szCs w:val="21"/>
                      <w:highlight w:val="none"/>
                    </w:rPr>
                  </w:pPr>
                  <w:r>
                    <w:rPr>
                      <w:rFonts w:hint="eastAsia"/>
                      <w:b w:val="0"/>
                      <w:bCs w:val="0"/>
                      <w:sz w:val="21"/>
                      <w:szCs w:val="21"/>
                      <w:highlight w:val="none"/>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2297" w:type="dxa"/>
                  <w:noWrap w:val="0"/>
                  <w:vAlign w:val="center"/>
                </w:tcPr>
                <w:p>
                  <w:pPr>
                    <w:jc w:val="center"/>
                    <w:rPr>
                      <w:b w:val="0"/>
                      <w:bCs w:val="0"/>
                      <w:sz w:val="21"/>
                      <w:szCs w:val="21"/>
                      <w:highlight w:val="none"/>
                    </w:rPr>
                  </w:pPr>
                  <w:r>
                    <w:rPr>
                      <w:rFonts w:hint="eastAsia"/>
                      <w:b w:val="0"/>
                      <w:bCs w:val="0"/>
                      <w:sz w:val="21"/>
                      <w:szCs w:val="21"/>
                      <w:highlight w:val="none"/>
                    </w:rPr>
                    <w:t>较敏感</w:t>
                  </w:r>
                </w:p>
              </w:tc>
              <w:tc>
                <w:tcPr>
                  <w:tcW w:w="730" w:type="dxa"/>
                  <w:noWrap w:val="0"/>
                  <w:vAlign w:val="center"/>
                </w:tcPr>
                <w:p>
                  <w:pPr>
                    <w:jc w:val="center"/>
                    <w:rPr>
                      <w:b w:val="0"/>
                      <w:bCs w:val="0"/>
                      <w:sz w:val="21"/>
                      <w:szCs w:val="21"/>
                      <w:highlight w:val="none"/>
                    </w:rPr>
                  </w:pPr>
                  <w:r>
                    <w:rPr>
                      <w:rFonts w:hint="eastAsia"/>
                      <w:b w:val="0"/>
                      <w:bCs w:val="0"/>
                      <w:sz w:val="21"/>
                      <w:szCs w:val="21"/>
                      <w:highlight w:val="none"/>
                    </w:rPr>
                    <w:t>一级</w:t>
                  </w:r>
                </w:p>
              </w:tc>
              <w:tc>
                <w:tcPr>
                  <w:tcW w:w="838"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1021" w:type="dxa"/>
                  <w:noWrap w:val="0"/>
                  <w:vAlign w:val="center"/>
                </w:tcPr>
                <w:p>
                  <w:pPr>
                    <w:jc w:val="center"/>
                    <w:rPr>
                      <w:b w:val="0"/>
                      <w:bCs w:val="0"/>
                      <w:sz w:val="21"/>
                      <w:szCs w:val="21"/>
                      <w:highlight w:val="none"/>
                    </w:rPr>
                  </w:pPr>
                  <w:r>
                    <w:rPr>
                      <w:rFonts w:hint="eastAsia"/>
                      <w:b w:val="0"/>
                      <w:bCs w:val="0"/>
                      <w:sz w:val="21"/>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2297" w:type="dxa"/>
                  <w:noWrap w:val="0"/>
                  <w:vAlign w:val="center"/>
                </w:tcPr>
                <w:p>
                  <w:pPr>
                    <w:jc w:val="center"/>
                    <w:rPr>
                      <w:b w:val="0"/>
                      <w:bCs w:val="0"/>
                      <w:sz w:val="21"/>
                      <w:szCs w:val="21"/>
                      <w:highlight w:val="none"/>
                    </w:rPr>
                  </w:pPr>
                  <w:r>
                    <w:rPr>
                      <w:rFonts w:hint="eastAsia"/>
                      <w:b w:val="0"/>
                      <w:bCs w:val="0"/>
                      <w:sz w:val="21"/>
                      <w:szCs w:val="21"/>
                      <w:highlight w:val="none"/>
                    </w:rPr>
                    <w:t>不敏感</w:t>
                  </w:r>
                </w:p>
              </w:tc>
              <w:tc>
                <w:tcPr>
                  <w:tcW w:w="730" w:type="dxa"/>
                  <w:noWrap w:val="0"/>
                  <w:vAlign w:val="center"/>
                </w:tcPr>
                <w:p>
                  <w:pPr>
                    <w:jc w:val="center"/>
                    <w:rPr>
                      <w:b w:val="0"/>
                      <w:bCs w:val="0"/>
                      <w:sz w:val="21"/>
                      <w:szCs w:val="21"/>
                      <w:highlight w:val="none"/>
                    </w:rPr>
                  </w:pPr>
                  <w:r>
                    <w:rPr>
                      <w:rFonts w:hint="eastAsia"/>
                      <w:b w:val="0"/>
                      <w:bCs w:val="0"/>
                      <w:sz w:val="21"/>
                      <w:szCs w:val="21"/>
                      <w:highlight w:val="none"/>
                    </w:rPr>
                    <w:t>一级</w:t>
                  </w:r>
                </w:p>
              </w:tc>
              <w:tc>
                <w:tcPr>
                  <w:tcW w:w="838"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二级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699" w:type="dxa"/>
                  <w:noWrap w:val="0"/>
                  <w:vAlign w:val="center"/>
                </w:tcPr>
                <w:p>
                  <w:pPr>
                    <w:jc w:val="center"/>
                    <w:rPr>
                      <w:b w:val="0"/>
                      <w:bCs w:val="0"/>
                      <w:sz w:val="21"/>
                      <w:szCs w:val="21"/>
                      <w:highlight w:val="none"/>
                    </w:rPr>
                  </w:pPr>
                  <w:r>
                    <w:rPr>
                      <w:rFonts w:hint="eastAsia"/>
                      <w:b w:val="0"/>
                      <w:bCs w:val="0"/>
                      <w:sz w:val="21"/>
                      <w:szCs w:val="21"/>
                      <w:highlight w:val="none"/>
                    </w:rPr>
                    <w:t>三级</w:t>
                  </w:r>
                </w:p>
              </w:tc>
              <w:tc>
                <w:tcPr>
                  <w:tcW w:w="837" w:type="dxa"/>
                  <w:noWrap w:val="0"/>
                  <w:vAlign w:val="center"/>
                </w:tcPr>
                <w:p>
                  <w:pPr>
                    <w:jc w:val="center"/>
                    <w:rPr>
                      <w:b w:val="0"/>
                      <w:bCs w:val="0"/>
                      <w:sz w:val="21"/>
                      <w:szCs w:val="21"/>
                      <w:highlight w:val="none"/>
                    </w:rPr>
                  </w:pPr>
                  <w:r>
                    <w:rPr>
                      <w:rFonts w:hint="eastAsia"/>
                      <w:b w:val="0"/>
                      <w:bCs w:val="0"/>
                      <w:sz w:val="21"/>
                      <w:szCs w:val="21"/>
                      <w:highlight w:val="none"/>
                    </w:rPr>
                    <w:t>—</w:t>
                  </w:r>
                </w:p>
              </w:tc>
              <w:tc>
                <w:tcPr>
                  <w:tcW w:w="1021" w:type="dxa"/>
                  <w:noWrap w:val="0"/>
                  <w:vAlign w:val="center"/>
                </w:tcPr>
                <w:p>
                  <w:pPr>
                    <w:jc w:val="center"/>
                    <w:rPr>
                      <w:b w:val="0"/>
                      <w:bCs w:val="0"/>
                      <w:sz w:val="21"/>
                      <w:szCs w:val="21"/>
                      <w:highlight w:val="none"/>
                    </w:rPr>
                  </w:pPr>
                  <w:r>
                    <w:rPr>
                      <w:rFonts w:hint="eastAsia"/>
                      <w:b w:val="0"/>
                      <w:bCs w:val="0"/>
                      <w:sz w:val="21"/>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 w:hRule="atLeast"/>
                <w:jc w:val="center"/>
              </w:trPr>
              <w:tc>
                <w:tcPr>
                  <w:tcW w:w="9356" w:type="dxa"/>
                  <w:gridSpan w:val="10"/>
                  <w:noWrap w:val="0"/>
                  <w:vAlign w:val="center"/>
                </w:tcPr>
                <w:p>
                  <w:pPr>
                    <w:jc w:val="center"/>
                    <w:rPr>
                      <w:b w:val="0"/>
                      <w:bCs w:val="0"/>
                      <w:sz w:val="21"/>
                      <w:szCs w:val="21"/>
                      <w:highlight w:val="none"/>
                    </w:rPr>
                  </w:pPr>
                  <w:r>
                    <w:rPr>
                      <w:rFonts w:hint="eastAsia"/>
                      <w:b w:val="0"/>
                      <w:bCs w:val="0"/>
                      <w:sz w:val="21"/>
                      <w:szCs w:val="21"/>
                      <w:highlight w:val="none"/>
                    </w:rPr>
                    <w:t>注：“—”表示可不开展土壤环境影响评价工作</w:t>
                  </w:r>
                </w:p>
              </w:tc>
            </w:tr>
          </w:tbl>
          <w:p>
            <w:pPr>
              <w:pStyle w:val="60"/>
              <w:keepNext w:val="0"/>
              <w:keepLines w:val="0"/>
              <w:pageBreakBefore w:val="0"/>
              <w:suppressLineNumbers w:val="0"/>
              <w:kinsoku/>
              <w:wordWrap/>
              <w:overflowPunct/>
              <w:topLinePunct w:val="0"/>
              <w:bidi w:val="0"/>
              <w:adjustRightInd w:val="0"/>
              <w:snapToGrid w:val="0"/>
              <w:spacing w:before="0" w:beforeAutospacing="0" w:after="0" w:afterAutospacing="0" w:line="520" w:lineRule="exact"/>
              <w:ind w:left="0" w:right="0" w:firstLine="480" w:firstLineChars="200"/>
              <w:textAlignment w:val="auto"/>
              <w:rPr>
                <w:rFonts w:hint="eastAsia"/>
                <w:color w:val="auto"/>
                <w:sz w:val="24"/>
                <w:szCs w:val="24"/>
                <w:highlight w:val="none"/>
                <w:lang w:eastAsia="zh-CN"/>
              </w:rPr>
            </w:pPr>
            <w:r>
              <w:rPr>
                <w:rFonts w:hint="eastAsia"/>
                <w:color w:val="auto"/>
                <w:sz w:val="24"/>
                <w:szCs w:val="24"/>
                <w:highlight w:val="none"/>
              </w:rPr>
              <w:t>由</w:t>
            </w:r>
            <w:r>
              <w:rPr>
                <w:color w:val="auto"/>
                <w:sz w:val="24"/>
                <w:szCs w:val="24"/>
                <w:highlight w:val="none"/>
              </w:rPr>
              <w:t>上表可知，本项目</w:t>
            </w:r>
            <w:r>
              <w:rPr>
                <w:color w:val="000000"/>
                <w:sz w:val="24"/>
                <w:szCs w:val="24"/>
                <w:highlight w:val="none"/>
              </w:rPr>
              <w:t>类别为</w:t>
            </w:r>
            <w:r>
              <w:rPr>
                <w:rFonts w:hint="default" w:ascii="Times New Roman" w:hAnsi="Times New Roman" w:cs="Times New Roman"/>
                <w:color w:val="auto"/>
                <w:sz w:val="24"/>
                <w:szCs w:val="24"/>
                <w:highlight w:val="none"/>
              </w:rPr>
              <w:t xml:space="preserve">III </w:t>
            </w:r>
            <w:r>
              <w:rPr>
                <w:color w:val="000000"/>
                <w:sz w:val="24"/>
                <w:szCs w:val="24"/>
                <w:highlight w:val="none"/>
              </w:rPr>
              <w:t>类。</w:t>
            </w:r>
            <w:r>
              <w:rPr>
                <w:color w:val="auto"/>
                <w:sz w:val="24"/>
                <w:szCs w:val="24"/>
                <w:highlight w:val="none"/>
              </w:rPr>
              <w:t>土壤环境</w:t>
            </w:r>
            <w:r>
              <w:rPr>
                <w:rFonts w:hint="eastAsia"/>
                <w:color w:val="auto"/>
                <w:sz w:val="24"/>
                <w:szCs w:val="24"/>
                <w:highlight w:val="none"/>
                <w:lang w:eastAsia="zh-CN"/>
              </w:rPr>
              <w:t>不</w:t>
            </w:r>
            <w:r>
              <w:rPr>
                <w:color w:val="auto"/>
                <w:sz w:val="24"/>
                <w:szCs w:val="24"/>
                <w:highlight w:val="none"/>
              </w:rPr>
              <w:t>敏感</w:t>
            </w:r>
            <w:r>
              <w:rPr>
                <w:rFonts w:hint="eastAsia"/>
                <w:color w:val="auto"/>
                <w:sz w:val="24"/>
                <w:szCs w:val="24"/>
                <w:highlight w:val="none"/>
              </w:rPr>
              <w:t>，占地面积属于小型</w:t>
            </w:r>
            <w:r>
              <w:rPr>
                <w:color w:val="auto"/>
                <w:sz w:val="24"/>
                <w:szCs w:val="24"/>
                <w:highlight w:val="none"/>
              </w:rPr>
              <w:t>。对照《环境影响评价技术导则 土壤环境（试行）》</w:t>
            </w:r>
            <w:r>
              <w:rPr>
                <w:rFonts w:hint="default" w:ascii="Times New Roman" w:hAnsi="Times New Roman" w:cs="Times New Roman"/>
                <w:color w:val="auto"/>
                <w:sz w:val="24"/>
                <w:szCs w:val="24"/>
                <w:highlight w:val="none"/>
              </w:rPr>
              <w:t>（HJ964-2018）污染影响型评价工作等级划分表可知，本项目</w:t>
            </w:r>
            <w:r>
              <w:rPr>
                <w:rFonts w:hint="eastAsia" w:cs="Times New Roman"/>
                <w:color w:val="auto"/>
                <w:sz w:val="24"/>
                <w:szCs w:val="24"/>
                <w:highlight w:val="none"/>
                <w:lang w:eastAsia="zh-CN"/>
              </w:rPr>
              <w:t>不</w:t>
            </w:r>
            <w:r>
              <w:rPr>
                <w:rFonts w:hint="eastAsia" w:ascii="Times New Roman" w:hAnsi="Times New Roman" w:cs="Times New Roman"/>
                <w:color w:val="auto"/>
                <w:sz w:val="24"/>
                <w:szCs w:val="24"/>
                <w:highlight w:val="none"/>
                <w:lang w:eastAsia="zh-CN"/>
              </w:rPr>
              <w:t>需要</w:t>
            </w:r>
            <w:r>
              <w:rPr>
                <w:rFonts w:hint="default" w:ascii="Times New Roman" w:hAnsi="Times New Roman" w:cs="Times New Roman"/>
                <w:color w:val="auto"/>
                <w:sz w:val="24"/>
                <w:szCs w:val="24"/>
                <w:highlight w:val="none"/>
              </w:rPr>
              <w:t>开展土壤环境评价工作。</w:t>
            </w:r>
          </w:p>
          <w:p>
            <w:pPr>
              <w:pStyle w:val="144"/>
              <w:keepNext w:val="0"/>
              <w:keepLines w:val="0"/>
              <w:pageBreakBefore w:val="0"/>
              <w:kinsoku/>
              <w:wordWrap/>
              <w:overflowPunct/>
              <w:topLinePunct w:val="0"/>
              <w:bidi w:val="0"/>
              <w:adjustRightInd w:val="0"/>
              <w:snapToGrid w:val="0"/>
              <w:spacing w:line="52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土壤环境影响分析及污染防治措施</w:t>
            </w:r>
          </w:p>
          <w:p>
            <w:pPr>
              <w:pStyle w:val="9"/>
              <w:keepNext w:val="0"/>
              <w:keepLines w:val="0"/>
              <w:pageBreakBefore w:val="0"/>
              <w:kinsoku/>
              <w:wordWrap/>
              <w:overflowPunct/>
              <w:topLinePunct w:val="0"/>
              <w:bidi w:val="0"/>
              <w:adjustRightInd w:val="0"/>
              <w:snapToGrid w:val="0"/>
              <w:spacing w:line="520" w:lineRule="exact"/>
              <w:ind w:left="0" w:leftChars="0" w:firstLine="480" w:firstLineChars="200"/>
              <w:jc w:val="left"/>
              <w:textAlignment w:val="auto"/>
              <w:rPr>
                <w:bCs/>
                <w:sz w:val="24"/>
                <w:highlight w:val="none"/>
              </w:rPr>
            </w:pPr>
            <w:r>
              <w:rPr>
                <w:rFonts w:hint="default" w:ascii="Times New Roman" w:hAnsi="Times New Roman" w:eastAsia="宋体" w:cs="Times New Roman"/>
                <w:color w:val="auto"/>
                <w:kern w:val="2"/>
                <w:sz w:val="24"/>
                <w:szCs w:val="24"/>
                <w:highlight w:val="none"/>
                <w:lang w:val="en-US" w:eastAsia="zh-CN" w:bidi="ar-SA"/>
              </w:rPr>
              <w:t>根据项目污染物排放特点，项目投运后废水主要为职工生活污水</w:t>
            </w:r>
            <w:r>
              <w:rPr>
                <w:rFonts w:hint="eastAsia" w:cs="Times New Roman"/>
                <w:color w:val="auto"/>
                <w:kern w:val="2"/>
                <w:sz w:val="24"/>
                <w:szCs w:val="24"/>
                <w:highlight w:val="none"/>
                <w:lang w:val="en-US" w:eastAsia="zh-CN" w:bidi="ar-SA"/>
              </w:rPr>
              <w:t>和洗车废水</w:t>
            </w:r>
            <w:r>
              <w:rPr>
                <w:rFonts w:hint="default" w:ascii="Times New Roman" w:hAnsi="Times New Roman" w:eastAsia="宋体" w:cs="Times New Roman"/>
                <w:color w:val="auto"/>
                <w:kern w:val="2"/>
                <w:sz w:val="24"/>
                <w:szCs w:val="24"/>
                <w:highlight w:val="none"/>
                <w:lang w:val="en-US" w:eastAsia="zh-CN" w:bidi="ar-SA"/>
              </w:rPr>
              <w:t>。生活污水经化粪池处理后</w:t>
            </w:r>
            <w:r>
              <w:rPr>
                <w:rFonts w:hint="eastAsia" w:cs="Times New Roman"/>
                <w:color w:val="auto"/>
                <w:kern w:val="2"/>
                <w:sz w:val="24"/>
                <w:szCs w:val="24"/>
                <w:highlight w:val="none"/>
                <w:lang w:val="en-US" w:eastAsia="zh-CN" w:bidi="ar-SA"/>
              </w:rPr>
              <w:t>，定期清运，不外排</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洗车废水经隔油沉淀池处理后循环使用，不外排。</w:t>
            </w:r>
            <w:r>
              <w:rPr>
                <w:rFonts w:hint="default" w:ascii="Times New Roman" w:hAnsi="Times New Roman" w:eastAsia="宋体" w:cs="Times New Roman"/>
                <w:color w:val="auto"/>
                <w:kern w:val="2"/>
                <w:sz w:val="24"/>
                <w:szCs w:val="24"/>
                <w:highlight w:val="none"/>
                <w:lang w:val="en-US" w:eastAsia="zh-CN" w:bidi="ar-SA"/>
              </w:rPr>
              <w:t>正常工况下，本项目运营期内没有厂区废水经过地面漫流进入土壤的途径。</w:t>
            </w:r>
            <w:r>
              <w:rPr>
                <w:rFonts w:hint="eastAsia" w:hAnsi="黑体"/>
                <w:bCs/>
                <w:sz w:val="24"/>
                <w:highlight w:val="none"/>
                <w:lang w:eastAsia="zh-CN"/>
              </w:rPr>
              <w:t>非正常工况期，</w:t>
            </w:r>
            <w:r>
              <w:rPr>
                <w:rFonts w:hAnsi="黑体"/>
                <w:bCs/>
                <w:sz w:val="24"/>
                <w:highlight w:val="none"/>
              </w:rPr>
              <w:t>项目投运后对土壤的影响途径为垂直入渗。加油站对土壤的主要影响是储油罐，储油罐泄漏或渗漏对土壤的污染较为严重，由于这种渗漏可穿越较厚的土壤层，使土壤层中吸附大量的燃料油，土壤层吸附的燃料油不仅会造成植物生物的死亡，还会使得土壤结构发生变化，造成土壤性质的改变。</w:t>
            </w:r>
          </w:p>
          <w:p>
            <w:pPr>
              <w:keepNext w:val="0"/>
              <w:keepLines w:val="0"/>
              <w:pageBreakBefore w:val="0"/>
              <w:kinsoku/>
              <w:wordWrap/>
              <w:overflowPunct/>
              <w:topLinePunct w:val="0"/>
              <w:bidi w:val="0"/>
              <w:spacing w:line="520" w:lineRule="exact"/>
              <w:ind w:firstLine="480" w:firstLineChars="200"/>
              <w:textAlignment w:val="auto"/>
              <w:rPr>
                <w:rFonts w:hint="eastAsia" w:ascii="黑体" w:hAnsi="黑体" w:cs="黑体"/>
                <w:bCs/>
                <w:sz w:val="24"/>
                <w:highlight w:val="none"/>
              </w:rPr>
            </w:pPr>
            <w:r>
              <w:rPr>
                <w:rFonts w:hAnsi="黑体"/>
                <w:bCs/>
                <w:sz w:val="24"/>
                <w:highlight w:val="none"/>
              </w:rPr>
              <w:t>本项目</w:t>
            </w:r>
            <w:r>
              <w:rPr>
                <w:rFonts w:hint="default" w:ascii="Times New Roman" w:hAnsi="Times New Roman" w:eastAsia="宋体" w:cs="Times New Roman"/>
                <w:color w:val="auto"/>
                <w:kern w:val="2"/>
                <w:sz w:val="24"/>
                <w:szCs w:val="24"/>
                <w:highlight w:val="none"/>
                <w:lang w:val="en-US" w:eastAsia="zh-CN" w:bidi="ar-SA"/>
              </w:rPr>
              <w:t>厂区做好</w:t>
            </w:r>
            <w:r>
              <w:rPr>
                <w:rFonts w:hint="eastAsia" w:ascii="Times New Roman" w:hAnsi="Times New Roman" w:cs="Times New Roman"/>
                <w:color w:val="auto"/>
                <w:kern w:val="2"/>
                <w:sz w:val="24"/>
                <w:szCs w:val="24"/>
                <w:highlight w:val="none"/>
                <w:lang w:val="en-US" w:eastAsia="zh-CN" w:bidi="ar-SA"/>
              </w:rPr>
              <w:t>分区</w:t>
            </w:r>
            <w:r>
              <w:rPr>
                <w:rFonts w:hint="default" w:ascii="Times New Roman" w:hAnsi="Times New Roman" w:eastAsia="宋体" w:cs="Times New Roman"/>
                <w:color w:val="auto"/>
                <w:kern w:val="2"/>
                <w:sz w:val="24"/>
                <w:szCs w:val="24"/>
                <w:highlight w:val="none"/>
                <w:lang w:val="en-US" w:eastAsia="zh-CN" w:bidi="ar-SA"/>
              </w:rPr>
              <w:t>防渗工作，生产区及</w:t>
            </w:r>
            <w:r>
              <w:rPr>
                <w:rFonts w:hint="eastAsia" w:ascii="Times New Roman" w:hAnsi="Times New Roman" w:cs="Times New Roman"/>
                <w:color w:val="auto"/>
                <w:kern w:val="2"/>
                <w:sz w:val="24"/>
                <w:szCs w:val="24"/>
                <w:highlight w:val="none"/>
                <w:lang w:val="en-US" w:eastAsia="zh-CN" w:bidi="ar-SA"/>
              </w:rPr>
              <w:t>辅助</w:t>
            </w:r>
            <w:r>
              <w:rPr>
                <w:rFonts w:hint="default" w:ascii="Times New Roman" w:hAnsi="Times New Roman" w:eastAsia="宋体" w:cs="Times New Roman"/>
                <w:color w:val="auto"/>
                <w:kern w:val="2"/>
                <w:sz w:val="24"/>
                <w:szCs w:val="24"/>
                <w:highlight w:val="none"/>
                <w:lang w:val="en-US" w:eastAsia="zh-CN" w:bidi="ar-SA"/>
              </w:rPr>
              <w:t>工程的地面均按照相关规范进行硬化。</w:t>
            </w:r>
            <w:r>
              <w:rPr>
                <w:rFonts w:hAnsi="黑体"/>
                <w:bCs/>
                <w:sz w:val="24"/>
                <w:highlight w:val="none"/>
              </w:rPr>
              <w:t>加油站油罐采用埋地卧式</w:t>
            </w:r>
            <w:r>
              <w:rPr>
                <w:rFonts w:hint="eastAsia" w:hAnsi="黑体"/>
                <w:bCs/>
                <w:sz w:val="24"/>
                <w:highlight w:val="none"/>
                <w:lang w:eastAsia="zh-CN"/>
              </w:rPr>
              <w:t>钢制</w:t>
            </w:r>
            <w:r>
              <w:rPr>
                <w:rFonts w:hAnsi="黑体"/>
                <w:bCs/>
                <w:sz w:val="24"/>
                <w:highlight w:val="none"/>
              </w:rPr>
              <w:t>罐</w:t>
            </w:r>
            <w:r>
              <w:rPr>
                <w:rFonts w:hint="eastAsia" w:hAnsi="黑体"/>
                <w:bCs/>
                <w:sz w:val="24"/>
                <w:highlight w:val="none"/>
                <w:lang w:val="en-US" w:eastAsia="zh-CN"/>
              </w:rPr>
              <w:t>+防渗池</w:t>
            </w:r>
            <w:r>
              <w:rPr>
                <w:rFonts w:hAnsi="黑体"/>
                <w:bCs/>
                <w:sz w:val="24"/>
                <w:highlight w:val="none"/>
              </w:rPr>
              <w:t>，</w:t>
            </w:r>
            <w:r>
              <w:rPr>
                <w:rFonts w:hint="eastAsia"/>
                <w:color w:val="auto"/>
                <w:sz w:val="24"/>
                <w:szCs w:val="24"/>
                <w:highlight w:val="none"/>
              </w:rPr>
              <w:t>卧式油罐具有良好的防腐性能，储罐区设置防渗罐池，防渗罐池采用防渗钢筋混凝土整体浇筑而成，防渗厚度为</w:t>
            </w:r>
            <w:r>
              <w:rPr>
                <w:color w:val="auto"/>
                <w:sz w:val="24"/>
                <w:szCs w:val="24"/>
                <w:highlight w:val="none"/>
              </w:rPr>
              <w:t>30cm</w:t>
            </w:r>
            <w:r>
              <w:rPr>
                <w:rFonts w:hint="eastAsia"/>
                <w:color w:val="auto"/>
                <w:sz w:val="24"/>
                <w:szCs w:val="24"/>
                <w:highlight w:val="none"/>
              </w:rPr>
              <w:t>，防渗罐池内均由砂石填实，加油站一旦发生溢出与渗漏事故，油品将由于防渗层的保护作用，积聚在储油区的防渗罐池内，</w:t>
            </w:r>
            <w:r>
              <w:rPr>
                <w:rFonts w:hAnsi="黑体"/>
                <w:bCs/>
                <w:sz w:val="24"/>
                <w:highlight w:val="none"/>
              </w:rPr>
              <w:t>能保证所容危险物</w:t>
            </w:r>
            <w:r>
              <w:rPr>
                <w:rFonts w:hint="eastAsia" w:hAnsi="黑体"/>
                <w:bCs/>
                <w:sz w:val="24"/>
                <w:highlight w:val="none"/>
                <w:lang w:eastAsia="zh-CN"/>
              </w:rPr>
              <w:t>仅在防渗池内</w:t>
            </w:r>
            <w:r>
              <w:rPr>
                <w:rFonts w:hAnsi="黑体"/>
                <w:bCs/>
                <w:sz w:val="24"/>
                <w:highlight w:val="none"/>
              </w:rPr>
              <w:t>流动，不会马上溢出外界污染环境；同时油罐配备了泄漏检测仪，一旦内部产生泄漏后，传感器能够感应泄漏流向流量产生峰鸣警报，保</w:t>
            </w:r>
            <w:r>
              <w:rPr>
                <w:rFonts w:hint="eastAsia" w:ascii="黑体" w:hAnsi="黑体" w:cs="黑体"/>
                <w:bCs/>
                <w:sz w:val="24"/>
                <w:highlight w:val="none"/>
              </w:rPr>
              <w:t>证在第一时间停止使用并及时修补。项目可以有效避免储油罐发生泄漏事故，防止油罐对土壤的污染。</w:t>
            </w:r>
          </w:p>
          <w:p>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黑体" w:hAnsi="黑体" w:cs="黑体"/>
                <w:bCs/>
                <w:sz w:val="24"/>
                <w:highlight w:val="none"/>
              </w:rPr>
              <w:t>因此，</w:t>
            </w:r>
            <w:r>
              <w:rPr>
                <w:sz w:val="24"/>
                <w:szCs w:val="24"/>
                <w:highlight w:val="none"/>
              </w:rPr>
              <w:t>在落实土壤保护措施的前提下，项目建设对厂区及周围土壤环境的影响可接受</w:t>
            </w:r>
            <w:r>
              <w:rPr>
                <w:rFonts w:hint="eastAsia"/>
                <w:sz w:val="24"/>
                <w:szCs w:val="24"/>
                <w:highlight w:val="none"/>
              </w:rPr>
              <w:t>。</w:t>
            </w:r>
            <w:r>
              <w:rPr>
                <w:rFonts w:hint="eastAsia"/>
                <w:sz w:val="24"/>
                <w:szCs w:val="24"/>
                <w:highlight w:val="none"/>
                <w:lang w:eastAsia="zh-CN"/>
              </w:rPr>
              <w:t>对周围土壤环境影响较小。</w:t>
            </w:r>
          </w:p>
          <w:p>
            <w:pPr>
              <w:keepNext w:val="0"/>
              <w:keepLines w:val="0"/>
              <w:pageBreakBefore w:val="0"/>
              <w:kinsoku/>
              <w:wordWrap/>
              <w:overflowPunct/>
              <w:topLinePunct w:val="0"/>
              <w:bidi w:val="0"/>
              <w:spacing w:line="520" w:lineRule="exact"/>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lang w:val="en-US" w:eastAsia="zh-CN"/>
              </w:rPr>
              <w:t>、环境风险</w:t>
            </w:r>
          </w:p>
          <w:p>
            <w:pPr>
              <w:pStyle w:val="97"/>
              <w:keepNext w:val="0"/>
              <w:keepLines w:val="0"/>
              <w:pageBreakBefore w:val="0"/>
              <w:kinsoku/>
              <w:wordWrap/>
              <w:overflowPunct/>
              <w:topLinePunct w:val="0"/>
              <w:bidi w:val="0"/>
              <w:spacing w:line="520" w:lineRule="exact"/>
              <w:ind w:firstLine="480" w:firstLineChars="200"/>
              <w:jc w:val="both"/>
              <w:textAlignment w:val="auto"/>
              <w:rPr>
                <w:rFonts w:ascii="Times New Roman" w:cs="Times New Roman"/>
              </w:rPr>
            </w:pPr>
            <w:r>
              <w:rPr>
                <w:rFonts w:ascii="Times New Roman" w:cs="Times New Roman"/>
                <w:highlight w:val="none"/>
              </w:rPr>
              <w:t>根据《建设项目环境风险评价技术导则》（HJ/T169-2018），本项目存在环境风险的设施主要为汽油、柴油储存区、油品装卸区；产生的风险物质主要是汽油、柴油；风险类型主要为</w:t>
            </w:r>
            <w:r>
              <w:rPr>
                <w:rFonts w:ascii="Times New Roman" w:cs="Times New Roman"/>
              </w:rPr>
              <w:t>汽油和柴油泄漏，以及火灾、爆炸引发的伴生/次生污染物排放。</w:t>
            </w:r>
          </w:p>
          <w:p>
            <w:pPr>
              <w:pStyle w:val="97"/>
              <w:keepNext w:val="0"/>
              <w:keepLines w:val="0"/>
              <w:pageBreakBefore w:val="0"/>
              <w:kinsoku/>
              <w:wordWrap/>
              <w:overflowPunct/>
              <w:topLinePunct w:val="0"/>
              <w:bidi w:val="0"/>
              <w:spacing w:line="520" w:lineRule="exact"/>
              <w:ind w:firstLine="482" w:firstLineChars="200"/>
              <w:jc w:val="both"/>
              <w:textAlignment w:val="auto"/>
              <w:rPr>
                <w:rFonts w:hint="eastAsia" w:ascii="Times New Roman" w:cs="Times New Roman"/>
                <w:b/>
                <w:bCs/>
                <w:sz w:val="24"/>
                <w:szCs w:val="24"/>
              </w:rPr>
            </w:pPr>
            <w:r>
              <w:rPr>
                <w:rFonts w:hint="eastAsia" w:ascii="Times New Roman" w:cs="Times New Roman"/>
                <w:b/>
                <w:bCs/>
                <w:sz w:val="24"/>
                <w:szCs w:val="24"/>
                <w:lang w:val="en-US" w:eastAsia="zh-CN"/>
              </w:rPr>
              <w:t>7.1</w:t>
            </w:r>
            <w:r>
              <w:rPr>
                <w:rFonts w:hint="eastAsia" w:ascii="Times New Roman" w:cs="Times New Roman"/>
                <w:b/>
                <w:bCs/>
                <w:sz w:val="24"/>
                <w:szCs w:val="24"/>
              </w:rPr>
              <w:t>风险调查</w:t>
            </w:r>
          </w:p>
          <w:p>
            <w:pPr>
              <w:keepNext w:val="0"/>
              <w:keepLines w:val="0"/>
              <w:pageBreakBefore w:val="0"/>
              <w:kinsoku/>
              <w:wordWrap/>
              <w:overflowPunct/>
              <w:topLinePunct w:val="0"/>
              <w:bidi w:val="0"/>
              <w:spacing w:line="520" w:lineRule="exact"/>
              <w:ind w:firstLine="480" w:firstLineChars="200"/>
              <w:textAlignment w:val="auto"/>
              <w:rPr>
                <w:rFonts w:hint="default" w:ascii="Times New Roman" w:hAnsi="Times New Roman" w:cs="Times New Roman"/>
                <w:b/>
                <w:color w:val="auto"/>
                <w:sz w:val="24"/>
                <w:szCs w:val="24"/>
              </w:rPr>
            </w:pPr>
            <w:r>
              <w:rPr>
                <w:rFonts w:hint="eastAsia" w:ascii="Times New Roman" w:cs="Times New Roman"/>
                <w:sz w:val="24"/>
                <w:szCs w:val="24"/>
              </w:rPr>
              <w:t>本项目涉及危险物质有汽油和柴油，其理化性质及危害详见表</w:t>
            </w:r>
            <w:r>
              <w:rPr>
                <w:rFonts w:hint="eastAsia" w:cs="Times New Roman"/>
                <w:sz w:val="24"/>
                <w:szCs w:val="24"/>
                <w:lang w:val="en-US" w:eastAsia="zh-CN"/>
              </w:rPr>
              <w:t>46</w:t>
            </w:r>
            <w:r>
              <w:rPr>
                <w:rFonts w:asci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b/>
                <w:color w:val="auto"/>
                <w:sz w:val="24"/>
                <w:highlight w:val="none"/>
                <w:lang w:val="zh-CN"/>
              </w:rPr>
            </w:pPr>
            <w:r>
              <w:rPr>
                <w:rFonts w:hint="default"/>
                <w:b/>
                <w:color w:val="auto"/>
                <w:sz w:val="24"/>
                <w:highlight w:val="none"/>
                <w:lang w:val="zh-CN"/>
              </w:rPr>
              <w:t>表</w:t>
            </w:r>
            <w:r>
              <w:rPr>
                <w:rFonts w:hint="eastAsia"/>
                <w:b/>
                <w:color w:val="auto"/>
                <w:sz w:val="24"/>
                <w:highlight w:val="none"/>
                <w:lang w:val="en-US" w:eastAsia="zh-CN"/>
              </w:rPr>
              <w:t>46</w:t>
            </w:r>
            <w:r>
              <w:rPr>
                <w:rFonts w:hint="default"/>
                <w:b/>
                <w:color w:val="auto"/>
                <w:sz w:val="24"/>
                <w:highlight w:val="none"/>
                <w:lang w:val="zh-CN"/>
              </w:rPr>
              <w:t xml:space="preserve">   汽油理化性质及危害</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022"/>
              <w:gridCol w:w="394"/>
              <w:gridCol w:w="653"/>
              <w:gridCol w:w="33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55"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中文名：汽油</w:t>
                  </w:r>
                </w:p>
              </w:tc>
              <w:tc>
                <w:tcPr>
                  <w:tcW w:w="6468" w:type="dxa"/>
                  <w:gridSpan w:val="4"/>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危险品类别：低闪点易燃液体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1"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主要成分：C4—C12脂肪烃和环烷烃 </w:t>
                  </w:r>
                </w:p>
              </w:tc>
              <w:tc>
                <w:tcPr>
                  <w:tcW w:w="4052"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性状：无色或淡黄色易挥发液体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55"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熔点（℃）：＜-50 </w:t>
                  </w:r>
                </w:p>
              </w:tc>
              <w:tc>
                <w:tcPr>
                  <w:tcW w:w="3069"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相对密度（水=1）0.7—0.79</w:t>
                  </w:r>
                </w:p>
              </w:tc>
              <w:tc>
                <w:tcPr>
                  <w:tcW w:w="3399"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沸点（℃）：40—200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溶解性：不溶于水，易溶于苯、二硫化碳、醇、脂肪烃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77"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燃烧性：极易燃烧</w:t>
                  </w:r>
                </w:p>
              </w:tc>
              <w:tc>
                <w:tcPr>
                  <w:tcW w:w="4446"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闪点（℃）：＜-18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1"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引燃温度（℃）：（415—530）</w:t>
                  </w:r>
                </w:p>
              </w:tc>
              <w:tc>
                <w:tcPr>
                  <w:tcW w:w="4052"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爆炸极限（V%）：（1.58—6.48）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危险特性：其蒸气与空气可形成爆炸性混合物。遇明火高热极易燃烧爆炸。与氧化剂能发生强烈反应。其蒸气比空气重。能在较低处扩散到相当远的地方。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1"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燃烧（分解）产物：CO、CO</w:t>
                  </w:r>
                  <w:r>
                    <w:rPr>
                      <w:rFonts w:hint="default" w:ascii="Times New Roman" w:hAnsi="Times New Roman" w:cs="Times New Roman"/>
                      <w:bCs/>
                      <w:color w:val="auto"/>
                      <w:szCs w:val="21"/>
                      <w:vertAlign w:val="subscript"/>
                    </w:rPr>
                    <w:t>2</w:t>
                  </w:r>
                  <w:r>
                    <w:rPr>
                      <w:rFonts w:hint="default" w:ascii="Times New Roman" w:hAnsi="Times New Roman" w:cs="Times New Roman"/>
                      <w:bCs/>
                      <w:color w:val="auto"/>
                      <w:szCs w:val="21"/>
                    </w:rPr>
                    <w:t>、H</w:t>
                  </w:r>
                  <w:r>
                    <w:rPr>
                      <w:rFonts w:hint="default" w:ascii="Times New Roman" w:hAnsi="Times New Roman" w:cs="Times New Roman"/>
                      <w:bCs/>
                      <w:color w:val="auto"/>
                      <w:szCs w:val="21"/>
                      <w:vertAlign w:val="subscript"/>
                    </w:rPr>
                    <w:t>2</w:t>
                  </w:r>
                  <w:r>
                    <w:rPr>
                      <w:rFonts w:hint="default" w:ascii="Times New Roman" w:hAnsi="Times New Roman" w:cs="Times New Roman"/>
                      <w:bCs/>
                      <w:color w:val="auto"/>
                      <w:szCs w:val="21"/>
                    </w:rPr>
                    <w:t>O</w:t>
                  </w:r>
                </w:p>
              </w:tc>
              <w:tc>
                <w:tcPr>
                  <w:tcW w:w="4052"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禁忌物：强氧化剂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71"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最高允许浓度（mg/m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）：300 </w:t>
                  </w:r>
                </w:p>
              </w:tc>
              <w:tc>
                <w:tcPr>
                  <w:tcW w:w="4052"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侵入途径：吸入、食入、经皮肤吸收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bCs/>
                      <w:color w:val="auto"/>
                      <w:szCs w:val="21"/>
                    </w:rPr>
                  </w:pPr>
                  <w:r>
                    <w:rPr>
                      <w:rFonts w:hint="default" w:ascii="Times New Roman" w:hAnsi="Times New Roman" w:cs="Times New Roman"/>
                      <w:bCs/>
                      <w:color w:val="auto"/>
                      <w:szCs w:val="21"/>
                    </w:rPr>
                    <w:t>健康危害：急性中毒，对中枢神经系统有麻醉作用，轻度中毒症状有</w:t>
                  </w:r>
                </w:p>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头晕、头痛、恶心、呕吐。高浓度吸入出现中毒性脑病。极高浓度吸入引起意识突然丧失，反射性呼吸停止。可伴有中毒性周围神经病及化学性肺炎。吸入呼吸道可引起吸入性肺炎。溅入眼内可致角膜溃疡、穿孔，甚至失明。皮肤接触致急性接触性皮炎，甚至灼伤。吞咽引起急性胃肠炎。 并可引起肝、肾损害。 慢性中毒神经衰弱综合症，植物神经功能紊乱，周围神经病。严重中毒出现中毒性脑病。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工程控制：密闭操作，全面通风，工作现场严禁火种。 呼吸系统防护</w:t>
                  </w:r>
                </w:p>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高浓度接触时，可佩戴自吸过滤式防毒面具。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眼睛防护：高浓度接触时，可佩戴化学安全防护眼镜。 身体防护穿防静电工作服。 手防护戴耐油手套。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623"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储运：存储要保持容器密封，要有防火、防爆技术措施，禁止使用易产生火花的机械设备和工具。灌装时应注意流速（不超过3m/s），且有接地装置，防止静电积聚。</w:t>
                  </w: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b/>
                <w:color w:val="auto"/>
                <w:sz w:val="24"/>
                <w:highlight w:val="none"/>
                <w:lang w:val="zh-CN"/>
              </w:rPr>
            </w:pPr>
            <w:r>
              <w:rPr>
                <w:rFonts w:hint="default"/>
                <w:b/>
                <w:color w:val="auto"/>
                <w:sz w:val="24"/>
                <w:highlight w:val="none"/>
                <w:lang w:val="zh-CN"/>
              </w:rPr>
              <w:t xml:space="preserve">   表</w:t>
            </w:r>
            <w:r>
              <w:rPr>
                <w:rFonts w:hint="eastAsia"/>
                <w:b/>
                <w:color w:val="auto"/>
                <w:sz w:val="24"/>
                <w:highlight w:val="none"/>
                <w:lang w:val="en-US" w:eastAsia="zh-CN"/>
              </w:rPr>
              <w:t>47</w:t>
            </w:r>
            <w:r>
              <w:rPr>
                <w:rFonts w:hint="default"/>
                <w:b/>
                <w:color w:val="auto"/>
                <w:sz w:val="24"/>
                <w:highlight w:val="none"/>
                <w:lang w:val="zh-CN"/>
              </w:rPr>
              <w:t xml:space="preserve">   柴油理化性质及危害</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36"/>
              <w:gridCol w:w="1651"/>
              <w:gridCol w:w="645"/>
              <w:gridCol w:w="33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中文名：柴油</w:t>
                  </w:r>
                </w:p>
              </w:tc>
              <w:tc>
                <w:tcPr>
                  <w:tcW w:w="6392" w:type="dxa"/>
                  <w:gridSpan w:val="4"/>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危险品类别：低闪点易燃液体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17"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主要成分：C15—C23脂肪烃和环烷烃 </w:t>
                  </w:r>
                </w:p>
              </w:tc>
              <w:tc>
                <w:tcPr>
                  <w:tcW w:w="4005"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性状：无色或淡黄色易挥发液体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凝点：10#不高于10；5＃不高于5；0＃不高于0；-10＃不高于-10；-20＃不高于-20；-35＃不高于-35；-50＃不高于-50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130"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熔点（℃）：＜-50 </w:t>
                  </w:r>
                </w:p>
              </w:tc>
              <w:tc>
                <w:tcPr>
                  <w:tcW w:w="3032"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相对密度（水=1）0.81—0.85</w:t>
                  </w:r>
                </w:p>
              </w:tc>
              <w:tc>
                <w:tcPr>
                  <w:tcW w:w="3360" w:type="dxa"/>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沸点（℃）：200—365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溶解性：不溶于水，易溶于有机溶剂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66" w:type="dxa"/>
                  <w:gridSpan w:val="2"/>
                  <w:tcBorders>
                    <w:tl2br w:val="nil"/>
                    <w:tr2bl w:val="nil"/>
                  </w:tcBorders>
                  <w:noWrap w:val="0"/>
                  <w:vAlign w:val="center"/>
                </w:tcPr>
                <w:p>
                  <w:pPr>
                    <w:spacing w:line="360" w:lineRule="auto"/>
                    <w:jc w:val="center"/>
                    <w:rPr>
                      <w:rFonts w:hint="default" w:ascii="Times New Roman" w:hAnsi="Times New Roman" w:cs="Times New Roman"/>
                      <w:color w:val="auto"/>
                      <w:szCs w:val="21"/>
                    </w:rPr>
                  </w:pPr>
                  <w:r>
                    <w:rPr>
                      <w:rFonts w:hint="default" w:ascii="Times New Roman" w:hAnsi="Times New Roman" w:cs="Times New Roman"/>
                      <w:bCs/>
                      <w:color w:val="auto"/>
                      <w:szCs w:val="21"/>
                    </w:rPr>
                    <w:t>燃烧性：极易燃烧</w:t>
                  </w:r>
                </w:p>
              </w:tc>
              <w:tc>
                <w:tcPr>
                  <w:tcW w:w="5656" w:type="dxa"/>
                  <w:gridSpan w:val="3"/>
                  <w:tcBorders>
                    <w:tl2br w:val="nil"/>
                    <w:tr2bl w:val="nil"/>
                  </w:tcBorders>
                  <w:noWrap w:val="0"/>
                  <w:vAlign w:val="top"/>
                </w:tcPr>
                <w:p>
                  <w:pPr>
                    <w:rPr>
                      <w:rFonts w:hint="default" w:ascii="Times New Roman" w:hAnsi="Times New Roman" w:cs="Times New Roman"/>
                      <w:color w:val="auto"/>
                      <w:szCs w:val="21"/>
                    </w:rPr>
                  </w:pPr>
                  <w:r>
                    <w:rPr>
                      <w:rFonts w:hint="default" w:ascii="Times New Roman" w:hAnsi="Times New Roman" w:cs="Times New Roman"/>
                      <w:bCs/>
                      <w:color w:val="auto"/>
                      <w:szCs w:val="21"/>
                    </w:rPr>
                    <w:t> 闪点（℃）： 10#、5＃、0＃、-10＃、-20＃不低于55℃；-35＃、-50＃不低于45℃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17"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引燃温度（℃）：（350—380）</w:t>
                  </w:r>
                </w:p>
              </w:tc>
              <w:tc>
                <w:tcPr>
                  <w:tcW w:w="4005"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爆炸极限（V%）：（1.5—6.5）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危险特性：其蒸气与空气可形成爆炸性混合物。遇明火高热极易燃烧爆炸。与氧化剂能发生强烈反应。其蒸气比空气重。能在较低处扩散到相当远的地方。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17"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燃烧（分解）产物：CO、CO</w:t>
                  </w:r>
                  <w:r>
                    <w:rPr>
                      <w:rFonts w:hint="default" w:ascii="Times New Roman" w:hAnsi="Times New Roman" w:cs="Times New Roman"/>
                      <w:bCs/>
                      <w:color w:val="auto"/>
                      <w:szCs w:val="21"/>
                      <w:vertAlign w:val="subscript"/>
                    </w:rPr>
                    <w:t>2</w:t>
                  </w:r>
                  <w:r>
                    <w:rPr>
                      <w:rFonts w:hint="default" w:ascii="Times New Roman" w:hAnsi="Times New Roman" w:cs="Times New Roman"/>
                      <w:bCs/>
                      <w:color w:val="auto"/>
                      <w:szCs w:val="21"/>
                    </w:rPr>
                    <w:t>、H</w:t>
                  </w:r>
                  <w:r>
                    <w:rPr>
                      <w:rFonts w:hint="default" w:ascii="Times New Roman" w:hAnsi="Times New Roman" w:cs="Times New Roman"/>
                      <w:bCs/>
                      <w:color w:val="auto"/>
                      <w:szCs w:val="21"/>
                      <w:vertAlign w:val="subscript"/>
                    </w:rPr>
                    <w:t>2</w:t>
                  </w:r>
                  <w:r>
                    <w:rPr>
                      <w:rFonts w:hint="default" w:ascii="Times New Roman" w:hAnsi="Times New Roman" w:cs="Times New Roman"/>
                      <w:bCs/>
                      <w:color w:val="auto"/>
                      <w:szCs w:val="21"/>
                    </w:rPr>
                    <w:t>O</w:t>
                  </w:r>
                </w:p>
              </w:tc>
              <w:tc>
                <w:tcPr>
                  <w:tcW w:w="4005"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禁忌物：强氧化剂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517" w:type="dxa"/>
                  <w:gridSpan w:val="3"/>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 最高允许浓度（mg/m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）：300 </w:t>
                  </w:r>
                </w:p>
              </w:tc>
              <w:tc>
                <w:tcPr>
                  <w:tcW w:w="4005" w:type="dxa"/>
                  <w:gridSpan w:val="2"/>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侵入途径：吸入、食入、经皮肤吸收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bCs/>
                      <w:color w:val="auto"/>
                      <w:szCs w:val="21"/>
                    </w:rPr>
                  </w:pPr>
                  <w:r>
                    <w:rPr>
                      <w:rFonts w:hint="default" w:ascii="Times New Roman" w:hAnsi="Times New Roman" w:cs="Times New Roman"/>
                      <w:bCs/>
                      <w:color w:val="auto"/>
                      <w:szCs w:val="21"/>
                    </w:rPr>
                    <w:t>健康危害：急性中毒，对中枢神经系统有麻醉作用，轻度中毒症状有</w:t>
                  </w:r>
                </w:p>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头晕、头痛、恶心、呕吐。高浓度吸入出现中毒性脑病。极高浓度吸入引起意识突然丧失，反射性呼吸停止。可伴有中毒性周围神经病及化学性肺炎。吸入呼吸道可引起吸入性肺炎。溅入眼内可致角膜溃疡、穿孔，甚至失明。皮肤接触致急性接触性皮炎，甚至灼伤。吞咽引起急性胃肠炎。 并可引起肝、肾损害。 慢性中毒神经衰弱综合症，植物神经功能紊乱，周围神经病。严重中毒出现中毒性脑病。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工程控制：密闭操作，全面通风，工作现场严禁火种。 呼吸系统防护</w:t>
                  </w:r>
                </w:p>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高浓度接触时，可佩戴自吸过滤式防毒面具。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眼睛防护：高浓度接触时，可佩戴化学安全防护眼镜。 身体防护穿防静电工作服。 手防护戴耐油手套。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tcBorders>
                    <w:tl2br w:val="nil"/>
                    <w:tr2bl w:val="nil"/>
                  </w:tcBorders>
                  <w:noWrap w:val="0"/>
                  <w:vAlign w:val="top"/>
                </w:tcPr>
                <w:p>
                  <w:pPr>
                    <w:spacing w:line="360" w:lineRule="auto"/>
                    <w:rPr>
                      <w:rFonts w:hint="default" w:ascii="Times New Roman" w:hAnsi="Times New Roman" w:cs="Times New Roman"/>
                      <w:color w:val="auto"/>
                      <w:szCs w:val="21"/>
                    </w:rPr>
                  </w:pPr>
                  <w:r>
                    <w:rPr>
                      <w:rFonts w:hint="default" w:ascii="Times New Roman" w:hAnsi="Times New Roman" w:cs="Times New Roman"/>
                      <w:bCs/>
                      <w:color w:val="auto"/>
                      <w:szCs w:val="21"/>
                    </w:rPr>
                    <w:t>储运：存储要保持容器密封，要有防火、防爆技术措施，禁止使用易产生火花的机械设备和工具。灌装时应注意流速且有接地装置，防止静电积聚。</w:t>
                  </w:r>
                </w:p>
              </w:tc>
            </w:tr>
          </w:tbl>
          <w:p>
            <w:pPr>
              <w:pStyle w:val="97"/>
              <w:keepNext w:val="0"/>
              <w:keepLines w:val="0"/>
              <w:pageBreakBefore w:val="0"/>
              <w:widowControl w:val="0"/>
              <w:kinsoku/>
              <w:wordWrap/>
              <w:overflowPunct/>
              <w:topLinePunct w:val="0"/>
              <w:bidi w:val="0"/>
              <w:spacing w:line="520" w:lineRule="exact"/>
              <w:ind w:firstLine="482" w:firstLineChars="200"/>
              <w:jc w:val="both"/>
              <w:textAlignment w:val="auto"/>
              <w:rPr>
                <w:rFonts w:ascii="Times New Roman" w:cs="Times New Roman"/>
                <w:b/>
                <w:bCs/>
              </w:rPr>
            </w:pPr>
            <w:r>
              <w:rPr>
                <w:rFonts w:hint="eastAsia" w:ascii="Times New Roman" w:cs="Times New Roman"/>
                <w:b/>
                <w:bCs/>
                <w:lang w:val="en-US" w:eastAsia="zh-CN"/>
              </w:rPr>
              <w:t>7.2</w:t>
            </w:r>
            <w:r>
              <w:rPr>
                <w:rFonts w:ascii="Times New Roman" w:cs="Times New Roman"/>
                <w:b/>
                <w:bCs/>
              </w:rPr>
              <w:t>风险潜势初判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根据《建设项目环境风险评价技术导则》（HJ169-2018）中规定，计算所涉及的每种危险物质在厂界内的最大存在总量与其在附录B 中对应临界量的比值Q。在不同厂区的同一种物质，按其在厂界内的最大存在总量计算。对于长输管线项目，按照两个截断阀室之间管段危险物质最大存在总量计算。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当只涉及一种危险物质时，计算该物质的总量与其临界量比值，即为Q；</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当存在多种危险物质时，则按下式计算物质总量与其临界量比值（Q）：</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Q=q</w:t>
            </w:r>
            <w:r>
              <w:rPr>
                <w:rFonts w:ascii="Times New Roman" w:hAnsi="Times New Roman" w:cs="Times New Roman"/>
                <w:color w:val="auto"/>
                <w:sz w:val="24"/>
                <w:szCs w:val="24"/>
                <w:vertAlign w:val="subscript"/>
              </w:rPr>
              <w:t>1</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1</w:t>
            </w:r>
            <w:r>
              <w:rPr>
                <w:rFonts w:ascii="Times New Roman" w:hAnsi="Times New Roman" w:cs="Times New Roman"/>
                <w:color w:val="auto"/>
                <w:sz w:val="24"/>
                <w:szCs w:val="24"/>
              </w:rPr>
              <w:t xml:space="preserve"> + q</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 xml:space="preserve"> + q</w:t>
            </w:r>
            <w:r>
              <w:rPr>
                <w:rFonts w:ascii="Times New Roman" w:hAnsi="Times New Roman" w:cs="Times New Roman"/>
                <w:color w:val="auto"/>
                <w:sz w:val="24"/>
                <w:szCs w:val="24"/>
                <w:vertAlign w:val="subscript"/>
              </w:rPr>
              <w:t>3</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3</w:t>
            </w:r>
            <w:r>
              <w:rPr>
                <w:rFonts w:ascii="Times New Roman" w:hAnsi="Times New Roman" w:cs="Times New Roman"/>
                <w:color w:val="auto"/>
                <w:sz w:val="24"/>
                <w:szCs w:val="24"/>
              </w:rPr>
              <w:t>+…… + q</w:t>
            </w:r>
            <w:r>
              <w:rPr>
                <w:rFonts w:ascii="Times New Roman" w:hAnsi="Times New Roman" w:cs="Times New Roman"/>
                <w:color w:val="auto"/>
                <w:sz w:val="24"/>
                <w:szCs w:val="24"/>
                <w:vertAlign w:val="subscript"/>
              </w:rPr>
              <w:t>n</w:t>
            </w:r>
            <w:r>
              <w:rPr>
                <w:rFonts w:ascii="Times New Roman" w:hAnsi="Times New Roman" w:cs="Times New Roman"/>
                <w:color w:val="auto"/>
                <w:sz w:val="24"/>
                <w:szCs w:val="24"/>
              </w:rPr>
              <w:t>/Qn</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式中：q</w:t>
            </w:r>
            <w:r>
              <w:rPr>
                <w:rFonts w:ascii="Times New Roman" w:hAnsi="Times New Roman" w:cs="Times New Roman"/>
                <w:color w:val="auto"/>
                <w:sz w:val="24"/>
                <w:szCs w:val="24"/>
                <w:vertAlign w:val="subscript"/>
              </w:rPr>
              <w:t>1</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n</w:t>
            </w:r>
            <w:r>
              <w:rPr>
                <w:rFonts w:ascii="Times New Roman" w:hAnsi="Times New Roman" w:cs="Times New Roman"/>
                <w:color w:val="auto"/>
                <w:sz w:val="24"/>
                <w:szCs w:val="24"/>
              </w:rPr>
              <w:t>－每种危险物质的最大存在总量，t；</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1</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2</w:t>
            </w:r>
            <w:r>
              <w:rPr>
                <w:rFonts w:ascii="Times New Roman" w:hAnsi="Times New Roman" w:cs="Times New Roman"/>
                <w:color w:val="auto"/>
                <w:sz w:val="24"/>
                <w:szCs w:val="24"/>
              </w:rPr>
              <w:t>，……Q</w:t>
            </w:r>
            <w:r>
              <w:rPr>
                <w:rFonts w:ascii="Times New Roman" w:hAnsi="Times New Roman" w:cs="Times New Roman"/>
                <w:color w:val="auto"/>
                <w:sz w:val="24"/>
                <w:szCs w:val="24"/>
                <w:vertAlign w:val="subscript"/>
              </w:rPr>
              <w:t>n</w:t>
            </w:r>
            <w:r>
              <w:rPr>
                <w:rFonts w:ascii="Times New Roman" w:hAnsi="Times New Roman" w:cs="Times New Roman"/>
                <w:color w:val="auto"/>
                <w:sz w:val="24"/>
                <w:szCs w:val="24"/>
              </w:rPr>
              <w:t>－每种危险物质的临界量，t。</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当Q＜1时，该项目环境风险潜势为Ⅰ。</w:t>
            </w:r>
          </w:p>
          <w:p>
            <w:pPr>
              <w:keepNext w:val="0"/>
              <w:keepLines w:val="0"/>
              <w:pageBreakBefore w:val="0"/>
              <w:widowControl w:val="0"/>
              <w:kinsoku/>
              <w:wordWrap/>
              <w:overflowPunct/>
              <w:topLinePunct w:val="0"/>
              <w:autoSpaceDE/>
              <w:autoSpaceDN/>
              <w:bidi w:val="0"/>
              <w:adjustRightInd w:val="0"/>
              <w:snapToGrid w:val="0"/>
              <w:spacing w:line="520" w:lineRule="exact"/>
              <w:ind w:firstLine="1200" w:firstLineChars="500"/>
              <w:textAlignment w:val="auto"/>
              <w:rPr>
                <w:rFonts w:ascii="Times New Roman" w:hAnsi="Times New Roman" w:cs="Times New Roman"/>
                <w:color w:val="auto"/>
                <w:sz w:val="24"/>
                <w:szCs w:val="24"/>
              </w:rPr>
            </w:pPr>
            <w:r>
              <w:rPr>
                <w:rFonts w:ascii="Times New Roman" w:hAnsi="Times New Roman" w:cs="Times New Roman"/>
                <w:color w:val="auto"/>
                <w:sz w:val="24"/>
                <w:szCs w:val="24"/>
              </w:rPr>
              <w:t>当Q≥1 时，将Q值划分为：（1）1≤Q＜10；（2）10≤Q＜100；（3）Q≥100。</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rPr>
              <w:t>本项目涉及危险物质主要为柴油、汽油，根据《建设项目环境风险评价技术导则》（HJ169-2018）附录B突发环境事件风险物质及临界量，本项目危险物质一次最大</w:t>
            </w:r>
            <w:r>
              <w:rPr>
                <w:rFonts w:hint="eastAsia" w:ascii="Times New Roman" w:hAnsi="Times New Roman" w:cs="Times New Roman"/>
                <w:color w:val="auto"/>
                <w:sz w:val="24"/>
                <w:szCs w:val="24"/>
                <w:highlight w:val="none"/>
              </w:rPr>
              <w:t>储存量与临界量对比情况见下表。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b/>
                <w:color w:val="auto"/>
                <w:sz w:val="24"/>
                <w:highlight w:val="none"/>
                <w:lang w:val="zh-CN"/>
              </w:rPr>
            </w:pPr>
            <w:r>
              <w:rPr>
                <w:rFonts w:hint="default"/>
                <w:b/>
                <w:color w:val="auto"/>
                <w:sz w:val="24"/>
                <w:highlight w:val="none"/>
                <w:lang w:val="zh-CN"/>
              </w:rPr>
              <w:t>表</w:t>
            </w:r>
            <w:r>
              <w:rPr>
                <w:rFonts w:hint="eastAsia"/>
                <w:b/>
                <w:color w:val="auto"/>
                <w:sz w:val="24"/>
                <w:highlight w:val="none"/>
                <w:lang w:val="en-US" w:eastAsia="zh-CN"/>
              </w:rPr>
              <w:t>48</w:t>
            </w:r>
            <w:r>
              <w:rPr>
                <w:rFonts w:hint="default"/>
                <w:b/>
                <w:color w:val="auto"/>
                <w:sz w:val="24"/>
                <w:highlight w:val="none"/>
                <w:lang w:val="zh-CN"/>
              </w:rPr>
              <w:t xml:space="preserve">    项目危险物质一次最大储存量与临界量对比表   </w:t>
            </w:r>
            <w:r>
              <w:rPr>
                <w:rFonts w:hint="eastAsia"/>
                <w:b/>
                <w:color w:val="auto"/>
                <w:sz w:val="24"/>
                <w:highlight w:val="none"/>
                <w:lang w:val="zh-CN"/>
              </w:rPr>
              <w:t xml:space="preserve">    </w:t>
            </w:r>
            <w:r>
              <w:rPr>
                <w:rFonts w:hint="default"/>
                <w:b/>
                <w:color w:val="auto"/>
                <w:sz w:val="24"/>
                <w:highlight w:val="none"/>
                <w:lang w:val="zh-CN"/>
              </w:rPr>
              <w:t xml:space="preserve"> 单位：t</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1857"/>
              <w:gridCol w:w="1856"/>
              <w:gridCol w:w="1966"/>
              <w:gridCol w:w="1260"/>
              <w:gridCol w:w="16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95" w:hRule="atLeast"/>
                <w:jc w:val="center"/>
              </w:trPr>
              <w:tc>
                <w:tcPr>
                  <w:tcW w:w="1857" w:type="dxa"/>
                  <w:tcBorders>
                    <w:tl2br w:val="nil"/>
                    <w:tr2bl w:val="nil"/>
                  </w:tcBorders>
                  <w:noWrap w:val="0"/>
                  <w:vAlign w:val="center"/>
                </w:tcPr>
                <w:p>
                  <w:pPr>
                    <w:spacing w:line="240" w:lineRule="exact"/>
                    <w:jc w:val="center"/>
                    <w:rPr>
                      <w:rFonts w:ascii="Times New Roman" w:hAnsi="Times New Roman" w:cs="Times New Roman"/>
                      <w:b/>
                      <w:bCs/>
                      <w:color w:val="auto"/>
                      <w:sz w:val="21"/>
                      <w:szCs w:val="21"/>
                      <w:highlight w:val="none"/>
                    </w:rPr>
                  </w:pPr>
                  <w:r>
                    <w:rPr>
                      <w:rFonts w:ascii="Times New Roman" w:hAnsi="Times New Roman" w:eastAsia="宋体" w:cs="Times New Roman"/>
                      <w:b/>
                      <w:bCs/>
                      <w:color w:val="auto"/>
                      <w:sz w:val="21"/>
                      <w:szCs w:val="21"/>
                      <w:highlight w:val="none"/>
                    </w:rPr>
                    <w:t>风险源</w:t>
                  </w:r>
                </w:p>
              </w:tc>
              <w:tc>
                <w:tcPr>
                  <w:tcW w:w="1856" w:type="dxa"/>
                  <w:tcBorders>
                    <w:tl2br w:val="nil"/>
                    <w:tr2bl w:val="nil"/>
                  </w:tcBorders>
                  <w:noWrap w:val="0"/>
                  <w:vAlign w:val="center"/>
                </w:tcPr>
                <w:p>
                  <w:pPr>
                    <w:spacing w:line="240" w:lineRule="exact"/>
                    <w:jc w:val="center"/>
                    <w:rPr>
                      <w:rFonts w:ascii="Times New Roman" w:hAnsi="Times New Roman" w:cs="Times New Roman"/>
                      <w:b/>
                      <w:bCs/>
                      <w:color w:val="auto"/>
                      <w:sz w:val="21"/>
                      <w:szCs w:val="21"/>
                      <w:highlight w:val="none"/>
                    </w:rPr>
                  </w:pPr>
                  <w:r>
                    <w:rPr>
                      <w:rFonts w:ascii="Times New Roman" w:hAnsi="Times New Roman" w:eastAsia="宋体" w:cs="Times New Roman"/>
                      <w:b/>
                      <w:bCs/>
                      <w:color w:val="auto"/>
                      <w:sz w:val="21"/>
                      <w:szCs w:val="21"/>
                      <w:highlight w:val="none"/>
                    </w:rPr>
                    <w:t>危化品名称</w:t>
                  </w:r>
                </w:p>
              </w:tc>
              <w:tc>
                <w:tcPr>
                  <w:tcW w:w="1966" w:type="dxa"/>
                  <w:tcBorders>
                    <w:tl2br w:val="nil"/>
                    <w:tr2bl w:val="nil"/>
                  </w:tcBorders>
                  <w:noWrap w:val="0"/>
                  <w:vAlign w:val="center"/>
                </w:tcPr>
                <w:p>
                  <w:pPr>
                    <w:spacing w:line="240" w:lineRule="exact"/>
                    <w:ind w:firstLine="105" w:firstLineChars="50"/>
                    <w:jc w:val="center"/>
                    <w:rPr>
                      <w:rFonts w:ascii="Times New Roman" w:hAnsi="Times New Roman" w:cs="Times New Roman"/>
                      <w:b/>
                      <w:bCs/>
                      <w:color w:val="auto"/>
                      <w:sz w:val="21"/>
                      <w:szCs w:val="21"/>
                      <w:highlight w:val="none"/>
                    </w:rPr>
                  </w:pPr>
                  <w:r>
                    <w:rPr>
                      <w:rFonts w:ascii="Times New Roman" w:hAnsi="Times New Roman" w:eastAsia="宋体" w:cs="Times New Roman"/>
                      <w:b/>
                      <w:bCs/>
                      <w:color w:val="auto"/>
                      <w:sz w:val="21"/>
                      <w:szCs w:val="21"/>
                      <w:highlight w:val="none"/>
                    </w:rPr>
                    <w:t>最大储存量</w:t>
                  </w:r>
                </w:p>
              </w:tc>
              <w:tc>
                <w:tcPr>
                  <w:tcW w:w="1260" w:type="dxa"/>
                  <w:tcBorders>
                    <w:tl2br w:val="nil"/>
                    <w:tr2bl w:val="nil"/>
                  </w:tcBorders>
                  <w:noWrap w:val="0"/>
                  <w:vAlign w:val="center"/>
                </w:tcPr>
                <w:p>
                  <w:pPr>
                    <w:spacing w:line="240" w:lineRule="exact"/>
                    <w:jc w:val="center"/>
                    <w:rPr>
                      <w:rFonts w:ascii="Times New Roman" w:hAnsi="Times New Roman" w:cs="Times New Roman"/>
                      <w:b/>
                      <w:bCs/>
                      <w:color w:val="auto"/>
                      <w:sz w:val="21"/>
                      <w:szCs w:val="21"/>
                      <w:highlight w:val="none"/>
                    </w:rPr>
                  </w:pPr>
                  <w:r>
                    <w:rPr>
                      <w:rFonts w:ascii="Times New Roman" w:hAnsi="Times New Roman" w:eastAsia="宋体" w:cs="Times New Roman"/>
                      <w:b/>
                      <w:bCs/>
                      <w:color w:val="auto"/>
                      <w:sz w:val="21"/>
                      <w:szCs w:val="21"/>
                      <w:highlight w:val="none"/>
                    </w:rPr>
                    <w:t>临界量</w:t>
                  </w:r>
                </w:p>
              </w:tc>
              <w:tc>
                <w:tcPr>
                  <w:tcW w:w="1647" w:type="dxa"/>
                  <w:tcBorders>
                    <w:tl2br w:val="nil"/>
                    <w:tr2bl w:val="nil"/>
                  </w:tcBorders>
                  <w:noWrap w:val="0"/>
                  <w:vAlign w:val="center"/>
                </w:tcPr>
                <w:p>
                  <w:pPr>
                    <w:spacing w:line="240" w:lineRule="exact"/>
                    <w:jc w:val="center"/>
                    <w:rPr>
                      <w:rFonts w:ascii="Times New Roman" w:hAnsi="Times New Roman" w:cs="Times New Roman"/>
                      <w:b/>
                      <w:bCs/>
                      <w:color w:val="auto"/>
                      <w:sz w:val="21"/>
                      <w:szCs w:val="21"/>
                      <w:highlight w:val="none"/>
                    </w:rPr>
                  </w:pPr>
                  <w:r>
                    <w:rPr>
                      <w:rFonts w:hint="eastAsia" w:hAnsi="Times New Roman" w:eastAsia="宋体" w:cs="Times New Roman"/>
                      <w:b/>
                      <w:bCs/>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305" w:hRule="atLeast"/>
                <w:jc w:val="center"/>
              </w:trPr>
              <w:tc>
                <w:tcPr>
                  <w:tcW w:w="1857" w:type="dxa"/>
                  <w:tcBorders>
                    <w:tl2br w:val="nil"/>
                    <w:tr2bl w:val="nil"/>
                  </w:tcBorders>
                  <w:noWrap w:val="0"/>
                  <w:vAlign w:val="center"/>
                </w:tcPr>
                <w:p>
                  <w:pPr>
                    <w:spacing w:line="240" w:lineRule="exact"/>
                    <w:jc w:val="center"/>
                    <w:rPr>
                      <w:rFonts w:ascii="Times New Roman" w:hAnsi="Times New Roman" w:cs="Times New Roman"/>
                      <w:color w:val="auto"/>
                      <w:sz w:val="21"/>
                      <w:szCs w:val="21"/>
                      <w:highlight w:val="none"/>
                    </w:rPr>
                  </w:pPr>
                  <w:r>
                    <w:rPr>
                      <w:rFonts w:ascii="Times New Roman" w:hAnsi="Times New Roman" w:eastAsia="宋体" w:cs="Times New Roman"/>
                      <w:color w:val="auto"/>
                      <w:sz w:val="21"/>
                      <w:szCs w:val="21"/>
                      <w:highlight w:val="none"/>
                    </w:rPr>
                    <w:t>汽油储罐</w:t>
                  </w:r>
                </w:p>
              </w:tc>
              <w:tc>
                <w:tcPr>
                  <w:tcW w:w="1856" w:type="dxa"/>
                  <w:tcBorders>
                    <w:tl2br w:val="nil"/>
                    <w:tr2bl w:val="nil"/>
                  </w:tcBorders>
                  <w:noWrap w:val="0"/>
                  <w:vAlign w:val="center"/>
                </w:tcPr>
                <w:p>
                  <w:pPr>
                    <w:spacing w:line="240" w:lineRule="exact"/>
                    <w:jc w:val="center"/>
                    <w:rPr>
                      <w:rFonts w:ascii="Times New Roman" w:hAnsi="Times New Roman" w:cs="Times New Roman"/>
                      <w:color w:val="auto"/>
                      <w:sz w:val="21"/>
                      <w:szCs w:val="21"/>
                      <w:highlight w:val="none"/>
                    </w:rPr>
                  </w:pPr>
                  <w:r>
                    <w:rPr>
                      <w:rFonts w:ascii="Times New Roman" w:hAnsi="Times New Roman" w:eastAsia="宋体" w:cs="Times New Roman"/>
                      <w:color w:val="auto"/>
                      <w:sz w:val="21"/>
                      <w:szCs w:val="21"/>
                      <w:highlight w:val="none"/>
                    </w:rPr>
                    <w:t>汽油</w:t>
                  </w:r>
                </w:p>
              </w:tc>
              <w:tc>
                <w:tcPr>
                  <w:tcW w:w="1966" w:type="dxa"/>
                  <w:tcBorders>
                    <w:tl2br w:val="nil"/>
                    <w:tr2bl w:val="nil"/>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1260"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rPr>
                    <w:t>2500</w:t>
                  </w:r>
                </w:p>
              </w:tc>
              <w:tc>
                <w:tcPr>
                  <w:tcW w:w="1647" w:type="dxa"/>
                  <w:tcBorders>
                    <w:tl2br w:val="nil"/>
                    <w:tr2bl w:val="nil"/>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275" w:hRule="atLeast"/>
                <w:jc w:val="center"/>
              </w:trPr>
              <w:tc>
                <w:tcPr>
                  <w:tcW w:w="1857" w:type="dxa"/>
                  <w:tcBorders>
                    <w:tl2br w:val="nil"/>
                    <w:tr2bl w:val="nil"/>
                  </w:tcBorders>
                  <w:noWrap w:val="0"/>
                  <w:vAlign w:val="center"/>
                </w:tcPr>
                <w:p>
                  <w:pPr>
                    <w:spacing w:line="240" w:lineRule="exact"/>
                    <w:jc w:val="center"/>
                    <w:rPr>
                      <w:rFonts w:ascii="Times New Roman" w:hAnsi="Times New Roman" w:cs="Times New Roman"/>
                      <w:color w:val="auto"/>
                      <w:sz w:val="21"/>
                      <w:szCs w:val="21"/>
                      <w:highlight w:val="none"/>
                    </w:rPr>
                  </w:pPr>
                  <w:r>
                    <w:rPr>
                      <w:rFonts w:ascii="Times New Roman" w:hAnsi="Times New Roman" w:eastAsia="宋体" w:cs="Times New Roman"/>
                      <w:color w:val="auto"/>
                      <w:sz w:val="21"/>
                      <w:szCs w:val="21"/>
                      <w:highlight w:val="none"/>
                    </w:rPr>
                    <w:t>柴油储罐</w:t>
                  </w:r>
                </w:p>
              </w:tc>
              <w:tc>
                <w:tcPr>
                  <w:tcW w:w="1856" w:type="dxa"/>
                  <w:tcBorders>
                    <w:tl2br w:val="nil"/>
                    <w:tr2bl w:val="nil"/>
                  </w:tcBorders>
                  <w:noWrap w:val="0"/>
                  <w:vAlign w:val="center"/>
                </w:tcPr>
                <w:p>
                  <w:pPr>
                    <w:spacing w:line="240" w:lineRule="exact"/>
                    <w:jc w:val="center"/>
                    <w:rPr>
                      <w:rFonts w:ascii="Times New Roman" w:hAnsi="Times New Roman" w:cs="Times New Roman"/>
                      <w:color w:val="auto"/>
                      <w:sz w:val="21"/>
                      <w:szCs w:val="21"/>
                      <w:highlight w:val="none"/>
                    </w:rPr>
                  </w:pPr>
                  <w:r>
                    <w:rPr>
                      <w:rFonts w:ascii="Times New Roman" w:hAnsi="Times New Roman" w:eastAsia="宋体" w:cs="Times New Roman"/>
                      <w:color w:val="auto"/>
                      <w:sz w:val="21"/>
                      <w:szCs w:val="21"/>
                      <w:highlight w:val="none"/>
                    </w:rPr>
                    <w:t>柴油</w:t>
                  </w:r>
                </w:p>
              </w:tc>
              <w:tc>
                <w:tcPr>
                  <w:tcW w:w="1966" w:type="dxa"/>
                  <w:tcBorders>
                    <w:tl2br w:val="nil"/>
                    <w:tr2bl w:val="nil"/>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30.6</w:t>
                  </w:r>
                </w:p>
              </w:tc>
              <w:tc>
                <w:tcPr>
                  <w:tcW w:w="1260"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2500</w:t>
                  </w:r>
                </w:p>
              </w:tc>
              <w:tc>
                <w:tcPr>
                  <w:tcW w:w="1647" w:type="dxa"/>
                  <w:tcBorders>
                    <w:tl2br w:val="nil"/>
                    <w:tr2bl w:val="nil"/>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28" w:type="dxa"/>
                  <w:bottom w:w="28" w:type="dxa"/>
                  <w:right w:w="28" w:type="dxa"/>
                </w:tblCellMar>
              </w:tblPrEx>
              <w:trPr>
                <w:trHeight w:val="182" w:hRule="atLeast"/>
                <w:jc w:val="center"/>
              </w:trPr>
              <w:tc>
                <w:tcPr>
                  <w:tcW w:w="1857"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合计</w:t>
                  </w:r>
                </w:p>
              </w:tc>
              <w:tc>
                <w:tcPr>
                  <w:tcW w:w="1856"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1966"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1260" w:type="dxa"/>
                  <w:tcBorders>
                    <w:tl2br w:val="nil"/>
                    <w:tr2bl w:val="nil"/>
                  </w:tcBorders>
                  <w:noWrap w:val="0"/>
                  <w:vAlign w:val="center"/>
                </w:tcPr>
                <w:p>
                  <w:pPr>
                    <w:spacing w:line="24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1647" w:type="dxa"/>
                  <w:tcBorders>
                    <w:tl2br w:val="nil"/>
                    <w:tr2bl w:val="nil"/>
                  </w:tcBorders>
                  <w:noWrap w:val="0"/>
                  <w:vAlign w:val="center"/>
                </w:tcPr>
                <w:p>
                  <w:pPr>
                    <w:spacing w:line="240" w:lineRule="exact"/>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0.023</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0"/>
              <w:rPr>
                <w:rFonts w:ascii="Times New Roman" w:hAnsi="Times New Roman" w:cs="Times New Roman"/>
                <w:color w:val="auto"/>
                <w:sz w:val="24"/>
                <w:szCs w:val="24"/>
                <w:highlight w:val="yellow"/>
              </w:rPr>
            </w:pPr>
            <w:r>
              <w:rPr>
                <w:rFonts w:ascii="Times New Roman" w:hAnsi="Times New Roman" w:eastAsia="宋体" w:cs="Times New Roman"/>
                <w:color w:val="auto"/>
                <w:sz w:val="24"/>
                <w:szCs w:val="24"/>
                <w:highlight w:val="none"/>
              </w:rPr>
              <w:t>由表</w:t>
            </w:r>
            <w:r>
              <w:rPr>
                <w:rFonts w:hint="eastAsia"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可见，</w:t>
            </w:r>
            <w:r>
              <w:rPr>
                <w:rFonts w:hint="eastAsia" w:hAnsi="Times New Roman" w:eastAsia="宋体" w:cs="Times New Roman"/>
                <w:sz w:val="24"/>
                <w:szCs w:val="24"/>
              </w:rPr>
              <w:t>Q</w:t>
            </w:r>
            <w:r>
              <w:rPr>
                <w:rFonts w:hint="eastAsia" w:hAnsi="Times New Roman" w:eastAsia="宋体" w:cs="Times New Roman"/>
                <w:sz w:val="24"/>
                <w:szCs w:val="24"/>
                <w:lang w:val="en-US" w:eastAsia="zh-CN"/>
              </w:rPr>
              <w:t>=</w:t>
            </w:r>
            <w:r>
              <w:rPr>
                <w:rFonts w:ascii="Times New Roman" w:hAnsi="Times New Roman" w:eastAsia="黑体" w:cs="Times New Roman"/>
                <w:bCs/>
                <w:color w:val="auto"/>
                <w:sz w:val="24"/>
                <w:szCs w:val="24"/>
                <w:highlight w:val="none"/>
              </w:rPr>
              <w:t>q</w:t>
            </w:r>
            <w:r>
              <w:rPr>
                <w:rFonts w:ascii="Times New Roman" w:hAnsi="Times New Roman" w:eastAsia="黑体" w:cs="Times New Roman"/>
                <w:bCs/>
                <w:color w:val="auto"/>
                <w:sz w:val="24"/>
                <w:szCs w:val="24"/>
                <w:highlight w:val="none"/>
                <w:vertAlign w:val="subscript"/>
              </w:rPr>
              <w:t>1</w:t>
            </w:r>
            <w:r>
              <w:rPr>
                <w:rFonts w:ascii="Times New Roman" w:hAnsi="Times New Roman" w:eastAsia="黑体" w:cs="Times New Roman"/>
                <w:bCs/>
                <w:color w:val="auto"/>
                <w:sz w:val="24"/>
                <w:szCs w:val="24"/>
                <w:highlight w:val="none"/>
              </w:rPr>
              <w:t>/Q</w:t>
            </w:r>
            <w:r>
              <w:rPr>
                <w:rFonts w:ascii="Times New Roman" w:hAnsi="Times New Roman" w:eastAsia="黑体" w:cs="Times New Roman"/>
                <w:bCs/>
                <w:color w:val="auto"/>
                <w:sz w:val="24"/>
                <w:szCs w:val="24"/>
                <w:highlight w:val="none"/>
                <w:vertAlign w:val="subscript"/>
              </w:rPr>
              <w:t>1</w:t>
            </w:r>
            <w:r>
              <w:rPr>
                <w:rFonts w:ascii="Times New Roman" w:hAnsi="Times New Roman" w:eastAsia="黑体" w:cs="Times New Roman"/>
                <w:bCs/>
                <w:color w:val="auto"/>
                <w:sz w:val="24"/>
                <w:szCs w:val="24"/>
                <w:highlight w:val="none"/>
              </w:rPr>
              <w:t>+q</w:t>
            </w:r>
            <w:r>
              <w:rPr>
                <w:rFonts w:ascii="Times New Roman" w:hAnsi="Times New Roman" w:eastAsia="黑体" w:cs="Times New Roman"/>
                <w:bCs/>
                <w:color w:val="auto"/>
                <w:sz w:val="24"/>
                <w:szCs w:val="24"/>
                <w:highlight w:val="none"/>
                <w:vertAlign w:val="subscript"/>
              </w:rPr>
              <w:t>2</w:t>
            </w:r>
            <w:r>
              <w:rPr>
                <w:rFonts w:ascii="Times New Roman" w:hAnsi="Times New Roman" w:eastAsia="黑体" w:cs="Times New Roman"/>
                <w:bCs/>
                <w:color w:val="auto"/>
                <w:sz w:val="24"/>
                <w:szCs w:val="24"/>
                <w:highlight w:val="none"/>
              </w:rPr>
              <w:t>/Q</w:t>
            </w:r>
            <w:r>
              <w:rPr>
                <w:rFonts w:ascii="Times New Roman" w:hAnsi="Times New Roman" w:eastAsia="黑体" w:cs="Times New Roman"/>
                <w:bCs/>
                <w:color w:val="auto"/>
                <w:sz w:val="24"/>
                <w:szCs w:val="24"/>
                <w:highlight w:val="none"/>
                <w:vertAlign w:val="subscript"/>
              </w:rPr>
              <w:t>2</w:t>
            </w:r>
            <w:r>
              <w:rPr>
                <w:rFonts w:hint="eastAsia" w:eastAsia="黑体" w:cs="Times New Roman"/>
                <w:bCs/>
                <w:color w:val="auto"/>
                <w:sz w:val="24"/>
                <w:szCs w:val="24"/>
                <w:highlight w:val="none"/>
                <w:vertAlign w:val="baseline"/>
                <w:lang w:val="en-US" w:eastAsia="zh-CN"/>
              </w:rPr>
              <w:t>=0.023</w:t>
            </w:r>
            <w:r>
              <w:rPr>
                <w:rFonts w:ascii="Times New Roman" w:hAnsi="Times New Roman" w:eastAsia="黑体" w:cs="Times New Roman"/>
                <w:bCs/>
                <w:color w:val="auto"/>
                <w:sz w:val="24"/>
                <w:szCs w:val="24"/>
                <w:highlight w:val="none"/>
              </w:rPr>
              <w:t>＜1</w:t>
            </w:r>
            <w:r>
              <w:rPr>
                <w:rFonts w:ascii="Times New Roman" w:hAnsi="Times New Roman" w:eastAsia="宋体" w:cs="Times New Roman"/>
                <w:bCs/>
                <w:color w:val="auto"/>
                <w:sz w:val="24"/>
                <w:szCs w:val="24"/>
                <w:highlight w:val="none"/>
              </w:rPr>
              <w:t>，</w:t>
            </w:r>
            <w:r>
              <w:rPr>
                <w:bCs/>
                <w:sz w:val="24"/>
                <w:szCs w:val="24"/>
              </w:rPr>
              <w:t>本项目风险物质实际储存量与临界储存量比值Q</w:t>
            </w:r>
            <w:r>
              <w:rPr>
                <w:rFonts w:hint="eastAsia"/>
                <w:bCs/>
                <w:sz w:val="24"/>
                <w:szCs w:val="24"/>
              </w:rPr>
              <w:t>&lt;</w:t>
            </w:r>
            <w:r>
              <w:rPr>
                <w:bCs/>
                <w:sz w:val="24"/>
                <w:szCs w:val="24"/>
              </w:rPr>
              <w:t>1。</w:t>
            </w:r>
            <w:r>
              <w:rPr>
                <w:rFonts w:ascii="Times New Roman" w:hAnsi="Times New Roman" w:eastAsia="宋体" w:cs="Times New Roman"/>
                <w:bCs/>
                <w:color w:val="auto"/>
                <w:sz w:val="24"/>
                <w:szCs w:val="24"/>
                <w:highlight w:val="none"/>
              </w:rPr>
              <w:t>因此确定该项目环境风险潜势为I</w:t>
            </w:r>
            <w:r>
              <w:rPr>
                <w:rFonts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eastAsia="宋体" w:cs="Times New Roman"/>
                <w:color w:val="auto"/>
                <w:sz w:val="24"/>
                <w:szCs w:val="24"/>
              </w:rPr>
              <w:t>评价</w:t>
            </w:r>
            <w:r>
              <w:rPr>
                <w:rFonts w:hint="eastAsia" w:cs="Times New Roman"/>
                <w:color w:val="auto"/>
                <w:sz w:val="24"/>
                <w:szCs w:val="24"/>
                <w:lang w:val="en-US" w:eastAsia="zh-CN"/>
              </w:rPr>
              <w:t>工作</w:t>
            </w:r>
            <w:r>
              <w:rPr>
                <w:rFonts w:ascii="Times New Roman" w:hAnsi="Times New Roman" w:eastAsia="宋体" w:cs="Times New Roman"/>
                <w:color w:val="auto"/>
                <w:sz w:val="24"/>
                <w:szCs w:val="24"/>
              </w:rPr>
              <w:t>等级划分见表</w:t>
            </w:r>
            <w:r>
              <w:rPr>
                <w:rFonts w:hint="eastAsia" w:cs="Times New Roman"/>
                <w:color w:val="auto"/>
                <w:sz w:val="24"/>
                <w:szCs w:val="24"/>
                <w:lang w:val="en-US" w:eastAsia="zh-CN"/>
              </w:rPr>
              <w:t>49</w:t>
            </w:r>
            <w:r>
              <w:rPr>
                <w:rFonts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b/>
                <w:color w:val="auto"/>
                <w:sz w:val="24"/>
                <w:szCs w:val="24"/>
                <w:highlight w:val="none"/>
                <w:lang w:val="zh-CN"/>
              </w:rPr>
            </w:pPr>
            <w:r>
              <w:rPr>
                <w:rFonts w:hint="default"/>
                <w:b/>
                <w:color w:val="auto"/>
                <w:sz w:val="24"/>
                <w:szCs w:val="24"/>
                <w:highlight w:val="none"/>
                <w:lang w:val="zh-CN"/>
              </w:rPr>
              <w:t>表</w:t>
            </w:r>
            <w:r>
              <w:rPr>
                <w:rFonts w:hint="eastAsia"/>
                <w:b/>
                <w:color w:val="auto"/>
                <w:sz w:val="24"/>
                <w:szCs w:val="24"/>
                <w:highlight w:val="none"/>
                <w:lang w:val="en-US" w:eastAsia="zh-CN"/>
              </w:rPr>
              <w:t>49</w:t>
            </w:r>
            <w:r>
              <w:rPr>
                <w:rFonts w:hint="default"/>
                <w:b/>
                <w:color w:val="auto"/>
                <w:sz w:val="24"/>
                <w:szCs w:val="24"/>
                <w:highlight w:val="none"/>
                <w:lang w:val="zh-CN"/>
              </w:rPr>
              <w:t>　　　评价工作等级划分一览表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475"/>
              <w:gridCol w:w="1926"/>
              <w:gridCol w:w="2148"/>
              <w:gridCol w:w="15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35" w:type="dxa"/>
                  <w:tcBorders>
                    <w:tl2br w:val="nil"/>
                    <w:tr2bl w:val="nil"/>
                  </w:tcBorders>
                  <w:noWrap w:val="0"/>
                  <w:vAlign w:val="center"/>
                </w:tcPr>
                <w:p>
                  <w:pPr>
                    <w:spacing w:line="260" w:lineRule="exact"/>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环境风险潜势</w:t>
                  </w:r>
                </w:p>
              </w:tc>
              <w:tc>
                <w:tcPr>
                  <w:tcW w:w="1475" w:type="dxa"/>
                  <w:tcBorders>
                    <w:tl2br w:val="nil"/>
                    <w:tr2bl w:val="nil"/>
                  </w:tcBorders>
                  <w:noWrap w:val="0"/>
                  <w:vAlign w:val="center"/>
                </w:tcPr>
                <w:p>
                  <w:pPr>
                    <w:spacing w:line="260" w:lineRule="exact"/>
                    <w:jc w:val="center"/>
                    <w:rPr>
                      <w:rFonts w:ascii="Times New Roman" w:hAnsi="Times New Roman" w:eastAsia="宋体" w:cs="Times New Roman"/>
                      <w:b/>
                      <w:bCs/>
                      <w:color w:val="auto"/>
                      <w:sz w:val="21"/>
                      <w:szCs w:val="21"/>
                    </w:rPr>
                  </w:pPr>
                  <w:r>
                    <w:rPr>
                      <w:rFonts w:ascii="Times New Roman" w:hAnsi="Times New Roman" w:cs="Times New Roman"/>
                      <w:b/>
                      <w:bCs/>
                      <w:color w:val="auto"/>
                      <w:sz w:val="21"/>
                      <w:szCs w:val="21"/>
                    </w:rPr>
                    <w:fldChar w:fldCharType="begin"/>
                  </w:r>
                  <w:r>
                    <w:rPr>
                      <w:rFonts w:ascii="Times New Roman" w:hAnsi="Times New Roman" w:cs="Times New Roman"/>
                      <w:b/>
                      <w:bCs/>
                      <w:color w:val="auto"/>
                      <w:sz w:val="21"/>
                      <w:szCs w:val="21"/>
                    </w:rPr>
                    <w:instrText xml:space="preserve"> = 4 \* ROMAN \* MERGEFORMAT </w:instrText>
                  </w:r>
                  <w:r>
                    <w:rPr>
                      <w:rFonts w:ascii="Times New Roman" w:hAnsi="Times New Roman" w:cs="Times New Roman"/>
                      <w:b/>
                      <w:bCs/>
                      <w:color w:val="auto"/>
                      <w:sz w:val="21"/>
                      <w:szCs w:val="21"/>
                    </w:rPr>
                    <w:fldChar w:fldCharType="separate"/>
                  </w:r>
                  <w:r>
                    <w:rPr>
                      <w:rFonts w:ascii="Times New Roman" w:hAnsi="Times New Roman" w:cs="Times New Roman"/>
                      <w:b/>
                      <w:bCs/>
                      <w:color w:val="auto"/>
                      <w:sz w:val="21"/>
                      <w:szCs w:val="21"/>
                    </w:rPr>
                    <w:t>IV</w:t>
                  </w:r>
                  <w:r>
                    <w:rPr>
                      <w:rFonts w:ascii="Times New Roman" w:hAnsi="Times New Roman" w:cs="Times New Roman"/>
                      <w:b/>
                      <w:bCs/>
                      <w:color w:val="auto"/>
                      <w:sz w:val="21"/>
                      <w:szCs w:val="21"/>
                    </w:rPr>
                    <w:fldChar w:fldCharType="end"/>
                  </w:r>
                  <w:r>
                    <w:rPr>
                      <w:rFonts w:ascii="Times New Roman" w:hAnsi="Times New Roman" w:cs="Times New Roman"/>
                      <w:b/>
                      <w:bCs/>
                      <w:color w:val="auto"/>
                      <w:sz w:val="21"/>
                      <w:szCs w:val="21"/>
                    </w:rPr>
                    <w:t>、</w:t>
                  </w:r>
                  <w:r>
                    <w:rPr>
                      <w:rFonts w:ascii="Times New Roman" w:hAnsi="Times New Roman" w:cs="Times New Roman"/>
                      <w:b/>
                      <w:bCs/>
                      <w:color w:val="auto"/>
                      <w:sz w:val="21"/>
                      <w:szCs w:val="21"/>
                    </w:rPr>
                    <w:fldChar w:fldCharType="begin"/>
                  </w:r>
                  <w:r>
                    <w:rPr>
                      <w:rFonts w:ascii="Times New Roman" w:hAnsi="Times New Roman" w:cs="Times New Roman"/>
                      <w:b/>
                      <w:bCs/>
                      <w:color w:val="auto"/>
                      <w:sz w:val="21"/>
                      <w:szCs w:val="21"/>
                    </w:rPr>
                    <w:instrText xml:space="preserve"> = 4 \* ROMAN \* MERGEFORMAT </w:instrText>
                  </w:r>
                  <w:r>
                    <w:rPr>
                      <w:rFonts w:ascii="Times New Roman" w:hAnsi="Times New Roman" w:cs="Times New Roman"/>
                      <w:b/>
                      <w:bCs/>
                      <w:color w:val="auto"/>
                      <w:sz w:val="21"/>
                      <w:szCs w:val="21"/>
                    </w:rPr>
                    <w:fldChar w:fldCharType="separate"/>
                  </w:r>
                  <w:r>
                    <w:rPr>
                      <w:rFonts w:ascii="Times New Roman" w:hAnsi="Times New Roman" w:cs="Times New Roman"/>
                      <w:b/>
                      <w:bCs/>
                      <w:color w:val="auto"/>
                      <w:sz w:val="21"/>
                      <w:szCs w:val="21"/>
                    </w:rPr>
                    <w:t>IV</w:t>
                  </w:r>
                  <w:r>
                    <w:rPr>
                      <w:rFonts w:ascii="Times New Roman" w:hAnsi="Times New Roman" w:cs="Times New Roman"/>
                      <w:b/>
                      <w:bCs/>
                      <w:color w:val="auto"/>
                      <w:sz w:val="21"/>
                      <w:szCs w:val="21"/>
                    </w:rPr>
                    <w:fldChar w:fldCharType="end"/>
                  </w:r>
                  <w:r>
                    <w:rPr>
                      <w:rFonts w:ascii="Times New Roman" w:hAnsi="Times New Roman" w:cs="Times New Roman"/>
                      <w:b/>
                      <w:bCs/>
                      <w:color w:val="auto"/>
                      <w:sz w:val="21"/>
                      <w:szCs w:val="21"/>
                      <w:vertAlign w:val="superscript"/>
                    </w:rPr>
                    <w:t>+</w:t>
                  </w:r>
                </w:p>
              </w:tc>
              <w:tc>
                <w:tcPr>
                  <w:tcW w:w="1926" w:type="dxa"/>
                  <w:tcBorders>
                    <w:tl2br w:val="nil"/>
                    <w:tr2bl w:val="nil"/>
                  </w:tcBorders>
                  <w:noWrap w:val="0"/>
                  <w:vAlign w:val="center"/>
                </w:tcPr>
                <w:p>
                  <w:pPr>
                    <w:spacing w:line="2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fldChar w:fldCharType="begin"/>
                  </w:r>
                  <w:r>
                    <w:rPr>
                      <w:rFonts w:ascii="Times New Roman" w:hAnsi="Times New Roman" w:cs="Times New Roman"/>
                      <w:b/>
                      <w:bCs/>
                      <w:color w:val="auto"/>
                      <w:sz w:val="21"/>
                      <w:szCs w:val="21"/>
                    </w:rPr>
                    <w:instrText xml:space="preserve"> = 3 \* ROMAN \* MERGEFORMAT </w:instrText>
                  </w:r>
                  <w:r>
                    <w:rPr>
                      <w:rFonts w:ascii="Times New Roman" w:hAnsi="Times New Roman" w:cs="Times New Roman"/>
                      <w:b/>
                      <w:bCs/>
                      <w:color w:val="auto"/>
                      <w:sz w:val="21"/>
                      <w:szCs w:val="21"/>
                    </w:rPr>
                    <w:fldChar w:fldCharType="separate"/>
                  </w:r>
                  <w:r>
                    <w:rPr>
                      <w:rFonts w:ascii="Times New Roman" w:hAnsi="Times New Roman" w:cs="Times New Roman"/>
                      <w:b/>
                      <w:bCs/>
                      <w:color w:val="auto"/>
                      <w:sz w:val="21"/>
                      <w:szCs w:val="21"/>
                    </w:rPr>
                    <w:t>III</w:t>
                  </w:r>
                  <w:r>
                    <w:rPr>
                      <w:rFonts w:ascii="Times New Roman" w:hAnsi="Times New Roman" w:cs="Times New Roman"/>
                      <w:b/>
                      <w:bCs/>
                      <w:color w:val="auto"/>
                      <w:sz w:val="21"/>
                      <w:szCs w:val="21"/>
                    </w:rPr>
                    <w:fldChar w:fldCharType="end"/>
                  </w:r>
                </w:p>
              </w:tc>
              <w:tc>
                <w:tcPr>
                  <w:tcW w:w="2148" w:type="dxa"/>
                  <w:tcBorders>
                    <w:tl2br w:val="nil"/>
                    <w:tr2bl w:val="nil"/>
                  </w:tcBorders>
                  <w:noWrap w:val="0"/>
                  <w:vAlign w:val="center"/>
                </w:tcPr>
                <w:p>
                  <w:pPr>
                    <w:spacing w:line="2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fldChar w:fldCharType="begin"/>
                  </w:r>
                  <w:r>
                    <w:rPr>
                      <w:rFonts w:ascii="Times New Roman" w:hAnsi="Times New Roman" w:cs="Times New Roman"/>
                      <w:b/>
                      <w:bCs/>
                      <w:color w:val="auto"/>
                      <w:sz w:val="21"/>
                      <w:szCs w:val="21"/>
                    </w:rPr>
                    <w:instrText xml:space="preserve"> = 2 \* ROMAN \* MERGEFORMAT </w:instrText>
                  </w:r>
                  <w:r>
                    <w:rPr>
                      <w:rFonts w:ascii="Times New Roman" w:hAnsi="Times New Roman" w:cs="Times New Roman"/>
                      <w:b/>
                      <w:bCs/>
                      <w:color w:val="auto"/>
                      <w:sz w:val="21"/>
                      <w:szCs w:val="21"/>
                    </w:rPr>
                    <w:fldChar w:fldCharType="separate"/>
                  </w:r>
                  <w:r>
                    <w:rPr>
                      <w:rFonts w:ascii="Times New Roman" w:hAnsi="Times New Roman" w:cs="Times New Roman"/>
                      <w:b/>
                      <w:bCs/>
                      <w:color w:val="auto"/>
                      <w:sz w:val="21"/>
                      <w:szCs w:val="21"/>
                    </w:rPr>
                    <w:t>II</w:t>
                  </w:r>
                  <w:r>
                    <w:rPr>
                      <w:rFonts w:ascii="Times New Roman" w:hAnsi="Times New Roman" w:cs="Times New Roman"/>
                      <w:b/>
                      <w:bCs/>
                      <w:color w:val="auto"/>
                      <w:sz w:val="21"/>
                      <w:szCs w:val="21"/>
                    </w:rPr>
                    <w:fldChar w:fldCharType="end"/>
                  </w:r>
                </w:p>
              </w:tc>
              <w:tc>
                <w:tcPr>
                  <w:tcW w:w="1502" w:type="dxa"/>
                  <w:tcBorders>
                    <w:tl2br w:val="nil"/>
                    <w:tr2bl w:val="nil"/>
                  </w:tcBorders>
                  <w:noWrap w:val="0"/>
                  <w:vAlign w:val="center"/>
                </w:tcPr>
                <w:p>
                  <w:pPr>
                    <w:spacing w:line="260" w:lineRule="exact"/>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fldChar w:fldCharType="begin"/>
                  </w:r>
                  <w:r>
                    <w:rPr>
                      <w:rFonts w:ascii="Times New Roman" w:hAnsi="Times New Roman" w:cs="Times New Roman"/>
                      <w:b/>
                      <w:bCs/>
                      <w:color w:val="auto"/>
                      <w:sz w:val="21"/>
                      <w:szCs w:val="21"/>
                    </w:rPr>
                    <w:instrText xml:space="preserve"> = 1 \* ROMAN \* MERGEFORMAT </w:instrText>
                  </w:r>
                  <w:r>
                    <w:rPr>
                      <w:rFonts w:ascii="Times New Roman" w:hAnsi="Times New Roman" w:cs="Times New Roman"/>
                      <w:b/>
                      <w:bCs/>
                      <w:color w:val="auto"/>
                      <w:sz w:val="21"/>
                      <w:szCs w:val="21"/>
                    </w:rPr>
                    <w:fldChar w:fldCharType="separate"/>
                  </w:r>
                  <w:r>
                    <w:rPr>
                      <w:rFonts w:ascii="Times New Roman" w:hAnsi="Times New Roman" w:cs="Times New Roman"/>
                      <w:b/>
                      <w:bCs/>
                      <w:color w:val="auto"/>
                      <w:sz w:val="21"/>
                      <w:szCs w:val="21"/>
                    </w:rPr>
                    <w:t>I</w:t>
                  </w:r>
                  <w:r>
                    <w:rPr>
                      <w:rFonts w:ascii="Times New Roman" w:hAnsi="Times New Roman" w:cs="Times New Roman"/>
                      <w:b/>
                      <w:bCs/>
                      <w:color w:val="auto"/>
                      <w:sz w:val="21"/>
                      <w:szCs w:val="21"/>
                    </w:rPr>
                    <w:fldChar w:fldCharType="end"/>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35" w:type="dxa"/>
                  <w:tcBorders>
                    <w:tl2br w:val="nil"/>
                    <w:tr2bl w:val="nil"/>
                  </w:tcBorders>
                  <w:noWrap w:val="0"/>
                  <w:vAlign w:val="center"/>
                </w:tcPr>
                <w:p>
                  <w:pPr>
                    <w:spacing w:line="26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评价工作等级</w:t>
                  </w:r>
                </w:p>
              </w:tc>
              <w:tc>
                <w:tcPr>
                  <w:tcW w:w="1475" w:type="dxa"/>
                  <w:tcBorders>
                    <w:tl2br w:val="nil"/>
                    <w:tr2bl w:val="nil"/>
                  </w:tcBorders>
                  <w:noWrap w:val="0"/>
                  <w:vAlign w:val="center"/>
                </w:tcPr>
                <w:p>
                  <w:pPr>
                    <w:spacing w:line="260" w:lineRule="exact"/>
                    <w:jc w:val="center"/>
                    <w:rPr>
                      <w:rFonts w:ascii="Times New Roman" w:hAnsi="Times New Roman" w:cs="Times New Roman"/>
                      <w:color w:val="auto"/>
                      <w:sz w:val="21"/>
                      <w:szCs w:val="21"/>
                    </w:rPr>
                  </w:pPr>
                  <w:r>
                    <w:rPr>
                      <w:rFonts w:ascii="Times New Roman" w:hAnsi="Times New Roman" w:eastAsia="宋体" w:cs="Times New Roman"/>
                      <w:color w:val="auto"/>
                      <w:sz w:val="21"/>
                      <w:szCs w:val="21"/>
                    </w:rPr>
                    <w:t>一</w:t>
                  </w:r>
                </w:p>
              </w:tc>
              <w:tc>
                <w:tcPr>
                  <w:tcW w:w="1926" w:type="dxa"/>
                  <w:tcBorders>
                    <w:tl2br w:val="nil"/>
                    <w:tr2bl w:val="nil"/>
                  </w:tcBorders>
                  <w:noWrap w:val="0"/>
                  <w:vAlign w:val="center"/>
                </w:tcPr>
                <w:p>
                  <w:pPr>
                    <w:spacing w:line="260" w:lineRule="exact"/>
                    <w:jc w:val="center"/>
                    <w:rPr>
                      <w:rFonts w:ascii="Times New Roman" w:hAnsi="Times New Roman" w:cs="Times New Roman"/>
                      <w:color w:val="auto"/>
                      <w:sz w:val="21"/>
                      <w:szCs w:val="21"/>
                    </w:rPr>
                  </w:pPr>
                  <w:r>
                    <w:rPr>
                      <w:rFonts w:ascii="Times New Roman" w:hAnsi="Times New Roman" w:eastAsia="宋体" w:cs="Times New Roman"/>
                      <w:color w:val="auto"/>
                      <w:sz w:val="21"/>
                      <w:szCs w:val="21"/>
                    </w:rPr>
                    <w:t>二</w:t>
                  </w:r>
                </w:p>
              </w:tc>
              <w:tc>
                <w:tcPr>
                  <w:tcW w:w="2148" w:type="dxa"/>
                  <w:tcBorders>
                    <w:tl2br w:val="nil"/>
                    <w:tr2bl w:val="nil"/>
                  </w:tcBorders>
                  <w:noWrap w:val="0"/>
                  <w:vAlign w:val="center"/>
                </w:tcPr>
                <w:p>
                  <w:pPr>
                    <w:spacing w:line="26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三</w:t>
                  </w:r>
                </w:p>
              </w:tc>
              <w:tc>
                <w:tcPr>
                  <w:tcW w:w="1502" w:type="dxa"/>
                  <w:tcBorders>
                    <w:tl2br w:val="nil"/>
                    <w:tr2bl w:val="nil"/>
                  </w:tcBorders>
                  <w:noWrap w:val="0"/>
                  <w:vAlign w:val="center"/>
                </w:tcPr>
                <w:p>
                  <w:pPr>
                    <w:spacing w:line="260" w:lineRule="exact"/>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简单分析</w:t>
                  </w:r>
                </w:p>
              </w:tc>
            </w:tr>
          </w:tbl>
          <w:p>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eastAsia="宋体" w:cs="Times New Roman"/>
                <w:color w:val="auto"/>
                <w:sz w:val="24"/>
                <w:szCs w:val="24"/>
              </w:rPr>
              <w:t>根据《建设项目环境风险评价技术导则》（HJ/T169-2018</w:t>
            </w:r>
            <w:r>
              <w:rPr>
                <w:rFonts w:hint="eastAsia" w:cs="Times New Roman"/>
                <w:color w:val="auto"/>
                <w:sz w:val="24"/>
                <w:szCs w:val="24"/>
                <w:lang w:eastAsia="zh-CN"/>
              </w:rPr>
              <w:t>）</w:t>
            </w:r>
            <w:r>
              <w:rPr>
                <w:rFonts w:ascii="Times New Roman" w:hAnsi="Times New Roman" w:eastAsia="宋体" w:cs="Times New Roman"/>
                <w:color w:val="auto"/>
                <w:sz w:val="24"/>
                <w:szCs w:val="24"/>
              </w:rPr>
              <w:t>环境风险评价工作等级划分可知，项目风险评价工作等级判定为简单分析。</w:t>
            </w:r>
          </w:p>
          <w:p>
            <w:pPr>
              <w:adjustRightInd w:val="0"/>
              <w:snapToGrid w:val="0"/>
              <w:spacing w:line="520" w:lineRule="exact"/>
              <w:ind w:firstLine="482" w:firstLineChars="200"/>
              <w:rPr>
                <w:rFonts w:hint="eastAsia" w:hAnsi="黑体"/>
                <w:b/>
                <w:bCs/>
                <w:sz w:val="24"/>
              </w:rPr>
            </w:pPr>
            <w:r>
              <w:rPr>
                <w:rFonts w:hint="eastAsia" w:hAnsi="黑体"/>
                <w:b/>
                <w:bCs/>
                <w:sz w:val="24"/>
                <w:lang w:val="en-US" w:eastAsia="zh-CN"/>
              </w:rPr>
              <w:t>7.3</w:t>
            </w:r>
            <w:r>
              <w:rPr>
                <w:rFonts w:hint="eastAsia" w:hAnsi="黑体"/>
                <w:b/>
                <w:bCs/>
                <w:sz w:val="24"/>
              </w:rPr>
              <w:t>环境敏感目标</w:t>
            </w:r>
          </w:p>
          <w:p>
            <w:pPr>
              <w:adjustRightInd w:val="0"/>
              <w:snapToGrid w:val="0"/>
              <w:spacing w:line="520" w:lineRule="exact"/>
              <w:ind w:firstLine="480" w:firstLineChars="200"/>
              <w:rPr>
                <w:rFonts w:hint="eastAsia"/>
                <w:bCs/>
                <w:sz w:val="24"/>
              </w:rPr>
            </w:pPr>
            <w:r>
              <w:rPr>
                <w:rFonts w:hint="eastAsia"/>
                <w:bCs/>
                <w:sz w:val="24"/>
              </w:rPr>
              <w:t>项目周边</w:t>
            </w:r>
            <w:r>
              <w:rPr>
                <w:rFonts w:hint="eastAsia"/>
                <w:bCs/>
                <w:sz w:val="24"/>
                <w:lang w:val="en-US" w:eastAsia="zh-CN"/>
              </w:rPr>
              <w:t>50</w:t>
            </w:r>
            <w:r>
              <w:rPr>
                <w:rFonts w:hint="eastAsia"/>
                <w:bCs/>
                <w:sz w:val="24"/>
              </w:rPr>
              <w:t>0m范围环境敏感目标见下表。</w:t>
            </w:r>
          </w:p>
          <w:p>
            <w:pPr>
              <w:adjustRightInd w:val="0"/>
              <w:snapToGrid w:val="0"/>
              <w:spacing w:line="520" w:lineRule="exact"/>
              <w:ind w:firstLine="1807" w:firstLineChars="750"/>
              <w:rPr>
                <w:rFonts w:hint="eastAsia"/>
                <w:b/>
                <w:bCs/>
                <w:sz w:val="24"/>
              </w:rPr>
            </w:pPr>
            <w:r>
              <w:rPr>
                <w:rFonts w:hAnsi="黑体"/>
                <w:b/>
                <w:sz w:val="24"/>
                <w:szCs w:val="24"/>
              </w:rPr>
              <w:t>表</w:t>
            </w:r>
            <w:r>
              <w:rPr>
                <w:rFonts w:hint="eastAsia"/>
                <w:b/>
                <w:sz w:val="24"/>
                <w:szCs w:val="24"/>
                <w:lang w:val="en-US" w:eastAsia="zh-CN"/>
              </w:rPr>
              <w:t>50</w:t>
            </w:r>
            <w:r>
              <w:rPr>
                <w:b/>
                <w:sz w:val="24"/>
                <w:szCs w:val="24"/>
              </w:rPr>
              <w:t xml:space="preserve">      </w:t>
            </w:r>
            <w:r>
              <w:rPr>
                <w:rFonts w:hint="eastAsia" w:hAnsi="黑体"/>
                <w:b/>
                <w:sz w:val="24"/>
                <w:szCs w:val="24"/>
              </w:rPr>
              <w:t>周边</w:t>
            </w:r>
            <w:r>
              <w:rPr>
                <w:rFonts w:hint="eastAsia" w:hAnsi="黑体"/>
                <w:b/>
                <w:sz w:val="24"/>
                <w:szCs w:val="24"/>
                <w:lang w:val="en-US" w:eastAsia="zh-CN"/>
              </w:rPr>
              <w:t>5</w:t>
            </w:r>
            <w:r>
              <w:rPr>
                <w:rFonts w:hint="eastAsia" w:hAnsi="黑体"/>
                <w:b/>
                <w:sz w:val="24"/>
                <w:szCs w:val="24"/>
              </w:rPr>
              <w:t>0</w:t>
            </w:r>
            <w:r>
              <w:rPr>
                <w:rFonts w:hint="eastAsia" w:hAnsi="黑体"/>
                <w:b/>
                <w:sz w:val="24"/>
                <w:szCs w:val="24"/>
                <w:lang w:val="en-US" w:eastAsia="zh-CN"/>
              </w:rPr>
              <w:t>0</w:t>
            </w:r>
            <w:r>
              <w:rPr>
                <w:rFonts w:hint="eastAsia" w:hAnsi="黑体"/>
                <w:b/>
                <w:sz w:val="24"/>
                <w:szCs w:val="24"/>
              </w:rPr>
              <w:t>m范围环境敏感目标</w:t>
            </w:r>
            <w:r>
              <w:rPr>
                <w:rFonts w:hAnsi="黑体"/>
                <w:b/>
                <w:sz w:val="24"/>
                <w:szCs w:val="24"/>
              </w:rPr>
              <w:t>一览表</w:t>
            </w:r>
          </w:p>
          <w:tbl>
            <w:tblPr>
              <w:tblStyle w:val="21"/>
              <w:tblW w:w="4982"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29"/>
              <w:gridCol w:w="2304"/>
              <w:gridCol w:w="2382"/>
              <w:gridCol w:w="25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 w:hRule="atLeast"/>
                <w:jc w:val="center"/>
              </w:trPr>
              <w:tc>
                <w:tcPr>
                  <w:tcW w:w="1329" w:type="dxa"/>
                  <w:noWrap w:val="0"/>
                  <w:vAlign w:val="center"/>
                </w:tcPr>
                <w:p>
                  <w:pPr>
                    <w:pStyle w:val="147"/>
                    <w:rPr>
                      <w:rFonts w:hAnsi="Times New Roman" w:eastAsia="宋体" w:cs="Times New Roman"/>
                      <w:b/>
                      <w:bCs/>
                    </w:rPr>
                  </w:pPr>
                  <w:r>
                    <w:rPr>
                      <w:rFonts w:hint="eastAsia" w:hAnsi="Times New Roman" w:eastAsia="宋体" w:cs="Times New Roman"/>
                      <w:b/>
                      <w:bCs/>
                    </w:rPr>
                    <w:t>序号</w:t>
                  </w:r>
                </w:p>
              </w:tc>
              <w:tc>
                <w:tcPr>
                  <w:tcW w:w="2304" w:type="dxa"/>
                  <w:noWrap w:val="0"/>
                  <w:vAlign w:val="center"/>
                </w:tcPr>
                <w:p>
                  <w:pPr>
                    <w:pStyle w:val="147"/>
                    <w:rPr>
                      <w:rFonts w:hAnsi="Times New Roman" w:eastAsia="宋体" w:cs="Times New Roman"/>
                      <w:b/>
                      <w:bCs/>
                    </w:rPr>
                  </w:pPr>
                  <w:r>
                    <w:rPr>
                      <w:rFonts w:hint="eastAsia" w:hAnsi="Times New Roman" w:eastAsia="宋体" w:cs="Times New Roman"/>
                      <w:b/>
                      <w:bCs/>
                    </w:rPr>
                    <w:t>名称</w:t>
                  </w:r>
                </w:p>
              </w:tc>
              <w:tc>
                <w:tcPr>
                  <w:tcW w:w="2382" w:type="dxa"/>
                  <w:noWrap w:val="0"/>
                  <w:vAlign w:val="center"/>
                </w:tcPr>
                <w:p>
                  <w:pPr>
                    <w:pStyle w:val="147"/>
                    <w:rPr>
                      <w:rFonts w:hAnsi="Times New Roman" w:eastAsia="宋体" w:cs="Times New Roman"/>
                      <w:b/>
                      <w:bCs/>
                    </w:rPr>
                  </w:pPr>
                  <w:r>
                    <w:rPr>
                      <w:rFonts w:hint="eastAsia" w:hAnsi="Times New Roman" w:eastAsia="宋体" w:cs="Times New Roman"/>
                      <w:b/>
                      <w:bCs/>
                    </w:rPr>
                    <w:t>相对厂址方位</w:t>
                  </w:r>
                </w:p>
              </w:tc>
              <w:tc>
                <w:tcPr>
                  <w:tcW w:w="2578" w:type="dxa"/>
                  <w:noWrap w:val="0"/>
                  <w:vAlign w:val="center"/>
                </w:tcPr>
                <w:p>
                  <w:pPr>
                    <w:pStyle w:val="147"/>
                    <w:rPr>
                      <w:rFonts w:hAnsi="Times New Roman" w:eastAsia="宋体" w:cs="Times New Roman"/>
                      <w:b/>
                      <w:bCs/>
                    </w:rPr>
                  </w:pPr>
                  <w:r>
                    <w:rPr>
                      <w:rFonts w:hint="eastAsia" w:hAnsi="Times New Roman" w:eastAsia="宋体" w:cs="Times New Roman"/>
                      <w:b/>
                      <w:bCs/>
                    </w:rPr>
                    <w:t>相对厂界距离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 w:hRule="atLeast"/>
                <w:jc w:val="center"/>
              </w:trPr>
              <w:tc>
                <w:tcPr>
                  <w:tcW w:w="1329" w:type="dxa"/>
                  <w:noWrap w:val="0"/>
                  <w:vAlign w:val="center"/>
                </w:tcPr>
                <w:p>
                  <w:pPr>
                    <w:pStyle w:val="147"/>
                    <w:rPr>
                      <w:rFonts w:hint="eastAsia" w:hAnsi="Times New Roman" w:eastAsia="宋体" w:cs="Times New Roman"/>
                    </w:rPr>
                  </w:pPr>
                  <w:r>
                    <w:rPr>
                      <w:rFonts w:hint="eastAsia" w:hAnsi="Times New Roman" w:eastAsia="宋体" w:cs="Times New Roman"/>
                    </w:rPr>
                    <w:t>1</w:t>
                  </w:r>
                </w:p>
              </w:tc>
              <w:tc>
                <w:tcPr>
                  <w:tcW w:w="2304"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蓝天幼儿园</w:t>
                  </w:r>
                </w:p>
              </w:tc>
              <w:tc>
                <w:tcPr>
                  <w:tcW w:w="2382"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西</w:t>
                  </w:r>
                </w:p>
              </w:tc>
              <w:tc>
                <w:tcPr>
                  <w:tcW w:w="2578" w:type="dxa"/>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246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 w:hRule="atLeast"/>
                <w:jc w:val="center"/>
              </w:trPr>
              <w:tc>
                <w:tcPr>
                  <w:tcW w:w="1329" w:type="dxa"/>
                  <w:noWrap w:val="0"/>
                  <w:vAlign w:val="center"/>
                </w:tcPr>
                <w:p>
                  <w:pPr>
                    <w:pStyle w:val="147"/>
                    <w:rPr>
                      <w:rFonts w:hint="eastAsia" w:hAnsi="Times New Roman" w:eastAsia="宋体" w:cs="Times New Roman"/>
                    </w:rPr>
                  </w:pPr>
                  <w:r>
                    <w:rPr>
                      <w:rFonts w:hint="eastAsia" w:hAnsi="Times New Roman" w:eastAsia="宋体" w:cs="Times New Roman"/>
                    </w:rPr>
                    <w:t>2</w:t>
                  </w:r>
                </w:p>
              </w:tc>
              <w:tc>
                <w:tcPr>
                  <w:tcW w:w="2304"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东郭社区</w:t>
                  </w:r>
                </w:p>
              </w:tc>
              <w:tc>
                <w:tcPr>
                  <w:tcW w:w="2382"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西南</w:t>
                  </w:r>
                </w:p>
              </w:tc>
              <w:tc>
                <w:tcPr>
                  <w:tcW w:w="2578" w:type="dxa"/>
                  <w:noWrap w:val="0"/>
                  <w:vAlign w:val="center"/>
                </w:tcPr>
                <w:p>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 w:hRule="atLeast"/>
                <w:jc w:val="center"/>
              </w:trPr>
              <w:tc>
                <w:tcPr>
                  <w:tcW w:w="1329" w:type="dxa"/>
                  <w:noWrap w:val="0"/>
                  <w:vAlign w:val="center"/>
                </w:tcPr>
                <w:p>
                  <w:pPr>
                    <w:pStyle w:val="147"/>
                    <w:rPr>
                      <w:rFonts w:hint="eastAsia" w:hAnsi="Times New Roman" w:eastAsia="宋体" w:cs="Times New Roman"/>
                    </w:rPr>
                  </w:pPr>
                  <w:r>
                    <w:rPr>
                      <w:rFonts w:hint="eastAsia" w:hAnsi="Times New Roman" w:eastAsia="宋体" w:cs="Times New Roman"/>
                    </w:rPr>
                    <w:t>3</w:t>
                  </w:r>
                </w:p>
              </w:tc>
              <w:tc>
                <w:tcPr>
                  <w:tcW w:w="2304"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西马坊村</w:t>
                  </w:r>
                </w:p>
              </w:tc>
              <w:tc>
                <w:tcPr>
                  <w:tcW w:w="2382"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eastAsia="zh-CN"/>
                    </w:rPr>
                    <w:t>东</w:t>
                  </w:r>
                  <w:r>
                    <w:rPr>
                      <w:rFonts w:hint="eastAsia"/>
                      <w:color w:val="000000"/>
                      <w:sz w:val="21"/>
                      <w:szCs w:val="21"/>
                    </w:rPr>
                    <w:t>南</w:t>
                  </w:r>
                </w:p>
              </w:tc>
              <w:tc>
                <w:tcPr>
                  <w:tcW w:w="2578" w:type="dxa"/>
                  <w:noWrap w:val="0"/>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449</w:t>
                  </w:r>
                </w:p>
              </w:tc>
            </w:tr>
          </w:tbl>
          <w:p>
            <w:pPr>
              <w:keepNext w:val="0"/>
              <w:keepLines w:val="0"/>
              <w:pageBreakBefore w:val="0"/>
              <w:widowControl w:val="0"/>
              <w:kinsoku/>
              <w:wordWrap/>
              <w:overflowPunct/>
              <w:topLinePunct w:val="0"/>
              <w:bidi w:val="0"/>
              <w:adjustRightInd w:val="0"/>
              <w:snapToGrid w:val="0"/>
              <w:spacing w:line="520" w:lineRule="exact"/>
              <w:ind w:firstLine="482" w:firstLineChars="200"/>
              <w:textAlignment w:val="auto"/>
              <w:rPr>
                <w:rFonts w:hint="eastAsia" w:ascii="Times New Roman" w:hAnsi="黑体" w:cs="Times New Roman"/>
                <w:b/>
                <w:bCs/>
                <w:sz w:val="24"/>
                <w:lang w:eastAsia="zh-CN"/>
              </w:rPr>
            </w:pPr>
            <w:r>
              <w:rPr>
                <w:rFonts w:hint="eastAsia" w:ascii="Times New Roman" w:hAnsi="黑体" w:cs="Times New Roman"/>
                <w:b/>
                <w:bCs/>
                <w:sz w:val="24"/>
                <w:lang w:val="en-US" w:eastAsia="zh-CN"/>
              </w:rPr>
              <w:t>7.4</w:t>
            </w:r>
            <w:r>
              <w:rPr>
                <w:rFonts w:hint="eastAsia" w:ascii="Times New Roman" w:hAnsi="黑体" w:cs="Times New Roman"/>
                <w:b/>
                <w:bCs/>
                <w:sz w:val="24"/>
                <w:lang w:eastAsia="zh-CN"/>
              </w:rPr>
              <w:t>环境风险识别</w:t>
            </w:r>
          </w:p>
          <w:p>
            <w:pPr>
              <w:pStyle w:val="97"/>
              <w:keepNext w:val="0"/>
              <w:keepLines w:val="0"/>
              <w:pageBreakBefore w:val="0"/>
              <w:widowControl w:val="0"/>
              <w:kinsoku/>
              <w:wordWrap/>
              <w:overflowPunct/>
              <w:topLinePunct w:val="0"/>
              <w:bidi w:val="0"/>
              <w:spacing w:line="520" w:lineRule="exact"/>
              <w:ind w:firstLine="480" w:firstLineChars="200"/>
              <w:jc w:val="both"/>
              <w:textAlignment w:val="auto"/>
              <w:rPr>
                <w:rFonts w:hint="eastAsia" w:ascii="Times New Roman" w:cs="Times New Roman"/>
                <w:bCs/>
              </w:rPr>
            </w:pPr>
            <w:r>
              <w:rPr>
                <w:rFonts w:hint="eastAsia"/>
                <w:bCs/>
              </w:rPr>
              <w:t>根据《常用</w:t>
            </w:r>
            <w:r>
              <w:rPr>
                <w:rFonts w:ascii="Times New Roman" w:cs="Times New Roman"/>
                <w:bCs/>
              </w:rPr>
              <w:t>危险化学品的分类及标志》GB（13690-2009），汽油属于第三类“易燃液体”中的“低闪点液体”。按照《爆炸危险场所安全规定》（劳动部发[1995]56号），加油站属于特别危险场所。</w:t>
            </w:r>
          </w:p>
          <w:p>
            <w:pPr>
              <w:pStyle w:val="97"/>
              <w:keepNext w:val="0"/>
              <w:keepLines w:val="0"/>
              <w:pageBreakBefore w:val="0"/>
              <w:widowControl w:val="0"/>
              <w:kinsoku/>
              <w:wordWrap/>
              <w:overflowPunct/>
              <w:topLinePunct w:val="0"/>
              <w:bidi w:val="0"/>
              <w:spacing w:line="520" w:lineRule="exact"/>
              <w:ind w:firstLine="480" w:firstLineChars="200"/>
              <w:jc w:val="both"/>
              <w:textAlignment w:val="auto"/>
              <w:rPr>
                <w:rFonts w:hint="eastAsia" w:ascii="Times New Roman" w:cs="Times New Roman"/>
                <w:bCs/>
              </w:rPr>
            </w:pPr>
            <w:r>
              <w:rPr>
                <w:rFonts w:hint="eastAsia"/>
                <w:bCs/>
              </w:rPr>
              <w:t>加油站发生的最大危害事故是罐体破裂。当罐体因破损导致事故放空时，其对环境的影响应予重视，这是因为事故发生时，汽柴油泄漏可能诱发火灾或爆炸，不仅使地表植被遭到破坏，同时还会威胁附近居民的人身财产安全，对周围环境造成</w:t>
            </w:r>
            <w:r>
              <w:rPr>
                <w:rFonts w:hint="eastAsia" w:ascii="Times New Roman" w:cs="Times New Roman"/>
                <w:bCs/>
              </w:rPr>
              <w:t>一定影响。</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ascii="Times New Roman" w:cs="Times New Roman"/>
                <w:bCs/>
              </w:rPr>
            </w:pPr>
            <w:r>
              <w:rPr>
                <w:rFonts w:hint="eastAsia" w:ascii="Times New Roman" w:cs="Times New Roman"/>
                <w:bCs/>
                <w:lang w:eastAsia="zh-CN"/>
              </w:rPr>
              <w:t>（一）</w:t>
            </w:r>
            <w:r>
              <w:rPr>
                <w:rFonts w:hint="eastAsia" w:ascii="Times New Roman" w:cs="Times New Roman"/>
                <w:bCs/>
              </w:rPr>
              <w:t>贮运系统风险识别</w:t>
            </w:r>
            <w:r>
              <w:rPr>
                <w:rFonts w:ascii="Times New Roman" w:cs="Times New Roman"/>
                <w:bCs/>
              </w:rPr>
              <w:tab/>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ascii="Times New Roman" w:cs="Times New Roman"/>
                <w:bCs/>
              </w:rPr>
            </w:pPr>
            <w:r>
              <w:rPr>
                <w:rFonts w:hint="eastAsia"/>
                <w:bCs/>
              </w:rPr>
              <w:t>油罐等设备本身设计不合格，或制造存在缺陷，造成其耐压能力不够，发生破裂，导致油品泄漏，遇火源则发生火灾、爆炸事故；油罐与外部管线相连的阀门、法兰等，若由于安装质量差，或由于疏忽漏装垫片，以及使用过程中的腐蚀穿孔或因油罐底板焊接不良而产生疲劳造成的裂纹等，都可能引起油品泄漏，泄漏油品遇点火源则易导致火灾、爆炸事故；另外，油罐在防雷设施失效的情况下遭受雷击、遭受电火花或在罐区内违禁使用明火、检修清洗时违规操作等情况，也易诱发火灾、爆炸事故。装卸油泵所输送的介质为汽油、</w:t>
            </w:r>
            <w:r>
              <w:rPr>
                <w:rFonts w:ascii="Times New Roman" w:cs="Times New Roman"/>
                <w:bCs/>
              </w:rPr>
              <w:t>柴油等易燃易爆品，因操作压力处于较高范围内，若泵的出口压力超过了正常的允许压力，泵盖或管线配件就可能崩开而喷油，油泵亦会因密封失效或其它故障造成原油泄漏，当有点火源存在时，将可能导致火灾、爆炸事故的发生。</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ascii="Times New Roman" w:cs="Times New Roman"/>
                <w:bCs/>
              </w:rPr>
            </w:pPr>
            <w:r>
              <w:rPr>
                <w:rFonts w:hint="eastAsia" w:ascii="Times New Roman" w:cs="Times New Roman"/>
                <w:bCs/>
                <w:lang w:eastAsia="zh-CN"/>
              </w:rPr>
              <w:t>（二）</w:t>
            </w:r>
            <w:r>
              <w:rPr>
                <w:rFonts w:ascii="Times New Roman" w:cs="Times New Roman"/>
                <w:bCs/>
              </w:rPr>
              <w:t>卸油、发油过程风险识别</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bCs/>
              </w:rPr>
            </w:pPr>
            <w:r>
              <w:rPr>
                <w:rFonts w:hint="eastAsia"/>
                <w:bCs/>
                <w:lang w:val="en-US" w:eastAsia="zh-CN"/>
              </w:rPr>
              <w:t>①</w:t>
            </w:r>
            <w:r>
              <w:rPr>
                <w:rFonts w:hint="eastAsia"/>
                <w:bCs/>
              </w:rPr>
              <w:t>油罐漫溢：卸油时液位检测不及时易造成油罐漫溢。油罐漫溢后，周围空气中油蒸气的浓度迅速上升，达到或超过爆炸极限，遇明火即可能发生爆炸燃烧事故。</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hAnsi="宋体"/>
                <w:bCs/>
              </w:rPr>
            </w:pPr>
            <w:r>
              <w:rPr>
                <w:rFonts w:hint="eastAsia"/>
                <w:bCs/>
                <w:lang w:val="en-US" w:eastAsia="zh-CN"/>
              </w:rPr>
              <w:t>②</w:t>
            </w:r>
            <w:r>
              <w:rPr>
                <w:rFonts w:hint="eastAsia" w:hAnsi="宋体"/>
                <w:bCs/>
              </w:rPr>
              <w:t>油品滴漏：卸、发油时，若油管破裂、密封垫破损、接头、紧固螺栓松动等原因使油品泄漏至地面，遇明火即可发生燃烧。</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hAnsi="宋体"/>
                <w:bCs/>
              </w:rPr>
            </w:pPr>
            <w:r>
              <w:rPr>
                <w:rFonts w:hint="eastAsia"/>
                <w:bCs/>
                <w:lang w:val="en-US" w:eastAsia="zh-CN"/>
              </w:rPr>
              <w:t>③</w:t>
            </w:r>
            <w:r>
              <w:rPr>
                <w:rFonts w:hint="eastAsia" w:hAnsi="宋体"/>
                <w:bCs/>
              </w:rPr>
              <w:t>静电起火：由于油管线无静电接地连接、油罐车无静电接地或静电接地不良等原因，造成静电积聚可引起火灾、爆炸事故。</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hAnsi="宋体"/>
                <w:bCs/>
              </w:rPr>
            </w:pPr>
            <w:r>
              <w:rPr>
                <w:rFonts w:hint="eastAsia"/>
                <w:bCs/>
                <w:lang w:val="en-US" w:eastAsia="zh-CN"/>
              </w:rPr>
              <w:t>④</w:t>
            </w:r>
            <w:r>
              <w:rPr>
                <w:rFonts w:hint="eastAsia" w:hAnsi="宋体"/>
                <w:bCs/>
              </w:rPr>
              <w:t>操作过程遇明火：在非密闭卸油、发油过程中，大量油蒸气从卸油口逸出，当周围出现烟火、火花时，就会产生爆炸燃烧。</w:t>
            </w:r>
          </w:p>
          <w:p>
            <w:pPr>
              <w:pStyle w:val="97"/>
              <w:keepNext w:val="0"/>
              <w:keepLines w:val="0"/>
              <w:pageBreakBefore w:val="0"/>
              <w:widowControl w:val="0"/>
              <w:tabs>
                <w:tab w:val="left" w:pos="4107"/>
              </w:tabs>
              <w:kinsoku/>
              <w:wordWrap/>
              <w:overflowPunct/>
              <w:topLinePunct w:val="0"/>
              <w:bidi w:val="0"/>
              <w:spacing w:line="520" w:lineRule="exact"/>
              <w:ind w:firstLine="480" w:firstLineChars="200"/>
              <w:jc w:val="both"/>
              <w:textAlignment w:val="auto"/>
              <w:rPr>
                <w:rFonts w:hint="eastAsia" w:hAnsi="宋体"/>
                <w:bCs/>
              </w:rPr>
            </w:pPr>
            <w:r>
              <w:rPr>
                <w:rFonts w:hint="eastAsia"/>
                <w:bCs/>
                <w:lang w:val="en-US" w:eastAsia="zh-CN"/>
              </w:rPr>
              <w:t>⑤</w:t>
            </w:r>
            <w:r>
              <w:rPr>
                <w:rFonts w:hint="eastAsia" w:hAnsi="宋体"/>
                <w:bCs/>
              </w:rPr>
              <w:t>在进行油罐清洗作业时，由于无法彻底清除油蒸气和沉淀物，残余油蒸气遇到静电、摩擦、电火花等都会导致火灾。电气老化、绝缘破损、短路、私拉乱接、超负荷用电、过载、接线不规范、发热、电器使用管理不当等引起火灾。站房耐火等级达不到要求，一旦明火管理不当，生产、生活用火失控，就容易导致火灾。</w:t>
            </w:r>
          </w:p>
          <w:p>
            <w:pPr>
              <w:keepNext w:val="0"/>
              <w:keepLines w:val="0"/>
              <w:pageBreakBefore w:val="0"/>
              <w:widowControl w:val="0"/>
              <w:kinsoku/>
              <w:wordWrap/>
              <w:overflowPunct/>
              <w:topLinePunct w:val="0"/>
              <w:autoSpaceDE/>
              <w:autoSpaceDN/>
              <w:bidi w:val="0"/>
              <w:spacing w:line="520" w:lineRule="exact"/>
              <w:ind w:firstLine="482" w:firstLineChars="200"/>
              <w:textAlignment w:val="auto"/>
              <w:rPr>
                <w:rFonts w:ascii="Times New Roman" w:hAnsi="Times New Roman" w:eastAsia="黑体" w:cs="Times New Roman"/>
                <w:b/>
                <w:bCs w:val="0"/>
                <w:color w:val="auto"/>
                <w:sz w:val="24"/>
                <w:szCs w:val="24"/>
                <w:highlight w:val="none"/>
              </w:rPr>
            </w:pPr>
            <w:r>
              <w:rPr>
                <w:rFonts w:hint="eastAsia" w:eastAsia="黑体" w:cs="Times New Roman"/>
                <w:b/>
                <w:bCs w:val="0"/>
                <w:color w:val="auto"/>
                <w:sz w:val="24"/>
                <w:szCs w:val="24"/>
                <w:highlight w:val="none"/>
                <w:lang w:val="en-US" w:eastAsia="zh-CN"/>
              </w:rPr>
              <w:t>7</w:t>
            </w:r>
            <w:r>
              <w:rPr>
                <w:rFonts w:hint="eastAsia" w:hAnsi="黑体"/>
                <w:b/>
                <w:bCs w:val="0"/>
                <w:sz w:val="24"/>
                <w:highlight w:val="none"/>
                <w:lang w:val="en-US" w:eastAsia="zh-CN"/>
              </w:rPr>
              <w:t>.5环境风险分析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根据《建设项目环境风险评价技术导则》（HJ169-2018）附录A规定，简单分析是相对于详细评价工作内容而言，在描述危险物质、环境影响途径、环境危害后果、风险防范措施等方面给出定性说明，项目环境风险简单分析内容见下表。</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b/>
                <w:color w:val="auto"/>
                <w:sz w:val="24"/>
                <w:highlight w:val="none"/>
                <w:lang w:val="zh-CN"/>
              </w:rPr>
            </w:pPr>
            <w:r>
              <w:rPr>
                <w:rFonts w:hint="default"/>
                <w:b/>
                <w:color w:val="auto"/>
                <w:sz w:val="24"/>
                <w:highlight w:val="none"/>
                <w:lang w:val="zh-CN"/>
              </w:rPr>
              <w:t>表</w:t>
            </w:r>
            <w:r>
              <w:rPr>
                <w:rFonts w:hint="eastAsia"/>
                <w:b/>
                <w:color w:val="auto"/>
                <w:sz w:val="24"/>
                <w:highlight w:val="none"/>
                <w:lang w:val="en-US" w:eastAsia="zh-CN"/>
              </w:rPr>
              <w:t>51</w:t>
            </w:r>
            <w:r>
              <w:rPr>
                <w:rFonts w:hint="default"/>
                <w:b/>
                <w:color w:val="auto"/>
                <w:sz w:val="24"/>
                <w:highlight w:val="none"/>
                <w:lang w:val="zh-CN"/>
              </w:rPr>
              <w:t xml:space="preserve">  建设项目环境风险简单分析内容表</w:t>
            </w:r>
          </w:p>
          <w:tbl>
            <w:tblPr>
              <w:tblStyle w:val="21"/>
              <w:tblW w:w="86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240"/>
              <w:gridCol w:w="1973"/>
              <w:gridCol w:w="2055"/>
              <w:gridCol w:w="864"/>
              <w:gridCol w:w="8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建设项目名称</w:t>
                  </w:r>
                </w:p>
              </w:tc>
              <w:tc>
                <w:tcPr>
                  <w:tcW w:w="6885" w:type="dxa"/>
                  <w:gridSpan w:val="5"/>
                  <w:tcBorders>
                    <w:tl2br w:val="nil"/>
                    <w:tr2bl w:val="nil"/>
                  </w:tcBorders>
                  <w:noWrap w:val="0"/>
                  <w:vAlign w:val="center"/>
                </w:tcPr>
                <w:p>
                  <w:pPr>
                    <w:spacing w:line="300" w:lineRule="exact"/>
                    <w:ind w:left="-105" w:leftChars="-50" w:right="-105" w:rightChars="-5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新乡市凤泉区利民加油站建设项目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建设地点</w:t>
                  </w:r>
                </w:p>
              </w:tc>
              <w:tc>
                <w:tcPr>
                  <w:tcW w:w="1227"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河南省</w:t>
                  </w:r>
                </w:p>
              </w:tc>
              <w:tc>
                <w:tcPr>
                  <w:tcW w:w="1953"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新乡市</w:t>
                  </w:r>
                </w:p>
              </w:tc>
              <w:tc>
                <w:tcPr>
                  <w:tcW w:w="2034" w:type="dxa"/>
                  <w:tcBorders>
                    <w:tl2br w:val="nil"/>
                    <w:tr2bl w:val="nil"/>
                  </w:tcBorders>
                  <w:noWrap w:val="0"/>
                  <w:vAlign w:val="center"/>
                </w:tcPr>
                <w:p>
                  <w:pPr>
                    <w:spacing w:line="300" w:lineRule="exact"/>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凤泉区</w:t>
                  </w:r>
                </w:p>
              </w:tc>
              <w:tc>
                <w:tcPr>
                  <w:tcW w:w="855"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816"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地理坐标</w:t>
                  </w:r>
                </w:p>
              </w:tc>
              <w:tc>
                <w:tcPr>
                  <w:tcW w:w="1227"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经度</w:t>
                  </w:r>
                </w:p>
              </w:tc>
              <w:tc>
                <w:tcPr>
                  <w:tcW w:w="1953"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113.83307397</w:t>
                  </w:r>
                </w:p>
              </w:tc>
              <w:tc>
                <w:tcPr>
                  <w:tcW w:w="2034" w:type="dxa"/>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纬度</w:t>
                  </w:r>
                </w:p>
              </w:tc>
              <w:tc>
                <w:tcPr>
                  <w:tcW w:w="1671" w:type="dxa"/>
                  <w:gridSpan w:val="2"/>
                  <w:tcBorders>
                    <w:tl2br w:val="nil"/>
                    <w:tr2bl w:val="nil"/>
                  </w:tcBorders>
                  <w:noWrap w:val="0"/>
                  <w:vAlign w:val="center"/>
                </w:tcPr>
                <w:p>
                  <w:pPr>
                    <w:spacing w:line="300" w:lineRule="exact"/>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35.35993288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主要危险物质及分布</w:t>
                  </w:r>
                </w:p>
              </w:tc>
              <w:tc>
                <w:tcPr>
                  <w:tcW w:w="6885" w:type="dxa"/>
                  <w:gridSpan w:val="5"/>
                  <w:tcBorders>
                    <w:tl2br w:val="nil"/>
                    <w:tr2bl w:val="nil"/>
                  </w:tcBorders>
                  <w:noWrap w:val="0"/>
                  <w:vAlign w:val="center"/>
                </w:tcPr>
                <w:p>
                  <w:pPr>
                    <w:spacing w:line="300" w:lineRule="exac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主要危险物质：汽油、柴油；分布：罐区、加油区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环境影响途径及危害后果</w:t>
                  </w:r>
                </w:p>
              </w:tc>
              <w:tc>
                <w:tcPr>
                  <w:tcW w:w="6885" w:type="dxa"/>
                  <w:gridSpan w:val="5"/>
                  <w:tcBorders>
                    <w:tl2br w:val="nil"/>
                    <w:tr2bl w:val="nil"/>
                  </w:tcBorders>
                  <w:noWrap w:val="0"/>
                  <w:vAlign w:val="center"/>
                </w:tcPr>
                <w:p>
                  <w:pPr>
                    <w:numPr>
                      <w:ilvl w:val="0"/>
                      <w:numId w:val="2"/>
                    </w:numPr>
                    <w:spacing w:line="30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w:t>
                  </w:r>
                </w:p>
                <w:p>
                  <w:pPr>
                    <w:spacing w:line="30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汽油、柴油具有易燃易爆的特点，出现泄漏后遇到火源，将会立刻引发火灾事故；如果汽油、柴油泄漏后产生蒸汽与点火源延迟点火，即可能发生爆炸危险。</w:t>
                  </w:r>
                </w:p>
                <w:p>
                  <w:pPr>
                    <w:spacing w:line="300" w:lineRule="exact"/>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 储罐泄漏</w:t>
                  </w:r>
                </w:p>
                <w:p>
                  <w:pPr>
                    <w:spacing w:line="30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pPr>
                    <w:spacing w:line="300" w:lineRule="exact"/>
                    <w:ind w:firstLine="420" w:firstLineChars="200"/>
                    <w:jc w:val="left"/>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非事故泄漏往往最常见，主要是阀门、管线接口不严、设备的老化等原因造成的，其泄</w:t>
                  </w:r>
                  <w:r>
                    <w:rPr>
                      <w:rFonts w:ascii="Times New Roman" w:hAnsi="Times New Roman" w:eastAsia="宋体" w:cs="Times New Roman"/>
                      <w:color w:val="auto"/>
                      <w:sz w:val="21"/>
                      <w:szCs w:val="21"/>
                      <w:highlight w:val="none"/>
                    </w:rPr>
                    <w:t>漏量很小，但对地表水的影响的也是不能轻视的，地表水一旦遭到燃料油的污染，会产生严重异味，并具有较强的致畸致癌性，根本无法饮用；又由于这种泄漏必然穿过较厚的土壤层，使土壤层中吸附了大量的燃料油，土壤层吸附的燃料油不仅会造成植物的死亡，而且土壤层吸附的燃料油还会随着地表水的下渗通过土壤层间接补充到地下水，这样尽管污染源得到及时控制，对地下水还是会造成一定的影响，同时地下水的自净降解是一个长期的过程，需几十年甚至上百年的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风险防范措施要求</w:t>
                  </w:r>
                </w:p>
              </w:tc>
              <w:tc>
                <w:tcPr>
                  <w:tcW w:w="6885" w:type="dxa"/>
                  <w:gridSpan w:val="5"/>
                  <w:tcBorders>
                    <w:tl2br w:val="nil"/>
                    <w:tr2bl w:val="nil"/>
                  </w:tcBorders>
                  <w:noWrap w:val="0"/>
                  <w:vAlign w:val="center"/>
                </w:tcPr>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①防火安全间距：项目应遵循《汽车加油加气站设计与施工规范》（2014年局部修订版）（GB50156-2012）的防火距离规定和有关消防部门的规范要求，并在运营中采取严格的防火防爆措施，即使项目一旦发生火灾爆炸事故时，也可确保周围环境保护目标处在火灾爆炸影响范围之外。</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②消防通道与耐火等级：消防通道和建筑物耐火等级应满足消防要求。</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③消防器材及报警系统：按照《建筑灭火器配置设计规范》（GBJ140-90）之规定，配置相应的灭火器类型（干粉灭火器等）与数量，并在火灾危险场所设置报警装置。</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④安全生产管理制度：制定严格的防火、防爆制度。设立必要的消防队伍，定期对生产人员进行消防等安全教育，加强加油站生产及安全方面的管理，增强安全生产保障。</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⑤防爆：电气设备和仪表均选用防爆型，灯具也应选防爆灯具，加强管理，严禁区内有明火出现。</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⑥防雷：项目应以避雷带和避雷针相结合防范直击雷，在各级配电母线上设置感应雷避雷器来防范感应雷。</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⑦维修与抢险：配备较好的设备和相应的抢险设施。当发生事故时，为不使事故扩大，防止二次灾害的发生，要求及时抢险抢修，必须对各种险情进行事故前预测，保证抢险队伍的素质，遇险时应及时与当地消防部门取得联系，以获得有力支持。</w:t>
                  </w:r>
                </w:p>
                <w:p>
                  <w:pPr>
                    <w:spacing w:line="300" w:lineRule="exact"/>
                    <w:rPr>
                      <w:rFonts w:ascii="Times New Roman" w:hAnsi="Times New Roman" w:eastAsia="宋体" w:cs="Times New Roman"/>
                      <w:bCs/>
                      <w:snapToGrid w:val="0"/>
                      <w:color w:val="auto"/>
                      <w:sz w:val="21"/>
                      <w:szCs w:val="21"/>
                      <w:highlight w:val="none"/>
                    </w:rPr>
                  </w:pPr>
                  <w:r>
                    <w:rPr>
                      <w:rFonts w:ascii="Times New Roman" w:hAnsi="Times New Roman" w:eastAsia="宋体" w:cs="Times New Roman"/>
                      <w:bCs/>
                      <w:snapToGrid w:val="0"/>
                      <w:color w:val="auto"/>
                      <w:sz w:val="21"/>
                      <w:szCs w:val="21"/>
                      <w:highlight w:val="none"/>
                    </w:rPr>
                    <w:t>⑧操作运行：运营中应确保正确操作和正常运行，在操作运行方面要求工作人员必须进行岗前专业培训，严格执行安全生产操作规程，进行安全性专业维护和保养，对安全设备进行定期校验，确保安全生产。</w:t>
                  </w:r>
                </w:p>
                <w:p>
                  <w:pPr>
                    <w:spacing w:line="300" w:lineRule="exact"/>
                    <w:rPr>
                      <w:rFonts w:ascii="Times New Roman" w:hAnsi="Times New Roman" w:eastAsia="宋体" w:cs="Times New Roman"/>
                      <w:b/>
                      <w:color w:val="auto"/>
                      <w:sz w:val="21"/>
                      <w:szCs w:val="21"/>
                      <w:highlight w:val="none"/>
                      <w:u w:val="single"/>
                    </w:rPr>
                  </w:pPr>
                  <w:r>
                    <w:rPr>
                      <w:rFonts w:hint="eastAsia" w:ascii="宋体" w:hAnsi="宋体" w:eastAsia="宋体" w:cs="宋体"/>
                      <w:bCs/>
                      <w:snapToGrid w:val="0"/>
                      <w:color w:val="auto"/>
                      <w:sz w:val="21"/>
                      <w:szCs w:val="21"/>
                      <w:highlight w:val="none"/>
                    </w:rPr>
                    <w:t>⑨</w:t>
                  </w:r>
                  <w:r>
                    <w:rPr>
                      <w:rFonts w:ascii="Times New Roman" w:hAnsi="Times New Roman" w:eastAsia="宋体" w:cs="Times New Roman"/>
                      <w:bCs/>
                      <w:snapToGrid w:val="0"/>
                      <w:color w:val="auto"/>
                      <w:sz w:val="21"/>
                      <w:szCs w:val="21"/>
                      <w:highlight w:val="none"/>
                    </w:rPr>
                    <w:t>应急措施：一旦发生事故，则要根据具体情况采取应急措施，切断泄漏源、火源，控制事故扩大，立即报警，采取遏制泄漏物进入环境的紧急措施，并立即向社会求援。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tcBorders>
                    <w:tl2br w:val="nil"/>
                    <w:tr2bl w:val="nil"/>
                  </w:tcBorders>
                  <w:noWrap w:val="0"/>
                  <w:vAlign w:val="center"/>
                </w:tcPr>
                <w:p>
                  <w:pPr>
                    <w:spacing w:line="300" w:lineRule="exact"/>
                    <w:ind w:left="-105" w:leftChars="-50" w:right="-105" w:rightChars="-5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填表说明</w:t>
                  </w:r>
                </w:p>
              </w:tc>
              <w:tc>
                <w:tcPr>
                  <w:tcW w:w="6885" w:type="dxa"/>
                  <w:gridSpan w:val="5"/>
                  <w:tcBorders>
                    <w:tl2br w:val="nil"/>
                    <w:tr2bl w:val="nil"/>
                  </w:tcBorders>
                  <w:noWrap w:val="0"/>
                  <w:vAlign w:val="center"/>
                </w:tcPr>
                <w:p>
                  <w:pPr>
                    <w:spacing w:line="300" w:lineRule="exac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本项目最大可信事故为汽油泄漏，进一步引发火灾或爆炸等恶性事故，造成人员伤亡及经济损失。企业须严格落实各项风险防范措施，从而使工程环境风险降低到最低程度。</w:t>
                  </w:r>
                </w:p>
              </w:tc>
            </w:tr>
          </w:tbl>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b/>
                <w:bCs w:val="0"/>
                <w:color w:val="auto"/>
                <w:sz w:val="24"/>
              </w:rPr>
            </w:pPr>
            <w:r>
              <w:rPr>
                <w:rFonts w:hint="eastAsia" w:cs="Times New Roman"/>
                <w:b/>
                <w:bCs w:val="0"/>
                <w:color w:val="auto"/>
                <w:sz w:val="24"/>
                <w:lang w:val="en-US" w:eastAsia="zh-CN"/>
              </w:rPr>
              <w:t>7.6</w:t>
            </w:r>
            <w:r>
              <w:rPr>
                <w:rFonts w:hint="default" w:ascii="Times New Roman" w:hAnsi="Times New Roman" w:cs="Times New Roman"/>
                <w:b/>
                <w:bCs w:val="0"/>
                <w:color w:val="auto"/>
                <w:sz w:val="24"/>
              </w:rPr>
              <w:t>事故影响分析</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b w:val="0"/>
                <w:bCs/>
                <w:color w:val="auto"/>
                <w:sz w:val="24"/>
              </w:rPr>
            </w:pPr>
            <w:r>
              <w:rPr>
                <w:rFonts w:hint="eastAsia" w:cs="Times New Roman"/>
                <w:b w:val="0"/>
                <w:bCs/>
                <w:color w:val="auto"/>
                <w:sz w:val="24"/>
                <w:lang w:val="en-US" w:eastAsia="zh-CN"/>
              </w:rPr>
              <w:t>7.6.1</w:t>
            </w:r>
            <w:r>
              <w:rPr>
                <w:rFonts w:hint="default" w:ascii="Times New Roman" w:hAnsi="Times New Roman" w:cs="Times New Roman"/>
                <w:b w:val="0"/>
                <w:bCs/>
                <w:color w:val="auto"/>
                <w:sz w:val="24"/>
              </w:rPr>
              <w:t>环境空气的污染</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总碳氢化物中的稀烃是引起光化学烟雾的重要因素。挥发烃的排放只能造成局部的轻微污染，污染面积较小，一般不会出现光化学烟雾污染现象。项目排放的烃类有害物质经过周围大气扩散及建筑物遮挡后，其浓度得到明显降低，对环境空气影响较小。</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环评要求加油站建立严格的操作规程，提高加油、加气工人操作水平，及时检修设备阀门、输油管、加油枪、输气管、加气枪等，防止成品油、气的跑、冒、滴、漏。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7.6.2</w:t>
            </w:r>
            <w:r>
              <w:rPr>
                <w:rFonts w:hint="default" w:ascii="Times New Roman" w:hAnsi="Times New Roman" w:cs="Times New Roman"/>
                <w:b w:val="0"/>
                <w:bCs w:val="0"/>
                <w:color w:val="auto"/>
                <w:sz w:val="24"/>
              </w:rPr>
              <w:t>加油站着火或爆炸对环境的影响</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加油站属一级防火单位，油库的燃烧或爆炸引起的后果相当严重，不但会造成人员伤亡和财产损失，大量成品油的泄漏和燃烧，也将给大气环境和地表水及土壤环境造成严重污染，尤其是对地表水和土壤的污染影响将是一个相当长的时间，被污染的水体和土壤中的各种生物及植物将全部死亡。</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项目的当地实际情况，由于防火工作落实的较好，多年未发生加油站爆炸或着火事故，但是这种危险仍然存在，经营者应把储油设施的防爆防火工作放在首位，按消防法规规定落实各项防火措施和制度，确保加油站不发生火灾及爆炸。</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b/>
                <w:bCs/>
                <w:color w:val="auto"/>
                <w:sz w:val="24"/>
              </w:rPr>
            </w:pPr>
            <w:r>
              <w:rPr>
                <w:rFonts w:hint="eastAsia" w:cs="Times New Roman"/>
                <w:b/>
                <w:bCs/>
                <w:color w:val="auto"/>
                <w:sz w:val="24"/>
                <w:lang w:val="en-US" w:eastAsia="zh-CN"/>
              </w:rPr>
              <w:t>7.7</w:t>
            </w:r>
            <w:r>
              <w:rPr>
                <w:rFonts w:hint="default" w:ascii="Times New Roman" w:hAnsi="Times New Roman" w:cs="Times New Roman"/>
                <w:b/>
                <w:bCs/>
                <w:color w:val="auto"/>
                <w:sz w:val="24"/>
              </w:rPr>
              <w:t>风险防范措施及事故应急预案</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针对本项目的风险事故成因，环评要求采取以下防范措施及应急预案。</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b w:val="0"/>
                <w:bCs w:val="0"/>
                <w:color w:val="auto"/>
                <w:sz w:val="24"/>
              </w:rPr>
            </w:pPr>
            <w:r>
              <w:rPr>
                <w:rFonts w:hint="eastAsia" w:cs="Times New Roman"/>
                <w:b w:val="0"/>
                <w:bCs w:val="0"/>
                <w:color w:val="auto"/>
                <w:sz w:val="24"/>
                <w:lang w:val="en-US" w:eastAsia="zh-CN"/>
              </w:rPr>
              <w:t>7.7</w:t>
            </w:r>
            <w:r>
              <w:rPr>
                <w:rFonts w:hint="default" w:ascii="Times New Roman" w:hAnsi="Times New Roman" w:cs="Times New Roman"/>
                <w:b w:val="0"/>
                <w:bCs w:val="0"/>
                <w:color w:val="auto"/>
                <w:sz w:val="24"/>
              </w:rPr>
              <w:t>.1风险防范措施</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（1）严格遵守加油站的设计安全规范与国家已有标准进行设计；</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（2）要加强监测，对出现的泄漏要及时采取措施，对隐患要坚决消除，实行以防火为中心的安全管理；</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（3）设置防静电接地装置，防雷接地装置，选择防爆电气设备；</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（4）设置油品泄漏检测报警装置、可燃气体浓度检测报警器；</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（5）设置防火、防爆等事故处理系统，应急救援设施；</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（6）加油站内的电气设备严格按照防爆区划分配置；</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（7）针对运营中可能发生的异常现象和存在的安全隐患，设置合理可行的技术措施，制定严格的操作规程；</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（8）对易发生泄漏的部位实行定期的巡检制度，及时发现问题，尽快解决；</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（9）严格执行防火、防爆、防雷击、防毒害等各项要求，总图布置严格按照规范的要求进行设计，严格控制各建、构筑物的安全防护距离；</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（10）土建结构设计单位在进行结构设计时，要采取较大的抗震结构保险系数，增加加油站的抗震能力；</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（11）设置油源紧急切断装置，一旦有事故发生，紧急切断油源，并立即启动应急预案，使事故带来的环境影响降低到最低程度；</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（12）设置室外消火栓，防范加油站周围的火灾事故，并在设备周围设置固定的安全防护栏，防止人员随意进入，损坏设备，造成事故；</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（13）按规范要求配置足够的灭火器材，要加强维护保养，确保完整好用；</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（14）站区内应设置醒目的“严禁烟火”、“安全操作”等安全标志。</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7.7.</w:t>
            </w:r>
            <w:r>
              <w:rPr>
                <w:rFonts w:hint="default" w:ascii="Times New Roman" w:hAnsi="Times New Roman" w:cs="Times New Roman"/>
                <w:b w:val="0"/>
                <w:bCs w:val="0"/>
                <w:color w:val="auto"/>
                <w:sz w:val="24"/>
                <w:highlight w:val="none"/>
              </w:rPr>
              <w:t>2事故应急预案</w:t>
            </w:r>
          </w:p>
          <w:p>
            <w:pPr>
              <w:keepNext w:val="0"/>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highlight w:val="none"/>
              </w:rPr>
              <w:t>根据本项目环境风险分析的结果，对于该项目可能造成环境风险的突发性事故制定应急预案纲要，供项目决策人参考。评价要求：项目</w:t>
            </w:r>
            <w:r>
              <w:rPr>
                <w:rFonts w:hint="default" w:ascii="Times New Roman" w:hAnsi="Times New Roman" w:cs="Times New Roman"/>
                <w:color w:val="auto"/>
                <w:sz w:val="24"/>
              </w:rPr>
              <w:t>应按要求编制《环境风险突发事故应急预案》。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b/>
                <w:color w:val="auto"/>
                <w:sz w:val="24"/>
                <w:highlight w:val="none"/>
                <w:lang w:val="zh-CN"/>
              </w:rPr>
            </w:pPr>
            <w:r>
              <w:rPr>
                <w:rFonts w:hint="default"/>
                <w:b/>
                <w:color w:val="auto"/>
                <w:sz w:val="24"/>
                <w:highlight w:val="none"/>
                <w:lang w:val="zh-CN"/>
              </w:rPr>
              <w:t>表</w:t>
            </w:r>
            <w:r>
              <w:rPr>
                <w:rFonts w:hint="eastAsia"/>
                <w:b/>
                <w:color w:val="auto"/>
                <w:sz w:val="24"/>
                <w:highlight w:val="none"/>
                <w:lang w:val="en-US" w:eastAsia="zh-CN"/>
              </w:rPr>
              <w:t xml:space="preserve">52   </w:t>
            </w:r>
            <w:r>
              <w:rPr>
                <w:rFonts w:hint="default"/>
                <w:b/>
                <w:color w:val="auto"/>
                <w:sz w:val="24"/>
                <w:highlight w:val="none"/>
                <w:lang w:val="zh-CN"/>
              </w:rPr>
              <w:t xml:space="preserve">  环境风险突发事故应急预案</w:t>
            </w:r>
          </w:p>
          <w:tbl>
            <w:tblPr>
              <w:tblStyle w:val="21"/>
              <w:tblW w:w="873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20"/>
              <w:gridCol w:w="60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6" w:type="dxa"/>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992" w:type="dxa"/>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tc>
              <w:tc>
                <w:tcPr>
                  <w:tcW w:w="6284" w:type="dxa"/>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总则</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color w:val="000000"/>
                      <w:sz w:val="21"/>
                      <w:szCs w:val="21"/>
                    </w:rPr>
                    <w:t>简叙原料和产品的性质及可能产生的突发事故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0" w:hRule="atLeast"/>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危险源情况</w:t>
                  </w:r>
                </w:p>
              </w:tc>
              <w:tc>
                <w:tcPr>
                  <w:tcW w:w="6284" w:type="dxa"/>
                  <w:tcBorders>
                    <w:tl2br w:val="nil"/>
                    <w:tr2bl w:val="nil"/>
                  </w:tcBorders>
                  <w:noWrap w:val="0"/>
                  <w:vAlign w:val="center"/>
                </w:tcPr>
                <w:p>
                  <w:pPr>
                    <w:tabs>
                      <w:tab w:val="left" w:pos="420"/>
                      <w:tab w:val="left" w:pos="1727"/>
                      <w:tab w:val="left" w:pos="1884"/>
                      <w:tab w:val="left" w:pos="2940"/>
                    </w:tabs>
                    <w:jc w:val="center"/>
                    <w:rPr>
                      <w:rFonts w:hint="default" w:ascii="Times New Roman" w:hAnsi="Times New Roman" w:cs="Times New Roman"/>
                      <w:color w:val="auto"/>
                      <w:szCs w:val="21"/>
                    </w:rPr>
                  </w:pPr>
                  <w:r>
                    <w:rPr>
                      <w:rFonts w:hint="default" w:ascii="Times New Roman" w:hAnsi="Times New Roman" w:cs="Times New Roman"/>
                      <w:color w:val="auto"/>
                      <w:szCs w:val="21"/>
                    </w:rPr>
                    <w:t>详细说明危险源类型、数量、分布及其对环境的风险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应急计划区</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作业区、储存区、临近地区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应急组织</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加油站：由加油站内专人负责——负责现场全面指挥，专业救援队伍负责事故控制、救援和善后处理</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临近地区：由加油站内专人负责——负责加油站附近地区全面指挥，救援、管制和疏散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1992" w:type="dxa"/>
                  <w:tcBorders>
                    <w:tl2br w:val="nil"/>
                    <w:tr2bl w:val="nil"/>
                  </w:tcBorders>
                  <w:noWrap w:val="0"/>
                  <w:vAlign w:val="center"/>
                </w:tcPr>
                <w:p>
                  <w:pPr>
                    <w:jc w:val="center"/>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应急状态分类</w:t>
                  </w:r>
                  <w:r>
                    <w:rPr>
                      <w:rFonts w:hint="eastAsia" w:cs="Times New Roman"/>
                      <w:color w:val="auto"/>
                      <w:szCs w:val="21"/>
                      <w:lang w:val="en-US" w:eastAsia="zh-CN"/>
                    </w:rPr>
                    <w:t>及</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应急响应程序</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规定环境风险事故的级别及相应的应急状态分类，以此制定相应的应急响应程序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应急设施</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设备与材料</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作业区和储存区：防火灾事故的应急设施、设备与材料，主要为消防器材、消防服等；防有毒有害物质外溢、扩散，主要是水或低压蒸汽幕、喷淋设备、防毒服和中毒人员急救所用的一些药品、器材</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临界地区：烧伤、中毒人员急救所用的一些药品、器材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应急通讯</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通告与交通</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规定应急状态下的通讯、通告方式和交通保障、管制等事项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应急环境监测及事故后评估</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由专业人员对环境风险事故现场进行应急监测，对事故性质、严重程度等所造成的环境危害后果进行评估，吸取经验教训免再次发生事故，为指挥部门提供决策依据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应急防护措施消除泄漏措施及需使用器材</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事故现场：控制事故发展，防止扩大、蔓延及连锁反应；清除现场泄漏物，降低危害；相应的设施器材配备</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临近地区：划分腐蚀区域，控制和消除环境污染的措施及相应的设备配备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应急剂量控制撤离</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组织计划医疗救护</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与保护公众健康</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事故现场：事故处理人员制定毒物的应急剂量、现场及临近装置人员的撤离组织计划和紧急救护方案</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临近地区：制定受事故影响的临近地区内人员对毒物的应急剂量、公众的疏散组织计划和紧急救护方案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应急状态中止</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恢复措施</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事故现场：规定应急状态终止秩序：事故现场善后处理，恢复生产措施；</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临近地区：解除事故警戒、公众返回和善后恢复措施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人员培训与演习</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应急计划制定后，平时安排事故处理人员进行相关知识培训进行事故应急处理演习；对加</w:t>
                  </w:r>
                  <w:r>
                    <w:rPr>
                      <w:rFonts w:hint="eastAsia" w:cs="Times New Roman"/>
                      <w:color w:val="auto"/>
                      <w:szCs w:val="21"/>
                      <w:lang w:val="en-US" w:eastAsia="zh-CN"/>
                    </w:rPr>
                    <w:t>油</w:t>
                  </w:r>
                  <w:r>
                    <w:rPr>
                      <w:rFonts w:hint="default" w:ascii="Times New Roman" w:hAnsi="Times New Roman" w:cs="Times New Roman"/>
                      <w:color w:val="auto"/>
                      <w:szCs w:val="21"/>
                    </w:rPr>
                    <w:t>站内工人进行安全卫生教育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13</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公众教育</w:t>
                  </w:r>
                </w:p>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信息发布</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对加油站临近地区公众开展环境风险事故预防教育、应急知识培训并定期发布相关信息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14</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记录和报告</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设应急事故专门记录，建立档案和报告制度，设专门部门负责管理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96"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15</w:t>
                  </w:r>
                </w:p>
              </w:tc>
              <w:tc>
                <w:tcPr>
                  <w:tcW w:w="1992"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附件</w:t>
                  </w:r>
                </w:p>
              </w:tc>
              <w:tc>
                <w:tcPr>
                  <w:tcW w:w="6284" w:type="dxa"/>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准备并形成环境风险事故应急处理有关的附件材料</w:t>
                  </w:r>
                </w:p>
              </w:tc>
            </w:tr>
          </w:tbl>
          <w:p>
            <w:pPr>
              <w:keepNext w:val="0"/>
              <w:keepLines w:val="0"/>
              <w:pageBreakBefore w:val="0"/>
              <w:widowControl w:val="0"/>
              <w:kinsoku/>
              <w:wordWrap/>
              <w:overflowPunct/>
              <w:topLinePunct w:val="0"/>
              <w:autoSpaceDE/>
              <w:autoSpaceDN/>
              <w:bidi w:val="0"/>
              <w:spacing w:line="520" w:lineRule="exact"/>
              <w:ind w:firstLine="480"/>
              <w:jc w:val="left"/>
              <w:textAlignment w:val="auto"/>
              <w:rPr>
                <w:rFonts w:hint="default" w:ascii="Times New Roman" w:hAnsi="Times New Roman" w:cs="Times New Roman"/>
                <w:b w:val="0"/>
                <w:bCs w:val="0"/>
                <w:color w:val="auto"/>
                <w:sz w:val="24"/>
                <w:highlight w:val="none"/>
              </w:rPr>
            </w:pPr>
            <w:r>
              <w:rPr>
                <w:rFonts w:hint="eastAsia" w:cs="Times New Roman"/>
                <w:b w:val="0"/>
                <w:bCs w:val="0"/>
                <w:color w:val="auto"/>
                <w:sz w:val="24"/>
                <w:highlight w:val="none"/>
                <w:lang w:val="en-US" w:eastAsia="zh-CN"/>
              </w:rPr>
              <w:t>7.7.3</w:t>
            </w:r>
            <w:r>
              <w:rPr>
                <w:rFonts w:hint="default" w:ascii="Times New Roman" w:hAnsi="Times New Roman" w:cs="Times New Roman"/>
                <w:b w:val="0"/>
                <w:bCs w:val="0"/>
                <w:color w:val="auto"/>
                <w:sz w:val="24"/>
                <w:highlight w:val="none"/>
              </w:rPr>
              <w:t>发生事故后应采取的环保措施</w:t>
            </w:r>
          </w:p>
          <w:p>
            <w:pPr>
              <w:keepNext w:val="0"/>
              <w:keepLines w:val="0"/>
              <w:pageBreakBefore w:val="0"/>
              <w:widowControl w:val="0"/>
              <w:kinsoku/>
              <w:wordWrap/>
              <w:overflowPunct/>
              <w:topLinePunct w:val="0"/>
              <w:autoSpaceDE/>
              <w:autoSpaceDN/>
              <w:bidi w:val="0"/>
              <w:spacing w:line="520" w:lineRule="exact"/>
              <w:ind w:firstLine="48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一旦发生事故，泄露的燃油应及时设置围挡进行拦截并及时收集，防止燃油泄漏范围增大污染土壤及地表水。</w:t>
            </w:r>
          </w:p>
          <w:p>
            <w:pPr>
              <w:keepNext w:val="0"/>
              <w:keepLines w:val="0"/>
              <w:pageBreakBefore w:val="0"/>
              <w:widowControl w:val="0"/>
              <w:kinsoku/>
              <w:wordWrap/>
              <w:overflowPunct/>
              <w:topLinePunct w:val="0"/>
              <w:autoSpaceDE/>
              <w:autoSpaceDN/>
              <w:bidi w:val="0"/>
              <w:spacing w:line="520" w:lineRule="exact"/>
              <w:ind w:firstLine="480"/>
              <w:textAlignment w:val="auto"/>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一旦发生爆炸、火灾、泄漏事故后，灭火使用的干粉灭火器产生的干粉、灭火毯、灭火砂因混有燃油，应作为危险废物处理，此外若因燃油泄漏进入土壤造成土壤污染，</w:t>
            </w:r>
            <w:r>
              <w:rPr>
                <w:rFonts w:hint="default" w:ascii="Times New Roman" w:hAnsi="Times New Roman" w:cs="Times New Roman"/>
                <w:bCs/>
                <w:color w:val="auto"/>
                <w:sz w:val="24"/>
                <w:highlight w:val="none"/>
              </w:rPr>
              <w:t>受污染的土壤也应清理后作为危险废物处理，以上危险废物均送有资质的单位处理。</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b/>
                <w:bCs/>
                <w:color w:val="000000"/>
                <w:kern w:val="0"/>
                <w:sz w:val="24"/>
                <w:szCs w:val="24"/>
                <w:highlight w:val="none"/>
              </w:rPr>
            </w:pPr>
            <w:r>
              <w:rPr>
                <w:rFonts w:hint="eastAsia"/>
                <w:b/>
                <w:bCs/>
                <w:color w:val="000000"/>
                <w:kern w:val="0"/>
                <w:sz w:val="24"/>
                <w:szCs w:val="24"/>
                <w:highlight w:val="none"/>
                <w:lang w:val="en-US" w:eastAsia="zh-CN"/>
              </w:rPr>
              <w:t>7.8</w:t>
            </w:r>
            <w:r>
              <w:rPr>
                <w:rFonts w:hint="eastAsia"/>
                <w:b/>
                <w:bCs/>
                <w:color w:val="000000"/>
                <w:kern w:val="0"/>
                <w:sz w:val="24"/>
                <w:szCs w:val="24"/>
                <w:highlight w:val="none"/>
              </w:rPr>
              <w:t>分析结论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bCs/>
                <w:color w:val="000000"/>
                <w:kern w:val="0"/>
                <w:sz w:val="24"/>
                <w:szCs w:val="24"/>
                <w:highlight w:val="none"/>
              </w:rPr>
            </w:pPr>
            <w:r>
              <w:rPr>
                <w:rFonts w:hint="eastAsia" w:ascii="宋体" w:cs="宋体"/>
                <w:kern w:val="0"/>
                <w:sz w:val="24"/>
                <w:szCs w:val="24"/>
                <w:highlight w:val="none"/>
              </w:rPr>
              <w:t>项目营运期存在着泄漏、火灾爆炸风险</w:t>
            </w:r>
            <w:r>
              <w:rPr>
                <w:rFonts w:hint="eastAsia"/>
                <w:bCs/>
                <w:color w:val="000000"/>
                <w:kern w:val="0"/>
                <w:sz w:val="24"/>
                <w:szCs w:val="24"/>
                <w:highlight w:val="none"/>
              </w:rPr>
              <w:t>，企业应严格按照有关规定、采取相应的风险防范措施、建立应急预案机制，并接受当地政府等有关部门的监督检查，</w:t>
            </w:r>
            <w:r>
              <w:rPr>
                <w:rFonts w:hint="eastAsia"/>
                <w:bCs/>
                <w:sz w:val="24"/>
                <w:highlight w:val="none"/>
              </w:rPr>
              <w:t>在认真落实相关风险管理措施的情况下，能够将环境风险控制在可控范围内</w:t>
            </w:r>
            <w:r>
              <w:rPr>
                <w:rFonts w:hint="eastAsia"/>
                <w:bCs/>
                <w:color w:val="000000"/>
                <w:kern w:val="0"/>
                <w:sz w:val="24"/>
                <w:szCs w:val="24"/>
                <w:highlight w:val="none"/>
              </w:rPr>
              <w:t>。</w:t>
            </w:r>
          </w:p>
          <w:p>
            <w:pPr>
              <w:keepNext w:val="0"/>
              <w:keepLines w:val="0"/>
              <w:pageBreakBefore w:val="0"/>
              <w:widowControl w:val="0"/>
              <w:kinsoku/>
              <w:wordWrap/>
              <w:overflowPunct/>
              <w:topLinePunct w:val="0"/>
              <w:autoSpaceDE/>
              <w:autoSpaceDN/>
              <w:bidi w:val="0"/>
              <w:spacing w:line="520" w:lineRule="exact"/>
              <w:ind w:left="0" w:leftChars="0" w:right="0" w:rightChars="0" w:firstLine="482" w:firstLineChars="200"/>
              <w:textAlignment w:val="auto"/>
              <w:rPr>
                <w:b/>
                <w:color w:val="auto"/>
                <w:sz w:val="24"/>
                <w:highlight w:val="none"/>
              </w:rPr>
            </w:pPr>
            <w:r>
              <w:rPr>
                <w:rFonts w:hint="eastAsia"/>
                <w:b/>
                <w:color w:val="auto"/>
                <w:sz w:val="24"/>
                <w:highlight w:val="none"/>
                <w:lang w:val="en-US" w:eastAsia="zh-CN"/>
              </w:rPr>
              <w:t>8、</w:t>
            </w:r>
            <w:r>
              <w:rPr>
                <w:b/>
                <w:color w:val="auto"/>
                <w:sz w:val="24"/>
                <w:highlight w:val="none"/>
              </w:rPr>
              <w:t>总量控制分析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本项目生活污水经化粪池处理后</w:t>
            </w:r>
            <w:r>
              <w:rPr>
                <w:rFonts w:hint="eastAsia" w:ascii="Times New Roman" w:hAnsi="Times New Roman" w:eastAsia="宋体" w:cs="Times New Roman"/>
                <w:bCs/>
                <w:color w:val="auto"/>
                <w:sz w:val="24"/>
                <w:szCs w:val="24"/>
                <w:highlight w:val="none"/>
                <w:lang w:val="en-US" w:eastAsia="zh-CN"/>
              </w:rPr>
              <w:t>定期清运处置</w:t>
            </w:r>
            <w:r>
              <w:rPr>
                <w:rFonts w:hint="default"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lang w:val="en-US" w:eastAsia="zh-CN"/>
              </w:rPr>
              <w:t>不外排；洗车废水经隔油沉淀池处理后循环使用，不外排，</w:t>
            </w:r>
            <w:r>
              <w:rPr>
                <w:rFonts w:hint="default" w:ascii="Times New Roman" w:hAnsi="Times New Roman" w:eastAsia="宋体" w:cs="Times New Roman"/>
                <w:bCs/>
                <w:color w:val="auto"/>
                <w:sz w:val="24"/>
                <w:szCs w:val="24"/>
                <w:highlight w:val="none"/>
                <w:lang w:val="en-US" w:eastAsia="zh-CN"/>
              </w:rPr>
              <w:t>因此</w:t>
            </w:r>
            <w:r>
              <w:rPr>
                <w:rFonts w:hint="eastAsia" w:ascii="Times New Roman" w:hAnsi="Times New Roman" w:eastAsia="宋体" w:cs="Times New Roman"/>
                <w:bCs/>
                <w:color w:val="auto"/>
                <w:sz w:val="24"/>
                <w:szCs w:val="24"/>
                <w:highlight w:val="none"/>
                <w:lang w:val="en-US" w:eastAsia="zh-CN"/>
              </w:rPr>
              <w:t>本项目</w:t>
            </w:r>
            <w:r>
              <w:rPr>
                <w:rFonts w:hint="default" w:ascii="Times New Roman" w:hAnsi="Times New Roman" w:eastAsia="宋体" w:cs="Times New Roman"/>
                <w:bCs/>
                <w:color w:val="auto"/>
                <w:sz w:val="24"/>
                <w:szCs w:val="24"/>
                <w:highlight w:val="none"/>
                <w:lang w:val="en-US" w:eastAsia="zh-CN"/>
              </w:rPr>
              <w:t>不需</w:t>
            </w:r>
            <w:r>
              <w:rPr>
                <w:rFonts w:hint="eastAsia" w:ascii="Times New Roman" w:hAnsi="Times New Roman" w:eastAsia="宋体" w:cs="Times New Roman"/>
                <w:bCs/>
                <w:color w:val="auto"/>
                <w:sz w:val="24"/>
                <w:szCs w:val="24"/>
                <w:highlight w:val="none"/>
                <w:lang w:val="en-US" w:eastAsia="zh-CN"/>
              </w:rPr>
              <w:t>设置废水</w:t>
            </w:r>
            <w:r>
              <w:rPr>
                <w:rFonts w:hint="default" w:ascii="Times New Roman" w:hAnsi="Times New Roman" w:eastAsia="宋体" w:cs="Times New Roman"/>
                <w:bCs/>
                <w:color w:val="auto"/>
                <w:sz w:val="24"/>
                <w:szCs w:val="24"/>
                <w:highlight w:val="none"/>
                <w:lang w:val="en-US" w:eastAsia="zh-CN"/>
              </w:rPr>
              <w:t>总量控制指标；废气无二氧化硫、氮氧化物产生，运营期大气污染物主要为非甲烷总烃，排放量为</w:t>
            </w:r>
            <w:r>
              <w:rPr>
                <w:rFonts w:hint="eastAsia" w:cs="Times New Roman"/>
                <w:bCs/>
                <w:color w:val="auto"/>
                <w:sz w:val="24"/>
                <w:szCs w:val="24"/>
                <w:highlight w:val="none"/>
                <w:lang w:val="en-US" w:eastAsia="zh-CN"/>
              </w:rPr>
              <w:t>0.0757</w:t>
            </w:r>
            <w:r>
              <w:rPr>
                <w:rFonts w:hint="default" w:ascii="Times New Roman" w:hAnsi="Times New Roman" w:eastAsia="宋体" w:cs="Times New Roman"/>
                <w:bCs/>
                <w:color w:val="auto"/>
                <w:sz w:val="24"/>
                <w:szCs w:val="24"/>
                <w:highlight w:val="none"/>
                <w:lang w:val="en-US" w:eastAsia="zh-CN"/>
              </w:rPr>
              <w:t>t/a，即本项目挥发性有机物（以非甲烷总烃计）总量控制指标为</w:t>
            </w:r>
            <w:r>
              <w:rPr>
                <w:rFonts w:hint="eastAsia" w:cs="Times New Roman"/>
                <w:bCs/>
                <w:color w:val="auto"/>
                <w:sz w:val="24"/>
                <w:szCs w:val="24"/>
                <w:highlight w:val="none"/>
                <w:lang w:val="en-US" w:eastAsia="zh-CN"/>
              </w:rPr>
              <w:t>0.0757</w:t>
            </w:r>
            <w:r>
              <w:rPr>
                <w:rFonts w:hint="default" w:ascii="Times New Roman" w:hAnsi="Times New Roman" w:eastAsia="宋体" w:cs="Times New Roman"/>
                <w:bCs/>
                <w:color w:val="auto"/>
                <w:sz w:val="24"/>
                <w:szCs w:val="24"/>
                <w:highlight w:val="none"/>
                <w:lang w:val="en-US" w:eastAsia="zh-CN"/>
              </w:rPr>
              <w:t>t/a。</w:t>
            </w:r>
          </w:p>
          <w:p>
            <w:pPr>
              <w:pStyle w:val="20"/>
              <w:keepNext w:val="0"/>
              <w:keepLines w:val="0"/>
              <w:pageBreakBefore w:val="0"/>
              <w:widowControl w:val="0"/>
              <w:kinsoku/>
              <w:wordWrap/>
              <w:overflowPunct/>
              <w:topLinePunct w:val="0"/>
              <w:autoSpaceDE/>
              <w:autoSpaceDN/>
              <w:bidi w:val="0"/>
              <w:spacing w:after="0" w:line="520" w:lineRule="exact"/>
              <w:ind w:left="0" w:leftChars="0" w:firstLine="480"/>
              <w:textAlignment w:val="auto"/>
              <w:rPr>
                <w:rFonts w:hint="eastAsia"/>
                <w:b/>
                <w:snapToGrid w:val="0"/>
                <w:color w:val="auto"/>
                <w:sz w:val="24"/>
                <w:highlight w:val="none"/>
                <w:lang w:val="en-US" w:eastAsia="zh-CN"/>
              </w:rPr>
            </w:pPr>
            <w:r>
              <w:rPr>
                <w:rFonts w:hint="eastAsia" w:ascii="TimesNewRomanPSMT" w:hAnsi="TimesNewRomanPSMT" w:cs="TimesNewRomanPSMT"/>
                <w:kern w:val="0"/>
                <w:sz w:val="24"/>
              </w:rPr>
              <w:t>因此，本项目主要污染物总量控制指标为</w:t>
            </w:r>
            <w:r>
              <w:rPr>
                <w:rFonts w:ascii="TimesNewRomanPSMT" w:hAnsi="TimesNewRomanPSMT" w:cs="TimesNewRomanPSMT"/>
                <w:kern w:val="0"/>
                <w:sz w:val="24"/>
              </w:rPr>
              <w:t>COD</w:t>
            </w:r>
            <w:r>
              <w:rPr>
                <w:rFonts w:hint="eastAsia" w:ascii="TimesNewRomanPSMT" w:hAnsi="TimesNewRomanPSMT" w:cs="TimesNewRomanPSMT"/>
                <w:kern w:val="0"/>
                <w:sz w:val="24"/>
                <w:lang w:val="en-US" w:eastAsia="zh-CN"/>
              </w:rPr>
              <w:t>0</w:t>
            </w:r>
            <w:r>
              <w:rPr>
                <w:rFonts w:hint="eastAsia" w:ascii="TimesNewRomanPSMT" w:hAnsi="TimesNewRomanPSMT" w:cs="TimesNewRomanPSMT"/>
                <w:kern w:val="0"/>
                <w:sz w:val="24"/>
              </w:rPr>
              <w:t>t/a</w:t>
            </w:r>
            <w:r>
              <w:rPr>
                <w:rFonts w:hint="eastAsia" w:ascii="宋体" w:cs="宋体"/>
                <w:kern w:val="0"/>
                <w:sz w:val="24"/>
              </w:rPr>
              <w:t>，</w:t>
            </w:r>
            <w:r>
              <w:rPr>
                <w:rFonts w:ascii="TimesNewRomanPSMT" w:hAnsi="TimesNewRomanPSMT" w:cs="TimesNewRomanPSMT"/>
                <w:kern w:val="0"/>
                <w:sz w:val="24"/>
              </w:rPr>
              <w:t>NH</w:t>
            </w:r>
            <w:r>
              <w:rPr>
                <w:rFonts w:ascii="TimesNewRomanPSMT" w:hAnsi="TimesNewRomanPSMT" w:cs="TimesNewRomanPSMT"/>
                <w:kern w:val="0"/>
                <w:sz w:val="24"/>
                <w:vertAlign w:val="subscript"/>
              </w:rPr>
              <w:t>3</w:t>
            </w:r>
            <w:r>
              <w:rPr>
                <w:rFonts w:ascii="TimesNewRomanPSMT" w:hAnsi="TimesNewRomanPSMT" w:cs="TimesNewRomanPSMT"/>
                <w:kern w:val="0"/>
                <w:sz w:val="24"/>
              </w:rPr>
              <w:t>-N</w:t>
            </w:r>
            <w:r>
              <w:rPr>
                <w:rFonts w:hint="eastAsia" w:ascii="TimesNewRomanPSMT" w:hAnsi="TimesNewRomanPSMT" w:cs="TimesNewRomanPSMT"/>
                <w:kern w:val="0"/>
                <w:sz w:val="24"/>
                <w:lang w:val="en-US" w:eastAsia="zh-CN"/>
              </w:rPr>
              <w:t>0</w:t>
            </w:r>
            <w:r>
              <w:rPr>
                <w:rFonts w:hint="eastAsia" w:ascii="TimesNewRomanPSMT" w:hAnsi="TimesNewRomanPSMT" w:cs="TimesNewRomanPSMT"/>
                <w:kern w:val="0"/>
                <w:sz w:val="24"/>
              </w:rPr>
              <w:t>t/a，</w:t>
            </w:r>
            <w:r>
              <w:rPr>
                <w:rFonts w:ascii="TimesNewRomanPSMT" w:hAnsi="TimesNewRomanPSMT" w:cs="TimesNewRomanPSMT"/>
                <w:kern w:val="0"/>
                <w:sz w:val="24"/>
              </w:rPr>
              <w:t>VOCs</w:t>
            </w:r>
            <w:r>
              <w:rPr>
                <w:rFonts w:hint="eastAsia" w:ascii="TimesNewRomanPSMT" w:hAnsi="TimesNewRomanPSMT" w:cs="TimesNewRomanPSMT"/>
                <w:kern w:val="0"/>
                <w:sz w:val="24"/>
                <w:lang w:val="en-US" w:eastAsia="zh-CN"/>
              </w:rPr>
              <w:t>0.0757</w:t>
            </w:r>
            <w:r>
              <w:rPr>
                <w:rFonts w:hint="eastAsia" w:ascii="TimesNewRomanPSMT" w:hAnsi="TimesNewRomanPSMT" w:cs="TimesNewRomanPSMT"/>
                <w:kern w:val="0"/>
                <w:sz w:val="24"/>
              </w:rPr>
              <w:t>t/a。</w:t>
            </w:r>
          </w:p>
          <w:p>
            <w:pPr>
              <w:keepNext w:val="0"/>
              <w:keepLines w:val="0"/>
              <w:pageBreakBefore w:val="0"/>
              <w:widowControl w:val="0"/>
              <w:kinsoku/>
              <w:wordWrap/>
              <w:overflowPunct/>
              <w:topLinePunct w:val="0"/>
              <w:autoSpaceDE/>
              <w:autoSpaceDN/>
              <w:bidi w:val="0"/>
              <w:spacing w:line="520" w:lineRule="exact"/>
              <w:ind w:left="0" w:leftChars="0" w:right="0" w:rightChars="0" w:firstLine="482" w:firstLineChars="200"/>
              <w:textAlignment w:val="auto"/>
              <w:rPr>
                <w:b/>
                <w:snapToGrid w:val="0"/>
                <w:color w:val="auto"/>
                <w:sz w:val="24"/>
                <w:highlight w:val="none"/>
              </w:rPr>
            </w:pPr>
            <w:r>
              <w:rPr>
                <w:rFonts w:hint="eastAsia"/>
                <w:b/>
                <w:snapToGrid w:val="0"/>
                <w:color w:val="auto"/>
                <w:sz w:val="24"/>
                <w:highlight w:val="none"/>
                <w:lang w:val="en-US" w:eastAsia="zh-CN"/>
              </w:rPr>
              <w:t>9、</w:t>
            </w:r>
            <w:r>
              <w:rPr>
                <w:b/>
                <w:snapToGrid w:val="0"/>
                <w:color w:val="auto"/>
                <w:sz w:val="24"/>
                <w:highlight w:val="none"/>
              </w:rPr>
              <w:t>环保</w:t>
            </w:r>
            <w:r>
              <w:rPr>
                <w:rFonts w:hint="eastAsia"/>
                <w:b/>
                <w:snapToGrid w:val="0"/>
                <w:color w:val="auto"/>
                <w:sz w:val="24"/>
                <w:highlight w:val="none"/>
                <w:lang w:val="en-US" w:eastAsia="zh-CN"/>
              </w:rPr>
              <w:t>及安全措施</w:t>
            </w:r>
            <w:r>
              <w:rPr>
                <w:b/>
                <w:snapToGrid w:val="0"/>
                <w:color w:val="auto"/>
                <w:sz w:val="24"/>
                <w:highlight w:val="none"/>
              </w:rPr>
              <w:t>投资估算</w:t>
            </w:r>
          </w:p>
          <w:p>
            <w:pPr>
              <w:keepNext w:val="0"/>
              <w:keepLines w:val="0"/>
              <w:pageBreakBefore w:val="0"/>
              <w:widowControl w:val="0"/>
              <w:kinsoku/>
              <w:wordWrap/>
              <w:overflowPunct/>
              <w:topLinePunct w:val="0"/>
              <w:autoSpaceDE/>
              <w:autoSpaceDN/>
              <w:bidi w:val="0"/>
              <w:spacing w:line="520" w:lineRule="exact"/>
              <w:ind w:firstLine="480"/>
              <w:textAlignment w:val="auto"/>
              <w:rPr>
                <w:snapToGrid w:val="0"/>
                <w:color w:val="auto"/>
                <w:kern w:val="0"/>
                <w:sz w:val="24"/>
                <w:highlight w:val="none"/>
              </w:rPr>
            </w:pPr>
            <w:r>
              <w:rPr>
                <w:snapToGrid w:val="0"/>
                <w:color w:val="auto"/>
                <w:kern w:val="0"/>
                <w:sz w:val="24"/>
                <w:highlight w:val="none"/>
              </w:rPr>
              <w:t>本项目总投资为</w:t>
            </w:r>
            <w:r>
              <w:rPr>
                <w:rFonts w:hint="eastAsia"/>
                <w:snapToGrid w:val="0"/>
                <w:color w:val="auto"/>
                <w:kern w:val="0"/>
                <w:sz w:val="24"/>
                <w:highlight w:val="none"/>
                <w:lang w:val="en-US" w:eastAsia="zh-CN"/>
              </w:rPr>
              <w:t>25</w:t>
            </w:r>
            <w:r>
              <w:rPr>
                <w:snapToGrid w:val="0"/>
                <w:color w:val="auto"/>
                <w:kern w:val="0"/>
                <w:sz w:val="24"/>
                <w:highlight w:val="none"/>
              </w:rPr>
              <w:t>万元，其中环保投资为</w:t>
            </w:r>
            <w:r>
              <w:rPr>
                <w:rFonts w:hint="eastAsia"/>
                <w:snapToGrid w:val="0"/>
                <w:color w:val="auto"/>
                <w:kern w:val="0"/>
                <w:sz w:val="24"/>
                <w:highlight w:val="none"/>
                <w:lang w:val="en-US" w:eastAsia="zh-CN"/>
              </w:rPr>
              <w:t>10.05</w:t>
            </w:r>
            <w:r>
              <w:rPr>
                <w:snapToGrid w:val="0"/>
                <w:color w:val="auto"/>
                <w:kern w:val="0"/>
                <w:sz w:val="24"/>
                <w:highlight w:val="none"/>
              </w:rPr>
              <w:t>万元，占总投资的</w:t>
            </w:r>
            <w:r>
              <w:rPr>
                <w:rFonts w:hint="eastAsia"/>
                <w:snapToGrid w:val="0"/>
                <w:color w:val="auto"/>
                <w:kern w:val="0"/>
                <w:sz w:val="24"/>
                <w:highlight w:val="none"/>
                <w:lang w:val="en-US" w:eastAsia="zh-CN"/>
              </w:rPr>
              <w:t>40.2</w:t>
            </w:r>
            <w:r>
              <w:rPr>
                <w:snapToGrid w:val="0"/>
                <w:color w:val="auto"/>
                <w:kern w:val="0"/>
                <w:sz w:val="24"/>
                <w:highlight w:val="none"/>
              </w:rPr>
              <w:t>%。环保投资估算表见下表</w:t>
            </w:r>
            <w:r>
              <w:rPr>
                <w:rFonts w:hint="eastAsia"/>
                <w:snapToGrid w:val="0"/>
                <w:color w:val="auto"/>
                <w:kern w:val="0"/>
                <w:sz w:val="24"/>
                <w:highlight w:val="none"/>
                <w:lang w:val="en-US" w:eastAsia="zh-CN"/>
              </w:rPr>
              <w:t>53</w:t>
            </w:r>
            <w:r>
              <w:rPr>
                <w:snapToGrid w:val="0"/>
                <w:color w:val="auto"/>
                <w:kern w:val="0"/>
                <w:sz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jc w:val="center"/>
              <w:textAlignment w:val="auto"/>
              <w:rPr>
                <w:rFonts w:hint="default" w:ascii="Times New Roman" w:hAnsi="Times New Roman" w:eastAsia="宋体" w:cs="Times New Roman"/>
                <w:b/>
                <w:color w:val="auto"/>
                <w:kern w:val="2"/>
                <w:sz w:val="24"/>
                <w:szCs w:val="24"/>
                <w:highlight w:val="none"/>
                <w:lang w:val="zh-CN" w:eastAsia="zh-CN" w:bidi="ar-SA"/>
              </w:rPr>
            </w:pPr>
            <w:r>
              <w:rPr>
                <w:rFonts w:hint="default" w:ascii="Times New Roman" w:hAnsi="Times New Roman" w:eastAsia="宋体" w:cs="Times New Roman"/>
                <w:b/>
                <w:color w:val="auto"/>
                <w:kern w:val="2"/>
                <w:sz w:val="24"/>
                <w:szCs w:val="24"/>
                <w:highlight w:val="none"/>
                <w:lang w:val="zh-CN" w:eastAsia="zh-CN" w:bidi="ar-SA"/>
              </w:rPr>
              <w:t>表</w:t>
            </w:r>
            <w:r>
              <w:rPr>
                <w:rFonts w:hint="eastAsia" w:cs="Times New Roman"/>
                <w:b/>
                <w:color w:val="auto"/>
                <w:kern w:val="2"/>
                <w:sz w:val="24"/>
                <w:szCs w:val="24"/>
                <w:highlight w:val="none"/>
                <w:lang w:val="en-US" w:eastAsia="zh-CN" w:bidi="ar-SA"/>
              </w:rPr>
              <w:t xml:space="preserve">53 </w:t>
            </w:r>
            <w:r>
              <w:rPr>
                <w:rFonts w:hint="eastAsia" w:ascii="Times New Roman" w:hAnsi="Times New Roman" w:eastAsia="宋体" w:cs="Times New Roman"/>
                <w:b/>
                <w:color w:val="auto"/>
                <w:kern w:val="2"/>
                <w:sz w:val="24"/>
                <w:szCs w:val="24"/>
                <w:highlight w:val="none"/>
                <w:lang w:val="en-US" w:eastAsia="zh-CN" w:bidi="ar-SA"/>
              </w:rPr>
              <w:t xml:space="preserve">  </w:t>
            </w:r>
            <w:r>
              <w:rPr>
                <w:rFonts w:hint="default" w:ascii="Times New Roman" w:hAnsi="Times New Roman" w:eastAsia="宋体" w:cs="Times New Roman"/>
                <w:b/>
                <w:color w:val="auto"/>
                <w:kern w:val="2"/>
                <w:sz w:val="24"/>
                <w:szCs w:val="24"/>
                <w:highlight w:val="none"/>
                <w:lang w:val="zh-CN" w:eastAsia="zh-CN" w:bidi="ar-SA"/>
              </w:rPr>
              <w:t>本项目环保投资估算一览表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31"/>
              <w:gridCol w:w="1682"/>
              <w:gridCol w:w="2623"/>
              <w:gridCol w:w="1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78"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项目</w:t>
                  </w:r>
                </w:p>
              </w:tc>
              <w:tc>
                <w:tcPr>
                  <w:tcW w:w="1831"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污染源</w:t>
                  </w:r>
                </w:p>
              </w:tc>
              <w:tc>
                <w:tcPr>
                  <w:tcW w:w="1682"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污染物名称</w:t>
                  </w:r>
                </w:p>
              </w:tc>
              <w:tc>
                <w:tcPr>
                  <w:tcW w:w="2623"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治理措施</w:t>
                  </w:r>
                </w:p>
              </w:tc>
              <w:tc>
                <w:tcPr>
                  <w:tcW w:w="1590"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环保投资（万元）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8"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废气</w:t>
                  </w:r>
                </w:p>
              </w:tc>
              <w:tc>
                <w:tcPr>
                  <w:tcW w:w="1831" w:type="dxa"/>
                  <w:noWrap w:val="0"/>
                  <w:vAlign w:val="center"/>
                </w:tcPr>
                <w:p>
                  <w:pPr>
                    <w:jc w:val="center"/>
                    <w:rPr>
                      <w:rFonts w:hint="default" w:ascii="Times New Roman" w:hAnsi="Times New Roman" w:cs="Times New Roman"/>
                      <w:bCs/>
                      <w:color w:val="auto"/>
                      <w:szCs w:val="21"/>
                    </w:rPr>
                  </w:pPr>
                  <w:r>
                    <w:rPr>
                      <w:rFonts w:hint="eastAsia" w:cs="Times New Roman"/>
                      <w:bCs/>
                      <w:color w:val="auto"/>
                      <w:szCs w:val="21"/>
                      <w:lang w:val="en-US" w:eastAsia="zh-CN"/>
                    </w:rPr>
                    <w:t>储罐卸油</w:t>
                  </w:r>
                  <w:r>
                    <w:rPr>
                      <w:rFonts w:hint="default" w:ascii="Times New Roman" w:hAnsi="Times New Roman" w:cs="Times New Roman"/>
                      <w:bCs/>
                      <w:color w:val="auto"/>
                      <w:szCs w:val="21"/>
                    </w:rPr>
                    <w:t>、加油机</w:t>
                  </w:r>
                  <w:r>
                    <w:rPr>
                      <w:rFonts w:hint="eastAsia" w:cs="Times New Roman"/>
                      <w:bCs/>
                      <w:color w:val="auto"/>
                      <w:szCs w:val="21"/>
                      <w:lang w:val="en-US" w:eastAsia="zh-CN"/>
                    </w:rPr>
                    <w:t>加油</w:t>
                  </w:r>
                  <w:r>
                    <w:rPr>
                      <w:rFonts w:hint="default" w:ascii="Times New Roman" w:hAnsi="Times New Roman" w:cs="Times New Roman"/>
                      <w:bCs/>
                      <w:color w:val="auto"/>
                      <w:szCs w:val="21"/>
                    </w:rPr>
                    <w:t>挥发</w:t>
                  </w:r>
                  <w:r>
                    <w:rPr>
                      <w:rFonts w:hint="eastAsia" w:cs="Times New Roman"/>
                      <w:bCs/>
                      <w:color w:val="auto"/>
                      <w:szCs w:val="21"/>
                      <w:lang w:val="en-US" w:eastAsia="zh-CN"/>
                    </w:rPr>
                    <w:t>油气</w:t>
                  </w:r>
                </w:p>
              </w:tc>
              <w:tc>
                <w:tcPr>
                  <w:tcW w:w="1682"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非甲烷总烃</w:t>
                  </w:r>
                </w:p>
              </w:tc>
              <w:tc>
                <w:tcPr>
                  <w:tcW w:w="2623"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加油油气回收系统</w:t>
                  </w:r>
                  <w:r>
                    <w:rPr>
                      <w:rFonts w:hint="eastAsia" w:cs="Times New Roman"/>
                      <w:bCs/>
                      <w:color w:val="auto"/>
                      <w:szCs w:val="21"/>
                      <w:lang w:val="en-US" w:eastAsia="zh-CN"/>
                    </w:rPr>
                    <w:t>+卸油油气</w:t>
                  </w:r>
                  <w:r>
                    <w:rPr>
                      <w:rFonts w:hint="default" w:ascii="Times New Roman" w:hAnsi="Times New Roman" w:cs="Times New Roman"/>
                      <w:bCs/>
                      <w:color w:val="auto"/>
                      <w:szCs w:val="21"/>
                    </w:rPr>
                    <w:t>回收系统</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78" w:type="dxa"/>
                  <w:vMerge w:val="restart"/>
                  <w:noWrap w:val="0"/>
                  <w:vAlign w:val="center"/>
                </w:tcPr>
                <w:p>
                  <w:pPr>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 废水</w:t>
                  </w:r>
                </w:p>
              </w:tc>
              <w:tc>
                <w:tcPr>
                  <w:tcW w:w="1831"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生活污水</w:t>
                  </w:r>
                </w:p>
              </w:tc>
              <w:tc>
                <w:tcPr>
                  <w:tcW w:w="1682" w:type="dxa"/>
                  <w:noWrap w:val="0"/>
                  <w:vAlign w:val="center"/>
                </w:tcPr>
                <w:p>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COD、NH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-N、SS</w:t>
                  </w:r>
                  <w:r>
                    <w:rPr>
                      <w:rFonts w:hint="eastAsia" w:cs="Times New Roman"/>
                      <w:bCs/>
                      <w:color w:val="auto"/>
                      <w:szCs w:val="21"/>
                      <w:lang w:eastAsia="zh-CN"/>
                    </w:rPr>
                    <w:t>、</w:t>
                  </w:r>
                  <w:r>
                    <w:rPr>
                      <w:rFonts w:hint="eastAsia" w:cs="Times New Roman"/>
                      <w:bCs/>
                      <w:color w:val="auto"/>
                      <w:szCs w:val="21"/>
                      <w:lang w:val="en-US" w:eastAsia="zh-CN"/>
                    </w:rPr>
                    <w:t>TP</w:t>
                  </w:r>
                </w:p>
              </w:tc>
              <w:tc>
                <w:tcPr>
                  <w:tcW w:w="2623"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化粪池处理后定期清运</w:t>
                  </w:r>
                </w:p>
              </w:tc>
              <w:tc>
                <w:tcPr>
                  <w:tcW w:w="159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78" w:type="dxa"/>
                  <w:vMerge w:val="continue"/>
                  <w:noWrap w:val="0"/>
                  <w:vAlign w:val="center"/>
                </w:tcPr>
                <w:p>
                  <w:pPr>
                    <w:rPr>
                      <w:rFonts w:hint="default" w:ascii="Times New Roman" w:hAnsi="Times New Roman" w:cs="Times New Roman"/>
                      <w:bCs/>
                      <w:color w:val="auto"/>
                      <w:szCs w:val="21"/>
                    </w:rPr>
                  </w:pPr>
                </w:p>
              </w:tc>
              <w:tc>
                <w:tcPr>
                  <w:tcW w:w="1831"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洗车废水</w:t>
                  </w:r>
                </w:p>
              </w:tc>
              <w:tc>
                <w:tcPr>
                  <w:tcW w:w="1682" w:type="dxa"/>
                  <w:noWrap w:val="0"/>
                  <w:vAlign w:val="center"/>
                </w:tcPr>
                <w:p>
                  <w:pPr>
                    <w:jc w:val="center"/>
                    <w:rPr>
                      <w:rFonts w:hint="default" w:ascii="Times New Roman" w:hAnsi="Times New Roman" w:cs="Times New Roman"/>
                      <w:bCs/>
                      <w:color w:val="auto"/>
                      <w:szCs w:val="21"/>
                      <w:lang w:val="en-US"/>
                    </w:rPr>
                  </w:pPr>
                  <w:r>
                    <w:rPr>
                      <w:rFonts w:hint="eastAsia"/>
                      <w:color w:val="000000"/>
                      <w:spacing w:val="-4"/>
                      <w:sz w:val="21"/>
                      <w:szCs w:val="21"/>
                    </w:rPr>
                    <w:t>COD、</w:t>
                  </w: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r>
                    <w:rPr>
                      <w:rFonts w:hint="eastAsia"/>
                      <w:color w:val="000000"/>
                      <w:spacing w:val="-4"/>
                      <w:sz w:val="21"/>
                      <w:szCs w:val="21"/>
                    </w:rPr>
                    <w:t>SS、</w:t>
                  </w:r>
                  <w:r>
                    <w:rPr>
                      <w:rFonts w:hint="eastAsia" w:cs="Times New Roman"/>
                      <w:bCs/>
                      <w:color w:val="auto"/>
                      <w:szCs w:val="21"/>
                      <w:lang w:val="en-US" w:eastAsia="zh-CN"/>
                    </w:rPr>
                    <w:t>TP、石油类</w:t>
                  </w:r>
                </w:p>
              </w:tc>
              <w:tc>
                <w:tcPr>
                  <w:tcW w:w="2623"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经隔油沉淀池处理后循环使用</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78"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1831"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加油机、车辆</w:t>
                  </w:r>
                </w:p>
              </w:tc>
              <w:tc>
                <w:tcPr>
                  <w:tcW w:w="1682"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2623" w:type="dxa"/>
                  <w:noWrap w:val="0"/>
                  <w:vAlign w:val="center"/>
                </w:tcPr>
                <w:p>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站内设备采用基础减震，</w:t>
                  </w:r>
                  <w:r>
                    <w:rPr>
                      <w:rFonts w:hint="eastAsia" w:cs="Times New Roman"/>
                      <w:bCs/>
                      <w:color w:val="auto"/>
                      <w:szCs w:val="21"/>
                      <w:lang w:val="en-US" w:eastAsia="zh-CN"/>
                    </w:rPr>
                    <w:t>距离衰减、加强管理</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8" w:type="dxa"/>
                  <w:vMerge w:val="restart"/>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固废</w:t>
                  </w:r>
                </w:p>
              </w:tc>
              <w:tc>
                <w:tcPr>
                  <w:tcW w:w="1831"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办公生活</w:t>
                  </w:r>
                </w:p>
              </w:tc>
              <w:tc>
                <w:tcPr>
                  <w:tcW w:w="1682"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生活垃圾</w:t>
                  </w:r>
                </w:p>
              </w:tc>
              <w:tc>
                <w:tcPr>
                  <w:tcW w:w="2623" w:type="dxa"/>
                  <w:noWrap w:val="0"/>
                  <w:vAlign w:val="center"/>
                </w:tcPr>
                <w:p>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集中收集后</w:t>
                  </w:r>
                  <w:r>
                    <w:rPr>
                      <w:rFonts w:hint="eastAsia" w:cs="Times New Roman"/>
                      <w:bCs/>
                      <w:color w:val="auto"/>
                      <w:szCs w:val="21"/>
                      <w:lang w:val="en-US" w:eastAsia="zh-CN"/>
                    </w:rPr>
                    <w:t>交由环卫部门处置</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vMerge w:val="continue"/>
                  <w:noWrap w:val="0"/>
                  <w:vAlign w:val="center"/>
                </w:tcPr>
                <w:p>
                  <w:pPr>
                    <w:jc w:val="center"/>
                    <w:rPr>
                      <w:rFonts w:hint="default" w:ascii="Times New Roman" w:hAnsi="Times New Roman" w:cs="Times New Roman"/>
                      <w:bCs/>
                      <w:color w:val="auto"/>
                      <w:szCs w:val="21"/>
                    </w:rPr>
                  </w:pPr>
                </w:p>
              </w:tc>
              <w:tc>
                <w:tcPr>
                  <w:tcW w:w="1831"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储油罐</w:t>
                  </w:r>
                </w:p>
              </w:tc>
              <w:tc>
                <w:tcPr>
                  <w:tcW w:w="1682" w:type="dxa"/>
                  <w:noWrap w:val="0"/>
                  <w:vAlign w:val="center"/>
                </w:tcPr>
                <w:p>
                  <w:pPr>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rPr>
                    <w:t>罐底油泥</w:t>
                  </w:r>
                  <w:r>
                    <w:rPr>
                      <w:rFonts w:hint="eastAsia" w:cs="Times New Roman"/>
                      <w:bCs/>
                      <w:color w:val="auto"/>
                      <w:szCs w:val="21"/>
                      <w:lang w:eastAsia="zh-CN"/>
                    </w:rPr>
                    <w:t>、</w:t>
                  </w:r>
                  <w:r>
                    <w:rPr>
                      <w:rFonts w:hint="eastAsia" w:cs="Times New Roman"/>
                      <w:bCs/>
                      <w:color w:val="auto"/>
                      <w:szCs w:val="21"/>
                      <w:lang w:val="en-US" w:eastAsia="zh-CN"/>
                    </w:rPr>
                    <w:t>清罐废水</w:t>
                  </w:r>
                </w:p>
              </w:tc>
              <w:tc>
                <w:tcPr>
                  <w:tcW w:w="2623" w:type="dxa"/>
                  <w:noWrap w:val="0"/>
                  <w:vAlign w:val="center"/>
                </w:tcPr>
                <w:p>
                  <w:pPr>
                    <w:jc w:val="center"/>
                    <w:rPr>
                      <w:rFonts w:hint="default" w:ascii="Times New Roman" w:hAnsi="Times New Roman" w:cs="Times New Roman"/>
                      <w:bCs/>
                      <w:color w:val="auto"/>
                      <w:szCs w:val="21"/>
                    </w:rPr>
                  </w:pPr>
                  <w:r>
                    <w:rPr>
                      <w:rFonts w:hint="eastAsia" w:cs="Times New Roman"/>
                      <w:bCs/>
                      <w:color w:val="auto"/>
                      <w:szCs w:val="21"/>
                      <w:lang w:val="en-US" w:eastAsia="zh-CN"/>
                    </w:rPr>
                    <w:t>暂存于危废暂存间，及时</w:t>
                  </w:r>
                  <w:r>
                    <w:rPr>
                      <w:rFonts w:hint="default" w:ascii="Times New Roman" w:hAnsi="Times New Roman" w:cs="Times New Roman"/>
                      <w:bCs/>
                      <w:color w:val="auto"/>
                      <w:szCs w:val="21"/>
                    </w:rPr>
                    <w:t>委托有危废处理资质的单位</w:t>
                  </w:r>
                  <w:r>
                    <w:rPr>
                      <w:rFonts w:hint="eastAsia" w:cs="Times New Roman"/>
                      <w:bCs/>
                      <w:color w:val="auto"/>
                      <w:szCs w:val="21"/>
                      <w:lang w:val="en-US" w:eastAsia="zh-CN"/>
                    </w:rPr>
                    <w:t>清运</w:t>
                  </w:r>
                  <w:r>
                    <w:rPr>
                      <w:rFonts w:hint="default" w:ascii="Times New Roman" w:hAnsi="Times New Roman" w:cs="Times New Roman"/>
                      <w:bCs/>
                      <w:color w:val="auto"/>
                      <w:szCs w:val="21"/>
                    </w:rPr>
                    <w:t>处理</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09" w:type="dxa"/>
                  <w:gridSpan w:val="2"/>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风险管理</w:t>
                  </w:r>
                </w:p>
              </w:tc>
              <w:tc>
                <w:tcPr>
                  <w:tcW w:w="4305" w:type="dxa"/>
                  <w:gridSpan w:val="2"/>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val="0"/>
                      <w:bCs/>
                      <w:color w:val="auto"/>
                      <w:szCs w:val="21"/>
                    </w:rPr>
                    <w:t>输油管线外表面防渗防腐处理；营业区地面硬化；</w:t>
                  </w:r>
                  <w:r>
                    <w:rPr>
                      <w:rFonts w:hint="eastAsia"/>
                      <w:b w:val="0"/>
                      <w:bCs/>
                      <w:color w:val="000000"/>
                      <w:sz w:val="21"/>
                      <w:szCs w:val="21"/>
                      <w:lang w:eastAsia="zh-CN"/>
                    </w:rPr>
                    <w:t>液位监控仪、泄露报警仪、</w:t>
                  </w:r>
                  <w:r>
                    <w:rPr>
                      <w:b w:val="0"/>
                      <w:bCs/>
                      <w:color w:val="000000"/>
                      <w:sz w:val="21"/>
                      <w:szCs w:val="21"/>
                    </w:rPr>
                    <w:t>干粉灭火器、消防沙</w:t>
                  </w:r>
                  <w:r>
                    <w:rPr>
                      <w:rFonts w:hint="eastAsia"/>
                      <w:b w:val="0"/>
                      <w:bCs/>
                      <w:color w:val="000000"/>
                      <w:sz w:val="21"/>
                      <w:szCs w:val="21"/>
                      <w:lang w:val="en-US" w:eastAsia="zh-CN"/>
                    </w:rPr>
                    <w:t>箱</w:t>
                  </w:r>
                  <w:r>
                    <w:rPr>
                      <w:b w:val="0"/>
                      <w:bCs/>
                      <w:color w:val="000000"/>
                      <w:sz w:val="21"/>
                      <w:szCs w:val="21"/>
                    </w:rPr>
                    <w:t>等消防器材</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14" w:type="dxa"/>
                  <w:gridSpan w:val="4"/>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合计</w:t>
                  </w:r>
                </w:p>
              </w:tc>
              <w:tc>
                <w:tcPr>
                  <w:tcW w:w="1590"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10.05</w:t>
                  </w:r>
                </w:p>
              </w:tc>
            </w:tr>
          </w:tbl>
          <w:p>
            <w:pPr>
              <w:keepNext w:val="0"/>
              <w:keepLines w:val="0"/>
              <w:pageBreakBefore w:val="0"/>
              <w:widowControl w:val="0"/>
              <w:kinsoku/>
              <w:wordWrap/>
              <w:overflowPunct/>
              <w:topLinePunct w:val="0"/>
              <w:autoSpaceDE/>
              <w:autoSpaceDN/>
              <w:bidi w:val="0"/>
              <w:spacing w:line="520" w:lineRule="exact"/>
              <w:ind w:firstLine="482" w:firstLineChars="200"/>
              <w:textAlignment w:val="auto"/>
              <w:rPr>
                <w:b/>
                <w:snapToGrid w:val="0"/>
                <w:color w:val="auto"/>
                <w:sz w:val="24"/>
                <w:highlight w:val="none"/>
              </w:rPr>
            </w:pPr>
            <w:r>
              <w:rPr>
                <w:rFonts w:hint="eastAsia"/>
                <w:b/>
                <w:snapToGrid w:val="0"/>
                <w:color w:val="auto"/>
                <w:sz w:val="24"/>
                <w:highlight w:val="none"/>
                <w:lang w:val="en-US" w:eastAsia="zh-CN"/>
              </w:rPr>
              <w:t>10、</w:t>
            </w:r>
            <w:r>
              <w:rPr>
                <w:b/>
                <w:snapToGrid w:val="0"/>
                <w:color w:val="auto"/>
                <w:sz w:val="24"/>
                <w:highlight w:val="none"/>
              </w:rPr>
              <w:t>环保验收</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color w:val="auto"/>
                <w:sz w:val="24"/>
                <w:highlight w:val="none"/>
              </w:rPr>
            </w:pPr>
            <w:r>
              <w:rPr>
                <w:color w:val="auto"/>
                <w:sz w:val="24"/>
                <w:highlight w:val="none"/>
              </w:rPr>
              <w:t>本项目环保验收内容见表</w:t>
            </w:r>
            <w:r>
              <w:rPr>
                <w:rFonts w:hint="eastAsia"/>
                <w:color w:val="auto"/>
                <w:sz w:val="24"/>
                <w:highlight w:val="none"/>
                <w:lang w:val="en-US" w:eastAsia="zh-CN"/>
              </w:rPr>
              <w:t>54</w:t>
            </w:r>
            <w:r>
              <w:rPr>
                <w:rFonts w:hint="eastAsia"/>
                <w:color w:val="auto"/>
                <w:sz w:val="24"/>
                <w:highlight w:val="none"/>
              </w:rPr>
              <w:t>。</w:t>
            </w:r>
          </w:p>
          <w:p>
            <w:pPr>
              <w:pStyle w:val="9"/>
              <w:keepNext w:val="0"/>
              <w:keepLines w:val="0"/>
              <w:pageBreakBefore w:val="0"/>
              <w:widowControl w:val="0"/>
              <w:kinsoku/>
              <w:wordWrap/>
              <w:overflowPunct/>
              <w:topLinePunct w:val="0"/>
              <w:autoSpaceDE/>
              <w:autoSpaceDN/>
              <w:bidi w:val="0"/>
              <w:adjustRightInd/>
              <w:snapToGrid/>
              <w:spacing w:after="0" w:afterLines="0" w:line="520" w:lineRule="exact"/>
              <w:ind w:left="0" w:leftChars="0"/>
              <w:jc w:val="center"/>
              <w:textAlignment w:val="auto"/>
              <w:rPr>
                <w:rFonts w:hint="default" w:ascii="Times New Roman" w:hAnsi="Times New Roman" w:eastAsia="宋体" w:cs="Times New Roman"/>
                <w:b/>
                <w:color w:val="auto"/>
                <w:kern w:val="2"/>
                <w:sz w:val="24"/>
                <w:szCs w:val="24"/>
                <w:highlight w:val="none"/>
                <w:lang w:val="zh-CN" w:eastAsia="zh-CN" w:bidi="ar-SA"/>
              </w:rPr>
            </w:pPr>
            <w:r>
              <w:rPr>
                <w:rFonts w:hint="default" w:ascii="Times New Roman" w:hAnsi="Times New Roman" w:eastAsia="宋体" w:cs="Times New Roman"/>
                <w:b/>
                <w:color w:val="auto"/>
                <w:kern w:val="2"/>
                <w:sz w:val="24"/>
                <w:szCs w:val="24"/>
                <w:highlight w:val="none"/>
                <w:lang w:val="zh-CN" w:eastAsia="zh-CN" w:bidi="ar-SA"/>
              </w:rPr>
              <w:t>表</w:t>
            </w:r>
            <w:r>
              <w:rPr>
                <w:rFonts w:hint="eastAsia" w:cs="Times New Roman"/>
                <w:b/>
                <w:color w:val="auto"/>
                <w:kern w:val="2"/>
                <w:sz w:val="24"/>
                <w:szCs w:val="24"/>
                <w:highlight w:val="none"/>
                <w:lang w:val="en-US" w:eastAsia="zh-CN" w:bidi="ar-SA"/>
              </w:rPr>
              <w:t xml:space="preserve">54  </w:t>
            </w:r>
            <w:r>
              <w:rPr>
                <w:rFonts w:hint="eastAsia" w:ascii="Times New Roman" w:hAnsi="Times New Roman" w:eastAsia="宋体" w:cs="Times New Roman"/>
                <w:b/>
                <w:color w:val="auto"/>
                <w:kern w:val="2"/>
                <w:sz w:val="24"/>
                <w:szCs w:val="24"/>
                <w:highlight w:val="none"/>
                <w:lang w:val="zh-CN" w:eastAsia="zh-CN" w:bidi="ar-SA"/>
              </w:rPr>
              <w:t xml:space="preserve"> </w:t>
            </w:r>
            <w:r>
              <w:rPr>
                <w:rFonts w:hint="eastAsia" w:ascii="Times New Roman" w:hAnsi="Times New Roman" w:eastAsia="宋体" w:cs="Times New Roman"/>
                <w:b/>
                <w:color w:val="auto"/>
                <w:kern w:val="2"/>
                <w:sz w:val="24"/>
                <w:szCs w:val="24"/>
                <w:highlight w:val="none"/>
                <w:lang w:val="en-US" w:eastAsia="zh-CN" w:bidi="ar-SA"/>
              </w:rPr>
              <w:t xml:space="preserve"> </w:t>
            </w:r>
            <w:r>
              <w:rPr>
                <w:rFonts w:hint="default" w:ascii="Times New Roman" w:hAnsi="Times New Roman" w:eastAsia="宋体" w:cs="Times New Roman"/>
                <w:b/>
                <w:color w:val="auto"/>
                <w:kern w:val="2"/>
                <w:sz w:val="24"/>
                <w:szCs w:val="24"/>
                <w:highlight w:val="none"/>
                <w:lang w:val="zh-CN" w:eastAsia="zh-CN" w:bidi="ar-SA"/>
              </w:rPr>
              <w:t>环保验收一览表</w:t>
            </w:r>
          </w:p>
          <w:tbl>
            <w:tblPr>
              <w:tblStyle w:val="2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834"/>
              <w:gridCol w:w="1680"/>
              <w:gridCol w:w="2229"/>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76"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项目</w:t>
                  </w:r>
                </w:p>
              </w:tc>
              <w:tc>
                <w:tcPr>
                  <w:tcW w:w="1834"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污染源</w:t>
                  </w:r>
                </w:p>
              </w:tc>
              <w:tc>
                <w:tcPr>
                  <w:tcW w:w="1680"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污染物名称</w:t>
                  </w:r>
                </w:p>
              </w:tc>
              <w:tc>
                <w:tcPr>
                  <w:tcW w:w="2229"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治理措施</w:t>
                  </w:r>
                </w:p>
              </w:tc>
              <w:tc>
                <w:tcPr>
                  <w:tcW w:w="1985" w:type="dxa"/>
                  <w:noWrap w:val="0"/>
                  <w:vAlign w:val="center"/>
                </w:tcPr>
                <w:p>
                  <w:pPr>
                    <w:jc w:val="center"/>
                    <w:rPr>
                      <w:rFonts w:hint="default" w:ascii="Times New Roman" w:hAnsi="Times New Roman" w:cs="Times New Roman"/>
                      <w:b/>
                      <w:bCs w:val="0"/>
                      <w:color w:val="auto"/>
                      <w:szCs w:val="21"/>
                    </w:rPr>
                  </w:pPr>
                  <w:r>
                    <w:rPr>
                      <w:rFonts w:hint="default" w:ascii="Times New Roman" w:hAnsi="Times New Roman" w:cs="Times New Roman"/>
                      <w:b/>
                      <w:bCs w:val="0"/>
                      <w:color w:val="auto"/>
                      <w:szCs w:val="21"/>
                    </w:rPr>
                    <w:t>验收内容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废气</w:t>
                  </w:r>
                </w:p>
              </w:tc>
              <w:tc>
                <w:tcPr>
                  <w:tcW w:w="1834" w:type="dxa"/>
                  <w:noWrap w:val="0"/>
                  <w:vAlign w:val="center"/>
                </w:tcPr>
                <w:p>
                  <w:pPr>
                    <w:jc w:val="center"/>
                    <w:rPr>
                      <w:rFonts w:hint="default" w:ascii="Times New Roman" w:hAnsi="Times New Roman" w:cs="Times New Roman"/>
                      <w:bCs/>
                      <w:color w:val="auto"/>
                      <w:szCs w:val="21"/>
                    </w:rPr>
                  </w:pPr>
                  <w:r>
                    <w:rPr>
                      <w:rFonts w:hint="eastAsia" w:cs="Times New Roman"/>
                      <w:bCs/>
                      <w:color w:val="auto"/>
                      <w:szCs w:val="21"/>
                      <w:lang w:val="en-US" w:eastAsia="zh-CN"/>
                    </w:rPr>
                    <w:t>储罐卸油</w:t>
                  </w:r>
                  <w:r>
                    <w:rPr>
                      <w:rFonts w:hint="default" w:ascii="Times New Roman" w:hAnsi="Times New Roman" w:cs="Times New Roman"/>
                      <w:bCs/>
                      <w:color w:val="auto"/>
                      <w:szCs w:val="21"/>
                    </w:rPr>
                    <w:t>、加油机</w:t>
                  </w:r>
                  <w:r>
                    <w:rPr>
                      <w:rFonts w:hint="eastAsia" w:cs="Times New Roman"/>
                      <w:bCs/>
                      <w:color w:val="auto"/>
                      <w:szCs w:val="21"/>
                      <w:lang w:val="en-US" w:eastAsia="zh-CN"/>
                    </w:rPr>
                    <w:t>加油</w:t>
                  </w:r>
                  <w:r>
                    <w:rPr>
                      <w:rFonts w:hint="default" w:ascii="Times New Roman" w:hAnsi="Times New Roman" w:cs="Times New Roman"/>
                      <w:bCs/>
                      <w:color w:val="auto"/>
                      <w:szCs w:val="21"/>
                    </w:rPr>
                    <w:t>挥发</w:t>
                  </w:r>
                  <w:r>
                    <w:rPr>
                      <w:rFonts w:hint="eastAsia" w:cs="Times New Roman"/>
                      <w:bCs/>
                      <w:color w:val="auto"/>
                      <w:szCs w:val="21"/>
                      <w:lang w:val="en-US" w:eastAsia="zh-CN"/>
                    </w:rPr>
                    <w:t>油气</w:t>
                  </w:r>
                </w:p>
              </w:tc>
              <w:tc>
                <w:tcPr>
                  <w:tcW w:w="16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非甲烷总烃</w:t>
                  </w:r>
                </w:p>
              </w:tc>
              <w:tc>
                <w:tcPr>
                  <w:tcW w:w="2229"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加油油气回收系统</w:t>
                  </w:r>
                  <w:r>
                    <w:rPr>
                      <w:rFonts w:hint="eastAsia" w:cs="Times New Roman"/>
                      <w:bCs/>
                      <w:color w:val="auto"/>
                      <w:szCs w:val="21"/>
                      <w:lang w:val="en-US" w:eastAsia="zh-CN"/>
                    </w:rPr>
                    <w:t>+卸油油气</w:t>
                  </w:r>
                  <w:r>
                    <w:rPr>
                      <w:rFonts w:hint="default" w:ascii="Times New Roman" w:hAnsi="Times New Roman" w:cs="Times New Roman"/>
                      <w:bCs/>
                      <w:color w:val="auto"/>
                      <w:szCs w:val="21"/>
                    </w:rPr>
                    <w:t>回收系统</w:t>
                  </w:r>
                </w:p>
              </w:tc>
              <w:tc>
                <w:tcPr>
                  <w:tcW w:w="1985" w:type="dxa"/>
                  <w:noWrap w:val="0"/>
                  <w:vAlign w:val="center"/>
                </w:tcPr>
                <w:p>
                  <w:pPr>
                    <w:jc w:val="center"/>
                    <w:rPr>
                      <w:rFonts w:hint="default" w:ascii="Times New Roman" w:hAnsi="Times New Roman" w:cs="Times New Roman"/>
                      <w:bCs/>
                      <w:color w:val="auto"/>
                      <w:szCs w:val="21"/>
                    </w:rPr>
                  </w:pPr>
                  <w:r>
                    <w:rPr>
                      <w:rFonts w:hint="eastAsia" w:ascii="Times New Roman" w:hAnsi="Times New Roman" w:cs="Times New Roman"/>
                      <w:bCs/>
                      <w:color w:val="auto"/>
                      <w:szCs w:val="21"/>
                      <w:lang w:val="en-US" w:eastAsia="zh-CN"/>
                    </w:rPr>
                    <w:t>2套</w:t>
                  </w:r>
                  <w:r>
                    <w:rPr>
                      <w:rFonts w:hint="default" w:ascii="Times New Roman" w:hAnsi="Times New Roman" w:cs="Times New Roman"/>
                      <w:bCs/>
                      <w:color w:val="auto"/>
                      <w:szCs w:val="21"/>
                    </w:rPr>
                    <w:t>加油油气回收系统</w:t>
                  </w:r>
                  <w:r>
                    <w:rPr>
                      <w:rFonts w:hint="eastAsia" w:cs="Times New Roman"/>
                      <w:bCs/>
                      <w:color w:val="auto"/>
                      <w:szCs w:val="21"/>
                      <w:lang w:val="en-US" w:eastAsia="zh-CN"/>
                    </w:rPr>
                    <w:t>+1套卸油油气</w:t>
                  </w:r>
                  <w:r>
                    <w:rPr>
                      <w:rFonts w:hint="default" w:ascii="Times New Roman" w:hAnsi="Times New Roman" w:cs="Times New Roman"/>
                      <w:bCs/>
                      <w:color w:val="auto"/>
                      <w:szCs w:val="21"/>
                    </w:rPr>
                    <w:t>回收系统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vMerge w:val="restart"/>
                  <w:noWrap w:val="0"/>
                  <w:vAlign w:val="center"/>
                </w:tcPr>
                <w:p>
                  <w:pPr>
                    <w:rPr>
                      <w:rFonts w:hint="default" w:ascii="Times New Roman" w:hAnsi="Times New Roman" w:cs="Times New Roman"/>
                      <w:bCs/>
                      <w:color w:val="auto"/>
                      <w:szCs w:val="21"/>
                    </w:rPr>
                  </w:pPr>
                  <w:r>
                    <w:rPr>
                      <w:rFonts w:hint="default" w:ascii="Times New Roman" w:hAnsi="Times New Roman" w:cs="Times New Roman"/>
                      <w:bCs/>
                      <w:color w:val="auto"/>
                      <w:szCs w:val="21"/>
                    </w:rPr>
                    <w:t xml:space="preserve"> 废水</w:t>
                  </w:r>
                </w:p>
              </w:tc>
              <w:tc>
                <w:tcPr>
                  <w:tcW w:w="1834"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生活污水</w:t>
                  </w:r>
                </w:p>
              </w:tc>
              <w:tc>
                <w:tcPr>
                  <w:tcW w:w="16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COD、NH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-N、SS</w:t>
                  </w:r>
                  <w:r>
                    <w:rPr>
                      <w:rFonts w:hint="eastAsia" w:cs="Times New Roman"/>
                      <w:bCs/>
                      <w:color w:val="auto"/>
                      <w:szCs w:val="21"/>
                      <w:lang w:eastAsia="zh-CN"/>
                    </w:rPr>
                    <w:t>、</w:t>
                  </w:r>
                  <w:r>
                    <w:rPr>
                      <w:rFonts w:hint="eastAsia" w:cs="Times New Roman"/>
                      <w:bCs/>
                      <w:color w:val="auto"/>
                      <w:szCs w:val="21"/>
                      <w:lang w:val="en-US" w:eastAsia="zh-CN"/>
                    </w:rPr>
                    <w:t>TP</w:t>
                  </w:r>
                </w:p>
              </w:tc>
              <w:tc>
                <w:tcPr>
                  <w:tcW w:w="2229"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化粪池处理后定期清运</w:t>
                  </w:r>
                </w:p>
              </w:tc>
              <w:tc>
                <w:tcPr>
                  <w:tcW w:w="1985"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1座</w:t>
                  </w:r>
                  <w:r>
                    <w:rPr>
                      <w:rFonts w:hint="eastAsia" w:cs="Times New Roman"/>
                      <w:bCs/>
                      <w:color w:val="auto"/>
                      <w:szCs w:val="21"/>
                      <w:lang w:val="en-US" w:eastAsia="zh-CN"/>
                    </w:rPr>
                    <w:t>4</w:t>
                  </w:r>
                  <w:r>
                    <w:rPr>
                      <w:rFonts w:hint="default" w:ascii="Times New Roman" w:hAnsi="Times New Roman" w:cs="Times New Roman"/>
                      <w:bCs/>
                      <w:color w:val="auto"/>
                      <w:szCs w:val="21"/>
                    </w:rPr>
                    <w:t>m</w:t>
                  </w:r>
                  <w:r>
                    <w:rPr>
                      <w:rFonts w:hint="default" w:ascii="Times New Roman" w:hAnsi="Times New Roman" w:cs="Times New Roman"/>
                      <w:bCs/>
                      <w:color w:val="auto"/>
                      <w:szCs w:val="21"/>
                      <w:vertAlign w:val="superscript"/>
                    </w:rPr>
                    <w:t>3</w:t>
                  </w:r>
                  <w:r>
                    <w:rPr>
                      <w:rFonts w:hint="default" w:ascii="Times New Roman" w:hAnsi="Times New Roman" w:cs="Times New Roman"/>
                      <w:bCs/>
                      <w:color w:val="auto"/>
                      <w:szCs w:val="21"/>
                    </w:rPr>
                    <w:t>的化粪池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76" w:type="dxa"/>
                  <w:vMerge w:val="continue"/>
                  <w:noWrap w:val="0"/>
                  <w:vAlign w:val="center"/>
                </w:tcPr>
                <w:p>
                  <w:pPr>
                    <w:rPr>
                      <w:rFonts w:hint="default" w:ascii="Times New Roman" w:hAnsi="Times New Roman" w:cs="Times New Roman"/>
                      <w:bCs/>
                      <w:color w:val="auto"/>
                      <w:szCs w:val="21"/>
                    </w:rPr>
                  </w:pPr>
                </w:p>
              </w:tc>
              <w:tc>
                <w:tcPr>
                  <w:tcW w:w="1834" w:type="dxa"/>
                  <w:noWrap w:val="0"/>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洗车废水</w:t>
                  </w:r>
                </w:p>
              </w:tc>
              <w:tc>
                <w:tcPr>
                  <w:tcW w:w="1680" w:type="dxa"/>
                  <w:noWrap w:val="0"/>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eastAsia"/>
                      <w:color w:val="000000"/>
                      <w:spacing w:val="-4"/>
                      <w:sz w:val="21"/>
                      <w:szCs w:val="21"/>
                    </w:rPr>
                    <w:t>COD、</w:t>
                  </w:r>
                  <w:r>
                    <w:rPr>
                      <w:rFonts w:hint="default" w:ascii="Times New Roman" w:hAnsi="Times New Roman" w:cs="Times New Roman"/>
                      <w:bCs/>
                      <w:color w:val="auto"/>
                      <w:szCs w:val="21"/>
                    </w:rPr>
                    <w:t>NH</w:t>
                  </w:r>
                  <w:r>
                    <w:rPr>
                      <w:rFonts w:hint="default" w:ascii="Times New Roman" w:hAnsi="Times New Roman" w:cs="Times New Roman"/>
                      <w:bCs/>
                      <w:color w:val="auto"/>
                      <w:szCs w:val="21"/>
                      <w:vertAlign w:val="subscript"/>
                    </w:rPr>
                    <w:t>3</w:t>
                  </w:r>
                  <w:r>
                    <w:rPr>
                      <w:rFonts w:hint="default" w:ascii="Times New Roman" w:hAnsi="Times New Roman" w:cs="Times New Roman"/>
                      <w:bCs/>
                      <w:color w:val="auto"/>
                      <w:szCs w:val="21"/>
                    </w:rPr>
                    <w:t>-N、</w:t>
                  </w:r>
                  <w:r>
                    <w:rPr>
                      <w:rFonts w:hint="eastAsia"/>
                      <w:color w:val="000000"/>
                      <w:spacing w:val="-4"/>
                      <w:sz w:val="21"/>
                      <w:szCs w:val="21"/>
                    </w:rPr>
                    <w:t>SS、</w:t>
                  </w:r>
                  <w:r>
                    <w:rPr>
                      <w:rFonts w:hint="eastAsia" w:cs="Times New Roman"/>
                      <w:bCs/>
                      <w:color w:val="auto"/>
                      <w:szCs w:val="21"/>
                      <w:lang w:val="en-US" w:eastAsia="zh-CN"/>
                    </w:rPr>
                    <w:t>TP、石油类</w:t>
                  </w:r>
                </w:p>
              </w:tc>
              <w:tc>
                <w:tcPr>
                  <w:tcW w:w="2229" w:type="dxa"/>
                  <w:noWrap w:val="0"/>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Cs w:val="21"/>
                      <w:lang w:val="en-US" w:eastAsia="zh-CN"/>
                    </w:rPr>
                    <w:t>经隔油沉淀池处理后循环使用</w:t>
                  </w:r>
                </w:p>
              </w:tc>
              <w:tc>
                <w:tcPr>
                  <w:tcW w:w="1985"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隔油沉淀池1座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1834"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加油机、车辆</w:t>
                  </w:r>
                </w:p>
              </w:tc>
              <w:tc>
                <w:tcPr>
                  <w:tcW w:w="16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2229" w:type="dxa"/>
                  <w:noWrap w:val="0"/>
                  <w:vAlign w:val="center"/>
                </w:tcPr>
                <w:p>
                  <w:pPr>
                    <w:jc w:val="center"/>
                    <w:rPr>
                      <w:rFonts w:hint="default" w:ascii="Times New Roman" w:hAnsi="Times New Roman" w:eastAsia="宋体" w:cs="Times New Roman"/>
                      <w:bCs/>
                      <w:color w:val="auto"/>
                      <w:szCs w:val="21"/>
                      <w:lang w:val="en-US" w:eastAsia="zh-CN"/>
                    </w:rPr>
                  </w:pPr>
                  <w:bookmarkStart w:id="2" w:name="OLE_LINK2"/>
                  <w:r>
                    <w:rPr>
                      <w:rFonts w:hint="default" w:ascii="Times New Roman" w:hAnsi="Times New Roman" w:cs="Times New Roman"/>
                      <w:bCs/>
                      <w:color w:val="auto"/>
                      <w:szCs w:val="21"/>
                    </w:rPr>
                    <w:t>站内设备采用基础减震，</w:t>
                  </w:r>
                  <w:bookmarkEnd w:id="2"/>
                  <w:r>
                    <w:rPr>
                      <w:rFonts w:hint="eastAsia" w:cs="Times New Roman"/>
                      <w:bCs/>
                      <w:color w:val="auto"/>
                      <w:szCs w:val="21"/>
                      <w:lang w:val="en-US" w:eastAsia="zh-CN"/>
                    </w:rPr>
                    <w:t>距离衰减、加强管理</w:t>
                  </w:r>
                </w:p>
              </w:tc>
              <w:tc>
                <w:tcPr>
                  <w:tcW w:w="1985"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基础减震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6" w:type="dxa"/>
                  <w:vMerge w:val="restart"/>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固废</w:t>
                  </w:r>
                </w:p>
              </w:tc>
              <w:tc>
                <w:tcPr>
                  <w:tcW w:w="1834"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办公生活</w:t>
                  </w:r>
                </w:p>
              </w:tc>
              <w:tc>
                <w:tcPr>
                  <w:tcW w:w="16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生活垃圾</w:t>
                  </w:r>
                </w:p>
              </w:tc>
              <w:tc>
                <w:tcPr>
                  <w:tcW w:w="2229"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集中收集后</w:t>
                  </w:r>
                  <w:r>
                    <w:rPr>
                      <w:rFonts w:hint="eastAsia" w:cs="Times New Roman"/>
                      <w:bCs/>
                      <w:color w:val="auto"/>
                      <w:szCs w:val="21"/>
                      <w:lang w:val="en-US" w:eastAsia="zh-CN"/>
                    </w:rPr>
                    <w:t>交由环卫部门处置</w:t>
                  </w:r>
                </w:p>
              </w:tc>
              <w:tc>
                <w:tcPr>
                  <w:tcW w:w="1985"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垃圾桶若干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 w:type="dxa"/>
                  <w:vMerge w:val="continue"/>
                  <w:noWrap w:val="0"/>
                  <w:vAlign w:val="center"/>
                </w:tcPr>
                <w:p>
                  <w:pPr>
                    <w:jc w:val="center"/>
                    <w:rPr>
                      <w:rFonts w:hint="default" w:ascii="Times New Roman" w:hAnsi="Times New Roman" w:cs="Times New Roman"/>
                      <w:bCs/>
                      <w:color w:val="auto"/>
                      <w:szCs w:val="21"/>
                    </w:rPr>
                  </w:pPr>
                </w:p>
              </w:tc>
              <w:tc>
                <w:tcPr>
                  <w:tcW w:w="1834"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储油罐</w:t>
                  </w:r>
                </w:p>
              </w:tc>
              <w:tc>
                <w:tcPr>
                  <w:tcW w:w="16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罐底油泥</w:t>
                  </w:r>
                </w:p>
              </w:tc>
              <w:tc>
                <w:tcPr>
                  <w:tcW w:w="2229" w:type="dxa"/>
                  <w:noWrap w:val="0"/>
                  <w:vAlign w:val="center"/>
                </w:tcPr>
                <w:p>
                  <w:pPr>
                    <w:jc w:val="center"/>
                    <w:rPr>
                      <w:rFonts w:hint="default" w:ascii="Times New Roman" w:hAnsi="Times New Roman" w:cs="Times New Roman"/>
                      <w:bCs/>
                      <w:color w:val="auto"/>
                      <w:szCs w:val="21"/>
                    </w:rPr>
                  </w:pPr>
                  <w:r>
                    <w:rPr>
                      <w:rFonts w:hint="eastAsia" w:cs="Times New Roman"/>
                      <w:bCs/>
                      <w:color w:val="auto"/>
                      <w:szCs w:val="21"/>
                      <w:lang w:val="en-US" w:eastAsia="zh-CN"/>
                    </w:rPr>
                    <w:t>暂存于危废暂存间，及时</w:t>
                  </w:r>
                  <w:r>
                    <w:rPr>
                      <w:rFonts w:hint="default" w:ascii="Times New Roman" w:hAnsi="Times New Roman" w:cs="Times New Roman"/>
                      <w:bCs/>
                      <w:color w:val="auto"/>
                      <w:szCs w:val="21"/>
                    </w:rPr>
                    <w:t>委托有危废处理资质的单位</w:t>
                  </w:r>
                  <w:r>
                    <w:rPr>
                      <w:rFonts w:hint="eastAsia" w:cs="Times New Roman"/>
                      <w:bCs/>
                      <w:color w:val="auto"/>
                      <w:szCs w:val="21"/>
                      <w:lang w:val="en-US" w:eastAsia="zh-CN"/>
                    </w:rPr>
                    <w:t>清运</w:t>
                  </w:r>
                  <w:r>
                    <w:rPr>
                      <w:rFonts w:hint="default" w:ascii="Times New Roman" w:hAnsi="Times New Roman" w:cs="Times New Roman"/>
                      <w:bCs/>
                      <w:color w:val="auto"/>
                      <w:szCs w:val="21"/>
                    </w:rPr>
                    <w:t>处理</w:t>
                  </w:r>
                </w:p>
              </w:tc>
              <w:tc>
                <w:tcPr>
                  <w:tcW w:w="1985" w:type="dxa"/>
                  <w:noWrap w:val="0"/>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危废暂存间1座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610" w:type="dxa"/>
                  <w:gridSpan w:val="2"/>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风险管理</w:t>
                  </w:r>
                </w:p>
              </w:tc>
              <w:tc>
                <w:tcPr>
                  <w:tcW w:w="3909" w:type="dxa"/>
                  <w:gridSpan w:val="2"/>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val="0"/>
                      <w:bCs/>
                      <w:color w:val="auto"/>
                      <w:szCs w:val="21"/>
                    </w:rPr>
                    <w:t>输油管线外表面防渗防腐处理；营业区地面硬化；</w:t>
                  </w:r>
                  <w:r>
                    <w:rPr>
                      <w:rFonts w:hint="eastAsia"/>
                      <w:b w:val="0"/>
                      <w:bCs/>
                      <w:color w:val="000000"/>
                      <w:sz w:val="21"/>
                      <w:szCs w:val="21"/>
                      <w:lang w:eastAsia="zh-CN"/>
                    </w:rPr>
                    <w:t>液位监控仪、泄露报警仪、</w:t>
                  </w:r>
                  <w:r>
                    <w:rPr>
                      <w:b w:val="0"/>
                      <w:bCs/>
                      <w:color w:val="000000"/>
                      <w:sz w:val="21"/>
                      <w:szCs w:val="21"/>
                    </w:rPr>
                    <w:t>干粉灭火器、消防沙</w:t>
                  </w:r>
                  <w:r>
                    <w:rPr>
                      <w:rFonts w:hint="eastAsia"/>
                      <w:b w:val="0"/>
                      <w:bCs/>
                      <w:color w:val="000000"/>
                      <w:sz w:val="21"/>
                      <w:szCs w:val="21"/>
                      <w:lang w:val="en-US" w:eastAsia="zh-CN"/>
                    </w:rPr>
                    <w:t>箱</w:t>
                  </w:r>
                  <w:r>
                    <w:rPr>
                      <w:b w:val="0"/>
                      <w:bCs/>
                      <w:color w:val="000000"/>
                      <w:sz w:val="21"/>
                      <w:szCs w:val="21"/>
                    </w:rPr>
                    <w:t>等消防器材</w:t>
                  </w:r>
                </w:p>
              </w:tc>
              <w:tc>
                <w:tcPr>
                  <w:tcW w:w="1985"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 w:val="0"/>
                      <w:bCs/>
                      <w:color w:val="auto"/>
                      <w:szCs w:val="21"/>
                    </w:rPr>
                    <w:t>防渗防腐处理；营业区地面硬化；</w:t>
                  </w:r>
                  <w:r>
                    <w:rPr>
                      <w:rFonts w:hint="eastAsia"/>
                      <w:b w:val="0"/>
                      <w:bCs/>
                      <w:color w:val="000000"/>
                      <w:sz w:val="21"/>
                      <w:szCs w:val="21"/>
                      <w:lang w:eastAsia="zh-CN"/>
                    </w:rPr>
                    <w:t>液位监控仪、泄露报警仪、</w:t>
                  </w:r>
                  <w:r>
                    <w:rPr>
                      <w:b w:val="0"/>
                      <w:bCs/>
                      <w:color w:val="000000"/>
                      <w:sz w:val="21"/>
                      <w:szCs w:val="21"/>
                    </w:rPr>
                    <w:t>干粉灭火器、消防沙</w:t>
                  </w:r>
                  <w:r>
                    <w:rPr>
                      <w:rFonts w:hint="eastAsia"/>
                      <w:b w:val="0"/>
                      <w:bCs/>
                      <w:color w:val="000000"/>
                      <w:sz w:val="21"/>
                      <w:szCs w:val="21"/>
                      <w:lang w:val="en-US" w:eastAsia="zh-CN"/>
                    </w:rPr>
                    <w:t>箱</w:t>
                  </w:r>
                  <w:r>
                    <w:rPr>
                      <w:b w:val="0"/>
                      <w:bCs/>
                      <w:color w:val="000000"/>
                      <w:sz w:val="21"/>
                      <w:szCs w:val="21"/>
                    </w:rPr>
                    <w:t>等消防器材</w:t>
                  </w:r>
                </w:p>
              </w:tc>
            </w:tr>
          </w:tbl>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eastAsia"/>
                <w:color w:val="auto"/>
                <w:sz w:val="24"/>
                <w:lang w:val="en-US" w:eastAsia="zh-CN"/>
              </w:rPr>
            </w:pPr>
          </w:p>
          <w:p>
            <w:pPr>
              <w:spacing w:line="520" w:lineRule="exact"/>
              <w:rPr>
                <w:rFonts w:hint="default" w:eastAsia="宋体"/>
                <w:color w:val="auto"/>
                <w:sz w:val="24"/>
                <w:lang w:val="en-US" w:eastAsia="zh-CN"/>
              </w:rPr>
            </w:pPr>
            <w:r>
              <w:rPr>
                <w:rFonts w:hint="eastAsia"/>
                <w:color w:val="auto"/>
                <w:sz w:val="24"/>
                <w:lang w:val="en-US" w:eastAsia="zh-CN"/>
              </w:rPr>
              <w:t xml:space="preserve">   </w:t>
            </w:r>
          </w:p>
        </w:tc>
      </w:tr>
    </w:tbl>
    <w:p>
      <w:pPr>
        <w:rPr>
          <w:rFonts w:eastAsia="黑体"/>
          <w:b/>
          <w:color w:val="auto"/>
          <w:sz w:val="28"/>
          <w:szCs w:val="28"/>
        </w:rPr>
        <w:sectPr>
          <w:pgSz w:w="11906" w:h="16838"/>
          <w:pgMar w:top="1701" w:right="1588" w:bottom="1985" w:left="1588" w:header="851" w:footer="1134"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rPr>
          <w:rFonts w:eastAsia="黑体"/>
          <w:b/>
          <w:color w:val="auto"/>
          <w:sz w:val="30"/>
          <w:szCs w:val="30"/>
        </w:rPr>
      </w:pPr>
      <w:r>
        <w:rPr>
          <w:rFonts w:eastAsia="黑体"/>
          <w:b/>
          <w:color w:val="auto"/>
          <w:sz w:val="30"/>
          <w:szCs w:val="30"/>
        </w:rPr>
        <w:t>建设项目拟采取的防治措施及预期治理效果</w:t>
      </w:r>
    </w:p>
    <w:tbl>
      <w:tblPr>
        <w:tblStyle w:val="21"/>
        <w:tblW w:w="87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28" w:type="dxa"/>
          <w:bottom w:w="57" w:type="dxa"/>
          <w:right w:w="28" w:type="dxa"/>
        </w:tblCellMar>
      </w:tblPr>
      <w:tblGrid>
        <w:gridCol w:w="1061"/>
        <w:gridCol w:w="1200"/>
        <w:gridCol w:w="1695"/>
        <w:gridCol w:w="3060"/>
        <w:gridCol w:w="1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944" w:hRule="atLeast"/>
          <w:jc w:val="center"/>
        </w:trPr>
        <w:tc>
          <w:tcPr>
            <w:tcW w:w="1061" w:type="dxa"/>
            <w:tcBorders>
              <w:top w:val="single" w:color="auto" w:sz="12" w:space="0"/>
              <w:bottom w:val="single" w:color="auto" w:sz="4" w:space="0"/>
              <w:tl2br w:val="single" w:color="auto" w:sz="6" w:space="0"/>
            </w:tcBorders>
            <w:vAlign w:val="center"/>
          </w:tcPr>
          <w:p>
            <w:pPr>
              <w:adjustRightInd w:val="0"/>
              <w:snapToGrid w:val="0"/>
              <w:spacing w:line="360" w:lineRule="exact"/>
              <w:ind w:left="236" w:leftChars="57" w:right="105" w:hanging="116" w:hangingChars="48"/>
              <w:jc w:val="right"/>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内容</w:t>
            </w:r>
          </w:p>
          <w:p>
            <w:pPr>
              <w:adjustRightInd w:val="0"/>
              <w:snapToGrid w:val="0"/>
              <w:spacing w:line="360" w:lineRule="exact"/>
              <w:ind w:right="105" w:firstLine="118" w:firstLineChars="49"/>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类别</w:t>
            </w:r>
          </w:p>
        </w:tc>
        <w:tc>
          <w:tcPr>
            <w:tcW w:w="1200" w:type="dxa"/>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排放源</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（编号）</w:t>
            </w:r>
          </w:p>
        </w:tc>
        <w:tc>
          <w:tcPr>
            <w:tcW w:w="1695" w:type="dxa"/>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污染物</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名称</w:t>
            </w:r>
          </w:p>
        </w:tc>
        <w:tc>
          <w:tcPr>
            <w:tcW w:w="3060" w:type="dxa"/>
            <w:tcBorders>
              <w:right w:val="single" w:color="auto" w:sz="4" w:space="0"/>
            </w:tcBorders>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防治措施</w:t>
            </w:r>
          </w:p>
        </w:tc>
        <w:tc>
          <w:tcPr>
            <w:tcW w:w="1730" w:type="dxa"/>
            <w:tcBorders>
              <w:left w:val="single" w:color="auto" w:sz="4" w:space="0"/>
            </w:tcBorders>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1749" w:hRule="atLeast"/>
          <w:jc w:val="center"/>
        </w:trPr>
        <w:tc>
          <w:tcPr>
            <w:tcW w:w="1061" w:type="dxa"/>
            <w:tcBorders>
              <w:top w:val="single" w:color="auto" w:sz="4" w:space="0"/>
            </w:tcBorders>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大</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气</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污</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染</w:t>
            </w:r>
          </w:p>
          <w:p>
            <w:pPr>
              <w:adjustRightInd w:val="0"/>
              <w:snapToGrid w:val="0"/>
              <w:spacing w:line="34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物</w:t>
            </w:r>
          </w:p>
        </w:tc>
        <w:tc>
          <w:tcPr>
            <w:tcW w:w="1200" w:type="dxa"/>
            <w:vAlign w:val="center"/>
          </w:tcPr>
          <w:p>
            <w:pPr>
              <w:adjustRightInd w:val="0"/>
              <w:snapToGrid w:val="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Cs/>
                <w:color w:val="auto"/>
                <w:sz w:val="24"/>
                <w:szCs w:val="24"/>
                <w:lang w:val="en-US" w:eastAsia="zh-CN"/>
              </w:rPr>
              <w:t>储罐卸油</w:t>
            </w:r>
            <w:r>
              <w:rPr>
                <w:rFonts w:hint="default" w:ascii="Times New Roman" w:hAnsi="Times New Roman" w:cs="Times New Roman" w:eastAsiaTheme="minorEastAsia"/>
                <w:bCs/>
                <w:color w:val="auto"/>
                <w:sz w:val="24"/>
                <w:szCs w:val="24"/>
              </w:rPr>
              <w:t>、加油机</w:t>
            </w:r>
            <w:r>
              <w:rPr>
                <w:rFonts w:hint="default" w:ascii="Times New Roman" w:hAnsi="Times New Roman" w:cs="Times New Roman" w:eastAsiaTheme="minorEastAsia"/>
                <w:bCs/>
                <w:color w:val="auto"/>
                <w:sz w:val="24"/>
                <w:szCs w:val="24"/>
                <w:lang w:val="en-US" w:eastAsia="zh-CN"/>
              </w:rPr>
              <w:t>加油</w:t>
            </w:r>
            <w:r>
              <w:rPr>
                <w:rFonts w:hint="default" w:ascii="Times New Roman" w:hAnsi="Times New Roman" w:cs="Times New Roman" w:eastAsiaTheme="minorEastAsia"/>
                <w:bCs/>
                <w:color w:val="auto"/>
                <w:sz w:val="24"/>
                <w:szCs w:val="24"/>
              </w:rPr>
              <w:t>挥发</w:t>
            </w:r>
            <w:r>
              <w:rPr>
                <w:rFonts w:hint="default" w:ascii="Times New Roman" w:hAnsi="Times New Roman" w:cs="Times New Roman" w:eastAsiaTheme="minorEastAsia"/>
                <w:bCs/>
                <w:color w:val="auto"/>
                <w:sz w:val="24"/>
                <w:szCs w:val="24"/>
                <w:lang w:val="en-US" w:eastAsia="zh-CN"/>
              </w:rPr>
              <w:t>油气</w:t>
            </w:r>
          </w:p>
        </w:tc>
        <w:tc>
          <w:tcPr>
            <w:tcW w:w="1695" w:type="dxa"/>
            <w:vAlign w:val="center"/>
          </w:tcPr>
          <w:p>
            <w:pPr>
              <w:jc w:val="cente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sz w:val="24"/>
                <w:szCs w:val="24"/>
              </w:rPr>
              <w:t>非甲烷总烃</w:t>
            </w:r>
          </w:p>
        </w:tc>
        <w:tc>
          <w:tcPr>
            <w:tcW w:w="3060" w:type="dxa"/>
            <w:tcBorders>
              <w:top w:val="single" w:color="auto" w:sz="4" w:space="0"/>
            </w:tcBorders>
            <w:vAlign w:val="center"/>
          </w:tcPr>
          <w:p>
            <w:pPr>
              <w:pStyle w:val="97"/>
              <w:jc w:val="center"/>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sz w:val="24"/>
                <w:szCs w:val="24"/>
                <w:lang w:val="en-US" w:eastAsia="zh-CN"/>
              </w:rPr>
              <w:t>卸油</w:t>
            </w:r>
            <w:r>
              <w:rPr>
                <w:rFonts w:hint="default" w:ascii="Times New Roman" w:hAnsi="Times New Roman" w:cs="Times New Roman" w:eastAsiaTheme="minorEastAsia"/>
                <w:sz w:val="24"/>
                <w:szCs w:val="24"/>
              </w:rPr>
              <w:t>油气回收</w:t>
            </w:r>
            <w:r>
              <w:rPr>
                <w:rFonts w:hint="default" w:ascii="Times New Roman" w:hAnsi="Times New Roman" w:cs="Times New Roman" w:eastAsiaTheme="minorEastAsia"/>
                <w:sz w:val="24"/>
                <w:szCs w:val="24"/>
                <w:lang w:val="en-US" w:eastAsia="zh-CN"/>
              </w:rPr>
              <w:t>+加油油气回收</w:t>
            </w:r>
          </w:p>
        </w:tc>
        <w:tc>
          <w:tcPr>
            <w:tcW w:w="1730" w:type="dxa"/>
            <w:tcBorders>
              <w:top w:val="single" w:color="auto" w:sz="4" w:space="0"/>
            </w:tcBorders>
            <w:vAlign w:val="center"/>
          </w:tcPr>
          <w:p>
            <w:pPr>
              <w:adjustRightInd w:val="0"/>
              <w:snapToGrid w:val="0"/>
              <w:spacing w:line="360" w:lineRule="exact"/>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000000"/>
                <w:sz w:val="24"/>
                <w:szCs w:val="24"/>
              </w:rPr>
              <w:t>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596" w:hRule="atLeast"/>
          <w:jc w:val="center"/>
        </w:trPr>
        <w:tc>
          <w:tcPr>
            <w:tcW w:w="1061" w:type="dxa"/>
            <w:vMerge w:val="restart"/>
            <w:tcBorders>
              <w:top w:val="single" w:color="auto" w:sz="4" w:space="0"/>
            </w:tcBorders>
            <w:vAlign w:val="center"/>
          </w:tcPr>
          <w:p>
            <w:pPr>
              <w:adjustRightInd w:val="0"/>
              <w:snapToGrid w:val="0"/>
              <w:spacing w:line="34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水</w:t>
            </w:r>
          </w:p>
          <w:p>
            <w:pPr>
              <w:adjustRightInd w:val="0"/>
              <w:snapToGrid w:val="0"/>
              <w:spacing w:line="34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污</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染</w:t>
            </w:r>
          </w:p>
        </w:tc>
        <w:tc>
          <w:tcPr>
            <w:tcW w:w="1200" w:type="dxa"/>
            <w:tcBorders>
              <w:bottom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生活污水</w:t>
            </w:r>
          </w:p>
        </w:tc>
        <w:tc>
          <w:tcPr>
            <w:tcW w:w="1695" w:type="dxa"/>
            <w:tcBorders>
              <w:bottom w:val="single" w:color="auto" w:sz="4" w:space="0"/>
            </w:tcBorders>
            <w:vAlign w:val="center"/>
          </w:tcPr>
          <w:p>
            <w:pPr>
              <w:jc w:val="center"/>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eastAsiaTheme="minorEastAsia"/>
                <w:bCs/>
                <w:color w:val="auto"/>
                <w:sz w:val="24"/>
                <w:szCs w:val="24"/>
              </w:rPr>
              <w:t>COD、NH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-N、SS</w:t>
            </w:r>
            <w:r>
              <w:rPr>
                <w:rFonts w:hint="default" w:ascii="Times New Roman" w:hAnsi="Times New Roman" w:cs="Times New Roman" w:eastAsiaTheme="minorEastAsia"/>
                <w:bCs/>
                <w:color w:val="auto"/>
                <w:sz w:val="24"/>
                <w:szCs w:val="24"/>
                <w:lang w:eastAsia="zh-CN"/>
              </w:rPr>
              <w:t>、</w:t>
            </w:r>
            <w:r>
              <w:rPr>
                <w:rFonts w:hint="default" w:ascii="Times New Roman" w:hAnsi="Times New Roman" w:cs="Times New Roman" w:eastAsiaTheme="minorEastAsia"/>
                <w:bCs/>
                <w:color w:val="auto"/>
                <w:sz w:val="24"/>
                <w:szCs w:val="24"/>
                <w:lang w:val="en-US" w:eastAsia="zh-CN"/>
              </w:rPr>
              <w:t>TP</w:t>
            </w:r>
          </w:p>
        </w:tc>
        <w:tc>
          <w:tcPr>
            <w:tcW w:w="3060" w:type="dxa"/>
            <w:tcBorders>
              <w:top w:val="single" w:color="auto" w:sz="4" w:space="0"/>
              <w:bottom w:val="single" w:color="auto" w:sz="4" w:space="0"/>
            </w:tcBorders>
            <w:vAlign w:val="center"/>
          </w:tcPr>
          <w:p>
            <w:pPr>
              <w:jc w:val="center"/>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eastAsiaTheme="minorEastAsia"/>
                <w:bCs/>
                <w:color w:val="auto"/>
                <w:sz w:val="24"/>
                <w:szCs w:val="24"/>
              </w:rPr>
              <w:t>化粪池处理后定期清运</w:t>
            </w:r>
          </w:p>
        </w:tc>
        <w:tc>
          <w:tcPr>
            <w:tcW w:w="1730" w:type="dxa"/>
            <w:tcBorders>
              <w:top w:val="single" w:color="auto" w:sz="4" w:space="0"/>
              <w:bottom w:val="single" w:color="auto" w:sz="4" w:space="0"/>
            </w:tcBorders>
            <w:vAlign w:val="center"/>
          </w:tcPr>
          <w:p>
            <w:pPr>
              <w:pStyle w:val="145"/>
              <w:widowControl w:val="0"/>
              <w:adjustRightInd w:val="0"/>
              <w:spacing w:line="240" w:lineRule="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535" w:hRule="atLeast"/>
          <w:jc w:val="center"/>
        </w:trPr>
        <w:tc>
          <w:tcPr>
            <w:tcW w:w="1061" w:type="dxa"/>
            <w:vMerge w:val="continue"/>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p>
        </w:tc>
        <w:tc>
          <w:tcPr>
            <w:tcW w:w="1200" w:type="dxa"/>
            <w:tcBorders>
              <w:bottom w:val="single" w:color="auto" w:sz="4" w:space="0"/>
            </w:tcBorders>
            <w:vAlign w:val="center"/>
          </w:tcPr>
          <w:p>
            <w:pPr>
              <w:adjustRightInd w:val="0"/>
              <w:snapToGrid w:val="0"/>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洗车废水</w:t>
            </w:r>
          </w:p>
        </w:tc>
        <w:tc>
          <w:tcPr>
            <w:tcW w:w="1695" w:type="dxa"/>
            <w:tcBorders>
              <w:bottom w:val="single" w:color="auto" w:sz="4" w:space="0"/>
            </w:tcBorders>
            <w:vAlign w:val="center"/>
          </w:tcPr>
          <w:p>
            <w:pPr>
              <w:jc w:val="center"/>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eastAsiaTheme="minorEastAsia"/>
                <w:color w:val="000000"/>
                <w:spacing w:val="-4"/>
                <w:sz w:val="24"/>
                <w:szCs w:val="24"/>
              </w:rPr>
              <w:t>COD、</w:t>
            </w:r>
            <w:r>
              <w:rPr>
                <w:rFonts w:hint="default" w:ascii="Times New Roman" w:hAnsi="Times New Roman" w:cs="Times New Roman" w:eastAsiaTheme="minorEastAsia"/>
                <w:bCs/>
                <w:color w:val="auto"/>
                <w:sz w:val="24"/>
                <w:szCs w:val="24"/>
              </w:rPr>
              <w:t>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w:t>
            </w:r>
            <w:r>
              <w:rPr>
                <w:rFonts w:hint="default" w:ascii="Times New Roman" w:hAnsi="Times New Roman" w:cs="Times New Roman" w:eastAsiaTheme="minorEastAsia"/>
                <w:color w:val="000000"/>
                <w:spacing w:val="-4"/>
                <w:sz w:val="24"/>
                <w:szCs w:val="24"/>
              </w:rPr>
              <w:t>SS、</w:t>
            </w:r>
            <w:r>
              <w:rPr>
                <w:rFonts w:hint="default" w:ascii="Times New Roman" w:hAnsi="Times New Roman" w:cs="Times New Roman" w:eastAsiaTheme="minorEastAsia"/>
                <w:bCs/>
                <w:color w:val="auto"/>
                <w:sz w:val="24"/>
                <w:szCs w:val="24"/>
                <w:lang w:val="en-US" w:eastAsia="zh-CN"/>
              </w:rPr>
              <w:t>TP、石油类</w:t>
            </w:r>
          </w:p>
        </w:tc>
        <w:tc>
          <w:tcPr>
            <w:tcW w:w="3060" w:type="dxa"/>
            <w:tcBorders>
              <w:top w:val="single" w:color="auto" w:sz="4" w:space="0"/>
              <w:bottom w:val="single" w:color="auto" w:sz="4" w:space="0"/>
            </w:tcBorders>
            <w:vAlign w:val="center"/>
          </w:tcPr>
          <w:p>
            <w:pPr>
              <w:jc w:val="center"/>
              <w:rPr>
                <w:rFonts w:hint="default" w:ascii="Times New Roman" w:hAnsi="Times New Roman" w:cs="Times New Roman" w:eastAsiaTheme="minorEastAsia"/>
                <w:bCs/>
                <w:color w:val="auto"/>
                <w:kern w:val="2"/>
                <w:sz w:val="24"/>
                <w:szCs w:val="24"/>
                <w:lang w:val="en-US" w:eastAsia="zh-CN" w:bidi="ar-SA"/>
              </w:rPr>
            </w:pPr>
            <w:r>
              <w:rPr>
                <w:rFonts w:hint="default" w:ascii="Times New Roman" w:hAnsi="Times New Roman" w:cs="Times New Roman" w:eastAsiaTheme="minorEastAsia"/>
                <w:bCs/>
                <w:color w:val="auto"/>
                <w:sz w:val="24"/>
                <w:szCs w:val="24"/>
                <w:lang w:val="en-US" w:eastAsia="zh-CN"/>
              </w:rPr>
              <w:t>经隔油沉淀池处理后循环使用</w:t>
            </w:r>
          </w:p>
        </w:tc>
        <w:tc>
          <w:tcPr>
            <w:tcW w:w="1730" w:type="dxa"/>
            <w:tcBorders>
              <w:top w:val="single" w:color="auto" w:sz="4" w:space="0"/>
              <w:bottom w:val="single" w:color="auto" w:sz="4" w:space="0"/>
            </w:tcBorders>
            <w:vAlign w:val="center"/>
          </w:tcPr>
          <w:p>
            <w:pPr>
              <w:pStyle w:val="145"/>
              <w:widowControl w:val="0"/>
              <w:adjustRightInd w:val="0"/>
              <w:spacing w:line="240" w:lineRule="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综合利用，合理处置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592" w:hRule="atLeast"/>
          <w:jc w:val="center"/>
        </w:trPr>
        <w:tc>
          <w:tcPr>
            <w:tcW w:w="1061" w:type="dxa"/>
            <w:vMerge w:val="restart"/>
            <w:tcMar>
              <w:left w:w="0" w:type="dxa"/>
              <w:right w:w="0" w:type="dxa"/>
            </w:tcMar>
            <w:vAlign w:val="center"/>
          </w:tcPr>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固</w:t>
            </w:r>
          </w:p>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体</w:t>
            </w:r>
          </w:p>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废</w:t>
            </w:r>
          </w:p>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物</w:t>
            </w:r>
          </w:p>
        </w:tc>
        <w:tc>
          <w:tcPr>
            <w:tcW w:w="1200" w:type="dxa"/>
            <w:tcBorders>
              <w:right w:val="single" w:color="auto" w:sz="4" w:space="0"/>
            </w:tcBorders>
            <w:vAlign w:val="center"/>
          </w:tcPr>
          <w:p>
            <w:pPr>
              <w:adjustRightInd w:val="0"/>
              <w:snapToGrid w:val="0"/>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iCs/>
                <w:color w:val="auto"/>
                <w:sz w:val="24"/>
                <w:szCs w:val="24"/>
              </w:rPr>
              <w:t>办公</w:t>
            </w:r>
            <w:r>
              <w:rPr>
                <w:rFonts w:hint="default" w:ascii="Times New Roman" w:hAnsi="Times New Roman" w:cs="Times New Roman" w:eastAsiaTheme="minorEastAsia"/>
                <w:iCs/>
                <w:color w:val="auto"/>
                <w:sz w:val="24"/>
                <w:szCs w:val="24"/>
                <w:lang w:val="en-US" w:eastAsia="zh-CN"/>
              </w:rPr>
              <w:t>生活</w:t>
            </w:r>
          </w:p>
        </w:tc>
        <w:tc>
          <w:tcPr>
            <w:tcW w:w="1695" w:type="dxa"/>
            <w:tcBorders>
              <w:left w:val="single" w:color="auto" w:sz="4" w:space="0"/>
              <w:bottom w:val="single" w:color="auto" w:sz="4" w:space="0"/>
            </w:tcBorders>
            <w:vAlign w:val="center"/>
          </w:tcPr>
          <w:p>
            <w:pPr>
              <w:adjustRightInd w:val="0"/>
              <w:snapToGrid w:val="0"/>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color w:val="auto"/>
                <w:sz w:val="24"/>
                <w:szCs w:val="24"/>
              </w:rPr>
              <w:t>生活垃圾</w:t>
            </w:r>
          </w:p>
        </w:tc>
        <w:tc>
          <w:tcPr>
            <w:tcW w:w="3060" w:type="dxa"/>
            <w:tcBorders>
              <w:bottom w:val="single" w:color="auto" w:sz="4" w:space="0"/>
            </w:tcBorders>
            <w:vAlign w:val="center"/>
          </w:tcPr>
          <w:p>
            <w:pPr>
              <w:adjustRightInd w:val="0"/>
              <w:snapToGrid w:val="0"/>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color w:val="auto"/>
                <w:kern w:val="0"/>
                <w:sz w:val="24"/>
                <w:szCs w:val="24"/>
              </w:rPr>
              <w:t>在厂区内集中收集，送到附近垃圾中转站</w:t>
            </w:r>
          </w:p>
        </w:tc>
        <w:tc>
          <w:tcPr>
            <w:tcW w:w="1730" w:type="dxa"/>
            <w:vMerge w:val="restart"/>
            <w:vAlign w:val="center"/>
          </w:tcPr>
          <w:p>
            <w:pPr>
              <w:adjustRightInd w:val="0"/>
              <w:snapToGrid w:val="0"/>
              <w:spacing w:line="360" w:lineRule="exact"/>
              <w:jc w:val="center"/>
              <w:rPr>
                <w:rFonts w:hint="default" w:ascii="Times New Roman" w:hAnsi="Times New Roman" w:cs="Times New Roman" w:eastAsiaTheme="minorEastAsia"/>
                <w:color w:val="auto"/>
                <w:spacing w:val="-6"/>
                <w:sz w:val="24"/>
                <w:szCs w:val="24"/>
              </w:rPr>
            </w:pPr>
            <w:r>
              <w:rPr>
                <w:rFonts w:hint="default" w:ascii="Times New Roman" w:hAnsi="Times New Roman" w:cs="Times New Roman" w:eastAsiaTheme="minorEastAsia"/>
                <w:iCs/>
                <w:color w:val="auto"/>
                <w:sz w:val="24"/>
                <w:szCs w:val="24"/>
              </w:rPr>
              <w:t>妥善处置，不造成二次污染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254" w:hRule="atLeast"/>
          <w:jc w:val="center"/>
        </w:trPr>
        <w:tc>
          <w:tcPr>
            <w:tcW w:w="1061" w:type="dxa"/>
            <w:vMerge w:val="continue"/>
            <w:tcMar>
              <w:left w:w="0" w:type="dxa"/>
              <w:right w:w="0" w:type="dxa"/>
            </w:tcMar>
            <w:vAlign w:val="center"/>
          </w:tcPr>
          <w:p>
            <w:pPr>
              <w:adjustRightInd w:val="0"/>
              <w:snapToGrid w:val="0"/>
              <w:spacing w:line="360" w:lineRule="exact"/>
              <w:jc w:val="center"/>
              <w:rPr>
                <w:rFonts w:hint="default" w:ascii="Times New Roman" w:hAnsi="Times New Roman" w:cs="Times New Roman" w:eastAsiaTheme="minorEastAsia"/>
                <w:bCs/>
                <w:color w:val="auto"/>
                <w:w w:val="95"/>
                <w:sz w:val="24"/>
                <w:szCs w:val="24"/>
              </w:rPr>
            </w:pPr>
          </w:p>
        </w:tc>
        <w:tc>
          <w:tcPr>
            <w:tcW w:w="1200" w:type="dxa"/>
            <w:tcBorders>
              <w:right w:val="single" w:color="auto" w:sz="4" w:space="0"/>
            </w:tcBorders>
            <w:vAlign w:val="center"/>
          </w:tcPr>
          <w:p>
            <w:pPr>
              <w:adjustRightInd w:val="0"/>
              <w:snapToGrid w:val="0"/>
              <w:jc w:val="center"/>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iCs/>
                <w:color w:val="auto"/>
                <w:sz w:val="24"/>
                <w:szCs w:val="24"/>
              </w:rPr>
              <w:t>储油罐</w:t>
            </w:r>
          </w:p>
        </w:tc>
        <w:tc>
          <w:tcPr>
            <w:tcW w:w="1695" w:type="dxa"/>
            <w:tcBorders>
              <w:left w:val="single" w:color="auto" w:sz="4" w:space="0"/>
            </w:tcBorders>
            <w:vAlign w:val="center"/>
          </w:tcPr>
          <w:p>
            <w:pPr>
              <w:adjustRightInd w:val="0"/>
              <w:snapToGrid w:val="0"/>
              <w:jc w:val="center"/>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color w:val="auto"/>
                <w:sz w:val="24"/>
                <w:szCs w:val="24"/>
              </w:rPr>
              <w:t>罐底油泥</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清罐废水</w:t>
            </w:r>
          </w:p>
        </w:tc>
        <w:tc>
          <w:tcPr>
            <w:tcW w:w="3060" w:type="dxa"/>
            <w:tcBorders>
              <w:top w:val="single" w:color="auto" w:sz="4" w:space="0"/>
            </w:tcBorders>
            <w:vAlign w:val="center"/>
          </w:tcPr>
          <w:p>
            <w:pPr>
              <w:adjustRightInd w:val="0"/>
              <w:snapToGrid w:val="0"/>
              <w:jc w:val="center"/>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bCs/>
                <w:color w:val="auto"/>
                <w:sz w:val="24"/>
                <w:szCs w:val="24"/>
                <w:lang w:val="en-US" w:eastAsia="zh-CN"/>
              </w:rPr>
              <w:t>暂存于危废暂存间，及时</w:t>
            </w:r>
            <w:r>
              <w:rPr>
                <w:rFonts w:hint="default" w:ascii="Times New Roman" w:hAnsi="Times New Roman" w:cs="Times New Roman" w:eastAsiaTheme="minorEastAsia"/>
                <w:bCs/>
                <w:color w:val="auto"/>
                <w:sz w:val="24"/>
                <w:szCs w:val="24"/>
              </w:rPr>
              <w:t>委托有危废处理资质的单位</w:t>
            </w:r>
            <w:r>
              <w:rPr>
                <w:rFonts w:hint="default" w:ascii="Times New Roman" w:hAnsi="Times New Roman" w:cs="Times New Roman" w:eastAsiaTheme="minorEastAsia"/>
                <w:bCs/>
                <w:color w:val="auto"/>
                <w:sz w:val="24"/>
                <w:szCs w:val="24"/>
                <w:lang w:val="en-US" w:eastAsia="zh-CN"/>
              </w:rPr>
              <w:t>清运</w:t>
            </w:r>
            <w:r>
              <w:rPr>
                <w:rFonts w:hint="default" w:ascii="Times New Roman" w:hAnsi="Times New Roman" w:cs="Times New Roman" w:eastAsiaTheme="minorEastAsia"/>
                <w:bCs/>
                <w:color w:val="auto"/>
                <w:sz w:val="24"/>
                <w:szCs w:val="24"/>
              </w:rPr>
              <w:t>处理</w:t>
            </w:r>
          </w:p>
        </w:tc>
        <w:tc>
          <w:tcPr>
            <w:tcW w:w="1730" w:type="dxa"/>
            <w:vMerge w:val="continue"/>
            <w:vAlign w:val="center"/>
          </w:tcPr>
          <w:p>
            <w:pPr>
              <w:adjustRightInd w:val="0"/>
              <w:snapToGrid w:val="0"/>
              <w:spacing w:line="360" w:lineRule="exact"/>
              <w:jc w:val="center"/>
              <w:rPr>
                <w:rFonts w:hint="default" w:ascii="Times New Roman" w:hAnsi="Times New Roman" w:cs="Times New Roman" w:eastAsiaTheme="minorEastAsia"/>
                <w:color w:val="auto"/>
                <w:spacing w:val="-6"/>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1282" w:hRule="atLeast"/>
          <w:jc w:val="center"/>
        </w:trPr>
        <w:tc>
          <w:tcPr>
            <w:tcW w:w="1061" w:type="dxa"/>
            <w:tcMar>
              <w:left w:w="0" w:type="dxa"/>
              <w:right w:w="0" w:type="dxa"/>
            </w:tcMar>
            <w:vAlign w:val="center"/>
          </w:tcPr>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噪</w:t>
            </w:r>
          </w:p>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w w:val="95"/>
                <w:sz w:val="24"/>
                <w:szCs w:val="24"/>
              </w:rPr>
              <w:t>声</w:t>
            </w:r>
          </w:p>
        </w:tc>
        <w:tc>
          <w:tcPr>
            <w:tcW w:w="7685" w:type="dxa"/>
            <w:gridSpan w:val="4"/>
            <w:tcMar>
              <w:left w:w="57" w:type="dxa"/>
              <w:right w:w="57" w:type="dxa"/>
            </w:tcMar>
            <w:vAlign w:val="center"/>
          </w:tcPr>
          <w:p>
            <w:pPr>
              <w:autoSpaceDE w:val="0"/>
              <w:autoSpaceDN w:val="0"/>
              <w:adjustRightInd w:val="0"/>
              <w:jc w:val="left"/>
              <w:rPr>
                <w:rFonts w:hint="default" w:ascii="Times New Roman" w:hAnsi="Times New Roman" w:cs="Times New Roman" w:eastAsiaTheme="minorEastAsia"/>
                <w:snapToGrid w:val="0"/>
                <w:color w:val="auto"/>
                <w:kern w:val="0"/>
                <w:sz w:val="24"/>
                <w:szCs w:val="24"/>
              </w:rPr>
            </w:pPr>
            <w:r>
              <w:rPr>
                <w:rFonts w:hint="default" w:ascii="Times New Roman" w:hAnsi="Times New Roman" w:cs="Times New Roman" w:eastAsiaTheme="minorEastAsia"/>
                <w:kern w:val="0"/>
                <w:sz w:val="24"/>
                <w:szCs w:val="24"/>
              </w:rPr>
              <w:t>项目噪声源主要为加油机油泵等设备运行时产生的噪声及进出车辆噪声。经采取</w:t>
            </w:r>
            <w:r>
              <w:rPr>
                <w:rFonts w:hint="default" w:ascii="Times New Roman" w:hAnsi="Times New Roman" w:cs="Times New Roman" w:eastAsiaTheme="minorEastAsia"/>
                <w:kern w:val="0"/>
                <w:sz w:val="24"/>
                <w:szCs w:val="24"/>
                <w:lang w:val="en-US" w:eastAsia="zh-CN"/>
              </w:rPr>
              <w:t>基础减震</w:t>
            </w: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kern w:val="0"/>
                <w:sz w:val="24"/>
                <w:szCs w:val="24"/>
                <w:lang w:val="en-US" w:eastAsia="zh-CN"/>
              </w:rPr>
              <w:t>加强管理、</w:t>
            </w:r>
            <w:r>
              <w:rPr>
                <w:rFonts w:hint="default" w:ascii="Times New Roman" w:hAnsi="Times New Roman" w:cs="Times New Roman" w:eastAsiaTheme="minorEastAsia"/>
                <w:kern w:val="0"/>
                <w:sz w:val="24"/>
                <w:szCs w:val="24"/>
              </w:rPr>
              <w:t>距离衰减</w:t>
            </w:r>
            <w:r>
              <w:rPr>
                <w:rFonts w:hint="default" w:ascii="Times New Roman" w:hAnsi="Times New Roman" w:cs="Times New Roman" w:eastAsiaTheme="minorEastAsia"/>
                <w:kern w:val="0"/>
                <w:sz w:val="24"/>
                <w:szCs w:val="24"/>
                <w:lang w:val="en-US" w:eastAsia="zh-CN"/>
              </w:rPr>
              <w:t>等措施</w:t>
            </w:r>
            <w:r>
              <w:rPr>
                <w:rFonts w:hint="default" w:ascii="Times New Roman" w:hAnsi="Times New Roman" w:cs="Times New Roman" w:eastAsiaTheme="minorEastAsia"/>
                <w:kern w:val="0"/>
                <w:sz w:val="24"/>
                <w:szCs w:val="24"/>
              </w:rPr>
              <w:t>后，满足《工业企业厂界环境噪声排放标准》（GB12348-2008）2类标准，因此本项目在生产过程中产生的噪声对周围声环境影响较小</w:t>
            </w:r>
            <w:r>
              <w:rPr>
                <w:rFonts w:hint="default" w:ascii="Times New Roman" w:hAnsi="Times New Roman" w:cs="Times New Roman" w:eastAsiaTheme="minorEastAsia"/>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90" w:hRule="atLeast"/>
          <w:jc w:val="center"/>
        </w:trPr>
        <w:tc>
          <w:tcPr>
            <w:tcW w:w="1061" w:type="dxa"/>
            <w:tcMar>
              <w:left w:w="0" w:type="dxa"/>
              <w:right w:w="0" w:type="dxa"/>
            </w:tcMar>
            <w:vAlign w:val="center"/>
          </w:tcPr>
          <w:p>
            <w:pPr>
              <w:adjustRightInd w:val="0"/>
              <w:snapToGrid w:val="0"/>
              <w:spacing w:line="360" w:lineRule="exact"/>
              <w:jc w:val="center"/>
              <w:rPr>
                <w:rFonts w:hint="default" w:ascii="Times New Roman" w:hAnsi="Times New Roman" w:cs="Times New Roman" w:eastAsiaTheme="minorEastAsia"/>
                <w:b/>
                <w:bCs/>
                <w:color w:val="auto"/>
                <w:w w:val="95"/>
                <w:sz w:val="24"/>
                <w:szCs w:val="24"/>
                <w:lang w:val="en-US" w:eastAsia="zh-CN"/>
              </w:rPr>
            </w:pPr>
            <w:r>
              <w:rPr>
                <w:rFonts w:hint="default" w:ascii="Times New Roman" w:hAnsi="Times New Roman" w:cs="Times New Roman" w:eastAsiaTheme="minorEastAsia"/>
                <w:b/>
                <w:bCs/>
                <w:color w:val="auto"/>
                <w:w w:val="95"/>
                <w:sz w:val="24"/>
                <w:szCs w:val="24"/>
                <w:lang w:val="en-US" w:eastAsia="zh-CN"/>
              </w:rPr>
              <w:t>其他</w:t>
            </w:r>
          </w:p>
        </w:tc>
        <w:tc>
          <w:tcPr>
            <w:tcW w:w="7685" w:type="dxa"/>
            <w:gridSpan w:val="4"/>
            <w:tcMar>
              <w:left w:w="57" w:type="dxa"/>
              <w:right w:w="57" w:type="dxa"/>
            </w:tcMar>
            <w:vAlign w:val="center"/>
          </w:tcPr>
          <w:p>
            <w:pPr>
              <w:autoSpaceDE w:val="0"/>
              <w:autoSpaceDN w:val="0"/>
              <w:adjustRightInd w:val="0"/>
              <w:jc w:val="left"/>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28" w:type="dxa"/>
            <w:bottom w:w="57" w:type="dxa"/>
            <w:right w:w="28" w:type="dxa"/>
          </w:tblCellMar>
        </w:tblPrEx>
        <w:trPr>
          <w:cantSplit/>
          <w:trHeight w:val="3583" w:hRule="atLeast"/>
          <w:jc w:val="center"/>
        </w:trPr>
        <w:tc>
          <w:tcPr>
            <w:tcW w:w="1061" w:type="dxa"/>
            <w:tcMar>
              <w:left w:w="0" w:type="dxa"/>
              <w:right w:w="0" w:type="dxa"/>
            </w:tcMar>
            <w:vAlign w:val="center"/>
          </w:tcPr>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主</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要</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生</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态</w:t>
            </w:r>
          </w:p>
          <w:p>
            <w:pPr>
              <w:adjustRightInd w:val="0"/>
              <w:snapToGrid w:val="0"/>
              <w:spacing w:line="360" w:lineRule="exact"/>
              <w:jc w:val="center"/>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影</w:t>
            </w:r>
          </w:p>
          <w:p>
            <w:pPr>
              <w:adjustRightInd w:val="0"/>
              <w:snapToGrid w:val="0"/>
              <w:spacing w:line="360" w:lineRule="exact"/>
              <w:jc w:val="center"/>
              <w:rPr>
                <w:rFonts w:hint="default" w:ascii="Times New Roman" w:hAnsi="Times New Roman" w:cs="Times New Roman" w:eastAsiaTheme="minorEastAsia"/>
                <w:b/>
                <w:bCs/>
                <w:color w:val="auto"/>
                <w:w w:val="95"/>
                <w:sz w:val="24"/>
                <w:szCs w:val="24"/>
              </w:rPr>
            </w:pPr>
            <w:r>
              <w:rPr>
                <w:rFonts w:hint="default" w:ascii="Times New Roman" w:hAnsi="Times New Roman" w:cs="Times New Roman" w:eastAsiaTheme="minorEastAsia"/>
                <w:b/>
                <w:bCs/>
                <w:color w:val="auto"/>
                <w:sz w:val="24"/>
                <w:szCs w:val="24"/>
              </w:rPr>
              <w:t>响</w:t>
            </w:r>
          </w:p>
        </w:tc>
        <w:tc>
          <w:tcPr>
            <w:tcW w:w="7685" w:type="dxa"/>
            <w:gridSpan w:val="4"/>
            <w:tcMar>
              <w:left w:w="57" w:type="dxa"/>
              <w:right w:w="57" w:type="dxa"/>
            </w:tcMar>
            <w:vAlign w:val="center"/>
          </w:tcPr>
          <w:p>
            <w:pPr>
              <w:pStyle w:val="15"/>
              <w:spacing w:line="360" w:lineRule="auto"/>
              <w:ind w:left="0" w:leftChars="0" w:firstLine="480" w:firstLineChars="200"/>
              <w:rPr>
                <w:rFonts w:hint="default" w:ascii="Times New Roman" w:hAnsi="Times New Roman" w:cs="Times New Roman" w:eastAsiaTheme="minorEastAsia"/>
                <w:b w:val="0"/>
                <w:color w:val="000000"/>
                <w:sz w:val="24"/>
                <w:szCs w:val="24"/>
              </w:rPr>
            </w:pPr>
            <w:r>
              <w:rPr>
                <w:rFonts w:hint="default" w:ascii="Times New Roman" w:hAnsi="Times New Roman" w:cs="Times New Roman" w:eastAsiaTheme="minorEastAsia"/>
                <w:b w:val="0"/>
                <w:color w:val="000000"/>
                <w:sz w:val="24"/>
                <w:szCs w:val="24"/>
              </w:rPr>
              <w:t>本项目周围生态环境类型为人工生态系统。该项目运营期对周围生态环境造成的影响较小。</w:t>
            </w:r>
          </w:p>
          <w:p>
            <w:pPr>
              <w:spacing w:line="360" w:lineRule="exact"/>
              <w:contextualSpacing/>
              <w:rPr>
                <w:rFonts w:hint="default" w:ascii="Times New Roman" w:hAnsi="Times New Roman" w:cs="Times New Roman" w:eastAsiaTheme="minorEastAsia"/>
                <w:snapToGrid w:val="0"/>
                <w:color w:val="auto"/>
                <w:kern w:val="0"/>
                <w:sz w:val="24"/>
                <w:szCs w:val="24"/>
              </w:rPr>
            </w:pPr>
          </w:p>
          <w:p>
            <w:pPr>
              <w:spacing w:line="360" w:lineRule="exact"/>
              <w:ind w:firstLine="360" w:firstLineChars="150"/>
              <w:contextualSpacing/>
              <w:rPr>
                <w:rFonts w:hint="default" w:ascii="Times New Roman" w:hAnsi="Times New Roman" w:cs="Times New Roman" w:eastAsiaTheme="minorEastAsia"/>
                <w:snapToGrid w:val="0"/>
                <w:color w:val="auto"/>
                <w:kern w:val="0"/>
                <w:sz w:val="24"/>
                <w:szCs w:val="24"/>
              </w:rPr>
            </w:pPr>
          </w:p>
          <w:p>
            <w:pPr>
              <w:spacing w:line="360" w:lineRule="exact"/>
              <w:ind w:firstLine="360" w:firstLineChars="150"/>
              <w:contextualSpacing/>
              <w:rPr>
                <w:rFonts w:hint="default" w:ascii="Times New Roman" w:hAnsi="Times New Roman" w:cs="Times New Roman" w:eastAsiaTheme="minorEastAsia"/>
                <w:snapToGrid w:val="0"/>
                <w:color w:val="auto"/>
                <w:kern w:val="0"/>
                <w:sz w:val="24"/>
                <w:szCs w:val="24"/>
                <w:lang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p>
            <w:pPr>
              <w:rPr>
                <w:rFonts w:hint="default" w:ascii="Times New Roman" w:hAnsi="Times New Roman" w:cs="Times New Roman" w:eastAsiaTheme="minorEastAsia"/>
                <w:color w:val="auto"/>
                <w:sz w:val="24"/>
                <w:szCs w:val="24"/>
                <w:lang w:val="en-US" w:eastAsia="zh-CN"/>
              </w:rPr>
            </w:pPr>
          </w:p>
        </w:tc>
      </w:tr>
    </w:tbl>
    <w:p>
      <w:pPr>
        <w:adjustRightInd w:val="0"/>
        <w:snapToGrid w:val="0"/>
        <w:rPr>
          <w:rFonts w:eastAsia="黑体"/>
          <w:b/>
          <w:color w:val="auto"/>
          <w:sz w:val="30"/>
        </w:rPr>
      </w:pPr>
    </w:p>
    <w:p>
      <w:pPr>
        <w:adjustRightInd w:val="0"/>
        <w:snapToGrid w:val="0"/>
        <w:rPr>
          <w:rFonts w:eastAsia="黑体"/>
          <w:b/>
          <w:color w:val="auto"/>
          <w:sz w:val="30"/>
        </w:rPr>
      </w:pPr>
    </w:p>
    <w:p>
      <w:pPr>
        <w:adjustRightInd w:val="0"/>
        <w:snapToGrid w:val="0"/>
        <w:rPr>
          <w:rFonts w:eastAsia="黑体"/>
          <w:b/>
          <w:color w:val="auto"/>
          <w:sz w:val="30"/>
        </w:rPr>
      </w:pPr>
      <w:r>
        <w:rPr>
          <w:rFonts w:eastAsia="黑体"/>
          <w:b/>
          <w:color w:val="auto"/>
          <w:sz w:val="30"/>
        </w:rPr>
        <w:t>结论与建议</w:t>
      </w:r>
    </w:p>
    <w:tbl>
      <w:tblPr>
        <w:tblStyle w:val="21"/>
        <w:tblW w:w="8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0" w:hRule="atLeast"/>
          <w:jc w:val="center"/>
        </w:trPr>
        <w:tc>
          <w:tcPr>
            <w:tcW w:w="8732" w:type="dxa"/>
          </w:tcPr>
          <w:p>
            <w:pPr>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b/>
                <w:bCs w:val="0"/>
                <w:color w:val="000000"/>
                <w:sz w:val="24"/>
                <w:szCs w:val="24"/>
                <w:highlight w:val="none"/>
              </w:rPr>
            </w:pPr>
            <w:r>
              <w:rPr>
                <w:rFonts w:hint="default" w:ascii="Times New Roman" w:hAnsi="Times New Roman" w:eastAsia="宋体" w:cs="Times New Roman"/>
                <w:b/>
                <w:bCs w:val="0"/>
                <w:color w:val="000000"/>
                <w:sz w:val="24"/>
                <w:szCs w:val="24"/>
                <w:highlight w:val="none"/>
              </w:rPr>
              <w:t>1、评价结论</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1.1产业政策相符性</w:t>
            </w:r>
          </w:p>
          <w:p>
            <w:pPr>
              <w:keepNext w:val="0"/>
              <w:keepLines w:val="0"/>
              <w:pageBreakBefore w:val="0"/>
              <w:widowControl w:val="0"/>
              <w:kinsoku/>
              <w:wordWrap w:val="0"/>
              <w:overflowPunct/>
              <w:topLinePunct w:val="0"/>
              <w:autoSpaceDE/>
              <w:autoSpaceDN/>
              <w:bidi w:val="0"/>
              <w:spacing w:line="520" w:lineRule="exact"/>
              <w:ind w:firstLine="480" w:firstLineChars="200"/>
              <w:jc w:val="lef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sz w:val="24"/>
                <w:szCs w:val="24"/>
                <w:highlight w:val="none"/>
              </w:rPr>
              <w:t>经查阅《产业结构调整指导目录（2019年本）》，本项目不属于鼓励类、限制类和淘汰类，属于允许类项目，项目建设符合国家产业政策。</w:t>
            </w:r>
            <w:r>
              <w:rPr>
                <w:rFonts w:hint="default" w:ascii="Times New Roman" w:hAnsi="Times New Roman" w:eastAsia="宋体" w:cs="Times New Roman"/>
                <w:color w:val="000000"/>
                <w:sz w:val="24"/>
                <w:szCs w:val="24"/>
                <w:highlight w:val="none"/>
              </w:rPr>
              <w:t>本项目已</w:t>
            </w:r>
            <w:r>
              <w:rPr>
                <w:rFonts w:hint="default" w:ascii="Times New Roman" w:hAnsi="Times New Roman" w:eastAsia="宋体" w:cs="Times New Roman"/>
                <w:color w:val="000000"/>
                <w:sz w:val="24"/>
                <w:szCs w:val="24"/>
                <w:highlight w:val="none"/>
                <w:lang w:eastAsia="zh-CN"/>
              </w:rPr>
              <w:t>经</w:t>
            </w:r>
            <w:r>
              <w:rPr>
                <w:rFonts w:hint="default" w:ascii="Times New Roman" w:hAnsi="Times New Roman" w:eastAsia="宋体" w:cs="Times New Roman"/>
                <w:color w:val="auto"/>
                <w:sz w:val="24"/>
                <w:szCs w:val="24"/>
                <w:highlight w:val="none"/>
                <w:lang w:eastAsia="zh-CN"/>
              </w:rPr>
              <w:t>新乡市凤泉区发展和改革委员会同意</w:t>
            </w:r>
            <w:r>
              <w:rPr>
                <w:rFonts w:hint="default" w:ascii="Times New Roman" w:hAnsi="Times New Roman" w:eastAsia="宋体" w:cs="Times New Roman"/>
                <w:color w:val="000000"/>
                <w:sz w:val="24"/>
                <w:szCs w:val="24"/>
                <w:highlight w:val="none"/>
              </w:rPr>
              <w:t>备案，项目代码为：</w:t>
            </w:r>
            <w:r>
              <w:rPr>
                <w:rFonts w:hint="default" w:ascii="Times New Roman" w:hAnsi="Times New Roman" w:eastAsia="宋体" w:cs="Times New Roman"/>
                <w:color w:val="auto"/>
                <w:sz w:val="24"/>
                <w:szCs w:val="24"/>
                <w:highlight w:val="none"/>
                <w:lang w:eastAsia="zh-CN"/>
              </w:rPr>
              <w:t>2020-410</w:t>
            </w:r>
            <w:r>
              <w:rPr>
                <w:rFonts w:hint="default" w:ascii="Times New Roman" w:hAnsi="Times New Roman" w:eastAsia="宋体" w:cs="Times New Roman"/>
                <w:color w:val="auto"/>
                <w:sz w:val="24"/>
                <w:szCs w:val="24"/>
                <w:highlight w:val="none"/>
                <w:lang w:val="en-US" w:eastAsia="zh-CN"/>
              </w:rPr>
              <w:t>704</w:t>
            </w:r>
            <w:r>
              <w:rPr>
                <w:rFonts w:hint="default" w:ascii="Times New Roman" w:hAnsi="Times New Roman" w:eastAsia="宋体" w:cs="Times New Roman"/>
                <w:color w:val="auto"/>
                <w:sz w:val="24"/>
                <w:szCs w:val="24"/>
                <w:highlight w:val="none"/>
                <w:lang w:eastAsia="zh-CN"/>
              </w:rPr>
              <w:t>-52-03-</w:t>
            </w:r>
            <w:r>
              <w:rPr>
                <w:rFonts w:hint="default" w:ascii="Times New Roman" w:hAnsi="Times New Roman" w:eastAsia="宋体" w:cs="Times New Roman"/>
                <w:color w:val="auto"/>
                <w:sz w:val="24"/>
                <w:szCs w:val="24"/>
                <w:highlight w:val="none"/>
                <w:lang w:val="en-US" w:eastAsia="zh-CN"/>
              </w:rPr>
              <w:t>095293</w:t>
            </w:r>
            <w:r>
              <w:rPr>
                <w:rFonts w:hint="default" w:ascii="Times New Roman" w:hAnsi="Times New Roman" w:eastAsia="宋体" w:cs="Times New Roman"/>
                <w:color w:val="000000"/>
                <w:sz w:val="24"/>
                <w:szCs w:val="24"/>
                <w:highlight w:val="none"/>
              </w:rPr>
              <w:t>。</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1.2 选址合理性</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新乡市凤泉区利民加油站建设项目</w:t>
            </w:r>
            <w:r>
              <w:rPr>
                <w:rFonts w:hint="default" w:ascii="Times New Roman" w:hAnsi="Times New Roman" w:eastAsia="宋体" w:cs="Times New Roman"/>
                <w:sz w:val="24"/>
                <w:szCs w:val="24"/>
                <w:highlight w:val="none"/>
              </w:rPr>
              <w:t>位于</w:t>
            </w:r>
            <w:r>
              <w:rPr>
                <w:rFonts w:hint="default" w:ascii="Times New Roman" w:hAnsi="Times New Roman" w:eastAsia="宋体" w:cs="Times New Roman"/>
                <w:color w:val="auto"/>
                <w:sz w:val="24"/>
                <w:szCs w:val="24"/>
                <w:highlight w:val="none"/>
                <w:lang w:eastAsia="zh-CN"/>
              </w:rPr>
              <w:t>新乡市凤泉区大块镇东郭村新秀路402号</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color w:val="000000"/>
                <w:sz w:val="24"/>
                <w:szCs w:val="24"/>
                <w:highlight w:val="none"/>
              </w:rPr>
              <w:t>根据</w:t>
            </w:r>
            <w:r>
              <w:rPr>
                <w:rFonts w:hint="default" w:ascii="Times New Roman" w:hAnsi="Times New Roman" w:eastAsia="宋体" w:cs="Times New Roman"/>
                <w:color w:val="000000"/>
                <w:sz w:val="24"/>
                <w:szCs w:val="24"/>
                <w:highlight w:val="none"/>
                <w:lang w:eastAsia="zh-CN"/>
              </w:rPr>
              <w:t>企业提供的集体土地建设用地使用证</w:t>
            </w:r>
            <w:r>
              <w:rPr>
                <w:rFonts w:hint="default" w:ascii="Times New Roman" w:hAnsi="Times New Roman" w:eastAsia="宋体" w:cs="Times New Roman"/>
                <w:color w:val="000000"/>
                <w:sz w:val="24"/>
                <w:szCs w:val="24"/>
                <w:highlight w:val="none"/>
              </w:rPr>
              <w:t>可知，该项目</w:t>
            </w:r>
            <w:r>
              <w:rPr>
                <w:rFonts w:hint="default" w:ascii="Times New Roman" w:hAnsi="Times New Roman" w:eastAsia="宋体" w:cs="Times New Roman"/>
                <w:color w:val="000000"/>
                <w:sz w:val="24"/>
                <w:szCs w:val="24"/>
                <w:highlight w:val="none"/>
                <w:lang w:eastAsia="zh-CN"/>
              </w:rPr>
              <w:t>土地类别为工业</w:t>
            </w:r>
            <w:r>
              <w:rPr>
                <w:rFonts w:hint="default" w:ascii="Times New Roman" w:hAnsi="Times New Roman" w:eastAsia="宋体" w:cs="Times New Roman"/>
                <w:color w:val="000000"/>
                <w:sz w:val="24"/>
                <w:szCs w:val="24"/>
                <w:highlight w:val="none"/>
              </w:rPr>
              <w:t>用地，</w:t>
            </w:r>
            <w:r>
              <w:rPr>
                <w:rFonts w:hint="default" w:ascii="Times New Roman" w:hAnsi="Times New Roman" w:eastAsia="宋体" w:cs="Times New Roman"/>
                <w:color w:val="000000"/>
                <w:sz w:val="24"/>
                <w:szCs w:val="24"/>
                <w:highlight w:val="none"/>
                <w:lang w:eastAsia="zh-CN"/>
              </w:rPr>
              <w:t>土地用途为建加油站；根据凤泉区土地利用总体规划（</w:t>
            </w:r>
            <w:r>
              <w:rPr>
                <w:rFonts w:hint="default" w:ascii="Times New Roman" w:hAnsi="Times New Roman" w:eastAsia="宋体" w:cs="Times New Roman"/>
                <w:color w:val="000000"/>
                <w:sz w:val="24"/>
                <w:szCs w:val="24"/>
                <w:highlight w:val="none"/>
                <w:lang w:val="en-US" w:eastAsia="zh-CN"/>
              </w:rPr>
              <w:t>2010-2020</w:t>
            </w:r>
            <w:r>
              <w:rPr>
                <w:rFonts w:hint="default" w:ascii="Times New Roman" w:hAnsi="Times New Roman" w:eastAsia="宋体" w:cs="Times New Roman"/>
                <w:color w:val="000000"/>
                <w:sz w:val="24"/>
                <w:szCs w:val="24"/>
                <w:highlight w:val="none"/>
                <w:lang w:eastAsia="zh-CN"/>
              </w:rPr>
              <w:t>）规划图可知，项目所占土地为建设用地，</w:t>
            </w:r>
            <w:r>
              <w:rPr>
                <w:rFonts w:hint="default" w:ascii="Times New Roman" w:hAnsi="Times New Roman" w:eastAsia="宋体" w:cs="Times New Roman"/>
                <w:sz w:val="24"/>
                <w:szCs w:val="24"/>
                <w:highlight w:val="none"/>
              </w:rPr>
              <w:t>因此项目用地符合国家土地政策和用地规划要求</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项目站区内汽油设备、柴油设备与站外建（构）筑物的距离和站内设施的距离分别能够满足《汽车加油加气站设计与施工规范》（GB50156-2012）（2014 年局部修订版）关于站内汽油设备、柴油设备与站外建（构）筑物的安全间距和站内设备的防火间距的要求。</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综上所述，项目选址可行。</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1.3环境影响分析</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（1）废气</w:t>
            </w:r>
          </w:p>
          <w:p>
            <w:pPr>
              <w:keepNext w:val="0"/>
              <w:keepLines w:val="0"/>
              <w:pageBreakBefore w:val="0"/>
              <w:widowControl w:val="0"/>
              <w:kinsoku/>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项目营运期产生的大气污染物主要为油罐车卸油、汽车加油过程、储油过程产生的油气及来往车辆汽车尾气。</w:t>
            </w:r>
          </w:p>
          <w:p>
            <w:pPr>
              <w:keepNext w:val="0"/>
              <w:keepLines w:val="0"/>
              <w:pageBreakBefore w:val="0"/>
              <w:widowControl w:val="0"/>
              <w:kinsoku/>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卸油、加油和储存过程产生的非甲烷总烃：本项目针对汽油设置有卸油油气回收系统（即一次油气回收系统）和加油油气回收系统（二次油气回收系统）。油气回收系统回收率9</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%。根据估算结果，非甲烷总烃最大落地浓度为</w:t>
            </w:r>
            <w:r>
              <w:rPr>
                <w:rFonts w:hint="default" w:ascii="Times New Roman" w:hAnsi="Times New Roman" w:eastAsia="宋体" w:cs="Times New Roman"/>
                <w:color w:val="000000"/>
                <w:sz w:val="24"/>
                <w:szCs w:val="24"/>
                <w:highlight w:val="none"/>
              </w:rPr>
              <w:t>0.014181</w:t>
            </w:r>
            <w:r>
              <w:rPr>
                <w:rFonts w:hint="default" w:ascii="Times New Roman" w:hAnsi="Times New Roman" w:eastAsia="宋体" w:cs="Times New Roman"/>
                <w:sz w:val="24"/>
                <w:szCs w:val="24"/>
                <w:highlight w:val="none"/>
              </w:rPr>
              <w:t>mg/m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，最大占标率为</w:t>
            </w:r>
            <w:r>
              <w:rPr>
                <w:rFonts w:hint="default" w:ascii="Times New Roman" w:hAnsi="Times New Roman" w:eastAsia="宋体" w:cs="Times New Roman"/>
                <w:color w:val="000000"/>
                <w:sz w:val="24"/>
                <w:szCs w:val="24"/>
                <w:highlight w:val="none"/>
                <w:lang w:val="en-US" w:eastAsia="zh-CN"/>
              </w:rPr>
              <w:t>0.71</w:t>
            </w:r>
            <w:r>
              <w:rPr>
                <w:rFonts w:hint="default" w:ascii="Times New Roman" w:hAnsi="Times New Roman" w:eastAsia="宋体" w:cs="Times New Roman"/>
                <w:sz w:val="24"/>
                <w:szCs w:val="24"/>
                <w:highlight w:val="none"/>
              </w:rPr>
              <w:t>%，距离污染源强2</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m，本项目非甲烷总烃无组织排放四周厂界浓度值可满足《大气污染物综合排放标准》（GB16297-1996）表2 标准、河南省环境污染防治攻坚战领导小组办公室《关于全省开展工业企业挥发性有机物专项治理工作中排放建议值的通知》（豫环攻坚办[2017]162 号）中企业边界挥发性有机物排放建议值的要求。</w:t>
            </w:r>
          </w:p>
          <w:p>
            <w:pPr>
              <w:keepNext w:val="0"/>
              <w:keepLines w:val="0"/>
              <w:pageBreakBefore w:val="0"/>
              <w:widowControl w:val="0"/>
              <w:kinsoku/>
              <w:overflowPunct/>
              <w:topLinePunct w:val="0"/>
              <w:autoSpaceDE/>
              <w:autoSpaceDN/>
              <w:bidi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加油的车辆大部分处于怠速和停止状态，耗油量较少，所以尾气量少，浓度较低，属于间歇性排放，</w:t>
            </w:r>
            <w:r>
              <w:rPr>
                <w:rFonts w:hint="default" w:ascii="Times New Roman" w:hAnsi="Times New Roman" w:eastAsia="宋体" w:cs="Times New Roman"/>
                <w:bCs/>
                <w:sz w:val="24"/>
                <w:szCs w:val="24"/>
                <w:highlight w:val="none"/>
              </w:rPr>
              <w:t>主要通过大气扩散排放。项目所在地地势开阔，通风条件较好，汽车尾气很容易扩散，所以对周围影响较小。</w:t>
            </w:r>
            <w:r>
              <w:rPr>
                <w:rFonts w:hint="default" w:ascii="Times New Roman" w:hAnsi="Times New Roman" w:eastAsia="宋体" w:cs="Times New Roman"/>
                <w:sz w:val="24"/>
                <w:szCs w:val="24"/>
                <w:highlight w:val="none"/>
              </w:rPr>
              <w:t>因此，站内加油车辆产生的汽车尾气不会对周围环境造成明显影响。</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（2）废水</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sz w:val="24"/>
                <w:szCs w:val="24"/>
                <w:highlight w:val="none"/>
                <w:lang w:val="en-US"/>
              </w:rPr>
            </w:pPr>
            <w:r>
              <w:rPr>
                <w:rFonts w:hint="default" w:ascii="Times New Roman" w:hAnsi="Times New Roman" w:eastAsia="宋体" w:cs="Times New Roman"/>
                <w:bCs/>
                <w:sz w:val="24"/>
                <w:szCs w:val="24"/>
                <w:highlight w:val="none"/>
              </w:rPr>
              <w:t>项目废水主要为职工和顾客产生的生活污水</w:t>
            </w:r>
            <w:r>
              <w:rPr>
                <w:rFonts w:hint="default" w:ascii="Times New Roman" w:hAnsi="Times New Roman" w:eastAsia="宋体" w:cs="Times New Roman"/>
                <w:bCs/>
                <w:sz w:val="24"/>
                <w:szCs w:val="24"/>
                <w:highlight w:val="none"/>
                <w:lang w:val="en-US" w:eastAsia="zh-CN"/>
              </w:rPr>
              <w:t>以及洗车废水</w:t>
            </w:r>
            <w:r>
              <w:rPr>
                <w:rFonts w:hint="default" w:ascii="Times New Roman" w:hAnsi="Times New Roman" w:eastAsia="宋体" w:cs="Times New Roman"/>
                <w:bCs/>
                <w:sz w:val="24"/>
                <w:szCs w:val="24"/>
                <w:highlight w:val="none"/>
              </w:rPr>
              <w:t>。项目产生的生活污水经化粪池处理后，</w:t>
            </w:r>
            <w:r>
              <w:rPr>
                <w:rFonts w:hint="default" w:ascii="Times New Roman" w:hAnsi="Times New Roman" w:eastAsia="宋体" w:cs="Times New Roman"/>
                <w:bCs/>
                <w:sz w:val="24"/>
                <w:szCs w:val="24"/>
                <w:highlight w:val="none"/>
                <w:lang w:val="en-US" w:eastAsia="zh-CN"/>
              </w:rPr>
              <w:t>定期清运处置</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val="en-US" w:eastAsia="zh-CN"/>
              </w:rPr>
              <w:t>不外排；洗车废水经隔油沉淀池处理后循环使用，不外排。沉淀池污泥定期清掏清运至垃圾填埋场卫生填埋。</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（3）噪声</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本项目噪声源主要为加油机油泵等设备运行时产生的噪声及进出车辆噪声。经采取</w:t>
            </w:r>
            <w:r>
              <w:rPr>
                <w:rFonts w:hint="default" w:ascii="Times New Roman" w:hAnsi="Times New Roman" w:eastAsia="宋体" w:cs="Times New Roman"/>
                <w:bCs/>
                <w:sz w:val="24"/>
                <w:szCs w:val="24"/>
                <w:highlight w:val="none"/>
                <w:lang w:val="en-US" w:eastAsia="zh-CN"/>
              </w:rPr>
              <w:t>基础减震、加强管理、</w:t>
            </w:r>
            <w:r>
              <w:rPr>
                <w:rFonts w:hint="default" w:ascii="Times New Roman" w:hAnsi="Times New Roman" w:eastAsia="宋体" w:cs="Times New Roman"/>
                <w:bCs/>
                <w:sz w:val="24"/>
                <w:szCs w:val="24"/>
                <w:highlight w:val="none"/>
              </w:rPr>
              <w:t>距离衰减</w:t>
            </w:r>
            <w:r>
              <w:rPr>
                <w:rFonts w:hint="default" w:ascii="Times New Roman" w:hAnsi="Times New Roman" w:eastAsia="宋体" w:cs="Times New Roman"/>
                <w:bCs/>
                <w:sz w:val="24"/>
                <w:szCs w:val="24"/>
                <w:highlight w:val="none"/>
                <w:lang w:val="en-US" w:eastAsia="zh-CN"/>
              </w:rPr>
              <w:t>措施</w:t>
            </w:r>
            <w:r>
              <w:rPr>
                <w:rFonts w:hint="default" w:ascii="Times New Roman" w:hAnsi="Times New Roman" w:eastAsia="宋体" w:cs="Times New Roman"/>
                <w:bCs/>
                <w:sz w:val="24"/>
                <w:szCs w:val="24"/>
                <w:highlight w:val="none"/>
              </w:rPr>
              <w:t>后，满足《工业企业厂界环境噪声排放标准》（GB12348-2008）2类标准，因此本项目在生产过程中产生的噪声对周围声环境影响较小。</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（4）固废</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项目产生的固废主要包括职工及顾客生活垃圾、清掏油泥和</w:t>
            </w:r>
            <w:r>
              <w:rPr>
                <w:rFonts w:hint="default" w:ascii="Times New Roman" w:hAnsi="Times New Roman" w:eastAsia="宋体" w:cs="Times New Roman"/>
                <w:sz w:val="24"/>
                <w:szCs w:val="24"/>
                <w:highlight w:val="none"/>
                <w:lang w:val="en-US" w:eastAsia="zh-CN"/>
              </w:rPr>
              <w:t>清罐废水</w:t>
            </w:r>
            <w:r>
              <w:rPr>
                <w:rFonts w:hint="default" w:ascii="Times New Roman" w:hAnsi="Times New Roman" w:eastAsia="宋体" w:cs="Times New Roman"/>
                <w:sz w:val="24"/>
                <w:szCs w:val="24"/>
                <w:highlight w:val="none"/>
              </w:rPr>
              <w:t>。生活垃圾集中收集后，定期交由环卫部门统一处理；清掏</w:t>
            </w:r>
            <w:r>
              <w:rPr>
                <w:rFonts w:hint="default" w:ascii="Times New Roman" w:hAnsi="Times New Roman" w:eastAsia="宋体" w:cs="Times New Roman"/>
                <w:sz w:val="24"/>
                <w:szCs w:val="24"/>
                <w:highlight w:val="none"/>
                <w:lang w:val="en-US" w:eastAsia="zh-CN"/>
              </w:rPr>
              <w:t>罐底</w:t>
            </w:r>
            <w:r>
              <w:rPr>
                <w:rFonts w:hint="default" w:ascii="Times New Roman" w:hAnsi="Times New Roman" w:eastAsia="宋体" w:cs="Times New Roman"/>
                <w:sz w:val="24"/>
                <w:szCs w:val="24"/>
                <w:highlight w:val="none"/>
              </w:rPr>
              <w:t>油泥</w:t>
            </w:r>
            <w:r>
              <w:rPr>
                <w:rFonts w:hint="default" w:ascii="Times New Roman" w:hAnsi="Times New Roman" w:eastAsia="宋体" w:cs="Times New Roman"/>
                <w:sz w:val="24"/>
                <w:szCs w:val="24"/>
                <w:highlight w:val="none"/>
                <w:lang w:val="en-US" w:eastAsia="zh-CN"/>
              </w:rPr>
              <w:t>及清罐废水暂存于危废暂存间，及时</w:t>
            </w:r>
            <w:r>
              <w:rPr>
                <w:rFonts w:hint="default" w:ascii="Times New Roman" w:hAnsi="Times New Roman" w:eastAsia="宋体" w:cs="Times New Roman"/>
                <w:sz w:val="24"/>
                <w:szCs w:val="24"/>
                <w:highlight w:val="none"/>
              </w:rPr>
              <w:t>交由有资质的单位</w:t>
            </w:r>
            <w:r>
              <w:rPr>
                <w:rFonts w:hint="default" w:ascii="Times New Roman" w:hAnsi="Times New Roman" w:eastAsia="宋体" w:cs="Times New Roman"/>
                <w:sz w:val="24"/>
                <w:szCs w:val="24"/>
                <w:highlight w:val="none"/>
                <w:lang w:val="en-US" w:eastAsia="zh-CN"/>
              </w:rPr>
              <w:t>清运</w:t>
            </w:r>
            <w:r>
              <w:rPr>
                <w:rFonts w:hint="default" w:ascii="Times New Roman" w:hAnsi="Times New Roman" w:eastAsia="宋体" w:cs="Times New Roman"/>
                <w:sz w:val="24"/>
                <w:szCs w:val="24"/>
                <w:highlight w:val="none"/>
              </w:rPr>
              <w:t>处置。</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color w:val="000000"/>
                <w:sz w:val="24"/>
                <w:szCs w:val="24"/>
                <w:highlight w:val="none"/>
                <w:lang w:val="en-GB"/>
              </w:rPr>
            </w:pPr>
            <w:r>
              <w:rPr>
                <w:rFonts w:hint="default" w:ascii="Times New Roman" w:hAnsi="Times New Roman" w:eastAsia="宋体" w:cs="Times New Roman"/>
                <w:color w:val="000000"/>
                <w:sz w:val="24"/>
                <w:szCs w:val="24"/>
                <w:highlight w:val="none"/>
                <w:lang w:val="en-GB"/>
              </w:rPr>
              <w:t>（5）环境风险</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本项目环境风险主要是油品泄漏及泄漏产生的爆炸事故。针对本项目存在的各类事故风险，提出相关预防及应急措施，在严格落实这些措施，加强生产管理的情况下，严格按照防范措施和应急预案执行，在管理及运行过程中认真落实措施和相关环保规定，在得到安监、环保管理部门许可后运营，上述风险事故隐患可降至可接受水平。</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1.4、总量控制</w:t>
            </w:r>
          </w:p>
          <w:p>
            <w:pPr>
              <w:keepNext w:val="0"/>
              <w:keepLines w:val="0"/>
              <w:pageBreakBefore w:val="0"/>
              <w:widowControl w:val="0"/>
              <w:kinsoku/>
              <w:overflowPunct/>
              <w:topLinePunct w:val="0"/>
              <w:autoSpaceDE/>
              <w:autoSpaceDN/>
              <w:bidi w:val="0"/>
              <w:adjustRightInd w:val="0"/>
              <w:snapToGrid w:val="0"/>
              <w:spacing w:line="520" w:lineRule="exact"/>
              <w:ind w:firstLine="480" w:firstLineChars="200"/>
              <w:jc w:val="left"/>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本项目生活污水经化粪池处理后定期清运处置，不外排；洗车废水经隔油沉淀池处理后循环使用，不外排，本项目不需设置废水总量控制指标；项目废气无二氧化硫、氮氧化物产生，运营期大气污染物主要为非甲烷总烃，排放量为0.0757t/a，即本项目挥发性有机物（以非甲烷总烃计）总量控制指标为0.0757t/a。</w:t>
            </w:r>
          </w:p>
          <w:p>
            <w:pPr>
              <w:pStyle w:val="20"/>
              <w:keepNext w:val="0"/>
              <w:keepLines w:val="0"/>
              <w:pageBreakBefore w:val="0"/>
              <w:widowControl w:val="0"/>
              <w:kinsoku/>
              <w:overflowPunct/>
              <w:topLinePunct w:val="0"/>
              <w:autoSpaceDE/>
              <w:autoSpaceDN/>
              <w:bidi w:val="0"/>
              <w:spacing w:after="0" w:line="520" w:lineRule="exact"/>
              <w:ind w:left="0" w:leftChars="0" w:firstLine="48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因此，本项目主要污染物总量控制指标为COD</w:t>
            </w:r>
            <w:r>
              <w:rPr>
                <w:rFonts w:hint="default" w:ascii="Times New Roman" w:hAnsi="Times New Roman" w:eastAsia="宋体" w:cs="Times New Roman"/>
                <w:kern w:val="0"/>
                <w:sz w:val="24"/>
                <w:szCs w:val="24"/>
                <w:highlight w:val="none"/>
                <w:lang w:val="en-US" w:eastAsia="zh-CN"/>
              </w:rPr>
              <w:t>0</w:t>
            </w:r>
            <w:r>
              <w:rPr>
                <w:rFonts w:hint="default" w:ascii="Times New Roman" w:hAnsi="Times New Roman" w:eastAsia="宋体" w:cs="Times New Roman"/>
                <w:kern w:val="0"/>
                <w:sz w:val="24"/>
                <w:szCs w:val="24"/>
                <w:highlight w:val="none"/>
              </w:rPr>
              <w:t>t/a，NH</w:t>
            </w:r>
            <w:r>
              <w:rPr>
                <w:rFonts w:hint="default" w:ascii="Times New Roman" w:hAnsi="Times New Roman" w:eastAsia="宋体" w:cs="Times New Roman"/>
                <w:kern w:val="0"/>
                <w:sz w:val="24"/>
                <w:szCs w:val="24"/>
                <w:highlight w:val="none"/>
                <w:vertAlign w:val="subscript"/>
              </w:rPr>
              <w:t>3</w:t>
            </w:r>
            <w:r>
              <w:rPr>
                <w:rFonts w:hint="default" w:ascii="Times New Roman" w:hAnsi="Times New Roman" w:eastAsia="宋体" w:cs="Times New Roman"/>
                <w:kern w:val="0"/>
                <w:sz w:val="24"/>
                <w:szCs w:val="24"/>
                <w:highlight w:val="none"/>
              </w:rPr>
              <w:t>-N</w:t>
            </w:r>
            <w:r>
              <w:rPr>
                <w:rFonts w:hint="default" w:ascii="Times New Roman" w:hAnsi="Times New Roman" w:eastAsia="宋体" w:cs="Times New Roman"/>
                <w:kern w:val="0"/>
                <w:sz w:val="24"/>
                <w:szCs w:val="24"/>
                <w:highlight w:val="none"/>
                <w:lang w:val="en-US" w:eastAsia="zh-CN"/>
              </w:rPr>
              <w:t>0</w:t>
            </w:r>
            <w:r>
              <w:rPr>
                <w:rFonts w:hint="default" w:ascii="Times New Roman" w:hAnsi="Times New Roman" w:eastAsia="宋体" w:cs="Times New Roman"/>
                <w:kern w:val="0"/>
                <w:sz w:val="24"/>
                <w:szCs w:val="24"/>
                <w:highlight w:val="none"/>
              </w:rPr>
              <w:t>t/a，VOCs</w:t>
            </w:r>
            <w:r>
              <w:rPr>
                <w:rFonts w:hint="default" w:ascii="Times New Roman" w:hAnsi="Times New Roman" w:eastAsia="宋体" w:cs="Times New Roman"/>
                <w:kern w:val="0"/>
                <w:sz w:val="24"/>
                <w:szCs w:val="24"/>
                <w:highlight w:val="none"/>
                <w:lang w:val="en-US" w:eastAsia="zh-CN"/>
              </w:rPr>
              <w:t>0.0757</w:t>
            </w:r>
            <w:r>
              <w:rPr>
                <w:rFonts w:hint="default" w:ascii="Times New Roman" w:hAnsi="Times New Roman" w:eastAsia="宋体" w:cs="Times New Roman"/>
                <w:kern w:val="0"/>
                <w:sz w:val="24"/>
                <w:szCs w:val="24"/>
                <w:highlight w:val="none"/>
              </w:rPr>
              <w:t>t/a。</w:t>
            </w:r>
          </w:p>
          <w:p>
            <w:pPr>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b/>
                <w:bCs w:val="0"/>
                <w:color w:val="000000"/>
                <w:sz w:val="24"/>
                <w:szCs w:val="24"/>
                <w:highlight w:val="none"/>
              </w:rPr>
            </w:pPr>
            <w:r>
              <w:rPr>
                <w:rFonts w:hint="default" w:ascii="Times New Roman" w:hAnsi="Times New Roman" w:eastAsia="宋体" w:cs="Times New Roman"/>
                <w:b/>
                <w:bCs w:val="0"/>
                <w:color w:val="000000"/>
                <w:sz w:val="24"/>
                <w:szCs w:val="24"/>
                <w:highlight w:val="none"/>
              </w:rPr>
              <w:t>2、建议</w:t>
            </w:r>
          </w:p>
          <w:p>
            <w:pPr>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2.1、加强加油站内部管理，成立环境管理机构，负责全站区的环境管理工作，保证环保装置正常运行，并建立完善的环保档案，接受环保主管部门的指导监督和检验；</w:t>
            </w:r>
          </w:p>
          <w:p>
            <w:pPr>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2.2、及时检查各阀门是否泄漏，并采取更换措施，保证运行安全，设备完好，防火防爆；</w:t>
            </w:r>
          </w:p>
          <w:p>
            <w:pPr>
              <w:keepNext w:val="0"/>
              <w:keepLines w:val="0"/>
              <w:pageBreakBefore w:val="0"/>
              <w:widowControl w:val="0"/>
              <w:kinsoku/>
              <w:overflowPunct/>
              <w:topLinePunct w:val="0"/>
              <w:autoSpaceDE/>
              <w:autoSpaceDN/>
              <w:bidi w:val="0"/>
              <w:spacing w:line="52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2.3、加强职工环保教育，指定严格的操作管理制度，杜绝由操作失误造成的环保污染现象出现。</w:t>
            </w:r>
          </w:p>
          <w:p>
            <w:pPr>
              <w:keepNext w:val="0"/>
              <w:keepLines w:val="0"/>
              <w:pageBreakBefore w:val="0"/>
              <w:widowControl w:val="0"/>
              <w:kinsoku/>
              <w:overflowPunct/>
              <w:topLinePunct w:val="0"/>
              <w:autoSpaceDE/>
              <w:autoSpaceDN/>
              <w:bidi w:val="0"/>
              <w:adjustRightInd w:val="0"/>
              <w:snapToGrid w:val="0"/>
              <w:spacing w:line="520" w:lineRule="exac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3、环评总结论</w:t>
            </w:r>
          </w:p>
          <w:p>
            <w:pPr>
              <w:keepNext w:val="0"/>
              <w:keepLines w:val="0"/>
              <w:pageBreakBefore w:val="0"/>
              <w:widowControl w:val="0"/>
              <w:kinsoku/>
              <w:overflowPunct/>
              <w:topLinePunct w:val="0"/>
              <w:autoSpaceDE/>
              <w:autoSpaceDN/>
              <w:bidi w:val="0"/>
              <w:adjustRightInd w:val="0"/>
              <w:snapToGrid w:val="0"/>
              <w:spacing w:line="520" w:lineRule="exact"/>
              <w:ind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color w:val="000000"/>
                <w:sz w:val="24"/>
                <w:szCs w:val="24"/>
                <w:highlight w:val="none"/>
              </w:rPr>
              <w:t>综上所述，</w:t>
            </w:r>
            <w:r>
              <w:rPr>
                <w:rFonts w:hint="default" w:ascii="Times New Roman" w:hAnsi="Times New Roman" w:eastAsia="宋体" w:cs="Times New Roman"/>
                <w:b/>
                <w:bCs/>
                <w:color w:val="auto"/>
                <w:sz w:val="24"/>
                <w:szCs w:val="24"/>
                <w:highlight w:val="none"/>
                <w:lang w:eastAsia="zh-CN"/>
              </w:rPr>
              <w:t>新乡市凤泉区利民加油站建设项目</w:t>
            </w:r>
            <w:r>
              <w:rPr>
                <w:rFonts w:hint="default" w:ascii="Times New Roman" w:hAnsi="Times New Roman" w:eastAsia="宋体" w:cs="Times New Roman"/>
                <w:b/>
                <w:bCs/>
                <w:color w:val="000000"/>
                <w:sz w:val="24"/>
                <w:szCs w:val="24"/>
                <w:highlight w:val="none"/>
              </w:rPr>
              <w:t>符合国家产业政策，符合土地利用规划，选址可行；项目采取的污染防治及风险防范措施有效、可行，污染物均能达标排放，风险水平可接受，项目建设对区域环境质量影响较小，建设单位在严格落实环境影响报告表提出的环保措施和风险防范措施后，从环保角度分析，项目的建设是可行的。</w:t>
            </w:r>
          </w:p>
          <w:p>
            <w:pPr>
              <w:pStyle w:val="20"/>
              <w:keepNext w:val="0"/>
              <w:keepLines w:val="0"/>
              <w:pageBreakBefore w:val="0"/>
              <w:widowControl w:val="0"/>
              <w:kinsoku/>
              <w:wordWrap/>
              <w:overflowPunct/>
              <w:topLinePunct w:val="0"/>
              <w:autoSpaceDE/>
              <w:autoSpaceDN/>
              <w:bidi w:val="0"/>
              <w:adjustRightInd/>
              <w:snapToGrid/>
              <w:spacing w:line="520" w:lineRule="exact"/>
              <w:ind w:firstLine="6264" w:firstLineChars="2600"/>
              <w:textAlignment w:val="auto"/>
              <w:rPr>
                <w:rFonts w:hint="default"/>
                <w:color w:val="auto"/>
                <w:lang w:val="en-US" w:eastAsia="zh-CN"/>
              </w:rPr>
            </w:pPr>
            <w:r>
              <w:rPr>
                <w:rFonts w:hint="eastAsia"/>
                <w:b/>
                <w:bCs/>
                <w:color w:val="auto"/>
                <w:sz w:val="24"/>
                <w:szCs w:val="24"/>
                <w:lang w:val="en-US" w:eastAsia="zh-CN"/>
              </w:rPr>
              <w:t xml:space="preserve">                        </w:t>
            </w:r>
          </w:p>
          <w:p>
            <w:pPr>
              <w:pStyle w:val="60"/>
              <w:spacing w:line="520" w:lineRule="exact"/>
              <w:ind w:firstLine="480" w:firstLineChars="200"/>
              <w:jc w:val="right"/>
              <w:rPr>
                <w:rFonts w:hint="eastAsia" w:eastAsia="黑体"/>
                <w:color w:val="auto"/>
                <w:sz w:val="24"/>
                <w:lang w:val="en-US" w:eastAsia="zh-CN"/>
              </w:rPr>
            </w:pPr>
          </w:p>
          <w:p>
            <w:pPr>
              <w:pStyle w:val="60"/>
              <w:spacing w:line="520" w:lineRule="exact"/>
              <w:ind w:firstLine="480" w:firstLineChars="200"/>
              <w:jc w:val="right"/>
              <w:rPr>
                <w:rFonts w:hint="eastAsia" w:eastAsia="黑体"/>
                <w:color w:val="auto"/>
                <w:sz w:val="24"/>
                <w:lang w:val="en-US" w:eastAsia="zh-CN"/>
              </w:rPr>
            </w:pPr>
          </w:p>
          <w:p>
            <w:pPr>
              <w:pStyle w:val="60"/>
              <w:spacing w:line="520" w:lineRule="exact"/>
              <w:ind w:firstLine="480" w:firstLineChars="200"/>
              <w:jc w:val="right"/>
              <w:rPr>
                <w:rFonts w:hint="eastAsia" w:eastAsia="黑体"/>
                <w:color w:val="auto"/>
                <w:sz w:val="24"/>
                <w:lang w:val="en-US" w:eastAsia="zh-CN"/>
              </w:rPr>
            </w:pPr>
          </w:p>
          <w:p>
            <w:pPr>
              <w:pStyle w:val="60"/>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黑体"/>
                <w:color w:val="auto"/>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7" w:hRule="atLeast"/>
          <w:jc w:val="center"/>
        </w:trPr>
        <w:tc>
          <w:tcPr>
            <w:tcW w:w="8732" w:type="dxa"/>
          </w:tcPr>
          <w:p>
            <w:pPr>
              <w:adjustRightInd w:val="0"/>
              <w:snapToGrid w:val="0"/>
              <w:spacing w:line="520" w:lineRule="exact"/>
              <w:rPr>
                <w:rFonts w:eastAsia="黑体"/>
                <w:bCs/>
                <w:color w:val="auto"/>
                <w:sz w:val="24"/>
              </w:rPr>
            </w:pPr>
            <w:r>
              <w:rPr>
                <w:rFonts w:eastAsia="黑体"/>
                <w:bCs/>
                <w:color w:val="auto"/>
                <w:sz w:val="24"/>
              </w:rPr>
              <w:t>预审意见：</w:t>
            </w:r>
          </w:p>
          <w:p>
            <w:pPr>
              <w:adjustRightInd w:val="0"/>
              <w:snapToGrid w:val="0"/>
              <w:spacing w:before="240" w:line="520" w:lineRule="exact"/>
              <w:rPr>
                <w:b/>
                <w:bCs/>
                <w:color w:val="auto"/>
                <w:sz w:val="30"/>
                <w:szCs w:val="30"/>
              </w:rPr>
            </w:pPr>
          </w:p>
          <w:p>
            <w:pPr>
              <w:adjustRightInd w:val="0"/>
              <w:snapToGrid w:val="0"/>
              <w:spacing w:before="240" w:line="520" w:lineRule="exact"/>
              <w:rPr>
                <w:b/>
                <w:bCs/>
                <w:color w:val="auto"/>
                <w:sz w:val="30"/>
                <w:szCs w:val="30"/>
              </w:rPr>
            </w:pPr>
          </w:p>
          <w:p>
            <w:pPr>
              <w:adjustRightInd w:val="0"/>
              <w:snapToGrid w:val="0"/>
              <w:spacing w:before="240" w:line="520" w:lineRule="exact"/>
              <w:rPr>
                <w:b/>
                <w:bCs/>
                <w:color w:val="auto"/>
                <w:sz w:val="30"/>
                <w:szCs w:val="30"/>
              </w:rPr>
            </w:pPr>
          </w:p>
          <w:p>
            <w:pPr>
              <w:adjustRightInd w:val="0"/>
              <w:snapToGrid w:val="0"/>
              <w:spacing w:before="240" w:line="520" w:lineRule="exact"/>
              <w:rPr>
                <w:b/>
                <w:bCs/>
                <w:color w:val="auto"/>
                <w:sz w:val="30"/>
                <w:szCs w:val="30"/>
              </w:rPr>
            </w:pPr>
          </w:p>
          <w:p>
            <w:pPr>
              <w:adjustRightInd w:val="0"/>
              <w:snapToGrid w:val="0"/>
              <w:spacing w:before="240" w:line="520" w:lineRule="exact"/>
              <w:rPr>
                <w:b/>
                <w:bCs/>
                <w:color w:val="auto"/>
                <w:sz w:val="30"/>
                <w:szCs w:val="30"/>
              </w:rPr>
            </w:pPr>
          </w:p>
          <w:p>
            <w:pPr>
              <w:wordWrap w:val="0"/>
              <w:adjustRightInd w:val="0"/>
              <w:snapToGrid w:val="0"/>
              <w:spacing w:before="240" w:line="520" w:lineRule="exact"/>
              <w:jc w:val="right"/>
              <w:rPr>
                <w:rFonts w:hint="default" w:eastAsia="黑体"/>
                <w:bCs/>
                <w:color w:val="auto"/>
                <w:sz w:val="24"/>
                <w:lang w:val="en-US" w:eastAsia="zh-CN"/>
              </w:rPr>
            </w:pPr>
            <w:r>
              <w:rPr>
                <w:rFonts w:eastAsia="黑体"/>
                <w:bCs/>
                <w:color w:val="auto"/>
                <w:sz w:val="24"/>
              </w:rPr>
              <w:t>公</w:t>
            </w:r>
            <w:r>
              <w:rPr>
                <w:rFonts w:hint="eastAsia" w:eastAsia="黑体"/>
                <w:bCs/>
                <w:color w:val="auto"/>
                <w:sz w:val="24"/>
                <w:lang w:val="en-US" w:eastAsia="zh-CN"/>
              </w:rPr>
              <w:t xml:space="preserve">  </w:t>
            </w:r>
            <w:r>
              <w:rPr>
                <w:rFonts w:eastAsia="黑体"/>
                <w:bCs/>
                <w:color w:val="auto"/>
                <w:sz w:val="24"/>
              </w:rPr>
              <w:t>章</w:t>
            </w:r>
            <w:r>
              <w:rPr>
                <w:rFonts w:hint="eastAsia" w:eastAsia="黑体"/>
                <w:bCs/>
                <w:color w:val="auto"/>
                <w:sz w:val="24"/>
                <w:lang w:val="en-US" w:eastAsia="zh-CN"/>
              </w:rPr>
              <w:t xml:space="preserve">    </w:t>
            </w:r>
          </w:p>
          <w:p>
            <w:pPr>
              <w:tabs>
                <w:tab w:val="left" w:pos="720"/>
              </w:tabs>
              <w:adjustRightInd w:val="0"/>
              <w:snapToGrid w:val="0"/>
              <w:spacing w:line="520" w:lineRule="exact"/>
              <w:rPr>
                <w:rFonts w:eastAsia="黑体"/>
                <w:bCs/>
                <w:color w:val="auto"/>
                <w:sz w:val="24"/>
              </w:rPr>
            </w:pPr>
            <w:r>
              <w:rPr>
                <w:rFonts w:eastAsia="黑体"/>
                <w:bCs/>
                <w:color w:val="auto"/>
                <w:sz w:val="24"/>
              </w:rPr>
              <w:t>经办人：</w:t>
            </w:r>
          </w:p>
          <w:p>
            <w:pPr>
              <w:tabs>
                <w:tab w:val="left" w:pos="720"/>
              </w:tabs>
              <w:wordWrap w:val="0"/>
              <w:adjustRightInd w:val="0"/>
              <w:snapToGrid w:val="0"/>
              <w:spacing w:line="520" w:lineRule="exact"/>
              <w:jc w:val="right"/>
              <w:rPr>
                <w:rFonts w:hint="default" w:eastAsia="黑体"/>
                <w:b/>
                <w:color w:val="auto"/>
                <w:sz w:val="30"/>
                <w:szCs w:val="30"/>
                <w:lang w:val="en-US" w:eastAsia="zh-CN"/>
              </w:rPr>
            </w:pPr>
            <w:r>
              <w:rPr>
                <w:rFonts w:eastAsia="黑体"/>
                <w:bCs/>
                <w:color w:val="auto"/>
                <w:sz w:val="24"/>
              </w:rPr>
              <w:t>年</w:t>
            </w:r>
            <w:r>
              <w:rPr>
                <w:rFonts w:hint="eastAsia" w:eastAsia="黑体"/>
                <w:bCs/>
                <w:color w:val="auto"/>
                <w:sz w:val="24"/>
                <w:lang w:val="en-US" w:eastAsia="zh-CN"/>
              </w:rPr>
              <w:t xml:space="preserve">    </w:t>
            </w:r>
            <w:r>
              <w:rPr>
                <w:rFonts w:eastAsia="黑体"/>
                <w:bCs/>
                <w:color w:val="auto"/>
                <w:sz w:val="24"/>
              </w:rPr>
              <w:t>月</w:t>
            </w:r>
            <w:r>
              <w:rPr>
                <w:rFonts w:hint="eastAsia" w:eastAsia="黑体"/>
                <w:bCs/>
                <w:color w:val="auto"/>
                <w:sz w:val="24"/>
                <w:lang w:val="en-US" w:eastAsia="zh-CN"/>
              </w:rPr>
              <w:t xml:space="preserve">   </w:t>
            </w:r>
            <w:r>
              <w:rPr>
                <w:rFonts w:eastAsia="黑体"/>
                <w:bCs/>
                <w:color w:val="auto"/>
                <w:sz w:val="24"/>
              </w:rPr>
              <w:t>日</w:t>
            </w:r>
            <w:r>
              <w:rPr>
                <w:rFonts w:hint="eastAsia" w:eastAsia="黑体"/>
                <w:bCs/>
                <w:color w:val="auto"/>
                <w:sz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32" w:type="dxa"/>
          </w:tcPr>
          <w:p>
            <w:pPr>
              <w:adjustRightInd w:val="0"/>
              <w:snapToGrid w:val="0"/>
              <w:spacing w:line="520" w:lineRule="exact"/>
              <w:rPr>
                <w:rFonts w:eastAsia="黑体"/>
                <w:bCs/>
                <w:color w:val="auto"/>
                <w:sz w:val="24"/>
              </w:rPr>
            </w:pPr>
            <w:r>
              <w:rPr>
                <w:rFonts w:eastAsia="黑体"/>
                <w:bCs/>
                <w:color w:val="auto"/>
                <w:sz w:val="24"/>
              </w:rPr>
              <w:t>下一级环境保护行政主管部门审查意见：</w:t>
            </w:r>
          </w:p>
          <w:p>
            <w:pPr>
              <w:adjustRightInd w:val="0"/>
              <w:snapToGrid w:val="0"/>
              <w:spacing w:before="240" w:line="520" w:lineRule="exact"/>
              <w:rPr>
                <w:color w:val="auto"/>
                <w:sz w:val="30"/>
                <w:szCs w:val="30"/>
              </w:rPr>
            </w:pPr>
          </w:p>
          <w:p>
            <w:pPr>
              <w:adjustRightInd w:val="0"/>
              <w:snapToGrid w:val="0"/>
              <w:spacing w:before="240" w:line="520" w:lineRule="exact"/>
              <w:rPr>
                <w:color w:val="auto"/>
                <w:sz w:val="30"/>
                <w:szCs w:val="30"/>
              </w:rPr>
            </w:pPr>
          </w:p>
          <w:p>
            <w:pPr>
              <w:adjustRightInd w:val="0"/>
              <w:snapToGrid w:val="0"/>
              <w:spacing w:before="240" w:line="520" w:lineRule="exact"/>
              <w:rPr>
                <w:color w:val="auto"/>
                <w:sz w:val="30"/>
                <w:szCs w:val="30"/>
              </w:rPr>
            </w:pPr>
          </w:p>
          <w:p>
            <w:pPr>
              <w:adjustRightInd w:val="0"/>
              <w:snapToGrid w:val="0"/>
              <w:spacing w:before="240" w:line="520" w:lineRule="exact"/>
              <w:rPr>
                <w:color w:val="auto"/>
                <w:sz w:val="30"/>
                <w:szCs w:val="30"/>
              </w:rPr>
            </w:pPr>
          </w:p>
          <w:p>
            <w:pPr>
              <w:adjustRightInd w:val="0"/>
              <w:snapToGrid w:val="0"/>
              <w:spacing w:before="240" w:line="520" w:lineRule="exact"/>
              <w:rPr>
                <w:color w:val="auto"/>
                <w:sz w:val="30"/>
                <w:szCs w:val="30"/>
              </w:rPr>
            </w:pPr>
          </w:p>
          <w:p>
            <w:pPr>
              <w:wordWrap w:val="0"/>
              <w:adjustRightInd w:val="0"/>
              <w:snapToGrid w:val="0"/>
              <w:spacing w:line="520" w:lineRule="exact"/>
              <w:jc w:val="right"/>
              <w:rPr>
                <w:rFonts w:hint="default" w:eastAsia="黑体"/>
                <w:bCs/>
                <w:color w:val="auto"/>
                <w:sz w:val="24"/>
                <w:lang w:val="en-US" w:eastAsia="zh-CN"/>
              </w:rPr>
            </w:pPr>
            <w:r>
              <w:rPr>
                <w:rFonts w:eastAsia="黑体"/>
                <w:bCs/>
                <w:color w:val="auto"/>
                <w:sz w:val="24"/>
              </w:rPr>
              <w:t>公</w:t>
            </w:r>
            <w:r>
              <w:rPr>
                <w:rFonts w:hint="eastAsia" w:eastAsia="黑体"/>
                <w:bCs/>
                <w:color w:val="auto"/>
                <w:sz w:val="24"/>
                <w:lang w:val="en-US" w:eastAsia="zh-CN"/>
              </w:rPr>
              <w:t xml:space="preserve">  </w:t>
            </w:r>
            <w:r>
              <w:rPr>
                <w:rFonts w:eastAsia="黑体"/>
                <w:bCs/>
                <w:color w:val="auto"/>
                <w:sz w:val="24"/>
              </w:rPr>
              <w:t>章</w:t>
            </w:r>
            <w:r>
              <w:rPr>
                <w:rFonts w:hint="eastAsia" w:eastAsia="黑体"/>
                <w:bCs/>
                <w:color w:val="auto"/>
                <w:sz w:val="24"/>
                <w:lang w:val="en-US" w:eastAsia="zh-CN"/>
              </w:rPr>
              <w:t xml:space="preserve">      </w:t>
            </w:r>
          </w:p>
          <w:p>
            <w:pPr>
              <w:adjustRightInd w:val="0"/>
              <w:snapToGrid w:val="0"/>
              <w:spacing w:line="520" w:lineRule="exact"/>
              <w:rPr>
                <w:rFonts w:eastAsia="黑体"/>
                <w:bCs/>
                <w:color w:val="auto"/>
                <w:sz w:val="24"/>
              </w:rPr>
            </w:pPr>
            <w:r>
              <w:rPr>
                <w:rFonts w:eastAsia="黑体"/>
                <w:bCs/>
                <w:color w:val="auto"/>
                <w:sz w:val="24"/>
              </w:rPr>
              <w:t>经办人：</w:t>
            </w:r>
          </w:p>
          <w:p>
            <w:pPr>
              <w:adjustRightInd w:val="0"/>
              <w:snapToGrid w:val="0"/>
              <w:spacing w:line="520" w:lineRule="exact"/>
              <w:jc w:val="center"/>
              <w:rPr>
                <w:rFonts w:eastAsia="黑体"/>
                <w:bCs/>
                <w:color w:val="auto"/>
                <w:sz w:val="24"/>
              </w:rPr>
            </w:pPr>
            <w:r>
              <w:rPr>
                <w:rFonts w:hint="eastAsia" w:eastAsia="黑体"/>
                <w:bCs/>
                <w:color w:val="auto"/>
                <w:sz w:val="24"/>
                <w:lang w:val="en-US" w:eastAsia="zh-CN"/>
              </w:rPr>
              <w:t xml:space="preserve">                                               </w:t>
            </w:r>
            <w:r>
              <w:rPr>
                <w:rFonts w:eastAsia="黑体"/>
                <w:bCs/>
                <w:color w:val="auto"/>
                <w:sz w:val="24"/>
              </w:rPr>
              <w:t>年</w:t>
            </w:r>
            <w:r>
              <w:rPr>
                <w:rFonts w:hint="eastAsia" w:eastAsia="黑体"/>
                <w:bCs/>
                <w:color w:val="auto"/>
                <w:sz w:val="24"/>
                <w:lang w:val="en-US" w:eastAsia="zh-CN"/>
              </w:rPr>
              <w:t xml:space="preserve">   </w:t>
            </w:r>
            <w:r>
              <w:rPr>
                <w:rFonts w:eastAsia="黑体"/>
                <w:bCs/>
                <w:color w:val="auto"/>
                <w:sz w:val="24"/>
              </w:rPr>
              <w:t>月</w:t>
            </w:r>
            <w:r>
              <w:rPr>
                <w:rFonts w:hint="eastAsia" w:eastAsia="黑体"/>
                <w:bCs/>
                <w:color w:val="auto"/>
                <w:sz w:val="24"/>
                <w:lang w:val="en-US" w:eastAsia="zh-CN"/>
              </w:rPr>
              <w:t xml:space="preserve">    </w:t>
            </w:r>
            <w:r>
              <w:rPr>
                <w:rFonts w:eastAsia="黑体"/>
                <w:bCs/>
                <w:color w:val="auto"/>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7" w:hRule="atLeast"/>
          <w:jc w:val="center"/>
        </w:trPr>
        <w:tc>
          <w:tcPr>
            <w:tcW w:w="8732" w:type="dxa"/>
          </w:tcPr>
          <w:p>
            <w:pPr>
              <w:adjustRightInd w:val="0"/>
              <w:snapToGrid w:val="0"/>
              <w:spacing w:line="520" w:lineRule="exact"/>
              <w:rPr>
                <w:rFonts w:eastAsia="黑体"/>
                <w:bCs/>
                <w:color w:val="auto"/>
                <w:sz w:val="24"/>
              </w:rPr>
            </w:pPr>
            <w:r>
              <w:rPr>
                <w:rFonts w:eastAsia="黑体"/>
                <w:bCs/>
                <w:color w:val="auto"/>
                <w:sz w:val="24"/>
              </w:rPr>
              <w:t>审批意见：</w:t>
            </w: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before="240" w:after="240" w:line="520" w:lineRule="exact"/>
              <w:rPr>
                <w:b/>
                <w:bCs/>
                <w:color w:val="auto"/>
                <w:sz w:val="30"/>
                <w:szCs w:val="30"/>
              </w:rPr>
            </w:pPr>
          </w:p>
          <w:p>
            <w:pPr>
              <w:adjustRightInd w:val="0"/>
              <w:snapToGrid w:val="0"/>
              <w:spacing w:line="520" w:lineRule="exact"/>
              <w:rPr>
                <w:rFonts w:eastAsia="黑体"/>
                <w:bCs/>
                <w:color w:val="auto"/>
                <w:sz w:val="24"/>
              </w:rPr>
            </w:pPr>
          </w:p>
          <w:p>
            <w:pPr>
              <w:adjustRightInd w:val="0"/>
              <w:snapToGrid w:val="0"/>
              <w:spacing w:line="520" w:lineRule="exact"/>
              <w:rPr>
                <w:rFonts w:eastAsia="黑体"/>
                <w:bCs/>
                <w:color w:val="auto"/>
                <w:sz w:val="24"/>
              </w:rPr>
            </w:pPr>
          </w:p>
          <w:p>
            <w:pPr>
              <w:wordWrap w:val="0"/>
              <w:adjustRightInd w:val="0"/>
              <w:snapToGrid w:val="0"/>
              <w:spacing w:line="520" w:lineRule="exact"/>
              <w:jc w:val="right"/>
              <w:rPr>
                <w:rFonts w:hint="default" w:eastAsia="黑体"/>
                <w:bCs/>
                <w:color w:val="auto"/>
                <w:sz w:val="24"/>
                <w:lang w:val="en-US" w:eastAsia="zh-CN"/>
              </w:rPr>
            </w:pPr>
            <w:r>
              <w:rPr>
                <w:rFonts w:eastAsia="黑体"/>
                <w:bCs/>
                <w:color w:val="auto"/>
                <w:sz w:val="24"/>
              </w:rPr>
              <w:t>公</w:t>
            </w:r>
            <w:r>
              <w:rPr>
                <w:rFonts w:hint="eastAsia" w:eastAsia="黑体"/>
                <w:bCs/>
                <w:color w:val="auto"/>
                <w:sz w:val="24"/>
                <w:lang w:val="en-US" w:eastAsia="zh-CN"/>
              </w:rPr>
              <w:t xml:space="preserve">  </w:t>
            </w:r>
            <w:r>
              <w:rPr>
                <w:rFonts w:eastAsia="黑体"/>
                <w:bCs/>
                <w:color w:val="auto"/>
                <w:sz w:val="24"/>
              </w:rPr>
              <w:t>章</w:t>
            </w:r>
            <w:r>
              <w:rPr>
                <w:rFonts w:hint="eastAsia" w:eastAsia="黑体"/>
                <w:bCs/>
                <w:color w:val="auto"/>
                <w:sz w:val="24"/>
                <w:lang w:val="en-US" w:eastAsia="zh-CN"/>
              </w:rPr>
              <w:t xml:space="preserve">      </w:t>
            </w:r>
          </w:p>
          <w:p>
            <w:pPr>
              <w:adjustRightInd w:val="0"/>
              <w:snapToGrid w:val="0"/>
              <w:spacing w:line="520" w:lineRule="exact"/>
              <w:rPr>
                <w:rFonts w:eastAsia="黑体"/>
                <w:bCs/>
                <w:color w:val="auto"/>
                <w:sz w:val="24"/>
              </w:rPr>
            </w:pPr>
            <w:r>
              <w:rPr>
                <w:rFonts w:eastAsia="黑体"/>
                <w:bCs/>
                <w:color w:val="auto"/>
                <w:sz w:val="24"/>
              </w:rPr>
              <w:t>经办人：</w:t>
            </w:r>
          </w:p>
          <w:p>
            <w:pPr>
              <w:adjustRightInd w:val="0"/>
              <w:snapToGrid w:val="0"/>
              <w:spacing w:line="520" w:lineRule="exact"/>
              <w:ind w:firstLine="480" w:firstLineChars="200"/>
              <w:jc w:val="center"/>
              <w:rPr>
                <w:rFonts w:eastAsia="黑体"/>
                <w:bCs/>
                <w:color w:val="auto"/>
                <w:sz w:val="24"/>
              </w:rPr>
            </w:pPr>
            <w:r>
              <w:rPr>
                <w:rFonts w:hint="eastAsia" w:eastAsia="黑体"/>
                <w:bCs/>
                <w:color w:val="auto"/>
                <w:sz w:val="24"/>
                <w:lang w:val="en-US" w:eastAsia="zh-CN"/>
              </w:rPr>
              <w:t xml:space="preserve">                                             </w:t>
            </w:r>
            <w:r>
              <w:rPr>
                <w:rFonts w:eastAsia="黑体"/>
                <w:bCs/>
                <w:color w:val="auto"/>
                <w:sz w:val="24"/>
              </w:rPr>
              <w:t>年</w:t>
            </w:r>
            <w:r>
              <w:rPr>
                <w:rFonts w:hint="eastAsia" w:eastAsia="黑体"/>
                <w:bCs/>
                <w:color w:val="auto"/>
                <w:sz w:val="24"/>
                <w:lang w:val="en-US" w:eastAsia="zh-CN"/>
              </w:rPr>
              <w:t xml:space="preserve">  </w:t>
            </w:r>
            <w:r>
              <w:rPr>
                <w:rFonts w:eastAsia="黑体"/>
                <w:bCs/>
                <w:color w:val="auto"/>
                <w:sz w:val="24"/>
              </w:rPr>
              <w:t>月</w:t>
            </w:r>
            <w:r>
              <w:rPr>
                <w:rFonts w:hint="eastAsia" w:eastAsia="黑体"/>
                <w:bCs/>
                <w:color w:val="auto"/>
                <w:sz w:val="24"/>
                <w:lang w:val="en-US" w:eastAsia="zh-CN"/>
              </w:rPr>
              <w:t xml:space="preserve">  </w:t>
            </w:r>
            <w:r>
              <w:rPr>
                <w:rFonts w:eastAsia="黑体"/>
                <w:bCs/>
                <w:color w:val="auto"/>
                <w:sz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7" w:hRule="atLeast"/>
          <w:jc w:val="center"/>
        </w:trPr>
        <w:tc>
          <w:tcPr>
            <w:tcW w:w="8732" w:type="dxa"/>
          </w:tcPr>
          <w:p>
            <w:pPr>
              <w:snapToGrid w:val="0"/>
              <w:spacing w:line="520" w:lineRule="exact"/>
              <w:jc w:val="center"/>
              <w:rPr>
                <w:b/>
                <w:color w:val="auto"/>
                <w:sz w:val="28"/>
                <w:szCs w:val="28"/>
                <w:highlight w:val="none"/>
              </w:rPr>
            </w:pPr>
            <w:r>
              <w:rPr>
                <w:b/>
                <w:color w:val="auto"/>
                <w:sz w:val="28"/>
                <w:szCs w:val="28"/>
                <w:highlight w:val="none"/>
              </w:rPr>
              <w:t>注     释</w:t>
            </w:r>
          </w:p>
          <w:p>
            <w:pPr>
              <w:spacing w:line="500" w:lineRule="exact"/>
              <w:ind w:firstLine="480" w:firstLineChars="200"/>
              <w:rPr>
                <w:rFonts w:eastAsia="Times New Roman"/>
                <w:color w:val="auto"/>
                <w:sz w:val="24"/>
                <w:szCs w:val="24"/>
              </w:rPr>
            </w:pPr>
            <w:r>
              <w:rPr>
                <w:color w:val="auto"/>
                <w:sz w:val="24"/>
                <w:szCs w:val="24"/>
              </w:rPr>
              <w:t>一、本报告表应附以下附图、附件：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附图1 </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项目地理位置图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附图</w:t>
            </w:r>
            <w:r>
              <w:rPr>
                <w:rFonts w:hint="eastAsia" w:cs="Times New Roman"/>
                <w:color w:val="auto"/>
                <w:sz w:val="24"/>
                <w:szCs w:val="24"/>
                <w:lang w:val="en-US" w:eastAsia="zh-CN"/>
              </w:rPr>
              <w:t>2</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项目</w:t>
            </w:r>
            <w:r>
              <w:rPr>
                <w:rFonts w:hint="eastAsia" w:ascii="Times New Roman" w:hAnsi="Times New Roman" w:cs="Times New Roman"/>
                <w:color w:val="auto"/>
                <w:sz w:val="24"/>
                <w:szCs w:val="24"/>
              </w:rPr>
              <w:t>周围环境</w:t>
            </w:r>
            <w:r>
              <w:rPr>
                <w:rFonts w:hint="eastAsia" w:cs="Times New Roman"/>
                <w:color w:val="auto"/>
                <w:sz w:val="24"/>
                <w:szCs w:val="24"/>
                <w:lang w:val="en-US" w:eastAsia="zh-CN"/>
              </w:rPr>
              <w:t>示意</w:t>
            </w:r>
            <w:r>
              <w:rPr>
                <w:rFonts w:hint="eastAsia" w:ascii="Times New Roman" w:hAnsi="Times New Roman" w:cs="Times New Roman"/>
                <w:color w:val="auto"/>
                <w:sz w:val="24"/>
                <w:szCs w:val="24"/>
              </w:rPr>
              <w:t>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cs="Times New Roman"/>
                <w:color w:val="auto"/>
                <w:sz w:val="24"/>
                <w:szCs w:val="24"/>
              </w:rPr>
            </w:pPr>
            <w:r>
              <w:rPr>
                <w:rFonts w:ascii="Times New Roman" w:hAnsi="Times New Roman" w:cs="Times New Roman"/>
                <w:color w:val="auto"/>
                <w:sz w:val="24"/>
                <w:szCs w:val="24"/>
              </w:rPr>
              <w:t>附图</w:t>
            </w:r>
            <w:r>
              <w:rPr>
                <w:rFonts w:hint="eastAsia" w:cs="Times New Roman"/>
                <w:color w:val="auto"/>
                <w:sz w:val="24"/>
                <w:szCs w:val="24"/>
                <w:lang w:val="en-US" w:eastAsia="zh-CN"/>
              </w:rPr>
              <w:t>3</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项目平面布置图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rPr>
              <w:t>附图</w:t>
            </w:r>
            <w:r>
              <w:rPr>
                <w:rFonts w:hint="eastAsia" w:cs="Times New Roman"/>
                <w:color w:val="auto"/>
                <w:sz w:val="24"/>
                <w:szCs w:val="24"/>
                <w:lang w:val="en-US" w:eastAsia="zh-CN"/>
              </w:rPr>
              <w:t>4</w:t>
            </w:r>
            <w:r>
              <w:rPr>
                <w:rFonts w:hint="eastAsia" w:ascii="Times New Roman" w:hAnsi="Times New Roman" w:cs="Times New Roman"/>
                <w:color w:val="auto"/>
                <w:sz w:val="24"/>
                <w:szCs w:val="24"/>
                <w:lang w:val="en-US" w:eastAsia="zh-CN"/>
              </w:rPr>
              <w:t xml:space="preserve">  项目在凤泉区土地利用总体规划图中的位置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color w:val="auto"/>
                <w:sz w:val="24"/>
                <w:szCs w:val="24"/>
              </w:rPr>
            </w:pPr>
            <w:r>
              <w:rPr>
                <w:rFonts w:hint="eastAsia" w:cs="Times New Roman"/>
                <w:color w:val="auto"/>
                <w:sz w:val="24"/>
                <w:szCs w:val="24"/>
                <w:lang w:val="en-US" w:eastAsia="zh-CN"/>
              </w:rPr>
              <w:t xml:space="preserve">附图5  </w:t>
            </w:r>
            <w:r>
              <w:rPr>
                <w:rFonts w:hint="eastAsia" w:ascii="Times New Roman" w:hAnsi="Times New Roman" w:cs="Times New Roman"/>
                <w:color w:val="auto"/>
                <w:sz w:val="24"/>
                <w:szCs w:val="24"/>
                <w:lang w:val="en-US" w:eastAsia="zh-CN"/>
              </w:rPr>
              <w:t>项目周围环境实景照片</w:t>
            </w:r>
          </w:p>
          <w:p>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附件</w:t>
            </w:r>
            <w:r>
              <w:rPr>
                <w:rFonts w:hint="eastAsia" w:eastAsia="宋体" w:cs="Times New Roman"/>
                <w:bCs/>
                <w:color w:val="auto"/>
                <w:sz w:val="24"/>
                <w:szCs w:val="24"/>
                <w:lang w:val="en-US" w:eastAsia="zh-CN"/>
              </w:rPr>
              <w:t>1</w:t>
            </w:r>
            <w:r>
              <w:rPr>
                <w:rFonts w:ascii="Times New Roman" w:hAnsi="Times New Roman" w:eastAsia="宋体" w:cs="Times New Roman"/>
                <w:bCs/>
                <w:color w:val="auto"/>
                <w:sz w:val="24"/>
                <w:szCs w:val="24"/>
              </w:rPr>
              <w:t xml:space="preserve">  委托书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xml:space="preserve">  备案</w:t>
            </w:r>
            <w:r>
              <w:rPr>
                <w:rFonts w:hint="eastAsia" w:cs="Times New Roman"/>
                <w:color w:val="auto"/>
                <w:sz w:val="24"/>
                <w:szCs w:val="24"/>
                <w:lang w:eastAsia="zh-CN"/>
              </w:rPr>
              <w:t>证明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xml:space="preserve">  </w:t>
            </w:r>
            <w:r>
              <w:rPr>
                <w:rFonts w:hint="eastAsia" w:cs="Times New Roman"/>
                <w:color w:val="auto"/>
                <w:sz w:val="24"/>
                <w:szCs w:val="24"/>
                <w:lang w:eastAsia="zh-CN"/>
              </w:rPr>
              <w:t>集体土地</w:t>
            </w:r>
            <w:r>
              <w:rPr>
                <w:rFonts w:hint="eastAsia" w:ascii="Times New Roman" w:hAnsi="Times New Roman" w:eastAsia="宋体" w:cs="Times New Roman"/>
                <w:color w:val="auto"/>
                <w:sz w:val="24"/>
                <w:szCs w:val="24"/>
              </w:rPr>
              <w:t>建设用地</w:t>
            </w:r>
            <w:r>
              <w:rPr>
                <w:rFonts w:hint="eastAsia" w:cs="Times New Roman"/>
                <w:color w:val="auto"/>
                <w:sz w:val="24"/>
                <w:szCs w:val="24"/>
                <w:lang w:eastAsia="zh-CN"/>
              </w:rPr>
              <w:t>使用证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xml:space="preserve">  </w:t>
            </w:r>
            <w:r>
              <w:rPr>
                <w:rFonts w:hint="eastAsia" w:cs="Times New Roman"/>
                <w:color w:val="auto"/>
                <w:sz w:val="24"/>
                <w:szCs w:val="24"/>
                <w:lang w:eastAsia="zh-CN"/>
              </w:rPr>
              <w:t>油罐防渗改造竣工备案表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 xml:space="preserve">  </w:t>
            </w:r>
            <w:r>
              <w:rPr>
                <w:rFonts w:hint="eastAsia" w:cs="Times New Roman"/>
                <w:color w:val="auto"/>
                <w:sz w:val="24"/>
                <w:szCs w:val="24"/>
                <w:lang w:eastAsia="zh-CN"/>
              </w:rPr>
              <w:t>应急预案备案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附件6  成品油零售经营批准证书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s="Times New Roman"/>
                <w:color w:val="auto"/>
                <w:sz w:val="24"/>
                <w:szCs w:val="24"/>
                <w:lang w:val="en-US" w:eastAsia="zh-CN"/>
              </w:rPr>
            </w:pPr>
            <w:r>
              <w:rPr>
                <w:rFonts w:hint="eastAsia" w:cs="Times New Roman"/>
                <w:color w:val="auto"/>
                <w:sz w:val="24"/>
                <w:szCs w:val="24"/>
                <w:lang w:val="en-US" w:eastAsia="zh-CN"/>
              </w:rPr>
              <w:t>附件7  危险化学品经营许可证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附件8  处罚决定书及缴款凭证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eastAsia="zh-CN"/>
              </w:rPr>
              <w:t>附件</w:t>
            </w:r>
            <w:r>
              <w:rPr>
                <w:rFonts w:hint="eastAsia" w:cs="Times New Roman"/>
                <w:color w:val="auto"/>
                <w:sz w:val="24"/>
                <w:szCs w:val="24"/>
                <w:lang w:val="en-US" w:eastAsia="zh-CN"/>
              </w:rPr>
              <w:t xml:space="preserve">9  </w:t>
            </w:r>
            <w:r>
              <w:rPr>
                <w:rFonts w:hint="eastAsia" w:ascii="Times New Roman" w:hAnsi="Times New Roman" w:eastAsia="宋体" w:cs="Times New Roman"/>
                <w:color w:val="auto"/>
                <w:sz w:val="24"/>
                <w:szCs w:val="24"/>
                <w:lang w:val="en-US" w:eastAsia="zh-CN"/>
              </w:rPr>
              <w:t>营业执照</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rPr>
            </w:pPr>
            <w:r>
              <w:rPr>
                <w:rFonts w:hint="eastAsia" w:cs="Times New Roman"/>
                <w:color w:val="auto"/>
                <w:sz w:val="24"/>
                <w:szCs w:val="24"/>
                <w:lang w:val="en-US" w:eastAsia="zh-CN"/>
              </w:rPr>
              <w:t xml:space="preserve">附件10 法人身份证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w:t>
            </w:r>
            <w:r>
              <w:rPr>
                <w:rFonts w:hint="eastAsia" w:cs="Times New Roman"/>
                <w:color w:val="auto"/>
                <w:sz w:val="24"/>
                <w:szCs w:val="24"/>
                <w:lang w:val="en-US" w:eastAsia="zh-CN"/>
              </w:rPr>
              <w:t xml:space="preserve">11 </w:t>
            </w:r>
            <w:r>
              <w:rPr>
                <w:rFonts w:hint="eastAsia" w:ascii="Times New Roman" w:hAnsi="Times New Roman" w:eastAsia="宋体" w:cs="Times New Roman"/>
                <w:color w:val="auto"/>
                <w:sz w:val="24"/>
                <w:szCs w:val="24"/>
              </w:rPr>
              <w:t>监测报告</w:t>
            </w:r>
          </w:p>
          <w:p>
            <w:pPr>
              <w:snapToGrid w:val="0"/>
              <w:spacing w:line="500" w:lineRule="exact"/>
              <w:ind w:firstLine="480" w:firstLineChars="200"/>
              <w:rPr>
                <w:rFonts w:ascii="Times New Roman" w:hAnsi="Times New Roman" w:eastAsia="Times New Roman" w:cs="Times New Roman"/>
                <w:color w:val="auto"/>
                <w:sz w:val="24"/>
                <w:szCs w:val="24"/>
              </w:rPr>
            </w:pPr>
            <w:r>
              <w:rPr>
                <w:rFonts w:ascii="Times New Roman" w:hAnsi="Times New Roman" w:cs="Times New Roman"/>
                <w:color w:val="auto"/>
                <w:sz w:val="24"/>
                <w:szCs w:val="24"/>
              </w:rPr>
              <w:t>二、如果本报告表不能说明项目产生的污染及对环境造成的影响，应进行专项评价。根据建设项目的特点和当地环境特征，应选下列1～2项进行专项评价。</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1、大气环境影响专项评价</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2、水环境影响专项评价（包括地表水和地下水）</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3、生态影响专项评价</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4、声环境专项评价</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5、土壤影响专项评价</w:t>
            </w:r>
          </w:p>
          <w:p>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ascii="Times New Roman" w:hAnsi="Times New Roman" w:eastAsia="Times New Roman" w:cs="Times New Roman"/>
                <w:color w:val="auto"/>
                <w:sz w:val="24"/>
                <w:szCs w:val="24"/>
              </w:rPr>
            </w:pPr>
            <w:r>
              <w:rPr>
                <w:rFonts w:ascii="Times New Roman" w:hAnsi="Times New Roman" w:cs="Times New Roman"/>
                <w:color w:val="auto"/>
                <w:sz w:val="24"/>
                <w:szCs w:val="24"/>
              </w:rPr>
              <w:t>6、固定废物影响专项评价</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default" w:eastAsia="宋体"/>
                <w:bCs/>
                <w:color w:val="auto"/>
                <w:sz w:val="24"/>
                <w:lang w:val="en-US" w:eastAsia="zh-CN"/>
              </w:rPr>
            </w:pPr>
            <w:r>
              <w:rPr>
                <w:rFonts w:ascii="Times New Roman" w:hAnsi="Times New Roman" w:cs="Times New Roman"/>
                <w:color w:val="auto"/>
                <w:sz w:val="24"/>
                <w:szCs w:val="24"/>
              </w:rPr>
              <w:t>以上专项评价未包括的可另列专项，专项评价按照《环境影响评价技术导则》中的要求进行。</w:t>
            </w:r>
          </w:p>
        </w:tc>
      </w:tr>
    </w:tbl>
    <w:p>
      <w:pPr>
        <w:rPr>
          <w:rFonts w:hint="eastAsia"/>
          <w:color w:val="auto"/>
          <w:lang w:eastAsia="zh-CN"/>
        </w:rPr>
      </w:pPr>
    </w:p>
    <w:sectPr>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49" o:spid="_x0000_s2049" o:spt="202" type="#_x0000_t202" style="position:absolute;left:0pt;margin-top:-25.65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0" o:spid="_x0000_s2050" o:spt="202" type="#_x0000_t202" style="position:absolute;left:0pt;margin-left:213.2pt;margin-top:-15.6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19705"/>
    <w:multiLevelType w:val="singleLevel"/>
    <w:tmpl w:val="EEC19705"/>
    <w:lvl w:ilvl="0" w:tentative="0">
      <w:start w:val="1"/>
      <w:numFmt w:val="decimalEnclosedCircleChinese"/>
      <w:suff w:val="space"/>
      <w:lvlText w:val="%1"/>
      <w:lvlJc w:val="left"/>
      <w:rPr>
        <w:rFonts w:hint="eastAsia"/>
      </w:rPr>
    </w:lvl>
  </w:abstractNum>
  <w:abstractNum w:abstractNumId="1">
    <w:nsid w:val="1BA7C02F"/>
    <w:multiLevelType w:val="singleLevel"/>
    <w:tmpl w:val="1BA7C02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evenAndOddHeaders w:val="1"/>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0BF"/>
    <w:rsid w:val="00003C81"/>
    <w:rsid w:val="00003E3E"/>
    <w:rsid w:val="000049B1"/>
    <w:rsid w:val="00004F1D"/>
    <w:rsid w:val="000108B0"/>
    <w:rsid w:val="000117FF"/>
    <w:rsid w:val="000136F4"/>
    <w:rsid w:val="00013CCD"/>
    <w:rsid w:val="00016974"/>
    <w:rsid w:val="00017FB7"/>
    <w:rsid w:val="00022BC5"/>
    <w:rsid w:val="000245DF"/>
    <w:rsid w:val="000267BB"/>
    <w:rsid w:val="00026DF2"/>
    <w:rsid w:val="00030200"/>
    <w:rsid w:val="00030C4E"/>
    <w:rsid w:val="00032385"/>
    <w:rsid w:val="0003481A"/>
    <w:rsid w:val="00034D3B"/>
    <w:rsid w:val="00037799"/>
    <w:rsid w:val="00037E16"/>
    <w:rsid w:val="00041B0D"/>
    <w:rsid w:val="000421DC"/>
    <w:rsid w:val="00042921"/>
    <w:rsid w:val="00043E8E"/>
    <w:rsid w:val="000441B4"/>
    <w:rsid w:val="00045BE8"/>
    <w:rsid w:val="0004720C"/>
    <w:rsid w:val="00050124"/>
    <w:rsid w:val="0005023B"/>
    <w:rsid w:val="000502A2"/>
    <w:rsid w:val="00050FEB"/>
    <w:rsid w:val="00051D42"/>
    <w:rsid w:val="0005253F"/>
    <w:rsid w:val="00052896"/>
    <w:rsid w:val="00053442"/>
    <w:rsid w:val="000539F4"/>
    <w:rsid w:val="00054A6A"/>
    <w:rsid w:val="00054DF9"/>
    <w:rsid w:val="000566C2"/>
    <w:rsid w:val="0005765E"/>
    <w:rsid w:val="00057CA2"/>
    <w:rsid w:val="00060D30"/>
    <w:rsid w:val="000610D2"/>
    <w:rsid w:val="00062731"/>
    <w:rsid w:val="00062A2E"/>
    <w:rsid w:val="000632E2"/>
    <w:rsid w:val="000633E3"/>
    <w:rsid w:val="00063564"/>
    <w:rsid w:val="00063C8E"/>
    <w:rsid w:val="00064049"/>
    <w:rsid w:val="00064EBD"/>
    <w:rsid w:val="000650C8"/>
    <w:rsid w:val="0006648C"/>
    <w:rsid w:val="0006752A"/>
    <w:rsid w:val="00067F06"/>
    <w:rsid w:val="00070252"/>
    <w:rsid w:val="000703D4"/>
    <w:rsid w:val="000710AE"/>
    <w:rsid w:val="000711E6"/>
    <w:rsid w:val="000723F7"/>
    <w:rsid w:val="000729A2"/>
    <w:rsid w:val="00073A8C"/>
    <w:rsid w:val="00073BB1"/>
    <w:rsid w:val="00074F89"/>
    <w:rsid w:val="000754CF"/>
    <w:rsid w:val="00077CEE"/>
    <w:rsid w:val="000816BA"/>
    <w:rsid w:val="00081A49"/>
    <w:rsid w:val="00082DD2"/>
    <w:rsid w:val="00084489"/>
    <w:rsid w:val="000859C5"/>
    <w:rsid w:val="0008630E"/>
    <w:rsid w:val="00086722"/>
    <w:rsid w:val="0008714C"/>
    <w:rsid w:val="00087A87"/>
    <w:rsid w:val="00087BF7"/>
    <w:rsid w:val="000902E5"/>
    <w:rsid w:val="00090503"/>
    <w:rsid w:val="00090660"/>
    <w:rsid w:val="00091859"/>
    <w:rsid w:val="00091A88"/>
    <w:rsid w:val="000920EF"/>
    <w:rsid w:val="000944FD"/>
    <w:rsid w:val="0009458D"/>
    <w:rsid w:val="00094963"/>
    <w:rsid w:val="00095B69"/>
    <w:rsid w:val="00096A9F"/>
    <w:rsid w:val="00097B2E"/>
    <w:rsid w:val="000A10E9"/>
    <w:rsid w:val="000A30E6"/>
    <w:rsid w:val="000A3853"/>
    <w:rsid w:val="000A3CCE"/>
    <w:rsid w:val="000A4D28"/>
    <w:rsid w:val="000A5278"/>
    <w:rsid w:val="000A5ABE"/>
    <w:rsid w:val="000A5CEF"/>
    <w:rsid w:val="000A7921"/>
    <w:rsid w:val="000B051D"/>
    <w:rsid w:val="000B09FD"/>
    <w:rsid w:val="000B137B"/>
    <w:rsid w:val="000B14BE"/>
    <w:rsid w:val="000B158F"/>
    <w:rsid w:val="000B23B5"/>
    <w:rsid w:val="000B2846"/>
    <w:rsid w:val="000B65C1"/>
    <w:rsid w:val="000B7823"/>
    <w:rsid w:val="000B78FE"/>
    <w:rsid w:val="000B7CD3"/>
    <w:rsid w:val="000C0E60"/>
    <w:rsid w:val="000C3EA2"/>
    <w:rsid w:val="000C4F1D"/>
    <w:rsid w:val="000C53FE"/>
    <w:rsid w:val="000C69C9"/>
    <w:rsid w:val="000D0007"/>
    <w:rsid w:val="000D078D"/>
    <w:rsid w:val="000D341D"/>
    <w:rsid w:val="000D4A2C"/>
    <w:rsid w:val="000D5CFB"/>
    <w:rsid w:val="000D7EB9"/>
    <w:rsid w:val="000E1785"/>
    <w:rsid w:val="000E17F7"/>
    <w:rsid w:val="000E19A3"/>
    <w:rsid w:val="000E1B9F"/>
    <w:rsid w:val="000E3E58"/>
    <w:rsid w:val="000E3FAD"/>
    <w:rsid w:val="000E52B1"/>
    <w:rsid w:val="000E539B"/>
    <w:rsid w:val="000E5404"/>
    <w:rsid w:val="000E6D70"/>
    <w:rsid w:val="000E6E30"/>
    <w:rsid w:val="000E70BA"/>
    <w:rsid w:val="000E74E6"/>
    <w:rsid w:val="000E7BA7"/>
    <w:rsid w:val="000E7D2D"/>
    <w:rsid w:val="000F15FC"/>
    <w:rsid w:val="000F190A"/>
    <w:rsid w:val="000F338D"/>
    <w:rsid w:val="000F365D"/>
    <w:rsid w:val="000F52D9"/>
    <w:rsid w:val="000F5A3B"/>
    <w:rsid w:val="000F5C9C"/>
    <w:rsid w:val="000F5CB1"/>
    <w:rsid w:val="000F6045"/>
    <w:rsid w:val="00100013"/>
    <w:rsid w:val="00101E5C"/>
    <w:rsid w:val="001040C7"/>
    <w:rsid w:val="00105128"/>
    <w:rsid w:val="001074B3"/>
    <w:rsid w:val="001076E4"/>
    <w:rsid w:val="0011087D"/>
    <w:rsid w:val="00110BD4"/>
    <w:rsid w:val="00111D12"/>
    <w:rsid w:val="0011334D"/>
    <w:rsid w:val="0011520E"/>
    <w:rsid w:val="00115407"/>
    <w:rsid w:val="00115CFE"/>
    <w:rsid w:val="00115D07"/>
    <w:rsid w:val="0011679F"/>
    <w:rsid w:val="00116AAC"/>
    <w:rsid w:val="00117FBE"/>
    <w:rsid w:val="001204C9"/>
    <w:rsid w:val="00122D40"/>
    <w:rsid w:val="00124D38"/>
    <w:rsid w:val="00125BBD"/>
    <w:rsid w:val="00125D0B"/>
    <w:rsid w:val="00125ED0"/>
    <w:rsid w:val="00126DB5"/>
    <w:rsid w:val="00127206"/>
    <w:rsid w:val="00127746"/>
    <w:rsid w:val="0013007A"/>
    <w:rsid w:val="00130DB2"/>
    <w:rsid w:val="001311E6"/>
    <w:rsid w:val="001320C2"/>
    <w:rsid w:val="001324BC"/>
    <w:rsid w:val="001327BF"/>
    <w:rsid w:val="00132E16"/>
    <w:rsid w:val="00133135"/>
    <w:rsid w:val="001332A9"/>
    <w:rsid w:val="00134320"/>
    <w:rsid w:val="0013469F"/>
    <w:rsid w:val="001361F0"/>
    <w:rsid w:val="00136E7E"/>
    <w:rsid w:val="00140D36"/>
    <w:rsid w:val="00141123"/>
    <w:rsid w:val="00141816"/>
    <w:rsid w:val="00142292"/>
    <w:rsid w:val="00143336"/>
    <w:rsid w:val="001434F3"/>
    <w:rsid w:val="0014632C"/>
    <w:rsid w:val="001464E7"/>
    <w:rsid w:val="00147389"/>
    <w:rsid w:val="00150623"/>
    <w:rsid w:val="00151E12"/>
    <w:rsid w:val="00152907"/>
    <w:rsid w:val="00153570"/>
    <w:rsid w:val="00153DD7"/>
    <w:rsid w:val="0015414E"/>
    <w:rsid w:val="001542FE"/>
    <w:rsid w:val="00154BE4"/>
    <w:rsid w:val="001550FF"/>
    <w:rsid w:val="00155DF3"/>
    <w:rsid w:val="001572A2"/>
    <w:rsid w:val="00160650"/>
    <w:rsid w:val="00161D59"/>
    <w:rsid w:val="001644FA"/>
    <w:rsid w:val="00164781"/>
    <w:rsid w:val="00164DD2"/>
    <w:rsid w:val="001673D8"/>
    <w:rsid w:val="00172A27"/>
    <w:rsid w:val="001735DE"/>
    <w:rsid w:val="00173671"/>
    <w:rsid w:val="00173740"/>
    <w:rsid w:val="00175A47"/>
    <w:rsid w:val="00176461"/>
    <w:rsid w:val="00176A87"/>
    <w:rsid w:val="001812E7"/>
    <w:rsid w:val="001831C9"/>
    <w:rsid w:val="0018350A"/>
    <w:rsid w:val="00184813"/>
    <w:rsid w:val="00185040"/>
    <w:rsid w:val="00185FDF"/>
    <w:rsid w:val="0018739B"/>
    <w:rsid w:val="00187C24"/>
    <w:rsid w:val="00190365"/>
    <w:rsid w:val="001920D5"/>
    <w:rsid w:val="00192C87"/>
    <w:rsid w:val="00192F87"/>
    <w:rsid w:val="00194AC7"/>
    <w:rsid w:val="00195886"/>
    <w:rsid w:val="00197B9D"/>
    <w:rsid w:val="001A1148"/>
    <w:rsid w:val="001A13D7"/>
    <w:rsid w:val="001A13F9"/>
    <w:rsid w:val="001A3404"/>
    <w:rsid w:val="001A3ED8"/>
    <w:rsid w:val="001A494A"/>
    <w:rsid w:val="001A49FE"/>
    <w:rsid w:val="001A5E4D"/>
    <w:rsid w:val="001A6B0E"/>
    <w:rsid w:val="001A6DA1"/>
    <w:rsid w:val="001A6EA8"/>
    <w:rsid w:val="001A73C2"/>
    <w:rsid w:val="001B0A86"/>
    <w:rsid w:val="001B15A0"/>
    <w:rsid w:val="001B2A9D"/>
    <w:rsid w:val="001B4913"/>
    <w:rsid w:val="001B4B16"/>
    <w:rsid w:val="001B4C74"/>
    <w:rsid w:val="001B4E2D"/>
    <w:rsid w:val="001B6295"/>
    <w:rsid w:val="001C1A26"/>
    <w:rsid w:val="001C2E08"/>
    <w:rsid w:val="001C3148"/>
    <w:rsid w:val="001C4797"/>
    <w:rsid w:val="001C4B0C"/>
    <w:rsid w:val="001C5556"/>
    <w:rsid w:val="001C5E10"/>
    <w:rsid w:val="001D27AE"/>
    <w:rsid w:val="001D2912"/>
    <w:rsid w:val="001D2976"/>
    <w:rsid w:val="001E0467"/>
    <w:rsid w:val="001E09F2"/>
    <w:rsid w:val="001E28EE"/>
    <w:rsid w:val="001E45FB"/>
    <w:rsid w:val="001E495F"/>
    <w:rsid w:val="001F0644"/>
    <w:rsid w:val="001F0667"/>
    <w:rsid w:val="001F0D1A"/>
    <w:rsid w:val="001F17D8"/>
    <w:rsid w:val="001F248F"/>
    <w:rsid w:val="001F3EB9"/>
    <w:rsid w:val="001F413C"/>
    <w:rsid w:val="001F5A4B"/>
    <w:rsid w:val="001F5F7C"/>
    <w:rsid w:val="00200082"/>
    <w:rsid w:val="002014B2"/>
    <w:rsid w:val="00201AAF"/>
    <w:rsid w:val="00201CE1"/>
    <w:rsid w:val="002029F8"/>
    <w:rsid w:val="00203C6A"/>
    <w:rsid w:val="00204A03"/>
    <w:rsid w:val="00205FC4"/>
    <w:rsid w:val="002074F6"/>
    <w:rsid w:val="00207802"/>
    <w:rsid w:val="0020792E"/>
    <w:rsid w:val="0021088C"/>
    <w:rsid w:val="0021104F"/>
    <w:rsid w:val="0021248C"/>
    <w:rsid w:val="00212774"/>
    <w:rsid w:val="0021282C"/>
    <w:rsid w:val="00214496"/>
    <w:rsid w:val="002158E4"/>
    <w:rsid w:val="00215DD0"/>
    <w:rsid w:val="002171A9"/>
    <w:rsid w:val="00217A14"/>
    <w:rsid w:val="002210C2"/>
    <w:rsid w:val="002210D3"/>
    <w:rsid w:val="002218CB"/>
    <w:rsid w:val="00221F7E"/>
    <w:rsid w:val="0022258F"/>
    <w:rsid w:val="002231D6"/>
    <w:rsid w:val="00223231"/>
    <w:rsid w:val="00223A64"/>
    <w:rsid w:val="00224C1B"/>
    <w:rsid w:val="00224FCD"/>
    <w:rsid w:val="0022642A"/>
    <w:rsid w:val="00227976"/>
    <w:rsid w:val="002300A6"/>
    <w:rsid w:val="002303C4"/>
    <w:rsid w:val="0023043D"/>
    <w:rsid w:val="00230825"/>
    <w:rsid w:val="00231826"/>
    <w:rsid w:val="00231F30"/>
    <w:rsid w:val="002324C8"/>
    <w:rsid w:val="002328A9"/>
    <w:rsid w:val="0023360F"/>
    <w:rsid w:val="0023446F"/>
    <w:rsid w:val="00236A25"/>
    <w:rsid w:val="002370A7"/>
    <w:rsid w:val="00237249"/>
    <w:rsid w:val="0023757A"/>
    <w:rsid w:val="00237A93"/>
    <w:rsid w:val="00240A51"/>
    <w:rsid w:val="00240D31"/>
    <w:rsid w:val="00241A26"/>
    <w:rsid w:val="00242DE6"/>
    <w:rsid w:val="0024309C"/>
    <w:rsid w:val="0024338B"/>
    <w:rsid w:val="002434EC"/>
    <w:rsid w:val="0024425F"/>
    <w:rsid w:val="00245099"/>
    <w:rsid w:val="00246154"/>
    <w:rsid w:val="0024652C"/>
    <w:rsid w:val="00246769"/>
    <w:rsid w:val="00247D09"/>
    <w:rsid w:val="00247D62"/>
    <w:rsid w:val="00252F20"/>
    <w:rsid w:val="00254720"/>
    <w:rsid w:val="00255A4A"/>
    <w:rsid w:val="00256A53"/>
    <w:rsid w:val="00256AFF"/>
    <w:rsid w:val="002618FF"/>
    <w:rsid w:val="00261F77"/>
    <w:rsid w:val="0026253B"/>
    <w:rsid w:val="002632D4"/>
    <w:rsid w:val="00263A4F"/>
    <w:rsid w:val="0026454E"/>
    <w:rsid w:val="002648A3"/>
    <w:rsid w:val="0026579C"/>
    <w:rsid w:val="0026668A"/>
    <w:rsid w:val="00267898"/>
    <w:rsid w:val="00273897"/>
    <w:rsid w:val="00275407"/>
    <w:rsid w:val="00275B8C"/>
    <w:rsid w:val="002779D0"/>
    <w:rsid w:val="0028097B"/>
    <w:rsid w:val="00282B21"/>
    <w:rsid w:val="00283D7E"/>
    <w:rsid w:val="00283ED1"/>
    <w:rsid w:val="0028478D"/>
    <w:rsid w:val="0028482C"/>
    <w:rsid w:val="00286477"/>
    <w:rsid w:val="00286570"/>
    <w:rsid w:val="002867EB"/>
    <w:rsid w:val="002868C9"/>
    <w:rsid w:val="00287153"/>
    <w:rsid w:val="002876FB"/>
    <w:rsid w:val="00291295"/>
    <w:rsid w:val="00292C16"/>
    <w:rsid w:val="0029322D"/>
    <w:rsid w:val="0029437E"/>
    <w:rsid w:val="002943B4"/>
    <w:rsid w:val="00294FC1"/>
    <w:rsid w:val="0029692D"/>
    <w:rsid w:val="002975CB"/>
    <w:rsid w:val="00297A62"/>
    <w:rsid w:val="00297B6F"/>
    <w:rsid w:val="002A08CB"/>
    <w:rsid w:val="002A2A51"/>
    <w:rsid w:val="002A2C44"/>
    <w:rsid w:val="002A2E9D"/>
    <w:rsid w:val="002A3A41"/>
    <w:rsid w:val="002A3BE9"/>
    <w:rsid w:val="002A618B"/>
    <w:rsid w:val="002A7894"/>
    <w:rsid w:val="002B1B09"/>
    <w:rsid w:val="002B1E13"/>
    <w:rsid w:val="002B21AF"/>
    <w:rsid w:val="002B2CDD"/>
    <w:rsid w:val="002B3F7E"/>
    <w:rsid w:val="002B42BA"/>
    <w:rsid w:val="002B4455"/>
    <w:rsid w:val="002B493A"/>
    <w:rsid w:val="002B4C93"/>
    <w:rsid w:val="002B4F3A"/>
    <w:rsid w:val="002B60F2"/>
    <w:rsid w:val="002B6A08"/>
    <w:rsid w:val="002B746F"/>
    <w:rsid w:val="002B7E2D"/>
    <w:rsid w:val="002C0533"/>
    <w:rsid w:val="002C053C"/>
    <w:rsid w:val="002C0A20"/>
    <w:rsid w:val="002C2279"/>
    <w:rsid w:val="002C292C"/>
    <w:rsid w:val="002C5534"/>
    <w:rsid w:val="002C5975"/>
    <w:rsid w:val="002C5AFC"/>
    <w:rsid w:val="002C5EBE"/>
    <w:rsid w:val="002C5ED6"/>
    <w:rsid w:val="002D060F"/>
    <w:rsid w:val="002D0692"/>
    <w:rsid w:val="002D08B9"/>
    <w:rsid w:val="002D2F33"/>
    <w:rsid w:val="002D43D1"/>
    <w:rsid w:val="002D6A14"/>
    <w:rsid w:val="002D6F9A"/>
    <w:rsid w:val="002D7D63"/>
    <w:rsid w:val="002D7FC3"/>
    <w:rsid w:val="002E063F"/>
    <w:rsid w:val="002E06A7"/>
    <w:rsid w:val="002E121F"/>
    <w:rsid w:val="002E27E5"/>
    <w:rsid w:val="002E2952"/>
    <w:rsid w:val="002E4C71"/>
    <w:rsid w:val="002E58B0"/>
    <w:rsid w:val="002E5A69"/>
    <w:rsid w:val="002E65B0"/>
    <w:rsid w:val="002E7BC0"/>
    <w:rsid w:val="002E7F87"/>
    <w:rsid w:val="002F0002"/>
    <w:rsid w:val="002F11EF"/>
    <w:rsid w:val="002F17FD"/>
    <w:rsid w:val="002F183B"/>
    <w:rsid w:val="002F18D5"/>
    <w:rsid w:val="002F2734"/>
    <w:rsid w:val="002F33C9"/>
    <w:rsid w:val="002F49D4"/>
    <w:rsid w:val="002F5E60"/>
    <w:rsid w:val="002F6487"/>
    <w:rsid w:val="002F6801"/>
    <w:rsid w:val="002F74E3"/>
    <w:rsid w:val="002F7956"/>
    <w:rsid w:val="002F7B08"/>
    <w:rsid w:val="003015FF"/>
    <w:rsid w:val="003032A3"/>
    <w:rsid w:val="00303FC2"/>
    <w:rsid w:val="0030421D"/>
    <w:rsid w:val="00304AC7"/>
    <w:rsid w:val="003055CB"/>
    <w:rsid w:val="00306E3F"/>
    <w:rsid w:val="00310085"/>
    <w:rsid w:val="00310434"/>
    <w:rsid w:val="003114A8"/>
    <w:rsid w:val="00312E6B"/>
    <w:rsid w:val="00313775"/>
    <w:rsid w:val="003138D4"/>
    <w:rsid w:val="003147EE"/>
    <w:rsid w:val="00315A34"/>
    <w:rsid w:val="00315A50"/>
    <w:rsid w:val="00315C5C"/>
    <w:rsid w:val="003164E9"/>
    <w:rsid w:val="00316F20"/>
    <w:rsid w:val="00321306"/>
    <w:rsid w:val="0032213A"/>
    <w:rsid w:val="00322C26"/>
    <w:rsid w:val="003248BC"/>
    <w:rsid w:val="003252A9"/>
    <w:rsid w:val="00325A56"/>
    <w:rsid w:val="003269E2"/>
    <w:rsid w:val="003304FB"/>
    <w:rsid w:val="00330D43"/>
    <w:rsid w:val="003329B9"/>
    <w:rsid w:val="00332CFC"/>
    <w:rsid w:val="00333450"/>
    <w:rsid w:val="00333662"/>
    <w:rsid w:val="00334495"/>
    <w:rsid w:val="00334981"/>
    <w:rsid w:val="003350BA"/>
    <w:rsid w:val="00335DD6"/>
    <w:rsid w:val="0033615D"/>
    <w:rsid w:val="003361AF"/>
    <w:rsid w:val="00336404"/>
    <w:rsid w:val="0033679F"/>
    <w:rsid w:val="00336E49"/>
    <w:rsid w:val="00337371"/>
    <w:rsid w:val="00337A8E"/>
    <w:rsid w:val="00337C2F"/>
    <w:rsid w:val="003417DF"/>
    <w:rsid w:val="0034283A"/>
    <w:rsid w:val="00342939"/>
    <w:rsid w:val="00342F95"/>
    <w:rsid w:val="003440C6"/>
    <w:rsid w:val="00344393"/>
    <w:rsid w:val="00345B95"/>
    <w:rsid w:val="00346804"/>
    <w:rsid w:val="00346985"/>
    <w:rsid w:val="00347FBE"/>
    <w:rsid w:val="0035039D"/>
    <w:rsid w:val="003509BC"/>
    <w:rsid w:val="00350A9F"/>
    <w:rsid w:val="0035118C"/>
    <w:rsid w:val="00351FE9"/>
    <w:rsid w:val="00352312"/>
    <w:rsid w:val="003533F7"/>
    <w:rsid w:val="00355618"/>
    <w:rsid w:val="0035561E"/>
    <w:rsid w:val="003564AC"/>
    <w:rsid w:val="0035680F"/>
    <w:rsid w:val="00357DC4"/>
    <w:rsid w:val="0036003C"/>
    <w:rsid w:val="003606A3"/>
    <w:rsid w:val="0036092D"/>
    <w:rsid w:val="00361BD9"/>
    <w:rsid w:val="00361CB7"/>
    <w:rsid w:val="00363DB7"/>
    <w:rsid w:val="0036408A"/>
    <w:rsid w:val="00364E2A"/>
    <w:rsid w:val="00364FCE"/>
    <w:rsid w:val="00364FF6"/>
    <w:rsid w:val="0036546B"/>
    <w:rsid w:val="00367B55"/>
    <w:rsid w:val="00370D8C"/>
    <w:rsid w:val="003715CD"/>
    <w:rsid w:val="00372706"/>
    <w:rsid w:val="00372790"/>
    <w:rsid w:val="00374D70"/>
    <w:rsid w:val="00375B7C"/>
    <w:rsid w:val="003760E9"/>
    <w:rsid w:val="003766F3"/>
    <w:rsid w:val="00376D7B"/>
    <w:rsid w:val="00377147"/>
    <w:rsid w:val="00377165"/>
    <w:rsid w:val="00377559"/>
    <w:rsid w:val="00377B1B"/>
    <w:rsid w:val="00377B24"/>
    <w:rsid w:val="00377D34"/>
    <w:rsid w:val="00377ECF"/>
    <w:rsid w:val="00380506"/>
    <w:rsid w:val="00380B5C"/>
    <w:rsid w:val="00380CBF"/>
    <w:rsid w:val="0038238F"/>
    <w:rsid w:val="003827C3"/>
    <w:rsid w:val="00382B6E"/>
    <w:rsid w:val="003843B6"/>
    <w:rsid w:val="003844FD"/>
    <w:rsid w:val="00384D8A"/>
    <w:rsid w:val="00386F03"/>
    <w:rsid w:val="00391630"/>
    <w:rsid w:val="00393127"/>
    <w:rsid w:val="00393D23"/>
    <w:rsid w:val="00393FA9"/>
    <w:rsid w:val="00394192"/>
    <w:rsid w:val="003941D3"/>
    <w:rsid w:val="00394EC5"/>
    <w:rsid w:val="003961A3"/>
    <w:rsid w:val="003966A6"/>
    <w:rsid w:val="00396F0A"/>
    <w:rsid w:val="00397845"/>
    <w:rsid w:val="003A09CB"/>
    <w:rsid w:val="003A100A"/>
    <w:rsid w:val="003A16F8"/>
    <w:rsid w:val="003A1822"/>
    <w:rsid w:val="003A1834"/>
    <w:rsid w:val="003A2303"/>
    <w:rsid w:val="003A2355"/>
    <w:rsid w:val="003A2AEB"/>
    <w:rsid w:val="003A37C2"/>
    <w:rsid w:val="003A4028"/>
    <w:rsid w:val="003A40C2"/>
    <w:rsid w:val="003A4FE9"/>
    <w:rsid w:val="003A5DB1"/>
    <w:rsid w:val="003A5E28"/>
    <w:rsid w:val="003A6A45"/>
    <w:rsid w:val="003A6BDB"/>
    <w:rsid w:val="003A6BE2"/>
    <w:rsid w:val="003B0084"/>
    <w:rsid w:val="003B0A8A"/>
    <w:rsid w:val="003B2003"/>
    <w:rsid w:val="003B2506"/>
    <w:rsid w:val="003B25A7"/>
    <w:rsid w:val="003B32B1"/>
    <w:rsid w:val="003B386F"/>
    <w:rsid w:val="003B4229"/>
    <w:rsid w:val="003B5390"/>
    <w:rsid w:val="003B57A3"/>
    <w:rsid w:val="003B7880"/>
    <w:rsid w:val="003C0708"/>
    <w:rsid w:val="003C0F91"/>
    <w:rsid w:val="003C15C2"/>
    <w:rsid w:val="003C1D91"/>
    <w:rsid w:val="003C21F7"/>
    <w:rsid w:val="003C2334"/>
    <w:rsid w:val="003C2359"/>
    <w:rsid w:val="003C3464"/>
    <w:rsid w:val="003C49A8"/>
    <w:rsid w:val="003C4B79"/>
    <w:rsid w:val="003C50F7"/>
    <w:rsid w:val="003C6760"/>
    <w:rsid w:val="003C6C02"/>
    <w:rsid w:val="003C7174"/>
    <w:rsid w:val="003C7F25"/>
    <w:rsid w:val="003D0987"/>
    <w:rsid w:val="003D195B"/>
    <w:rsid w:val="003D2932"/>
    <w:rsid w:val="003D29B1"/>
    <w:rsid w:val="003D4BE3"/>
    <w:rsid w:val="003D51A3"/>
    <w:rsid w:val="003D54A3"/>
    <w:rsid w:val="003E0F07"/>
    <w:rsid w:val="003E1229"/>
    <w:rsid w:val="003E20D0"/>
    <w:rsid w:val="003E20E4"/>
    <w:rsid w:val="003E248B"/>
    <w:rsid w:val="003E3462"/>
    <w:rsid w:val="003E37E7"/>
    <w:rsid w:val="003E4E43"/>
    <w:rsid w:val="003E58FA"/>
    <w:rsid w:val="003E5E6B"/>
    <w:rsid w:val="003E73E3"/>
    <w:rsid w:val="003E763E"/>
    <w:rsid w:val="003F1810"/>
    <w:rsid w:val="003F1997"/>
    <w:rsid w:val="003F275F"/>
    <w:rsid w:val="003F2FA7"/>
    <w:rsid w:val="003F349B"/>
    <w:rsid w:val="003F4C45"/>
    <w:rsid w:val="003F4FD4"/>
    <w:rsid w:val="003F5581"/>
    <w:rsid w:val="003F55FB"/>
    <w:rsid w:val="003F6634"/>
    <w:rsid w:val="003F6963"/>
    <w:rsid w:val="003F698B"/>
    <w:rsid w:val="003F7150"/>
    <w:rsid w:val="00400005"/>
    <w:rsid w:val="00400169"/>
    <w:rsid w:val="00401F43"/>
    <w:rsid w:val="00402706"/>
    <w:rsid w:val="00404C20"/>
    <w:rsid w:val="00406E0D"/>
    <w:rsid w:val="0040768A"/>
    <w:rsid w:val="00410D32"/>
    <w:rsid w:val="004132B4"/>
    <w:rsid w:val="00415453"/>
    <w:rsid w:val="004154AD"/>
    <w:rsid w:val="00415CFF"/>
    <w:rsid w:val="004168E1"/>
    <w:rsid w:val="00416942"/>
    <w:rsid w:val="0041785C"/>
    <w:rsid w:val="00421CD6"/>
    <w:rsid w:val="004220AD"/>
    <w:rsid w:val="004241F6"/>
    <w:rsid w:val="0042461F"/>
    <w:rsid w:val="004256C2"/>
    <w:rsid w:val="00426CB7"/>
    <w:rsid w:val="00427058"/>
    <w:rsid w:val="004319CC"/>
    <w:rsid w:val="00431E3E"/>
    <w:rsid w:val="004325FD"/>
    <w:rsid w:val="00433B3C"/>
    <w:rsid w:val="00434D92"/>
    <w:rsid w:val="00434E21"/>
    <w:rsid w:val="00435A24"/>
    <w:rsid w:val="0043799C"/>
    <w:rsid w:val="00437D0C"/>
    <w:rsid w:val="0044010C"/>
    <w:rsid w:val="0044285F"/>
    <w:rsid w:val="0044343E"/>
    <w:rsid w:val="00443C98"/>
    <w:rsid w:val="00443DAF"/>
    <w:rsid w:val="00444781"/>
    <w:rsid w:val="00444A38"/>
    <w:rsid w:val="00445F26"/>
    <w:rsid w:val="00445F38"/>
    <w:rsid w:val="0044655D"/>
    <w:rsid w:val="00447A99"/>
    <w:rsid w:val="00450B7D"/>
    <w:rsid w:val="00450C49"/>
    <w:rsid w:val="00451066"/>
    <w:rsid w:val="00451E9B"/>
    <w:rsid w:val="00453E3E"/>
    <w:rsid w:val="00454792"/>
    <w:rsid w:val="00454C74"/>
    <w:rsid w:val="00454F25"/>
    <w:rsid w:val="00455430"/>
    <w:rsid w:val="00455A6E"/>
    <w:rsid w:val="00456951"/>
    <w:rsid w:val="00456B7B"/>
    <w:rsid w:val="004602A8"/>
    <w:rsid w:val="00460E31"/>
    <w:rsid w:val="00461F60"/>
    <w:rsid w:val="0046353B"/>
    <w:rsid w:val="00463BDD"/>
    <w:rsid w:val="004655F1"/>
    <w:rsid w:val="0046604C"/>
    <w:rsid w:val="0046622C"/>
    <w:rsid w:val="00467E06"/>
    <w:rsid w:val="00471EBA"/>
    <w:rsid w:val="00472190"/>
    <w:rsid w:val="00474F7D"/>
    <w:rsid w:val="0047517E"/>
    <w:rsid w:val="0047597C"/>
    <w:rsid w:val="0047714F"/>
    <w:rsid w:val="0047729C"/>
    <w:rsid w:val="004775BF"/>
    <w:rsid w:val="004821FD"/>
    <w:rsid w:val="004827E7"/>
    <w:rsid w:val="004829DB"/>
    <w:rsid w:val="00482FE7"/>
    <w:rsid w:val="00483169"/>
    <w:rsid w:val="00484AD2"/>
    <w:rsid w:val="00485977"/>
    <w:rsid w:val="004863FD"/>
    <w:rsid w:val="0048670C"/>
    <w:rsid w:val="00486AB3"/>
    <w:rsid w:val="0049127C"/>
    <w:rsid w:val="00491540"/>
    <w:rsid w:val="00492BD5"/>
    <w:rsid w:val="004936F9"/>
    <w:rsid w:val="00497F71"/>
    <w:rsid w:val="004A0D87"/>
    <w:rsid w:val="004A14EB"/>
    <w:rsid w:val="004A41FD"/>
    <w:rsid w:val="004A45B1"/>
    <w:rsid w:val="004A5658"/>
    <w:rsid w:val="004A6A3D"/>
    <w:rsid w:val="004A7374"/>
    <w:rsid w:val="004A76F0"/>
    <w:rsid w:val="004B026E"/>
    <w:rsid w:val="004B0CE0"/>
    <w:rsid w:val="004B0D81"/>
    <w:rsid w:val="004B0FC4"/>
    <w:rsid w:val="004B15C0"/>
    <w:rsid w:val="004B1805"/>
    <w:rsid w:val="004B2A52"/>
    <w:rsid w:val="004B38F1"/>
    <w:rsid w:val="004B3EF4"/>
    <w:rsid w:val="004B4CCA"/>
    <w:rsid w:val="004B582D"/>
    <w:rsid w:val="004B5CCF"/>
    <w:rsid w:val="004B6D76"/>
    <w:rsid w:val="004C0B69"/>
    <w:rsid w:val="004C110C"/>
    <w:rsid w:val="004C26C1"/>
    <w:rsid w:val="004C3B1D"/>
    <w:rsid w:val="004C4CB4"/>
    <w:rsid w:val="004C4D43"/>
    <w:rsid w:val="004C4E6A"/>
    <w:rsid w:val="004C7A14"/>
    <w:rsid w:val="004C7C4C"/>
    <w:rsid w:val="004D06FE"/>
    <w:rsid w:val="004D2899"/>
    <w:rsid w:val="004D2BA0"/>
    <w:rsid w:val="004D2ECD"/>
    <w:rsid w:val="004D3DF5"/>
    <w:rsid w:val="004D5FEE"/>
    <w:rsid w:val="004D6291"/>
    <w:rsid w:val="004D7219"/>
    <w:rsid w:val="004E0312"/>
    <w:rsid w:val="004E17DC"/>
    <w:rsid w:val="004E18BD"/>
    <w:rsid w:val="004E2492"/>
    <w:rsid w:val="004E2C54"/>
    <w:rsid w:val="004E3F4E"/>
    <w:rsid w:val="004E65FA"/>
    <w:rsid w:val="004E6A95"/>
    <w:rsid w:val="004E7465"/>
    <w:rsid w:val="004F06D6"/>
    <w:rsid w:val="004F1B21"/>
    <w:rsid w:val="004F1BD8"/>
    <w:rsid w:val="004F1DAD"/>
    <w:rsid w:val="004F427D"/>
    <w:rsid w:val="004F4667"/>
    <w:rsid w:val="004F5CC2"/>
    <w:rsid w:val="00500697"/>
    <w:rsid w:val="00502F56"/>
    <w:rsid w:val="0050339E"/>
    <w:rsid w:val="00503D18"/>
    <w:rsid w:val="005065AF"/>
    <w:rsid w:val="005075CC"/>
    <w:rsid w:val="005113B2"/>
    <w:rsid w:val="005114CD"/>
    <w:rsid w:val="005114F3"/>
    <w:rsid w:val="00511D7E"/>
    <w:rsid w:val="0051222C"/>
    <w:rsid w:val="005134D2"/>
    <w:rsid w:val="005136D5"/>
    <w:rsid w:val="00515935"/>
    <w:rsid w:val="005171EA"/>
    <w:rsid w:val="00520907"/>
    <w:rsid w:val="00521507"/>
    <w:rsid w:val="0052176A"/>
    <w:rsid w:val="00521DB2"/>
    <w:rsid w:val="00521FF9"/>
    <w:rsid w:val="0052446D"/>
    <w:rsid w:val="00524B4E"/>
    <w:rsid w:val="0052551B"/>
    <w:rsid w:val="005267BE"/>
    <w:rsid w:val="00530EB2"/>
    <w:rsid w:val="00531A09"/>
    <w:rsid w:val="0053358E"/>
    <w:rsid w:val="00533660"/>
    <w:rsid w:val="00534818"/>
    <w:rsid w:val="0053492D"/>
    <w:rsid w:val="005351DC"/>
    <w:rsid w:val="005353A7"/>
    <w:rsid w:val="0053628C"/>
    <w:rsid w:val="0053798C"/>
    <w:rsid w:val="00537BA4"/>
    <w:rsid w:val="0054065E"/>
    <w:rsid w:val="00540C13"/>
    <w:rsid w:val="00540FBF"/>
    <w:rsid w:val="005437C9"/>
    <w:rsid w:val="00544865"/>
    <w:rsid w:val="005452E7"/>
    <w:rsid w:val="00545C69"/>
    <w:rsid w:val="005463AC"/>
    <w:rsid w:val="005500E8"/>
    <w:rsid w:val="00550426"/>
    <w:rsid w:val="00550540"/>
    <w:rsid w:val="00551271"/>
    <w:rsid w:val="00552D57"/>
    <w:rsid w:val="00553C52"/>
    <w:rsid w:val="00556BA8"/>
    <w:rsid w:val="00560547"/>
    <w:rsid w:val="0056171E"/>
    <w:rsid w:val="00561B4D"/>
    <w:rsid w:val="0056245B"/>
    <w:rsid w:val="005625DF"/>
    <w:rsid w:val="00562C4A"/>
    <w:rsid w:val="005642E3"/>
    <w:rsid w:val="00564DA3"/>
    <w:rsid w:val="00567FBF"/>
    <w:rsid w:val="005706F3"/>
    <w:rsid w:val="005710E9"/>
    <w:rsid w:val="0057286A"/>
    <w:rsid w:val="0057406C"/>
    <w:rsid w:val="00575ADD"/>
    <w:rsid w:val="005778E6"/>
    <w:rsid w:val="0058122F"/>
    <w:rsid w:val="00581CA1"/>
    <w:rsid w:val="00583054"/>
    <w:rsid w:val="005831C0"/>
    <w:rsid w:val="00583A0F"/>
    <w:rsid w:val="0058460E"/>
    <w:rsid w:val="005859A5"/>
    <w:rsid w:val="00585AD7"/>
    <w:rsid w:val="005864CB"/>
    <w:rsid w:val="0058713A"/>
    <w:rsid w:val="00590384"/>
    <w:rsid w:val="0059145A"/>
    <w:rsid w:val="005918CA"/>
    <w:rsid w:val="005918D2"/>
    <w:rsid w:val="00592226"/>
    <w:rsid w:val="005923D7"/>
    <w:rsid w:val="00593E1C"/>
    <w:rsid w:val="00594782"/>
    <w:rsid w:val="005952C7"/>
    <w:rsid w:val="0059589A"/>
    <w:rsid w:val="0059717A"/>
    <w:rsid w:val="0059728D"/>
    <w:rsid w:val="00597612"/>
    <w:rsid w:val="005A050E"/>
    <w:rsid w:val="005A2D45"/>
    <w:rsid w:val="005A3DE1"/>
    <w:rsid w:val="005A3FE8"/>
    <w:rsid w:val="005A44DA"/>
    <w:rsid w:val="005A4B04"/>
    <w:rsid w:val="005A5207"/>
    <w:rsid w:val="005A60A3"/>
    <w:rsid w:val="005A71B6"/>
    <w:rsid w:val="005A7497"/>
    <w:rsid w:val="005A763C"/>
    <w:rsid w:val="005B0115"/>
    <w:rsid w:val="005B0ADA"/>
    <w:rsid w:val="005B1703"/>
    <w:rsid w:val="005B38C4"/>
    <w:rsid w:val="005B4C93"/>
    <w:rsid w:val="005B552D"/>
    <w:rsid w:val="005B6930"/>
    <w:rsid w:val="005B6D79"/>
    <w:rsid w:val="005C0279"/>
    <w:rsid w:val="005C0378"/>
    <w:rsid w:val="005C0B21"/>
    <w:rsid w:val="005C2117"/>
    <w:rsid w:val="005C32DF"/>
    <w:rsid w:val="005C3BB3"/>
    <w:rsid w:val="005C515D"/>
    <w:rsid w:val="005C51E7"/>
    <w:rsid w:val="005C60F8"/>
    <w:rsid w:val="005C79A4"/>
    <w:rsid w:val="005C7E89"/>
    <w:rsid w:val="005D098B"/>
    <w:rsid w:val="005D1DF8"/>
    <w:rsid w:val="005D25A0"/>
    <w:rsid w:val="005D2916"/>
    <w:rsid w:val="005D3081"/>
    <w:rsid w:val="005D314A"/>
    <w:rsid w:val="005D33F0"/>
    <w:rsid w:val="005D51AA"/>
    <w:rsid w:val="005D5209"/>
    <w:rsid w:val="005D5773"/>
    <w:rsid w:val="005D6C9A"/>
    <w:rsid w:val="005E0658"/>
    <w:rsid w:val="005E0B54"/>
    <w:rsid w:val="005E1EC6"/>
    <w:rsid w:val="005E33D7"/>
    <w:rsid w:val="005E355E"/>
    <w:rsid w:val="005E4197"/>
    <w:rsid w:val="005E4227"/>
    <w:rsid w:val="005E4835"/>
    <w:rsid w:val="005E60B7"/>
    <w:rsid w:val="005E7808"/>
    <w:rsid w:val="005F06AF"/>
    <w:rsid w:val="005F22CD"/>
    <w:rsid w:val="005F31EB"/>
    <w:rsid w:val="005F4158"/>
    <w:rsid w:val="005F4531"/>
    <w:rsid w:val="005F457A"/>
    <w:rsid w:val="005F4C16"/>
    <w:rsid w:val="005F4D9F"/>
    <w:rsid w:val="005F53EC"/>
    <w:rsid w:val="005F5980"/>
    <w:rsid w:val="005F59DA"/>
    <w:rsid w:val="005F5DDB"/>
    <w:rsid w:val="005F5FA8"/>
    <w:rsid w:val="005F7993"/>
    <w:rsid w:val="006007EE"/>
    <w:rsid w:val="006022A9"/>
    <w:rsid w:val="00602C02"/>
    <w:rsid w:val="00603773"/>
    <w:rsid w:val="00604688"/>
    <w:rsid w:val="006051B5"/>
    <w:rsid w:val="00605CF5"/>
    <w:rsid w:val="00606203"/>
    <w:rsid w:val="006067E4"/>
    <w:rsid w:val="00607223"/>
    <w:rsid w:val="00607A8C"/>
    <w:rsid w:val="00607E97"/>
    <w:rsid w:val="006102FF"/>
    <w:rsid w:val="00610915"/>
    <w:rsid w:val="00611A51"/>
    <w:rsid w:val="006121F9"/>
    <w:rsid w:val="00614EA4"/>
    <w:rsid w:val="006162B0"/>
    <w:rsid w:val="00617246"/>
    <w:rsid w:val="006176AA"/>
    <w:rsid w:val="00617894"/>
    <w:rsid w:val="00620193"/>
    <w:rsid w:val="0062026A"/>
    <w:rsid w:val="00620732"/>
    <w:rsid w:val="006218A0"/>
    <w:rsid w:val="00621B52"/>
    <w:rsid w:val="00623073"/>
    <w:rsid w:val="00623DE2"/>
    <w:rsid w:val="00624B22"/>
    <w:rsid w:val="006258B6"/>
    <w:rsid w:val="006265D3"/>
    <w:rsid w:val="006321DD"/>
    <w:rsid w:val="0063233A"/>
    <w:rsid w:val="00635B73"/>
    <w:rsid w:val="00635DEA"/>
    <w:rsid w:val="00636CDB"/>
    <w:rsid w:val="00637665"/>
    <w:rsid w:val="0064050E"/>
    <w:rsid w:val="00640F1C"/>
    <w:rsid w:val="00643461"/>
    <w:rsid w:val="00643674"/>
    <w:rsid w:val="006442A7"/>
    <w:rsid w:val="0064460F"/>
    <w:rsid w:val="006448B6"/>
    <w:rsid w:val="00644DDC"/>
    <w:rsid w:val="00645C27"/>
    <w:rsid w:val="00646A52"/>
    <w:rsid w:val="00647BDA"/>
    <w:rsid w:val="00647F46"/>
    <w:rsid w:val="00650903"/>
    <w:rsid w:val="006509C9"/>
    <w:rsid w:val="00651B9F"/>
    <w:rsid w:val="0065283E"/>
    <w:rsid w:val="00652A56"/>
    <w:rsid w:val="006530A5"/>
    <w:rsid w:val="00653BCF"/>
    <w:rsid w:val="00656C1E"/>
    <w:rsid w:val="00657500"/>
    <w:rsid w:val="006575E2"/>
    <w:rsid w:val="00657F7B"/>
    <w:rsid w:val="00662A63"/>
    <w:rsid w:val="00662BC3"/>
    <w:rsid w:val="00666D19"/>
    <w:rsid w:val="00671D85"/>
    <w:rsid w:val="006758CB"/>
    <w:rsid w:val="0067673D"/>
    <w:rsid w:val="00676D9E"/>
    <w:rsid w:val="006776BD"/>
    <w:rsid w:val="0068017D"/>
    <w:rsid w:val="00682C78"/>
    <w:rsid w:val="00683C50"/>
    <w:rsid w:val="006844CB"/>
    <w:rsid w:val="00685C21"/>
    <w:rsid w:val="006872F6"/>
    <w:rsid w:val="00687E4B"/>
    <w:rsid w:val="0069332F"/>
    <w:rsid w:val="00693614"/>
    <w:rsid w:val="00694477"/>
    <w:rsid w:val="00694CF0"/>
    <w:rsid w:val="00695325"/>
    <w:rsid w:val="00695EC1"/>
    <w:rsid w:val="006A0FA8"/>
    <w:rsid w:val="006A108F"/>
    <w:rsid w:val="006A13F1"/>
    <w:rsid w:val="006A14FA"/>
    <w:rsid w:val="006A2714"/>
    <w:rsid w:val="006A2901"/>
    <w:rsid w:val="006A2DCF"/>
    <w:rsid w:val="006A3405"/>
    <w:rsid w:val="006A3E3F"/>
    <w:rsid w:val="006A467E"/>
    <w:rsid w:val="006B01D9"/>
    <w:rsid w:val="006B0390"/>
    <w:rsid w:val="006B064B"/>
    <w:rsid w:val="006B0D43"/>
    <w:rsid w:val="006B15A9"/>
    <w:rsid w:val="006B18C6"/>
    <w:rsid w:val="006B38CB"/>
    <w:rsid w:val="006B3E2A"/>
    <w:rsid w:val="006B5459"/>
    <w:rsid w:val="006B6478"/>
    <w:rsid w:val="006B6E6A"/>
    <w:rsid w:val="006C0CC4"/>
    <w:rsid w:val="006C1991"/>
    <w:rsid w:val="006C1D19"/>
    <w:rsid w:val="006C27CD"/>
    <w:rsid w:val="006C34AE"/>
    <w:rsid w:val="006C3718"/>
    <w:rsid w:val="006C3742"/>
    <w:rsid w:val="006C3EA8"/>
    <w:rsid w:val="006C4599"/>
    <w:rsid w:val="006C58C9"/>
    <w:rsid w:val="006C59BB"/>
    <w:rsid w:val="006C59E0"/>
    <w:rsid w:val="006C620F"/>
    <w:rsid w:val="006C621C"/>
    <w:rsid w:val="006C68FE"/>
    <w:rsid w:val="006C6E34"/>
    <w:rsid w:val="006C6FBF"/>
    <w:rsid w:val="006C7F27"/>
    <w:rsid w:val="006D0AEE"/>
    <w:rsid w:val="006D233C"/>
    <w:rsid w:val="006D2AAD"/>
    <w:rsid w:val="006D6531"/>
    <w:rsid w:val="006D6977"/>
    <w:rsid w:val="006D6B9D"/>
    <w:rsid w:val="006D707A"/>
    <w:rsid w:val="006E04E8"/>
    <w:rsid w:val="006E05B8"/>
    <w:rsid w:val="006E14C2"/>
    <w:rsid w:val="006E14E2"/>
    <w:rsid w:val="006E2036"/>
    <w:rsid w:val="006E28A9"/>
    <w:rsid w:val="006E3DB5"/>
    <w:rsid w:val="006E43E4"/>
    <w:rsid w:val="006E4980"/>
    <w:rsid w:val="006E653F"/>
    <w:rsid w:val="006E66EC"/>
    <w:rsid w:val="006E7334"/>
    <w:rsid w:val="006E74DB"/>
    <w:rsid w:val="006E75A8"/>
    <w:rsid w:val="006E79A8"/>
    <w:rsid w:val="006E7A09"/>
    <w:rsid w:val="006F0658"/>
    <w:rsid w:val="006F0A6F"/>
    <w:rsid w:val="006F0F3C"/>
    <w:rsid w:val="006F1E65"/>
    <w:rsid w:val="006F3AAB"/>
    <w:rsid w:val="006F4C24"/>
    <w:rsid w:val="006F5981"/>
    <w:rsid w:val="006F5A59"/>
    <w:rsid w:val="006F72B6"/>
    <w:rsid w:val="00700FFD"/>
    <w:rsid w:val="00701368"/>
    <w:rsid w:val="00702777"/>
    <w:rsid w:val="00705770"/>
    <w:rsid w:val="00705E48"/>
    <w:rsid w:val="0070608C"/>
    <w:rsid w:val="00706470"/>
    <w:rsid w:val="007076C9"/>
    <w:rsid w:val="00710817"/>
    <w:rsid w:val="00711BB7"/>
    <w:rsid w:val="00712160"/>
    <w:rsid w:val="0071304D"/>
    <w:rsid w:val="00713282"/>
    <w:rsid w:val="0071433B"/>
    <w:rsid w:val="00715A69"/>
    <w:rsid w:val="00720CC2"/>
    <w:rsid w:val="00720EB4"/>
    <w:rsid w:val="007213D8"/>
    <w:rsid w:val="007224C0"/>
    <w:rsid w:val="00722996"/>
    <w:rsid w:val="00722B8B"/>
    <w:rsid w:val="00724679"/>
    <w:rsid w:val="00726080"/>
    <w:rsid w:val="00726DE2"/>
    <w:rsid w:val="00727CD8"/>
    <w:rsid w:val="00727CF0"/>
    <w:rsid w:val="0073090D"/>
    <w:rsid w:val="0073243E"/>
    <w:rsid w:val="00732E17"/>
    <w:rsid w:val="007330F2"/>
    <w:rsid w:val="007332B7"/>
    <w:rsid w:val="007337AE"/>
    <w:rsid w:val="007338BD"/>
    <w:rsid w:val="0073493D"/>
    <w:rsid w:val="00734D38"/>
    <w:rsid w:val="00734EE7"/>
    <w:rsid w:val="0073521E"/>
    <w:rsid w:val="007373D8"/>
    <w:rsid w:val="00740627"/>
    <w:rsid w:val="00740829"/>
    <w:rsid w:val="00741425"/>
    <w:rsid w:val="00741A07"/>
    <w:rsid w:val="00741B03"/>
    <w:rsid w:val="0074345B"/>
    <w:rsid w:val="00744041"/>
    <w:rsid w:val="007444D8"/>
    <w:rsid w:val="00744773"/>
    <w:rsid w:val="007453F4"/>
    <w:rsid w:val="00745987"/>
    <w:rsid w:val="007503A2"/>
    <w:rsid w:val="007504B3"/>
    <w:rsid w:val="00750C03"/>
    <w:rsid w:val="007513C3"/>
    <w:rsid w:val="007515D9"/>
    <w:rsid w:val="00752485"/>
    <w:rsid w:val="00753601"/>
    <w:rsid w:val="00753869"/>
    <w:rsid w:val="0075502F"/>
    <w:rsid w:val="00757DEA"/>
    <w:rsid w:val="00764033"/>
    <w:rsid w:val="00764048"/>
    <w:rsid w:val="00764EA6"/>
    <w:rsid w:val="00765C2A"/>
    <w:rsid w:val="00765DF9"/>
    <w:rsid w:val="0076602F"/>
    <w:rsid w:val="00766310"/>
    <w:rsid w:val="00766CF1"/>
    <w:rsid w:val="007706C3"/>
    <w:rsid w:val="00771954"/>
    <w:rsid w:val="00772985"/>
    <w:rsid w:val="00772EDA"/>
    <w:rsid w:val="00773006"/>
    <w:rsid w:val="00774031"/>
    <w:rsid w:val="00774BEA"/>
    <w:rsid w:val="007756F9"/>
    <w:rsid w:val="00777AF1"/>
    <w:rsid w:val="007805EE"/>
    <w:rsid w:val="00780C39"/>
    <w:rsid w:val="00780CA2"/>
    <w:rsid w:val="00780D3F"/>
    <w:rsid w:val="007812A7"/>
    <w:rsid w:val="00781BDC"/>
    <w:rsid w:val="00782178"/>
    <w:rsid w:val="0078279E"/>
    <w:rsid w:val="00782AD0"/>
    <w:rsid w:val="007845E3"/>
    <w:rsid w:val="007849B9"/>
    <w:rsid w:val="00784DFB"/>
    <w:rsid w:val="00784E41"/>
    <w:rsid w:val="00785DEF"/>
    <w:rsid w:val="007871BC"/>
    <w:rsid w:val="007874F4"/>
    <w:rsid w:val="00790BA0"/>
    <w:rsid w:val="0079252A"/>
    <w:rsid w:val="00792B09"/>
    <w:rsid w:val="00792EF8"/>
    <w:rsid w:val="00794497"/>
    <w:rsid w:val="0079596D"/>
    <w:rsid w:val="00795EF9"/>
    <w:rsid w:val="00796721"/>
    <w:rsid w:val="007967F2"/>
    <w:rsid w:val="00796FB2"/>
    <w:rsid w:val="007A08A5"/>
    <w:rsid w:val="007A0B3C"/>
    <w:rsid w:val="007A1303"/>
    <w:rsid w:val="007A13BF"/>
    <w:rsid w:val="007A1929"/>
    <w:rsid w:val="007A19B9"/>
    <w:rsid w:val="007A21BE"/>
    <w:rsid w:val="007A2CCC"/>
    <w:rsid w:val="007A2D20"/>
    <w:rsid w:val="007A3475"/>
    <w:rsid w:val="007A3959"/>
    <w:rsid w:val="007A45A3"/>
    <w:rsid w:val="007A512B"/>
    <w:rsid w:val="007A5ADB"/>
    <w:rsid w:val="007B14AB"/>
    <w:rsid w:val="007B168B"/>
    <w:rsid w:val="007B1719"/>
    <w:rsid w:val="007B1E48"/>
    <w:rsid w:val="007B1EE0"/>
    <w:rsid w:val="007B2221"/>
    <w:rsid w:val="007B2523"/>
    <w:rsid w:val="007B33D8"/>
    <w:rsid w:val="007B3ABB"/>
    <w:rsid w:val="007B4E83"/>
    <w:rsid w:val="007B5FDA"/>
    <w:rsid w:val="007B6748"/>
    <w:rsid w:val="007C3954"/>
    <w:rsid w:val="007C66FA"/>
    <w:rsid w:val="007C674C"/>
    <w:rsid w:val="007C6850"/>
    <w:rsid w:val="007C717D"/>
    <w:rsid w:val="007C7206"/>
    <w:rsid w:val="007D1984"/>
    <w:rsid w:val="007D1D14"/>
    <w:rsid w:val="007D24C3"/>
    <w:rsid w:val="007D3C12"/>
    <w:rsid w:val="007D40A2"/>
    <w:rsid w:val="007D4480"/>
    <w:rsid w:val="007E01C4"/>
    <w:rsid w:val="007E1F73"/>
    <w:rsid w:val="007E2998"/>
    <w:rsid w:val="007E3DE1"/>
    <w:rsid w:val="007E3FBB"/>
    <w:rsid w:val="007E4CAA"/>
    <w:rsid w:val="007E559C"/>
    <w:rsid w:val="007E57F9"/>
    <w:rsid w:val="007E5CAA"/>
    <w:rsid w:val="007E5F07"/>
    <w:rsid w:val="007E7297"/>
    <w:rsid w:val="007E7697"/>
    <w:rsid w:val="007E7753"/>
    <w:rsid w:val="007E7A7B"/>
    <w:rsid w:val="007F0CF1"/>
    <w:rsid w:val="007F4EBC"/>
    <w:rsid w:val="007F58EE"/>
    <w:rsid w:val="007F6692"/>
    <w:rsid w:val="008001A8"/>
    <w:rsid w:val="008003E1"/>
    <w:rsid w:val="0080137E"/>
    <w:rsid w:val="00801485"/>
    <w:rsid w:val="0080262F"/>
    <w:rsid w:val="00802E0F"/>
    <w:rsid w:val="00802EC9"/>
    <w:rsid w:val="0080344A"/>
    <w:rsid w:val="00803948"/>
    <w:rsid w:val="00804281"/>
    <w:rsid w:val="0080531A"/>
    <w:rsid w:val="00805829"/>
    <w:rsid w:val="0080644C"/>
    <w:rsid w:val="0080645B"/>
    <w:rsid w:val="008068C1"/>
    <w:rsid w:val="00806E7A"/>
    <w:rsid w:val="0080784F"/>
    <w:rsid w:val="00810160"/>
    <w:rsid w:val="00810AF9"/>
    <w:rsid w:val="008121E8"/>
    <w:rsid w:val="008164ED"/>
    <w:rsid w:val="0081762B"/>
    <w:rsid w:val="00820990"/>
    <w:rsid w:val="0082203E"/>
    <w:rsid w:val="0082214E"/>
    <w:rsid w:val="008221C1"/>
    <w:rsid w:val="0082296F"/>
    <w:rsid w:val="00823235"/>
    <w:rsid w:val="008233D0"/>
    <w:rsid w:val="00823706"/>
    <w:rsid w:val="00823A74"/>
    <w:rsid w:val="00823C70"/>
    <w:rsid w:val="00824C2C"/>
    <w:rsid w:val="00824E6C"/>
    <w:rsid w:val="00825CD2"/>
    <w:rsid w:val="00825E8C"/>
    <w:rsid w:val="00825F8D"/>
    <w:rsid w:val="0082717E"/>
    <w:rsid w:val="00827E92"/>
    <w:rsid w:val="0083035C"/>
    <w:rsid w:val="008318BE"/>
    <w:rsid w:val="008318D5"/>
    <w:rsid w:val="00835365"/>
    <w:rsid w:val="008365DF"/>
    <w:rsid w:val="00836C25"/>
    <w:rsid w:val="00837579"/>
    <w:rsid w:val="008421E5"/>
    <w:rsid w:val="00845A37"/>
    <w:rsid w:val="00846BF4"/>
    <w:rsid w:val="008479A8"/>
    <w:rsid w:val="00847F04"/>
    <w:rsid w:val="008502A0"/>
    <w:rsid w:val="00850AF0"/>
    <w:rsid w:val="00851236"/>
    <w:rsid w:val="00852A1F"/>
    <w:rsid w:val="00853336"/>
    <w:rsid w:val="008539B4"/>
    <w:rsid w:val="00854B47"/>
    <w:rsid w:val="008550F3"/>
    <w:rsid w:val="00855588"/>
    <w:rsid w:val="00855592"/>
    <w:rsid w:val="00855645"/>
    <w:rsid w:val="00855C7A"/>
    <w:rsid w:val="00856401"/>
    <w:rsid w:val="00860180"/>
    <w:rsid w:val="00860D94"/>
    <w:rsid w:val="00861BA8"/>
    <w:rsid w:val="0086237F"/>
    <w:rsid w:val="00863A69"/>
    <w:rsid w:val="00863DD2"/>
    <w:rsid w:val="008642F8"/>
    <w:rsid w:val="00864C53"/>
    <w:rsid w:val="008706C5"/>
    <w:rsid w:val="00870E1D"/>
    <w:rsid w:val="00871797"/>
    <w:rsid w:val="00873D4F"/>
    <w:rsid w:val="008741FD"/>
    <w:rsid w:val="008752B1"/>
    <w:rsid w:val="00876A74"/>
    <w:rsid w:val="00877A84"/>
    <w:rsid w:val="008812D1"/>
    <w:rsid w:val="00882010"/>
    <w:rsid w:val="00882036"/>
    <w:rsid w:val="008829F4"/>
    <w:rsid w:val="008842C7"/>
    <w:rsid w:val="00884BF3"/>
    <w:rsid w:val="00885756"/>
    <w:rsid w:val="00887113"/>
    <w:rsid w:val="00887AFF"/>
    <w:rsid w:val="00890603"/>
    <w:rsid w:val="00891C87"/>
    <w:rsid w:val="00892197"/>
    <w:rsid w:val="008936D6"/>
    <w:rsid w:val="00896517"/>
    <w:rsid w:val="00896666"/>
    <w:rsid w:val="008A0E14"/>
    <w:rsid w:val="008A20D8"/>
    <w:rsid w:val="008A37F7"/>
    <w:rsid w:val="008A4B1E"/>
    <w:rsid w:val="008A4C2E"/>
    <w:rsid w:val="008A588F"/>
    <w:rsid w:val="008A5FAE"/>
    <w:rsid w:val="008A77F6"/>
    <w:rsid w:val="008A78B3"/>
    <w:rsid w:val="008A7E08"/>
    <w:rsid w:val="008A7E3C"/>
    <w:rsid w:val="008B0AAE"/>
    <w:rsid w:val="008B10B6"/>
    <w:rsid w:val="008B2973"/>
    <w:rsid w:val="008B306B"/>
    <w:rsid w:val="008B4029"/>
    <w:rsid w:val="008B4423"/>
    <w:rsid w:val="008B50C2"/>
    <w:rsid w:val="008B575C"/>
    <w:rsid w:val="008B575E"/>
    <w:rsid w:val="008B6FA1"/>
    <w:rsid w:val="008B740E"/>
    <w:rsid w:val="008C11AE"/>
    <w:rsid w:val="008C1AD4"/>
    <w:rsid w:val="008C208B"/>
    <w:rsid w:val="008C216D"/>
    <w:rsid w:val="008C3326"/>
    <w:rsid w:val="008C338D"/>
    <w:rsid w:val="008C5540"/>
    <w:rsid w:val="008C78C8"/>
    <w:rsid w:val="008D2CB3"/>
    <w:rsid w:val="008D2F1C"/>
    <w:rsid w:val="008D34E3"/>
    <w:rsid w:val="008D4A5D"/>
    <w:rsid w:val="008D5A51"/>
    <w:rsid w:val="008D5DC1"/>
    <w:rsid w:val="008D61FD"/>
    <w:rsid w:val="008D7607"/>
    <w:rsid w:val="008E0118"/>
    <w:rsid w:val="008E1748"/>
    <w:rsid w:val="008E1DF6"/>
    <w:rsid w:val="008E2000"/>
    <w:rsid w:val="008E2FA6"/>
    <w:rsid w:val="008E35A3"/>
    <w:rsid w:val="008E4E06"/>
    <w:rsid w:val="008E588D"/>
    <w:rsid w:val="008E5C47"/>
    <w:rsid w:val="008E6AEE"/>
    <w:rsid w:val="008E6CDD"/>
    <w:rsid w:val="008E7D3B"/>
    <w:rsid w:val="008E7F54"/>
    <w:rsid w:val="008F03E2"/>
    <w:rsid w:val="008F10CA"/>
    <w:rsid w:val="008F18D9"/>
    <w:rsid w:val="008F2950"/>
    <w:rsid w:val="008F310E"/>
    <w:rsid w:val="008F4343"/>
    <w:rsid w:val="008F4A4A"/>
    <w:rsid w:val="008F4A56"/>
    <w:rsid w:val="008F5CCA"/>
    <w:rsid w:val="008F6862"/>
    <w:rsid w:val="008F7B3E"/>
    <w:rsid w:val="008F7E41"/>
    <w:rsid w:val="0090017F"/>
    <w:rsid w:val="00900AA5"/>
    <w:rsid w:val="00900B19"/>
    <w:rsid w:val="00901558"/>
    <w:rsid w:val="00904DB8"/>
    <w:rsid w:val="00905427"/>
    <w:rsid w:val="00905A96"/>
    <w:rsid w:val="00905D41"/>
    <w:rsid w:val="00905D5B"/>
    <w:rsid w:val="009107EA"/>
    <w:rsid w:val="00910829"/>
    <w:rsid w:val="00910907"/>
    <w:rsid w:val="0091181F"/>
    <w:rsid w:val="00911C50"/>
    <w:rsid w:val="009126F5"/>
    <w:rsid w:val="0091376C"/>
    <w:rsid w:val="00914195"/>
    <w:rsid w:val="009145B5"/>
    <w:rsid w:val="00914DE4"/>
    <w:rsid w:val="00915587"/>
    <w:rsid w:val="009164D7"/>
    <w:rsid w:val="00916883"/>
    <w:rsid w:val="00916BD2"/>
    <w:rsid w:val="00917C54"/>
    <w:rsid w:val="00917F72"/>
    <w:rsid w:val="00920A53"/>
    <w:rsid w:val="00921198"/>
    <w:rsid w:val="00921903"/>
    <w:rsid w:val="009238A1"/>
    <w:rsid w:val="00925350"/>
    <w:rsid w:val="0092592B"/>
    <w:rsid w:val="00925BC4"/>
    <w:rsid w:val="00925C50"/>
    <w:rsid w:val="00925D5D"/>
    <w:rsid w:val="00926274"/>
    <w:rsid w:val="0092785B"/>
    <w:rsid w:val="00927ABB"/>
    <w:rsid w:val="00931BAE"/>
    <w:rsid w:val="00931E9E"/>
    <w:rsid w:val="00931ED0"/>
    <w:rsid w:val="009324BE"/>
    <w:rsid w:val="00932EE3"/>
    <w:rsid w:val="00934DA1"/>
    <w:rsid w:val="0093521B"/>
    <w:rsid w:val="009362DB"/>
    <w:rsid w:val="009369D1"/>
    <w:rsid w:val="00937356"/>
    <w:rsid w:val="00937AA9"/>
    <w:rsid w:val="00937E69"/>
    <w:rsid w:val="00940058"/>
    <w:rsid w:val="0094031B"/>
    <w:rsid w:val="00941D34"/>
    <w:rsid w:val="00942AE5"/>
    <w:rsid w:val="009435DF"/>
    <w:rsid w:val="009440E4"/>
    <w:rsid w:val="00944DDD"/>
    <w:rsid w:val="0094520D"/>
    <w:rsid w:val="009452E8"/>
    <w:rsid w:val="00945D46"/>
    <w:rsid w:val="009466F4"/>
    <w:rsid w:val="00946F0B"/>
    <w:rsid w:val="009472B1"/>
    <w:rsid w:val="009502D4"/>
    <w:rsid w:val="00950460"/>
    <w:rsid w:val="0095063C"/>
    <w:rsid w:val="00950B35"/>
    <w:rsid w:val="00950DEB"/>
    <w:rsid w:val="00950E8C"/>
    <w:rsid w:val="0095108B"/>
    <w:rsid w:val="00953358"/>
    <w:rsid w:val="009535BC"/>
    <w:rsid w:val="00953F1E"/>
    <w:rsid w:val="00954766"/>
    <w:rsid w:val="009549EB"/>
    <w:rsid w:val="00955296"/>
    <w:rsid w:val="0095559C"/>
    <w:rsid w:val="00957DE3"/>
    <w:rsid w:val="0096079C"/>
    <w:rsid w:val="0096255F"/>
    <w:rsid w:val="0096275E"/>
    <w:rsid w:val="009632E3"/>
    <w:rsid w:val="00963DE1"/>
    <w:rsid w:val="009665B0"/>
    <w:rsid w:val="009665C9"/>
    <w:rsid w:val="00966BE3"/>
    <w:rsid w:val="00971301"/>
    <w:rsid w:val="00971E98"/>
    <w:rsid w:val="00971F1A"/>
    <w:rsid w:val="009736EC"/>
    <w:rsid w:val="0097490F"/>
    <w:rsid w:val="00975126"/>
    <w:rsid w:val="0097675F"/>
    <w:rsid w:val="00982215"/>
    <w:rsid w:val="009825E1"/>
    <w:rsid w:val="00983D27"/>
    <w:rsid w:val="009842FC"/>
    <w:rsid w:val="0098438D"/>
    <w:rsid w:val="0098457F"/>
    <w:rsid w:val="009859FD"/>
    <w:rsid w:val="0098729D"/>
    <w:rsid w:val="00987398"/>
    <w:rsid w:val="009875A4"/>
    <w:rsid w:val="00987B7D"/>
    <w:rsid w:val="00987E69"/>
    <w:rsid w:val="00990CA1"/>
    <w:rsid w:val="0099201B"/>
    <w:rsid w:val="00993251"/>
    <w:rsid w:val="00993824"/>
    <w:rsid w:val="00993FB7"/>
    <w:rsid w:val="00994CB0"/>
    <w:rsid w:val="00996359"/>
    <w:rsid w:val="00996C48"/>
    <w:rsid w:val="009975FC"/>
    <w:rsid w:val="00997C9D"/>
    <w:rsid w:val="009A1A55"/>
    <w:rsid w:val="009A3947"/>
    <w:rsid w:val="009A4B8D"/>
    <w:rsid w:val="009A5A10"/>
    <w:rsid w:val="009A6259"/>
    <w:rsid w:val="009A6485"/>
    <w:rsid w:val="009A6ED1"/>
    <w:rsid w:val="009A6EDE"/>
    <w:rsid w:val="009A721D"/>
    <w:rsid w:val="009B01A4"/>
    <w:rsid w:val="009B0508"/>
    <w:rsid w:val="009B0539"/>
    <w:rsid w:val="009B074F"/>
    <w:rsid w:val="009B15FA"/>
    <w:rsid w:val="009B1639"/>
    <w:rsid w:val="009B24CB"/>
    <w:rsid w:val="009B29E0"/>
    <w:rsid w:val="009B2C7C"/>
    <w:rsid w:val="009B3183"/>
    <w:rsid w:val="009B4AC2"/>
    <w:rsid w:val="009B5BB0"/>
    <w:rsid w:val="009B60C2"/>
    <w:rsid w:val="009B6D6A"/>
    <w:rsid w:val="009B6ED0"/>
    <w:rsid w:val="009B7112"/>
    <w:rsid w:val="009C18D3"/>
    <w:rsid w:val="009C25EC"/>
    <w:rsid w:val="009C2A4D"/>
    <w:rsid w:val="009C335F"/>
    <w:rsid w:val="009C3E09"/>
    <w:rsid w:val="009C43AE"/>
    <w:rsid w:val="009C4E94"/>
    <w:rsid w:val="009C6A6C"/>
    <w:rsid w:val="009C6BF1"/>
    <w:rsid w:val="009C7C61"/>
    <w:rsid w:val="009C7DA3"/>
    <w:rsid w:val="009D0A9C"/>
    <w:rsid w:val="009D114F"/>
    <w:rsid w:val="009D25A7"/>
    <w:rsid w:val="009D274C"/>
    <w:rsid w:val="009D2B67"/>
    <w:rsid w:val="009D35CF"/>
    <w:rsid w:val="009D3B4C"/>
    <w:rsid w:val="009D4589"/>
    <w:rsid w:val="009D7F3E"/>
    <w:rsid w:val="009E00CC"/>
    <w:rsid w:val="009E00FD"/>
    <w:rsid w:val="009E0293"/>
    <w:rsid w:val="009E0DD8"/>
    <w:rsid w:val="009E2BB9"/>
    <w:rsid w:val="009E3343"/>
    <w:rsid w:val="009E4D4F"/>
    <w:rsid w:val="009E5A36"/>
    <w:rsid w:val="009E726C"/>
    <w:rsid w:val="009F00F7"/>
    <w:rsid w:val="009F03FF"/>
    <w:rsid w:val="009F055B"/>
    <w:rsid w:val="009F076E"/>
    <w:rsid w:val="009F07AC"/>
    <w:rsid w:val="009F1BDF"/>
    <w:rsid w:val="009F2532"/>
    <w:rsid w:val="009F3574"/>
    <w:rsid w:val="009F6443"/>
    <w:rsid w:val="009F7122"/>
    <w:rsid w:val="009F7213"/>
    <w:rsid w:val="009F7498"/>
    <w:rsid w:val="009F79BD"/>
    <w:rsid w:val="00A00456"/>
    <w:rsid w:val="00A007A3"/>
    <w:rsid w:val="00A016AD"/>
    <w:rsid w:val="00A0679B"/>
    <w:rsid w:val="00A074A3"/>
    <w:rsid w:val="00A07877"/>
    <w:rsid w:val="00A07BDC"/>
    <w:rsid w:val="00A11ED6"/>
    <w:rsid w:val="00A123F7"/>
    <w:rsid w:val="00A12522"/>
    <w:rsid w:val="00A12603"/>
    <w:rsid w:val="00A135F1"/>
    <w:rsid w:val="00A142DB"/>
    <w:rsid w:val="00A151AF"/>
    <w:rsid w:val="00A16CE7"/>
    <w:rsid w:val="00A171CB"/>
    <w:rsid w:val="00A17634"/>
    <w:rsid w:val="00A219E8"/>
    <w:rsid w:val="00A222DE"/>
    <w:rsid w:val="00A22F66"/>
    <w:rsid w:val="00A22FCE"/>
    <w:rsid w:val="00A2390A"/>
    <w:rsid w:val="00A24682"/>
    <w:rsid w:val="00A27C19"/>
    <w:rsid w:val="00A3245D"/>
    <w:rsid w:val="00A33703"/>
    <w:rsid w:val="00A34CA1"/>
    <w:rsid w:val="00A35944"/>
    <w:rsid w:val="00A35957"/>
    <w:rsid w:val="00A368BA"/>
    <w:rsid w:val="00A37143"/>
    <w:rsid w:val="00A4267B"/>
    <w:rsid w:val="00A42E25"/>
    <w:rsid w:val="00A452FA"/>
    <w:rsid w:val="00A45F2E"/>
    <w:rsid w:val="00A4680B"/>
    <w:rsid w:val="00A46841"/>
    <w:rsid w:val="00A47B0F"/>
    <w:rsid w:val="00A52B6E"/>
    <w:rsid w:val="00A535F1"/>
    <w:rsid w:val="00A5380A"/>
    <w:rsid w:val="00A5394F"/>
    <w:rsid w:val="00A54A88"/>
    <w:rsid w:val="00A54C8D"/>
    <w:rsid w:val="00A55196"/>
    <w:rsid w:val="00A55809"/>
    <w:rsid w:val="00A55A68"/>
    <w:rsid w:val="00A560F8"/>
    <w:rsid w:val="00A5719B"/>
    <w:rsid w:val="00A5762D"/>
    <w:rsid w:val="00A576E3"/>
    <w:rsid w:val="00A577EB"/>
    <w:rsid w:val="00A602EA"/>
    <w:rsid w:val="00A60A79"/>
    <w:rsid w:val="00A64A2F"/>
    <w:rsid w:val="00A65176"/>
    <w:rsid w:val="00A6566A"/>
    <w:rsid w:val="00A66DBC"/>
    <w:rsid w:val="00A6794E"/>
    <w:rsid w:val="00A70758"/>
    <w:rsid w:val="00A70C21"/>
    <w:rsid w:val="00A715E8"/>
    <w:rsid w:val="00A737C3"/>
    <w:rsid w:val="00A739C1"/>
    <w:rsid w:val="00A74734"/>
    <w:rsid w:val="00A7532D"/>
    <w:rsid w:val="00A76388"/>
    <w:rsid w:val="00A76DC5"/>
    <w:rsid w:val="00A77D07"/>
    <w:rsid w:val="00A803DF"/>
    <w:rsid w:val="00A810DC"/>
    <w:rsid w:val="00A81341"/>
    <w:rsid w:val="00A81A2B"/>
    <w:rsid w:val="00A820B8"/>
    <w:rsid w:val="00A82508"/>
    <w:rsid w:val="00A8252A"/>
    <w:rsid w:val="00A830BB"/>
    <w:rsid w:val="00A8479E"/>
    <w:rsid w:val="00A84D30"/>
    <w:rsid w:val="00A84E3B"/>
    <w:rsid w:val="00A8554F"/>
    <w:rsid w:val="00A86A16"/>
    <w:rsid w:val="00A87776"/>
    <w:rsid w:val="00A87CA3"/>
    <w:rsid w:val="00A90739"/>
    <w:rsid w:val="00A90D4A"/>
    <w:rsid w:val="00A9258C"/>
    <w:rsid w:val="00A94A08"/>
    <w:rsid w:val="00A9685E"/>
    <w:rsid w:val="00A96B0E"/>
    <w:rsid w:val="00A97206"/>
    <w:rsid w:val="00AA04A0"/>
    <w:rsid w:val="00AA089F"/>
    <w:rsid w:val="00AA1AF8"/>
    <w:rsid w:val="00AA4F1A"/>
    <w:rsid w:val="00AA5518"/>
    <w:rsid w:val="00AA6E5E"/>
    <w:rsid w:val="00AA7049"/>
    <w:rsid w:val="00AA7C82"/>
    <w:rsid w:val="00AB0EE6"/>
    <w:rsid w:val="00AB0FF7"/>
    <w:rsid w:val="00AB14AD"/>
    <w:rsid w:val="00AB17BA"/>
    <w:rsid w:val="00AB2103"/>
    <w:rsid w:val="00AB2EC1"/>
    <w:rsid w:val="00AB4EA1"/>
    <w:rsid w:val="00AB5942"/>
    <w:rsid w:val="00AB6D5E"/>
    <w:rsid w:val="00AB7F94"/>
    <w:rsid w:val="00AC0EE0"/>
    <w:rsid w:val="00AC1748"/>
    <w:rsid w:val="00AC1F81"/>
    <w:rsid w:val="00AC2EA1"/>
    <w:rsid w:val="00AC3089"/>
    <w:rsid w:val="00AC4290"/>
    <w:rsid w:val="00AC4824"/>
    <w:rsid w:val="00AC4C2B"/>
    <w:rsid w:val="00AC6C42"/>
    <w:rsid w:val="00AC708C"/>
    <w:rsid w:val="00AC72DB"/>
    <w:rsid w:val="00AC79BD"/>
    <w:rsid w:val="00AC7B7C"/>
    <w:rsid w:val="00AC7DD0"/>
    <w:rsid w:val="00AD0F1A"/>
    <w:rsid w:val="00AD3284"/>
    <w:rsid w:val="00AD3664"/>
    <w:rsid w:val="00AD47B3"/>
    <w:rsid w:val="00AD62B9"/>
    <w:rsid w:val="00AD7BE8"/>
    <w:rsid w:val="00AE07A8"/>
    <w:rsid w:val="00AE1159"/>
    <w:rsid w:val="00AE1657"/>
    <w:rsid w:val="00AE4731"/>
    <w:rsid w:val="00AE5E6C"/>
    <w:rsid w:val="00AE69B3"/>
    <w:rsid w:val="00AE7A3E"/>
    <w:rsid w:val="00AF0346"/>
    <w:rsid w:val="00AF19B0"/>
    <w:rsid w:val="00AF1D86"/>
    <w:rsid w:val="00AF49A2"/>
    <w:rsid w:val="00AF6B3B"/>
    <w:rsid w:val="00B00506"/>
    <w:rsid w:val="00B007CF"/>
    <w:rsid w:val="00B00995"/>
    <w:rsid w:val="00B0186E"/>
    <w:rsid w:val="00B02AFF"/>
    <w:rsid w:val="00B045F7"/>
    <w:rsid w:val="00B05CB2"/>
    <w:rsid w:val="00B067A0"/>
    <w:rsid w:val="00B07874"/>
    <w:rsid w:val="00B07A87"/>
    <w:rsid w:val="00B10E0A"/>
    <w:rsid w:val="00B11A32"/>
    <w:rsid w:val="00B11A49"/>
    <w:rsid w:val="00B12DE3"/>
    <w:rsid w:val="00B12E6C"/>
    <w:rsid w:val="00B141FC"/>
    <w:rsid w:val="00B14471"/>
    <w:rsid w:val="00B144DC"/>
    <w:rsid w:val="00B14E42"/>
    <w:rsid w:val="00B17BD1"/>
    <w:rsid w:val="00B17D38"/>
    <w:rsid w:val="00B21258"/>
    <w:rsid w:val="00B22129"/>
    <w:rsid w:val="00B22791"/>
    <w:rsid w:val="00B23D4D"/>
    <w:rsid w:val="00B2401C"/>
    <w:rsid w:val="00B25067"/>
    <w:rsid w:val="00B252BC"/>
    <w:rsid w:val="00B25459"/>
    <w:rsid w:val="00B25A2A"/>
    <w:rsid w:val="00B26C61"/>
    <w:rsid w:val="00B27B14"/>
    <w:rsid w:val="00B3399E"/>
    <w:rsid w:val="00B34BDA"/>
    <w:rsid w:val="00B35A40"/>
    <w:rsid w:val="00B361EF"/>
    <w:rsid w:val="00B36B66"/>
    <w:rsid w:val="00B375A6"/>
    <w:rsid w:val="00B376BC"/>
    <w:rsid w:val="00B402EF"/>
    <w:rsid w:val="00B40F7F"/>
    <w:rsid w:val="00B422E2"/>
    <w:rsid w:val="00B42799"/>
    <w:rsid w:val="00B4618D"/>
    <w:rsid w:val="00B4761C"/>
    <w:rsid w:val="00B479AD"/>
    <w:rsid w:val="00B47B3E"/>
    <w:rsid w:val="00B50831"/>
    <w:rsid w:val="00B50BD7"/>
    <w:rsid w:val="00B50DDD"/>
    <w:rsid w:val="00B522BA"/>
    <w:rsid w:val="00B524A9"/>
    <w:rsid w:val="00B525D0"/>
    <w:rsid w:val="00B529E8"/>
    <w:rsid w:val="00B52EE5"/>
    <w:rsid w:val="00B5337D"/>
    <w:rsid w:val="00B54659"/>
    <w:rsid w:val="00B60208"/>
    <w:rsid w:val="00B61420"/>
    <w:rsid w:val="00B61969"/>
    <w:rsid w:val="00B623BD"/>
    <w:rsid w:val="00B63E88"/>
    <w:rsid w:val="00B63F46"/>
    <w:rsid w:val="00B64F39"/>
    <w:rsid w:val="00B659C8"/>
    <w:rsid w:val="00B65FD9"/>
    <w:rsid w:val="00B66403"/>
    <w:rsid w:val="00B6648E"/>
    <w:rsid w:val="00B66800"/>
    <w:rsid w:val="00B66BDC"/>
    <w:rsid w:val="00B70898"/>
    <w:rsid w:val="00B70AB5"/>
    <w:rsid w:val="00B7155F"/>
    <w:rsid w:val="00B71D3F"/>
    <w:rsid w:val="00B721A6"/>
    <w:rsid w:val="00B723EF"/>
    <w:rsid w:val="00B736D6"/>
    <w:rsid w:val="00B739F3"/>
    <w:rsid w:val="00B74739"/>
    <w:rsid w:val="00B74C37"/>
    <w:rsid w:val="00B75EBE"/>
    <w:rsid w:val="00B7604A"/>
    <w:rsid w:val="00B76D68"/>
    <w:rsid w:val="00B7732D"/>
    <w:rsid w:val="00B775D6"/>
    <w:rsid w:val="00B77C75"/>
    <w:rsid w:val="00B80D53"/>
    <w:rsid w:val="00B82328"/>
    <w:rsid w:val="00B857E6"/>
    <w:rsid w:val="00B86763"/>
    <w:rsid w:val="00B874F3"/>
    <w:rsid w:val="00B90F16"/>
    <w:rsid w:val="00B923A7"/>
    <w:rsid w:val="00B92917"/>
    <w:rsid w:val="00B9396F"/>
    <w:rsid w:val="00B94811"/>
    <w:rsid w:val="00B94BC3"/>
    <w:rsid w:val="00B96334"/>
    <w:rsid w:val="00B966A5"/>
    <w:rsid w:val="00B967F0"/>
    <w:rsid w:val="00B97560"/>
    <w:rsid w:val="00BA07C1"/>
    <w:rsid w:val="00BA2036"/>
    <w:rsid w:val="00BA2383"/>
    <w:rsid w:val="00BA24D5"/>
    <w:rsid w:val="00BA250C"/>
    <w:rsid w:val="00BA32B4"/>
    <w:rsid w:val="00BA473E"/>
    <w:rsid w:val="00BA4E0E"/>
    <w:rsid w:val="00BA65F2"/>
    <w:rsid w:val="00BA6E98"/>
    <w:rsid w:val="00BB07EC"/>
    <w:rsid w:val="00BB0AF5"/>
    <w:rsid w:val="00BB0E09"/>
    <w:rsid w:val="00BB11C6"/>
    <w:rsid w:val="00BB3A12"/>
    <w:rsid w:val="00BB5675"/>
    <w:rsid w:val="00BB6791"/>
    <w:rsid w:val="00BC1573"/>
    <w:rsid w:val="00BC1901"/>
    <w:rsid w:val="00BC2190"/>
    <w:rsid w:val="00BC2365"/>
    <w:rsid w:val="00BC33CE"/>
    <w:rsid w:val="00BC3CC3"/>
    <w:rsid w:val="00BC42E5"/>
    <w:rsid w:val="00BC4F90"/>
    <w:rsid w:val="00BC5297"/>
    <w:rsid w:val="00BC72CC"/>
    <w:rsid w:val="00BC783F"/>
    <w:rsid w:val="00BC7B4F"/>
    <w:rsid w:val="00BD0400"/>
    <w:rsid w:val="00BD057E"/>
    <w:rsid w:val="00BD1A9E"/>
    <w:rsid w:val="00BD269E"/>
    <w:rsid w:val="00BD32AE"/>
    <w:rsid w:val="00BD3515"/>
    <w:rsid w:val="00BD4C86"/>
    <w:rsid w:val="00BD5023"/>
    <w:rsid w:val="00BD588B"/>
    <w:rsid w:val="00BD6004"/>
    <w:rsid w:val="00BE2663"/>
    <w:rsid w:val="00BE347E"/>
    <w:rsid w:val="00BE3717"/>
    <w:rsid w:val="00BE3A14"/>
    <w:rsid w:val="00BE3A18"/>
    <w:rsid w:val="00BE3D96"/>
    <w:rsid w:val="00BE46BB"/>
    <w:rsid w:val="00BE5194"/>
    <w:rsid w:val="00BE6926"/>
    <w:rsid w:val="00BE6C36"/>
    <w:rsid w:val="00BE79BD"/>
    <w:rsid w:val="00BE7BCC"/>
    <w:rsid w:val="00BE7F80"/>
    <w:rsid w:val="00BF0C52"/>
    <w:rsid w:val="00BF1112"/>
    <w:rsid w:val="00BF13AC"/>
    <w:rsid w:val="00BF29ED"/>
    <w:rsid w:val="00BF409A"/>
    <w:rsid w:val="00BF4260"/>
    <w:rsid w:val="00BF4777"/>
    <w:rsid w:val="00BF6819"/>
    <w:rsid w:val="00BF7434"/>
    <w:rsid w:val="00C00EB1"/>
    <w:rsid w:val="00C0299D"/>
    <w:rsid w:val="00C03E98"/>
    <w:rsid w:val="00C04F7F"/>
    <w:rsid w:val="00C05267"/>
    <w:rsid w:val="00C059CB"/>
    <w:rsid w:val="00C11121"/>
    <w:rsid w:val="00C11C6B"/>
    <w:rsid w:val="00C12446"/>
    <w:rsid w:val="00C129A2"/>
    <w:rsid w:val="00C12D1F"/>
    <w:rsid w:val="00C140DC"/>
    <w:rsid w:val="00C14A3B"/>
    <w:rsid w:val="00C152C8"/>
    <w:rsid w:val="00C15CD9"/>
    <w:rsid w:val="00C21543"/>
    <w:rsid w:val="00C25D3D"/>
    <w:rsid w:val="00C26E37"/>
    <w:rsid w:val="00C27085"/>
    <w:rsid w:val="00C271CD"/>
    <w:rsid w:val="00C27D23"/>
    <w:rsid w:val="00C30492"/>
    <w:rsid w:val="00C310FF"/>
    <w:rsid w:val="00C313E9"/>
    <w:rsid w:val="00C33306"/>
    <w:rsid w:val="00C35645"/>
    <w:rsid w:val="00C35772"/>
    <w:rsid w:val="00C35B8C"/>
    <w:rsid w:val="00C364D6"/>
    <w:rsid w:val="00C36DC9"/>
    <w:rsid w:val="00C376BA"/>
    <w:rsid w:val="00C379AB"/>
    <w:rsid w:val="00C40130"/>
    <w:rsid w:val="00C404C8"/>
    <w:rsid w:val="00C41703"/>
    <w:rsid w:val="00C42E34"/>
    <w:rsid w:val="00C43677"/>
    <w:rsid w:val="00C452AA"/>
    <w:rsid w:val="00C45CC9"/>
    <w:rsid w:val="00C45FAE"/>
    <w:rsid w:val="00C4668E"/>
    <w:rsid w:val="00C4699D"/>
    <w:rsid w:val="00C46FB9"/>
    <w:rsid w:val="00C504BC"/>
    <w:rsid w:val="00C5067B"/>
    <w:rsid w:val="00C50DC8"/>
    <w:rsid w:val="00C51668"/>
    <w:rsid w:val="00C529E8"/>
    <w:rsid w:val="00C52B82"/>
    <w:rsid w:val="00C52C46"/>
    <w:rsid w:val="00C5301C"/>
    <w:rsid w:val="00C532EA"/>
    <w:rsid w:val="00C53E17"/>
    <w:rsid w:val="00C5458E"/>
    <w:rsid w:val="00C54AE0"/>
    <w:rsid w:val="00C54D62"/>
    <w:rsid w:val="00C556B7"/>
    <w:rsid w:val="00C55E77"/>
    <w:rsid w:val="00C55F26"/>
    <w:rsid w:val="00C5623C"/>
    <w:rsid w:val="00C56974"/>
    <w:rsid w:val="00C57FE7"/>
    <w:rsid w:val="00C607E4"/>
    <w:rsid w:val="00C61873"/>
    <w:rsid w:val="00C62AA6"/>
    <w:rsid w:val="00C62D7F"/>
    <w:rsid w:val="00C64A9C"/>
    <w:rsid w:val="00C64E5F"/>
    <w:rsid w:val="00C6541B"/>
    <w:rsid w:val="00C6593B"/>
    <w:rsid w:val="00C65C7C"/>
    <w:rsid w:val="00C66C38"/>
    <w:rsid w:val="00C66F05"/>
    <w:rsid w:val="00C67EF2"/>
    <w:rsid w:val="00C706BC"/>
    <w:rsid w:val="00C710D1"/>
    <w:rsid w:val="00C7151E"/>
    <w:rsid w:val="00C74327"/>
    <w:rsid w:val="00C7541F"/>
    <w:rsid w:val="00C75456"/>
    <w:rsid w:val="00C7573B"/>
    <w:rsid w:val="00C75B9C"/>
    <w:rsid w:val="00C75E52"/>
    <w:rsid w:val="00C7620A"/>
    <w:rsid w:val="00C76441"/>
    <w:rsid w:val="00C80301"/>
    <w:rsid w:val="00C8146C"/>
    <w:rsid w:val="00C815D7"/>
    <w:rsid w:val="00C8261E"/>
    <w:rsid w:val="00C83DCE"/>
    <w:rsid w:val="00C842C5"/>
    <w:rsid w:val="00C846C5"/>
    <w:rsid w:val="00C84947"/>
    <w:rsid w:val="00C8534C"/>
    <w:rsid w:val="00C86AEE"/>
    <w:rsid w:val="00C86DD6"/>
    <w:rsid w:val="00C900B2"/>
    <w:rsid w:val="00C92016"/>
    <w:rsid w:val="00C92F49"/>
    <w:rsid w:val="00C9444A"/>
    <w:rsid w:val="00C9531B"/>
    <w:rsid w:val="00C967C9"/>
    <w:rsid w:val="00C977F2"/>
    <w:rsid w:val="00CA03FF"/>
    <w:rsid w:val="00CA1C2A"/>
    <w:rsid w:val="00CA1DDA"/>
    <w:rsid w:val="00CA29E2"/>
    <w:rsid w:val="00CA3BED"/>
    <w:rsid w:val="00CA3E88"/>
    <w:rsid w:val="00CA415D"/>
    <w:rsid w:val="00CA4348"/>
    <w:rsid w:val="00CA4661"/>
    <w:rsid w:val="00CA55C9"/>
    <w:rsid w:val="00CA55E2"/>
    <w:rsid w:val="00CA55F2"/>
    <w:rsid w:val="00CA5A37"/>
    <w:rsid w:val="00CA7082"/>
    <w:rsid w:val="00CA7A2B"/>
    <w:rsid w:val="00CB0004"/>
    <w:rsid w:val="00CB0896"/>
    <w:rsid w:val="00CB1014"/>
    <w:rsid w:val="00CB1BCE"/>
    <w:rsid w:val="00CB2B46"/>
    <w:rsid w:val="00CB38BA"/>
    <w:rsid w:val="00CB4D6B"/>
    <w:rsid w:val="00CB56E3"/>
    <w:rsid w:val="00CB5D9D"/>
    <w:rsid w:val="00CB7136"/>
    <w:rsid w:val="00CC08DB"/>
    <w:rsid w:val="00CC1C12"/>
    <w:rsid w:val="00CC3926"/>
    <w:rsid w:val="00CC3F20"/>
    <w:rsid w:val="00CD1396"/>
    <w:rsid w:val="00CD2447"/>
    <w:rsid w:val="00CD29FB"/>
    <w:rsid w:val="00CD3857"/>
    <w:rsid w:val="00CD63D4"/>
    <w:rsid w:val="00CD653C"/>
    <w:rsid w:val="00CD67CF"/>
    <w:rsid w:val="00CD6C54"/>
    <w:rsid w:val="00CD6ECE"/>
    <w:rsid w:val="00CD729B"/>
    <w:rsid w:val="00CD7567"/>
    <w:rsid w:val="00CD7B00"/>
    <w:rsid w:val="00CE05A0"/>
    <w:rsid w:val="00CE060B"/>
    <w:rsid w:val="00CE1390"/>
    <w:rsid w:val="00CE1786"/>
    <w:rsid w:val="00CE3466"/>
    <w:rsid w:val="00CE3934"/>
    <w:rsid w:val="00CE3B39"/>
    <w:rsid w:val="00CE4165"/>
    <w:rsid w:val="00CE42D7"/>
    <w:rsid w:val="00CE42EB"/>
    <w:rsid w:val="00CE4C0D"/>
    <w:rsid w:val="00CE5331"/>
    <w:rsid w:val="00CE6624"/>
    <w:rsid w:val="00CE6C99"/>
    <w:rsid w:val="00CE6EC3"/>
    <w:rsid w:val="00CE7064"/>
    <w:rsid w:val="00CE764C"/>
    <w:rsid w:val="00CE7AF9"/>
    <w:rsid w:val="00CE7BDE"/>
    <w:rsid w:val="00CE7D26"/>
    <w:rsid w:val="00CF0597"/>
    <w:rsid w:val="00CF0ADE"/>
    <w:rsid w:val="00CF198E"/>
    <w:rsid w:val="00CF2170"/>
    <w:rsid w:val="00CF22C7"/>
    <w:rsid w:val="00CF3A34"/>
    <w:rsid w:val="00CF43B1"/>
    <w:rsid w:val="00CF4B09"/>
    <w:rsid w:val="00CF7A2E"/>
    <w:rsid w:val="00CF7D2B"/>
    <w:rsid w:val="00D02075"/>
    <w:rsid w:val="00D02CCB"/>
    <w:rsid w:val="00D02E62"/>
    <w:rsid w:val="00D04508"/>
    <w:rsid w:val="00D04AB8"/>
    <w:rsid w:val="00D04F60"/>
    <w:rsid w:val="00D04FAC"/>
    <w:rsid w:val="00D0543D"/>
    <w:rsid w:val="00D060F5"/>
    <w:rsid w:val="00D06239"/>
    <w:rsid w:val="00D070B5"/>
    <w:rsid w:val="00D071B4"/>
    <w:rsid w:val="00D10633"/>
    <w:rsid w:val="00D106B0"/>
    <w:rsid w:val="00D106FD"/>
    <w:rsid w:val="00D1109C"/>
    <w:rsid w:val="00D11406"/>
    <w:rsid w:val="00D11E5E"/>
    <w:rsid w:val="00D12A70"/>
    <w:rsid w:val="00D12DFD"/>
    <w:rsid w:val="00D13084"/>
    <w:rsid w:val="00D13CD2"/>
    <w:rsid w:val="00D15409"/>
    <w:rsid w:val="00D15C5C"/>
    <w:rsid w:val="00D20375"/>
    <w:rsid w:val="00D20509"/>
    <w:rsid w:val="00D20E7D"/>
    <w:rsid w:val="00D2213D"/>
    <w:rsid w:val="00D2232F"/>
    <w:rsid w:val="00D24079"/>
    <w:rsid w:val="00D24316"/>
    <w:rsid w:val="00D2581E"/>
    <w:rsid w:val="00D25C79"/>
    <w:rsid w:val="00D2623D"/>
    <w:rsid w:val="00D27D66"/>
    <w:rsid w:val="00D311FD"/>
    <w:rsid w:val="00D324AD"/>
    <w:rsid w:val="00D32A6F"/>
    <w:rsid w:val="00D3395F"/>
    <w:rsid w:val="00D35175"/>
    <w:rsid w:val="00D36920"/>
    <w:rsid w:val="00D40F92"/>
    <w:rsid w:val="00D41F24"/>
    <w:rsid w:val="00D420EF"/>
    <w:rsid w:val="00D425BE"/>
    <w:rsid w:val="00D42B58"/>
    <w:rsid w:val="00D4398A"/>
    <w:rsid w:val="00D44270"/>
    <w:rsid w:val="00D452AA"/>
    <w:rsid w:val="00D45790"/>
    <w:rsid w:val="00D473A8"/>
    <w:rsid w:val="00D47669"/>
    <w:rsid w:val="00D47A57"/>
    <w:rsid w:val="00D50129"/>
    <w:rsid w:val="00D505C9"/>
    <w:rsid w:val="00D50FD9"/>
    <w:rsid w:val="00D52C64"/>
    <w:rsid w:val="00D53FC2"/>
    <w:rsid w:val="00D54674"/>
    <w:rsid w:val="00D55377"/>
    <w:rsid w:val="00D5555F"/>
    <w:rsid w:val="00D56DFF"/>
    <w:rsid w:val="00D60062"/>
    <w:rsid w:val="00D60AE5"/>
    <w:rsid w:val="00D61DE9"/>
    <w:rsid w:val="00D62D79"/>
    <w:rsid w:val="00D63D55"/>
    <w:rsid w:val="00D65BC2"/>
    <w:rsid w:val="00D67A37"/>
    <w:rsid w:val="00D67D59"/>
    <w:rsid w:val="00D67F50"/>
    <w:rsid w:val="00D704FF"/>
    <w:rsid w:val="00D71662"/>
    <w:rsid w:val="00D71CAE"/>
    <w:rsid w:val="00D725A9"/>
    <w:rsid w:val="00D727E4"/>
    <w:rsid w:val="00D72B53"/>
    <w:rsid w:val="00D730CB"/>
    <w:rsid w:val="00D73A48"/>
    <w:rsid w:val="00D73FA0"/>
    <w:rsid w:val="00D74836"/>
    <w:rsid w:val="00D74B16"/>
    <w:rsid w:val="00D7660E"/>
    <w:rsid w:val="00D810D3"/>
    <w:rsid w:val="00D8163D"/>
    <w:rsid w:val="00D81B77"/>
    <w:rsid w:val="00D81D05"/>
    <w:rsid w:val="00D81DDA"/>
    <w:rsid w:val="00D84211"/>
    <w:rsid w:val="00D85ADA"/>
    <w:rsid w:val="00D861BC"/>
    <w:rsid w:val="00D86EC7"/>
    <w:rsid w:val="00D874D4"/>
    <w:rsid w:val="00D87A2F"/>
    <w:rsid w:val="00D90555"/>
    <w:rsid w:val="00D91B2D"/>
    <w:rsid w:val="00D922E9"/>
    <w:rsid w:val="00D924B7"/>
    <w:rsid w:val="00D9282D"/>
    <w:rsid w:val="00D92A15"/>
    <w:rsid w:val="00D92E03"/>
    <w:rsid w:val="00D92F7B"/>
    <w:rsid w:val="00D93084"/>
    <w:rsid w:val="00D9492E"/>
    <w:rsid w:val="00D963E0"/>
    <w:rsid w:val="00D96A70"/>
    <w:rsid w:val="00D97367"/>
    <w:rsid w:val="00DA0186"/>
    <w:rsid w:val="00DA1AB0"/>
    <w:rsid w:val="00DA246D"/>
    <w:rsid w:val="00DA27DD"/>
    <w:rsid w:val="00DA3329"/>
    <w:rsid w:val="00DA3B1F"/>
    <w:rsid w:val="00DA425D"/>
    <w:rsid w:val="00DA60ED"/>
    <w:rsid w:val="00DA6415"/>
    <w:rsid w:val="00DA69DC"/>
    <w:rsid w:val="00DA6A36"/>
    <w:rsid w:val="00DA7659"/>
    <w:rsid w:val="00DB0716"/>
    <w:rsid w:val="00DB0AEF"/>
    <w:rsid w:val="00DB0BB7"/>
    <w:rsid w:val="00DB131F"/>
    <w:rsid w:val="00DB3875"/>
    <w:rsid w:val="00DB49B2"/>
    <w:rsid w:val="00DB5BE0"/>
    <w:rsid w:val="00DB6B74"/>
    <w:rsid w:val="00DB7495"/>
    <w:rsid w:val="00DC0726"/>
    <w:rsid w:val="00DC0D13"/>
    <w:rsid w:val="00DC172F"/>
    <w:rsid w:val="00DC25CE"/>
    <w:rsid w:val="00DC2F2E"/>
    <w:rsid w:val="00DC3217"/>
    <w:rsid w:val="00DC4BE6"/>
    <w:rsid w:val="00DC54B4"/>
    <w:rsid w:val="00DC664C"/>
    <w:rsid w:val="00DC6F97"/>
    <w:rsid w:val="00DC76E4"/>
    <w:rsid w:val="00DC7D8D"/>
    <w:rsid w:val="00DC7F4A"/>
    <w:rsid w:val="00DD07F3"/>
    <w:rsid w:val="00DD0A89"/>
    <w:rsid w:val="00DD2057"/>
    <w:rsid w:val="00DD2622"/>
    <w:rsid w:val="00DD2A8C"/>
    <w:rsid w:val="00DD2BA3"/>
    <w:rsid w:val="00DD2EF3"/>
    <w:rsid w:val="00DD455D"/>
    <w:rsid w:val="00DD64B6"/>
    <w:rsid w:val="00DE1278"/>
    <w:rsid w:val="00DE1F9B"/>
    <w:rsid w:val="00DE1FC6"/>
    <w:rsid w:val="00DE22DC"/>
    <w:rsid w:val="00DE278D"/>
    <w:rsid w:val="00DE2FD7"/>
    <w:rsid w:val="00DE3146"/>
    <w:rsid w:val="00DE430C"/>
    <w:rsid w:val="00DE53DF"/>
    <w:rsid w:val="00DE683E"/>
    <w:rsid w:val="00DF0145"/>
    <w:rsid w:val="00DF1019"/>
    <w:rsid w:val="00DF1EBD"/>
    <w:rsid w:val="00DF1F0D"/>
    <w:rsid w:val="00DF33DD"/>
    <w:rsid w:val="00DF3B42"/>
    <w:rsid w:val="00DF4468"/>
    <w:rsid w:val="00DF44CD"/>
    <w:rsid w:val="00DF5878"/>
    <w:rsid w:val="00DF6750"/>
    <w:rsid w:val="00E00CE7"/>
    <w:rsid w:val="00E019B9"/>
    <w:rsid w:val="00E02386"/>
    <w:rsid w:val="00E02E9B"/>
    <w:rsid w:val="00E02F9C"/>
    <w:rsid w:val="00E030C1"/>
    <w:rsid w:val="00E03469"/>
    <w:rsid w:val="00E044E0"/>
    <w:rsid w:val="00E052BF"/>
    <w:rsid w:val="00E0576C"/>
    <w:rsid w:val="00E06DE6"/>
    <w:rsid w:val="00E076F8"/>
    <w:rsid w:val="00E07D6A"/>
    <w:rsid w:val="00E11535"/>
    <w:rsid w:val="00E11FE4"/>
    <w:rsid w:val="00E1236A"/>
    <w:rsid w:val="00E123FE"/>
    <w:rsid w:val="00E12CBD"/>
    <w:rsid w:val="00E131A4"/>
    <w:rsid w:val="00E13FEA"/>
    <w:rsid w:val="00E14E41"/>
    <w:rsid w:val="00E15114"/>
    <w:rsid w:val="00E212BE"/>
    <w:rsid w:val="00E241C1"/>
    <w:rsid w:val="00E24AD1"/>
    <w:rsid w:val="00E2589A"/>
    <w:rsid w:val="00E267AE"/>
    <w:rsid w:val="00E27AC1"/>
    <w:rsid w:val="00E27DB7"/>
    <w:rsid w:val="00E30290"/>
    <w:rsid w:val="00E30E26"/>
    <w:rsid w:val="00E30F9D"/>
    <w:rsid w:val="00E31C1B"/>
    <w:rsid w:val="00E33182"/>
    <w:rsid w:val="00E35F15"/>
    <w:rsid w:val="00E35F1D"/>
    <w:rsid w:val="00E37AB0"/>
    <w:rsid w:val="00E40DDF"/>
    <w:rsid w:val="00E4105E"/>
    <w:rsid w:val="00E41276"/>
    <w:rsid w:val="00E413B9"/>
    <w:rsid w:val="00E41CBF"/>
    <w:rsid w:val="00E42DC3"/>
    <w:rsid w:val="00E43B47"/>
    <w:rsid w:val="00E43E65"/>
    <w:rsid w:val="00E44081"/>
    <w:rsid w:val="00E444EC"/>
    <w:rsid w:val="00E44C1D"/>
    <w:rsid w:val="00E45D46"/>
    <w:rsid w:val="00E45D59"/>
    <w:rsid w:val="00E46E5D"/>
    <w:rsid w:val="00E51300"/>
    <w:rsid w:val="00E51F21"/>
    <w:rsid w:val="00E53053"/>
    <w:rsid w:val="00E537C1"/>
    <w:rsid w:val="00E54117"/>
    <w:rsid w:val="00E5510E"/>
    <w:rsid w:val="00E55F61"/>
    <w:rsid w:val="00E608FC"/>
    <w:rsid w:val="00E60903"/>
    <w:rsid w:val="00E60B2D"/>
    <w:rsid w:val="00E60B54"/>
    <w:rsid w:val="00E60D0D"/>
    <w:rsid w:val="00E61A67"/>
    <w:rsid w:val="00E61CE5"/>
    <w:rsid w:val="00E631CB"/>
    <w:rsid w:val="00E64DFC"/>
    <w:rsid w:val="00E65397"/>
    <w:rsid w:val="00E65504"/>
    <w:rsid w:val="00E67654"/>
    <w:rsid w:val="00E67A1D"/>
    <w:rsid w:val="00E702BD"/>
    <w:rsid w:val="00E71FA8"/>
    <w:rsid w:val="00E72165"/>
    <w:rsid w:val="00E72780"/>
    <w:rsid w:val="00E72BD0"/>
    <w:rsid w:val="00E72C10"/>
    <w:rsid w:val="00E72C76"/>
    <w:rsid w:val="00E7340C"/>
    <w:rsid w:val="00E73549"/>
    <w:rsid w:val="00E74A80"/>
    <w:rsid w:val="00E757E2"/>
    <w:rsid w:val="00E75DE0"/>
    <w:rsid w:val="00E7792A"/>
    <w:rsid w:val="00E77997"/>
    <w:rsid w:val="00E80A1E"/>
    <w:rsid w:val="00E81AEF"/>
    <w:rsid w:val="00E82797"/>
    <w:rsid w:val="00E83233"/>
    <w:rsid w:val="00E833DC"/>
    <w:rsid w:val="00E84422"/>
    <w:rsid w:val="00E849CE"/>
    <w:rsid w:val="00E85D11"/>
    <w:rsid w:val="00E85F87"/>
    <w:rsid w:val="00E86585"/>
    <w:rsid w:val="00E868C2"/>
    <w:rsid w:val="00E874C5"/>
    <w:rsid w:val="00E876C3"/>
    <w:rsid w:val="00E90781"/>
    <w:rsid w:val="00E9086E"/>
    <w:rsid w:val="00E90D28"/>
    <w:rsid w:val="00E90E91"/>
    <w:rsid w:val="00E9214D"/>
    <w:rsid w:val="00E9228E"/>
    <w:rsid w:val="00E927E4"/>
    <w:rsid w:val="00E929A6"/>
    <w:rsid w:val="00E92D50"/>
    <w:rsid w:val="00E9403D"/>
    <w:rsid w:val="00E948E0"/>
    <w:rsid w:val="00E94DEF"/>
    <w:rsid w:val="00E95219"/>
    <w:rsid w:val="00E95765"/>
    <w:rsid w:val="00E95E40"/>
    <w:rsid w:val="00E96009"/>
    <w:rsid w:val="00E9605E"/>
    <w:rsid w:val="00E974DB"/>
    <w:rsid w:val="00E97C73"/>
    <w:rsid w:val="00E97EA1"/>
    <w:rsid w:val="00EA0AD8"/>
    <w:rsid w:val="00EA0AF3"/>
    <w:rsid w:val="00EA12D9"/>
    <w:rsid w:val="00EA1EB7"/>
    <w:rsid w:val="00EA262A"/>
    <w:rsid w:val="00EA27BE"/>
    <w:rsid w:val="00EA3000"/>
    <w:rsid w:val="00EA3199"/>
    <w:rsid w:val="00EA38C7"/>
    <w:rsid w:val="00EA5482"/>
    <w:rsid w:val="00EA54C4"/>
    <w:rsid w:val="00EA5C9D"/>
    <w:rsid w:val="00EA6981"/>
    <w:rsid w:val="00EA7A94"/>
    <w:rsid w:val="00EA7AD1"/>
    <w:rsid w:val="00EA7B03"/>
    <w:rsid w:val="00EB0FC6"/>
    <w:rsid w:val="00EB11B1"/>
    <w:rsid w:val="00EB2933"/>
    <w:rsid w:val="00EB317F"/>
    <w:rsid w:val="00EB3DCF"/>
    <w:rsid w:val="00EB46D0"/>
    <w:rsid w:val="00EB51A2"/>
    <w:rsid w:val="00EB67F5"/>
    <w:rsid w:val="00EB68BF"/>
    <w:rsid w:val="00EC0754"/>
    <w:rsid w:val="00EC2A60"/>
    <w:rsid w:val="00EC380E"/>
    <w:rsid w:val="00EC394D"/>
    <w:rsid w:val="00EC5058"/>
    <w:rsid w:val="00EC5CC0"/>
    <w:rsid w:val="00EC5F88"/>
    <w:rsid w:val="00EC72AE"/>
    <w:rsid w:val="00ED0A81"/>
    <w:rsid w:val="00ED1799"/>
    <w:rsid w:val="00ED1916"/>
    <w:rsid w:val="00ED1F62"/>
    <w:rsid w:val="00ED21C2"/>
    <w:rsid w:val="00ED31C2"/>
    <w:rsid w:val="00ED32FD"/>
    <w:rsid w:val="00ED377B"/>
    <w:rsid w:val="00ED3E0F"/>
    <w:rsid w:val="00ED4C11"/>
    <w:rsid w:val="00ED5186"/>
    <w:rsid w:val="00ED522F"/>
    <w:rsid w:val="00ED6841"/>
    <w:rsid w:val="00ED7553"/>
    <w:rsid w:val="00EE0357"/>
    <w:rsid w:val="00EE08AB"/>
    <w:rsid w:val="00EE0C1F"/>
    <w:rsid w:val="00EE1A70"/>
    <w:rsid w:val="00EE26C5"/>
    <w:rsid w:val="00EE33BA"/>
    <w:rsid w:val="00EE380C"/>
    <w:rsid w:val="00EE3C1E"/>
    <w:rsid w:val="00EE4CFB"/>
    <w:rsid w:val="00EE528E"/>
    <w:rsid w:val="00EE6101"/>
    <w:rsid w:val="00EE7371"/>
    <w:rsid w:val="00EF14E4"/>
    <w:rsid w:val="00EF2874"/>
    <w:rsid w:val="00EF29B9"/>
    <w:rsid w:val="00EF5265"/>
    <w:rsid w:val="00EF53E6"/>
    <w:rsid w:val="00EF70B8"/>
    <w:rsid w:val="00EF71C0"/>
    <w:rsid w:val="00F009F8"/>
    <w:rsid w:val="00F00DCA"/>
    <w:rsid w:val="00F0149F"/>
    <w:rsid w:val="00F014EE"/>
    <w:rsid w:val="00F01621"/>
    <w:rsid w:val="00F021A8"/>
    <w:rsid w:val="00F0331A"/>
    <w:rsid w:val="00F060A0"/>
    <w:rsid w:val="00F16071"/>
    <w:rsid w:val="00F168A9"/>
    <w:rsid w:val="00F16C55"/>
    <w:rsid w:val="00F16F37"/>
    <w:rsid w:val="00F2187E"/>
    <w:rsid w:val="00F21962"/>
    <w:rsid w:val="00F22FE7"/>
    <w:rsid w:val="00F2349E"/>
    <w:rsid w:val="00F24819"/>
    <w:rsid w:val="00F24A05"/>
    <w:rsid w:val="00F25197"/>
    <w:rsid w:val="00F270C8"/>
    <w:rsid w:val="00F27727"/>
    <w:rsid w:val="00F3087C"/>
    <w:rsid w:val="00F309AE"/>
    <w:rsid w:val="00F30ED0"/>
    <w:rsid w:val="00F31301"/>
    <w:rsid w:val="00F314F5"/>
    <w:rsid w:val="00F33D6E"/>
    <w:rsid w:val="00F349E6"/>
    <w:rsid w:val="00F34DEB"/>
    <w:rsid w:val="00F353BE"/>
    <w:rsid w:val="00F35BC9"/>
    <w:rsid w:val="00F37325"/>
    <w:rsid w:val="00F3752C"/>
    <w:rsid w:val="00F37E92"/>
    <w:rsid w:val="00F40390"/>
    <w:rsid w:val="00F41E9E"/>
    <w:rsid w:val="00F45907"/>
    <w:rsid w:val="00F45F07"/>
    <w:rsid w:val="00F47A34"/>
    <w:rsid w:val="00F47BA0"/>
    <w:rsid w:val="00F5092D"/>
    <w:rsid w:val="00F51569"/>
    <w:rsid w:val="00F51A08"/>
    <w:rsid w:val="00F51DED"/>
    <w:rsid w:val="00F51EA8"/>
    <w:rsid w:val="00F522A8"/>
    <w:rsid w:val="00F53906"/>
    <w:rsid w:val="00F53DD6"/>
    <w:rsid w:val="00F54A55"/>
    <w:rsid w:val="00F559F2"/>
    <w:rsid w:val="00F57BD3"/>
    <w:rsid w:val="00F61450"/>
    <w:rsid w:val="00F63CDC"/>
    <w:rsid w:val="00F643F1"/>
    <w:rsid w:val="00F65149"/>
    <w:rsid w:val="00F65D08"/>
    <w:rsid w:val="00F66146"/>
    <w:rsid w:val="00F6748D"/>
    <w:rsid w:val="00F676FC"/>
    <w:rsid w:val="00F67DDC"/>
    <w:rsid w:val="00F703B3"/>
    <w:rsid w:val="00F705F9"/>
    <w:rsid w:val="00F720B2"/>
    <w:rsid w:val="00F72179"/>
    <w:rsid w:val="00F723C2"/>
    <w:rsid w:val="00F72ABA"/>
    <w:rsid w:val="00F72CDE"/>
    <w:rsid w:val="00F73BDB"/>
    <w:rsid w:val="00F75B8C"/>
    <w:rsid w:val="00F7767D"/>
    <w:rsid w:val="00F804F2"/>
    <w:rsid w:val="00F8413B"/>
    <w:rsid w:val="00F848CD"/>
    <w:rsid w:val="00F84A22"/>
    <w:rsid w:val="00F84F3A"/>
    <w:rsid w:val="00F85923"/>
    <w:rsid w:val="00F86260"/>
    <w:rsid w:val="00F865D2"/>
    <w:rsid w:val="00F871DB"/>
    <w:rsid w:val="00F873B2"/>
    <w:rsid w:val="00F91976"/>
    <w:rsid w:val="00F92FBF"/>
    <w:rsid w:val="00F93070"/>
    <w:rsid w:val="00F93D4C"/>
    <w:rsid w:val="00F96134"/>
    <w:rsid w:val="00F96F4D"/>
    <w:rsid w:val="00F96F96"/>
    <w:rsid w:val="00FA008B"/>
    <w:rsid w:val="00FA0CB7"/>
    <w:rsid w:val="00FA0E6C"/>
    <w:rsid w:val="00FA139F"/>
    <w:rsid w:val="00FA2615"/>
    <w:rsid w:val="00FA2EB9"/>
    <w:rsid w:val="00FA2F5F"/>
    <w:rsid w:val="00FA438F"/>
    <w:rsid w:val="00FA4B0C"/>
    <w:rsid w:val="00FA552C"/>
    <w:rsid w:val="00FA56A8"/>
    <w:rsid w:val="00FA5FC9"/>
    <w:rsid w:val="00FA7226"/>
    <w:rsid w:val="00FB10B0"/>
    <w:rsid w:val="00FB1475"/>
    <w:rsid w:val="00FB1B39"/>
    <w:rsid w:val="00FB2B3C"/>
    <w:rsid w:val="00FB3CFB"/>
    <w:rsid w:val="00FB3DDA"/>
    <w:rsid w:val="00FB4BB2"/>
    <w:rsid w:val="00FB50AF"/>
    <w:rsid w:val="00FB62A5"/>
    <w:rsid w:val="00FB66F2"/>
    <w:rsid w:val="00FB6BA8"/>
    <w:rsid w:val="00FC0DCB"/>
    <w:rsid w:val="00FC1219"/>
    <w:rsid w:val="00FC1877"/>
    <w:rsid w:val="00FC1B6F"/>
    <w:rsid w:val="00FC3AFD"/>
    <w:rsid w:val="00FC3C1E"/>
    <w:rsid w:val="00FC4393"/>
    <w:rsid w:val="00FC5AA2"/>
    <w:rsid w:val="00FC5FDD"/>
    <w:rsid w:val="00FC648B"/>
    <w:rsid w:val="00FC7057"/>
    <w:rsid w:val="00FC7A1B"/>
    <w:rsid w:val="00FD003B"/>
    <w:rsid w:val="00FD0AA2"/>
    <w:rsid w:val="00FD107E"/>
    <w:rsid w:val="00FD19A2"/>
    <w:rsid w:val="00FD2BE0"/>
    <w:rsid w:val="00FD4008"/>
    <w:rsid w:val="00FD5A0F"/>
    <w:rsid w:val="00FD6499"/>
    <w:rsid w:val="00FD6DA1"/>
    <w:rsid w:val="00FD7E7C"/>
    <w:rsid w:val="00FE02BB"/>
    <w:rsid w:val="00FE0373"/>
    <w:rsid w:val="00FE0BEC"/>
    <w:rsid w:val="00FE0CFF"/>
    <w:rsid w:val="00FE12C3"/>
    <w:rsid w:val="00FE1425"/>
    <w:rsid w:val="00FE27CC"/>
    <w:rsid w:val="00FE2D1C"/>
    <w:rsid w:val="00FE2E7A"/>
    <w:rsid w:val="00FE37FD"/>
    <w:rsid w:val="00FE39A4"/>
    <w:rsid w:val="00FE40E6"/>
    <w:rsid w:val="00FE698E"/>
    <w:rsid w:val="00FE6B3F"/>
    <w:rsid w:val="00FE7AFE"/>
    <w:rsid w:val="00FE7DCE"/>
    <w:rsid w:val="00FF184E"/>
    <w:rsid w:val="00FF1E58"/>
    <w:rsid w:val="00FF2131"/>
    <w:rsid w:val="00FF2337"/>
    <w:rsid w:val="00FF25A3"/>
    <w:rsid w:val="00FF3D06"/>
    <w:rsid w:val="00FF3F22"/>
    <w:rsid w:val="00FF4579"/>
    <w:rsid w:val="00FF6B56"/>
    <w:rsid w:val="00FF7066"/>
    <w:rsid w:val="00FF79C3"/>
    <w:rsid w:val="00FF7E57"/>
    <w:rsid w:val="01166C93"/>
    <w:rsid w:val="016E4372"/>
    <w:rsid w:val="01AF0A2F"/>
    <w:rsid w:val="021D31A6"/>
    <w:rsid w:val="022602C6"/>
    <w:rsid w:val="022A013C"/>
    <w:rsid w:val="02FE224A"/>
    <w:rsid w:val="032E3CB0"/>
    <w:rsid w:val="036F4637"/>
    <w:rsid w:val="038627D9"/>
    <w:rsid w:val="03B7517E"/>
    <w:rsid w:val="03CF3CDA"/>
    <w:rsid w:val="03D1163D"/>
    <w:rsid w:val="04365D24"/>
    <w:rsid w:val="048117DB"/>
    <w:rsid w:val="04A27528"/>
    <w:rsid w:val="04F07C1D"/>
    <w:rsid w:val="055A59E4"/>
    <w:rsid w:val="05656CAD"/>
    <w:rsid w:val="05C509BD"/>
    <w:rsid w:val="05D27BB7"/>
    <w:rsid w:val="063C4FB8"/>
    <w:rsid w:val="065F3951"/>
    <w:rsid w:val="06693EA9"/>
    <w:rsid w:val="069206C7"/>
    <w:rsid w:val="069D38FB"/>
    <w:rsid w:val="06B75C5D"/>
    <w:rsid w:val="06B85299"/>
    <w:rsid w:val="072A2B28"/>
    <w:rsid w:val="07711E94"/>
    <w:rsid w:val="0772739B"/>
    <w:rsid w:val="079E3172"/>
    <w:rsid w:val="07C278FA"/>
    <w:rsid w:val="084005F1"/>
    <w:rsid w:val="08793A88"/>
    <w:rsid w:val="08B3622B"/>
    <w:rsid w:val="08EE39EF"/>
    <w:rsid w:val="090F5365"/>
    <w:rsid w:val="09123D5A"/>
    <w:rsid w:val="096C6706"/>
    <w:rsid w:val="096D64BB"/>
    <w:rsid w:val="097756CB"/>
    <w:rsid w:val="098328E6"/>
    <w:rsid w:val="099F119E"/>
    <w:rsid w:val="09A11D51"/>
    <w:rsid w:val="09B45E63"/>
    <w:rsid w:val="0A1A720E"/>
    <w:rsid w:val="0A2277C3"/>
    <w:rsid w:val="0A2D0E67"/>
    <w:rsid w:val="0A674A6C"/>
    <w:rsid w:val="0A6E7DAD"/>
    <w:rsid w:val="0A850D53"/>
    <w:rsid w:val="0AFE2B2B"/>
    <w:rsid w:val="0B3E0DFD"/>
    <w:rsid w:val="0B68520B"/>
    <w:rsid w:val="0BA2022F"/>
    <w:rsid w:val="0C3B2CF4"/>
    <w:rsid w:val="0CA15B2D"/>
    <w:rsid w:val="0D057232"/>
    <w:rsid w:val="0D935291"/>
    <w:rsid w:val="0DB829BF"/>
    <w:rsid w:val="0DC825C1"/>
    <w:rsid w:val="0E2768FA"/>
    <w:rsid w:val="0E401967"/>
    <w:rsid w:val="0E815713"/>
    <w:rsid w:val="0EAF485F"/>
    <w:rsid w:val="0EB44193"/>
    <w:rsid w:val="0ED8122A"/>
    <w:rsid w:val="0EE6797F"/>
    <w:rsid w:val="0EFD723F"/>
    <w:rsid w:val="0F721EC6"/>
    <w:rsid w:val="0F8F43F9"/>
    <w:rsid w:val="0FEE1113"/>
    <w:rsid w:val="0FF07E2F"/>
    <w:rsid w:val="10097A69"/>
    <w:rsid w:val="102655CD"/>
    <w:rsid w:val="10605731"/>
    <w:rsid w:val="10865513"/>
    <w:rsid w:val="108E2060"/>
    <w:rsid w:val="108F480C"/>
    <w:rsid w:val="109C1CE0"/>
    <w:rsid w:val="110F0A6F"/>
    <w:rsid w:val="1137526A"/>
    <w:rsid w:val="114B19D5"/>
    <w:rsid w:val="116345B2"/>
    <w:rsid w:val="11940A51"/>
    <w:rsid w:val="11DC02A8"/>
    <w:rsid w:val="12266405"/>
    <w:rsid w:val="12295EB8"/>
    <w:rsid w:val="12721FCF"/>
    <w:rsid w:val="1294374A"/>
    <w:rsid w:val="12D55A68"/>
    <w:rsid w:val="131064C6"/>
    <w:rsid w:val="131900AE"/>
    <w:rsid w:val="138B6A2A"/>
    <w:rsid w:val="141C0C50"/>
    <w:rsid w:val="14684F6F"/>
    <w:rsid w:val="14754FBA"/>
    <w:rsid w:val="14A54E45"/>
    <w:rsid w:val="14AB41C9"/>
    <w:rsid w:val="14C021D6"/>
    <w:rsid w:val="14D60D4E"/>
    <w:rsid w:val="14DA089C"/>
    <w:rsid w:val="14EF23BF"/>
    <w:rsid w:val="150E1B8F"/>
    <w:rsid w:val="15325C34"/>
    <w:rsid w:val="1578458C"/>
    <w:rsid w:val="16BA01E8"/>
    <w:rsid w:val="16CF04C2"/>
    <w:rsid w:val="17A57C8D"/>
    <w:rsid w:val="17AA1D2D"/>
    <w:rsid w:val="17E86441"/>
    <w:rsid w:val="17FB6EA6"/>
    <w:rsid w:val="18526586"/>
    <w:rsid w:val="186A190E"/>
    <w:rsid w:val="18741053"/>
    <w:rsid w:val="189D6AEE"/>
    <w:rsid w:val="18AE6A2D"/>
    <w:rsid w:val="19132F71"/>
    <w:rsid w:val="191E50D4"/>
    <w:rsid w:val="19310B97"/>
    <w:rsid w:val="19997C96"/>
    <w:rsid w:val="19C62C73"/>
    <w:rsid w:val="19CB26C8"/>
    <w:rsid w:val="1A30759E"/>
    <w:rsid w:val="1A6D4D0A"/>
    <w:rsid w:val="1A7C0F66"/>
    <w:rsid w:val="1AAE5C6B"/>
    <w:rsid w:val="1AB539AF"/>
    <w:rsid w:val="1AD626B1"/>
    <w:rsid w:val="1AE72FBF"/>
    <w:rsid w:val="1B273CCB"/>
    <w:rsid w:val="1B3D0196"/>
    <w:rsid w:val="1B7E064B"/>
    <w:rsid w:val="1B897FC0"/>
    <w:rsid w:val="1C3018BF"/>
    <w:rsid w:val="1D343945"/>
    <w:rsid w:val="1D5200EA"/>
    <w:rsid w:val="1D823294"/>
    <w:rsid w:val="1DC70FEE"/>
    <w:rsid w:val="1DFA367D"/>
    <w:rsid w:val="1E405F01"/>
    <w:rsid w:val="1E635E21"/>
    <w:rsid w:val="1E81082F"/>
    <w:rsid w:val="1E9F78BB"/>
    <w:rsid w:val="1F1F4A3B"/>
    <w:rsid w:val="1F3E369A"/>
    <w:rsid w:val="1FD87B9E"/>
    <w:rsid w:val="205E14BA"/>
    <w:rsid w:val="206A543E"/>
    <w:rsid w:val="20854DDF"/>
    <w:rsid w:val="21137B2B"/>
    <w:rsid w:val="214A311A"/>
    <w:rsid w:val="21773FA1"/>
    <w:rsid w:val="21BF2A65"/>
    <w:rsid w:val="22104BD7"/>
    <w:rsid w:val="226F22CE"/>
    <w:rsid w:val="22891BC7"/>
    <w:rsid w:val="22950304"/>
    <w:rsid w:val="237E3A2B"/>
    <w:rsid w:val="23A23D51"/>
    <w:rsid w:val="23D42CE6"/>
    <w:rsid w:val="23F84677"/>
    <w:rsid w:val="24261C17"/>
    <w:rsid w:val="242D02D9"/>
    <w:rsid w:val="244A64CB"/>
    <w:rsid w:val="24D344D9"/>
    <w:rsid w:val="25116703"/>
    <w:rsid w:val="252D0AC8"/>
    <w:rsid w:val="25562670"/>
    <w:rsid w:val="25A8465C"/>
    <w:rsid w:val="25BB6264"/>
    <w:rsid w:val="25BD4B20"/>
    <w:rsid w:val="25CE2E9E"/>
    <w:rsid w:val="25FA57AD"/>
    <w:rsid w:val="262E500C"/>
    <w:rsid w:val="26F730DD"/>
    <w:rsid w:val="271671E2"/>
    <w:rsid w:val="275945A7"/>
    <w:rsid w:val="27B0692F"/>
    <w:rsid w:val="27C14296"/>
    <w:rsid w:val="281717C2"/>
    <w:rsid w:val="28306B2E"/>
    <w:rsid w:val="283C4F71"/>
    <w:rsid w:val="28C34245"/>
    <w:rsid w:val="28E21B40"/>
    <w:rsid w:val="28ED519F"/>
    <w:rsid w:val="29907EBE"/>
    <w:rsid w:val="29C1210C"/>
    <w:rsid w:val="29E87627"/>
    <w:rsid w:val="2A2041DA"/>
    <w:rsid w:val="2B001F1E"/>
    <w:rsid w:val="2B28642F"/>
    <w:rsid w:val="2B5853F2"/>
    <w:rsid w:val="2C162C70"/>
    <w:rsid w:val="2C565A55"/>
    <w:rsid w:val="2CAB0E1D"/>
    <w:rsid w:val="2D117CEC"/>
    <w:rsid w:val="2D2A6169"/>
    <w:rsid w:val="2D496EEC"/>
    <w:rsid w:val="2DB62818"/>
    <w:rsid w:val="2DBB2325"/>
    <w:rsid w:val="2E183BBE"/>
    <w:rsid w:val="2E492BE4"/>
    <w:rsid w:val="2EAD470E"/>
    <w:rsid w:val="2EB23320"/>
    <w:rsid w:val="2EC653C5"/>
    <w:rsid w:val="2F103F84"/>
    <w:rsid w:val="2F58485B"/>
    <w:rsid w:val="2F5D3E96"/>
    <w:rsid w:val="2F5E075F"/>
    <w:rsid w:val="2FAF0AB6"/>
    <w:rsid w:val="2FB20DAA"/>
    <w:rsid w:val="2FB87799"/>
    <w:rsid w:val="2FBC5699"/>
    <w:rsid w:val="2FC447B7"/>
    <w:rsid w:val="2FEB683A"/>
    <w:rsid w:val="30006D73"/>
    <w:rsid w:val="3053748D"/>
    <w:rsid w:val="308135B5"/>
    <w:rsid w:val="30995228"/>
    <w:rsid w:val="30E8653B"/>
    <w:rsid w:val="30FB790A"/>
    <w:rsid w:val="30FE5E54"/>
    <w:rsid w:val="31025489"/>
    <w:rsid w:val="31262908"/>
    <w:rsid w:val="317E190B"/>
    <w:rsid w:val="3184480D"/>
    <w:rsid w:val="3233249A"/>
    <w:rsid w:val="32424D12"/>
    <w:rsid w:val="32485FB1"/>
    <w:rsid w:val="32680E8B"/>
    <w:rsid w:val="32C428D6"/>
    <w:rsid w:val="32DA1722"/>
    <w:rsid w:val="333A0F1E"/>
    <w:rsid w:val="33B46C9A"/>
    <w:rsid w:val="34000CEF"/>
    <w:rsid w:val="343369E1"/>
    <w:rsid w:val="34576B0D"/>
    <w:rsid w:val="34A62602"/>
    <w:rsid w:val="34D90DB7"/>
    <w:rsid w:val="34EE1061"/>
    <w:rsid w:val="35405FE3"/>
    <w:rsid w:val="35C520EE"/>
    <w:rsid w:val="35D45515"/>
    <w:rsid w:val="35F912A0"/>
    <w:rsid w:val="363915EA"/>
    <w:rsid w:val="366E7236"/>
    <w:rsid w:val="367A4792"/>
    <w:rsid w:val="36CC3502"/>
    <w:rsid w:val="36E26D85"/>
    <w:rsid w:val="372160EE"/>
    <w:rsid w:val="372B6F4A"/>
    <w:rsid w:val="3753092C"/>
    <w:rsid w:val="375604DE"/>
    <w:rsid w:val="377068B5"/>
    <w:rsid w:val="37D755DD"/>
    <w:rsid w:val="380D3521"/>
    <w:rsid w:val="382F45B5"/>
    <w:rsid w:val="38863454"/>
    <w:rsid w:val="38916DE8"/>
    <w:rsid w:val="38C14ED4"/>
    <w:rsid w:val="38EE022D"/>
    <w:rsid w:val="39002E5F"/>
    <w:rsid w:val="394064A7"/>
    <w:rsid w:val="394E3F56"/>
    <w:rsid w:val="397D0297"/>
    <w:rsid w:val="39BA352D"/>
    <w:rsid w:val="39C45069"/>
    <w:rsid w:val="39F40768"/>
    <w:rsid w:val="3A780A2C"/>
    <w:rsid w:val="3ACE624A"/>
    <w:rsid w:val="3ADC0AAA"/>
    <w:rsid w:val="3B16788A"/>
    <w:rsid w:val="3B5C58C9"/>
    <w:rsid w:val="3B7A1B90"/>
    <w:rsid w:val="3BAD2439"/>
    <w:rsid w:val="3BCF6D82"/>
    <w:rsid w:val="3BE56F8F"/>
    <w:rsid w:val="3BFB6DBD"/>
    <w:rsid w:val="3C283DA2"/>
    <w:rsid w:val="3C665300"/>
    <w:rsid w:val="3C6E0A75"/>
    <w:rsid w:val="3C876042"/>
    <w:rsid w:val="3C8C34F0"/>
    <w:rsid w:val="3CC64B4B"/>
    <w:rsid w:val="3CC70709"/>
    <w:rsid w:val="3D246B97"/>
    <w:rsid w:val="3D2A7094"/>
    <w:rsid w:val="3D3E71E8"/>
    <w:rsid w:val="3D464046"/>
    <w:rsid w:val="3D6E4C34"/>
    <w:rsid w:val="3D81196C"/>
    <w:rsid w:val="3D870265"/>
    <w:rsid w:val="3DB67424"/>
    <w:rsid w:val="3DBF21AB"/>
    <w:rsid w:val="3DD540A6"/>
    <w:rsid w:val="3DDC4D1A"/>
    <w:rsid w:val="3E033C3B"/>
    <w:rsid w:val="3E08148C"/>
    <w:rsid w:val="3E1B6300"/>
    <w:rsid w:val="3E817E56"/>
    <w:rsid w:val="3ED351C2"/>
    <w:rsid w:val="3F105A7D"/>
    <w:rsid w:val="3F181D82"/>
    <w:rsid w:val="3F4E526B"/>
    <w:rsid w:val="3FA737C2"/>
    <w:rsid w:val="408634EB"/>
    <w:rsid w:val="40A93410"/>
    <w:rsid w:val="40C328E9"/>
    <w:rsid w:val="40D56029"/>
    <w:rsid w:val="40DB42E4"/>
    <w:rsid w:val="40FB49C9"/>
    <w:rsid w:val="41122991"/>
    <w:rsid w:val="416845DA"/>
    <w:rsid w:val="419A0205"/>
    <w:rsid w:val="41C669D4"/>
    <w:rsid w:val="41D64C06"/>
    <w:rsid w:val="420E332E"/>
    <w:rsid w:val="42226A58"/>
    <w:rsid w:val="423D778C"/>
    <w:rsid w:val="42A079D3"/>
    <w:rsid w:val="42C346FC"/>
    <w:rsid w:val="43301CFC"/>
    <w:rsid w:val="435F789E"/>
    <w:rsid w:val="43911622"/>
    <w:rsid w:val="446D19DA"/>
    <w:rsid w:val="44A22DD7"/>
    <w:rsid w:val="4538487A"/>
    <w:rsid w:val="456117C4"/>
    <w:rsid w:val="456D1A9F"/>
    <w:rsid w:val="4578569B"/>
    <w:rsid w:val="45CD6B03"/>
    <w:rsid w:val="45D62C38"/>
    <w:rsid w:val="466E37ED"/>
    <w:rsid w:val="46E6318C"/>
    <w:rsid w:val="475508E8"/>
    <w:rsid w:val="47907935"/>
    <w:rsid w:val="479B7282"/>
    <w:rsid w:val="47D34989"/>
    <w:rsid w:val="47E61966"/>
    <w:rsid w:val="48674C02"/>
    <w:rsid w:val="488B2AE7"/>
    <w:rsid w:val="48C51F06"/>
    <w:rsid w:val="49073162"/>
    <w:rsid w:val="49A33616"/>
    <w:rsid w:val="49C52A8B"/>
    <w:rsid w:val="4A86768B"/>
    <w:rsid w:val="4A906F41"/>
    <w:rsid w:val="4A9E1488"/>
    <w:rsid w:val="4AAA30F5"/>
    <w:rsid w:val="4AE63688"/>
    <w:rsid w:val="4B76446F"/>
    <w:rsid w:val="4BAC37E7"/>
    <w:rsid w:val="4BBA3CB2"/>
    <w:rsid w:val="4BFA1F15"/>
    <w:rsid w:val="4C644F41"/>
    <w:rsid w:val="4C675032"/>
    <w:rsid w:val="4CF5545B"/>
    <w:rsid w:val="4D1D11B2"/>
    <w:rsid w:val="4D2005CD"/>
    <w:rsid w:val="4D8719E4"/>
    <w:rsid w:val="4E217EFD"/>
    <w:rsid w:val="4ED0586B"/>
    <w:rsid w:val="4F265670"/>
    <w:rsid w:val="4F3843B9"/>
    <w:rsid w:val="4F8878CE"/>
    <w:rsid w:val="4FBE3E91"/>
    <w:rsid w:val="5047462A"/>
    <w:rsid w:val="50494D8C"/>
    <w:rsid w:val="505350BF"/>
    <w:rsid w:val="506E249E"/>
    <w:rsid w:val="50973339"/>
    <w:rsid w:val="50BC2784"/>
    <w:rsid w:val="50FF4FA1"/>
    <w:rsid w:val="51B95599"/>
    <w:rsid w:val="51C111F2"/>
    <w:rsid w:val="51CC599A"/>
    <w:rsid w:val="51F91627"/>
    <w:rsid w:val="52000409"/>
    <w:rsid w:val="5214734D"/>
    <w:rsid w:val="5262537E"/>
    <w:rsid w:val="52B3129F"/>
    <w:rsid w:val="52E0138D"/>
    <w:rsid w:val="531B4876"/>
    <w:rsid w:val="532C6DF2"/>
    <w:rsid w:val="53977F68"/>
    <w:rsid w:val="54581F61"/>
    <w:rsid w:val="5459722D"/>
    <w:rsid w:val="546B729A"/>
    <w:rsid w:val="5478190A"/>
    <w:rsid w:val="548A5C67"/>
    <w:rsid w:val="549F024D"/>
    <w:rsid w:val="54E76324"/>
    <w:rsid w:val="54FA774B"/>
    <w:rsid w:val="550A1CAA"/>
    <w:rsid w:val="55135A7C"/>
    <w:rsid w:val="558A6065"/>
    <w:rsid w:val="55932C34"/>
    <w:rsid w:val="5595685C"/>
    <w:rsid w:val="55D849F0"/>
    <w:rsid w:val="55E25527"/>
    <w:rsid w:val="561C4850"/>
    <w:rsid w:val="564A4598"/>
    <w:rsid w:val="56AC45BF"/>
    <w:rsid w:val="56B036E9"/>
    <w:rsid w:val="56C757C1"/>
    <w:rsid w:val="56E53A08"/>
    <w:rsid w:val="56F039DA"/>
    <w:rsid w:val="572F6C1E"/>
    <w:rsid w:val="57874054"/>
    <w:rsid w:val="578B25D9"/>
    <w:rsid w:val="57922C3A"/>
    <w:rsid w:val="57B47564"/>
    <w:rsid w:val="57E42F5C"/>
    <w:rsid w:val="57F16671"/>
    <w:rsid w:val="58545D21"/>
    <w:rsid w:val="585D06B9"/>
    <w:rsid w:val="59157E32"/>
    <w:rsid w:val="59227AD9"/>
    <w:rsid w:val="59391589"/>
    <w:rsid w:val="594F39BB"/>
    <w:rsid w:val="59510D6A"/>
    <w:rsid w:val="59540374"/>
    <w:rsid w:val="596C2C41"/>
    <w:rsid w:val="599C6114"/>
    <w:rsid w:val="59AE0261"/>
    <w:rsid w:val="59BA5947"/>
    <w:rsid w:val="59CF1BED"/>
    <w:rsid w:val="5A3066AF"/>
    <w:rsid w:val="5A3410A1"/>
    <w:rsid w:val="5A3C2BA2"/>
    <w:rsid w:val="5A556B4B"/>
    <w:rsid w:val="5A5D5F9C"/>
    <w:rsid w:val="5A644884"/>
    <w:rsid w:val="5A667D21"/>
    <w:rsid w:val="5AA96EAC"/>
    <w:rsid w:val="5AD75F90"/>
    <w:rsid w:val="5B084C74"/>
    <w:rsid w:val="5B157855"/>
    <w:rsid w:val="5B290C66"/>
    <w:rsid w:val="5B4707E3"/>
    <w:rsid w:val="5B554A28"/>
    <w:rsid w:val="5B607AE2"/>
    <w:rsid w:val="5B891058"/>
    <w:rsid w:val="5B8B39D0"/>
    <w:rsid w:val="5B95371C"/>
    <w:rsid w:val="5BB427B2"/>
    <w:rsid w:val="5C001AA0"/>
    <w:rsid w:val="5C12480E"/>
    <w:rsid w:val="5C1935F7"/>
    <w:rsid w:val="5C4E38B5"/>
    <w:rsid w:val="5C7375E0"/>
    <w:rsid w:val="5CCA2312"/>
    <w:rsid w:val="5D2B4293"/>
    <w:rsid w:val="5D2F106B"/>
    <w:rsid w:val="5E394CE7"/>
    <w:rsid w:val="5E8B601B"/>
    <w:rsid w:val="5E9A569C"/>
    <w:rsid w:val="5EBF0818"/>
    <w:rsid w:val="5ED4244C"/>
    <w:rsid w:val="5EE5108D"/>
    <w:rsid w:val="5F1A46D9"/>
    <w:rsid w:val="5F2948C5"/>
    <w:rsid w:val="5F8D096A"/>
    <w:rsid w:val="5F911443"/>
    <w:rsid w:val="5F9E12EC"/>
    <w:rsid w:val="5FA462CB"/>
    <w:rsid w:val="5FEE7E23"/>
    <w:rsid w:val="5FEF62E5"/>
    <w:rsid w:val="60007765"/>
    <w:rsid w:val="60071DFA"/>
    <w:rsid w:val="6009611C"/>
    <w:rsid w:val="6042357D"/>
    <w:rsid w:val="609D0927"/>
    <w:rsid w:val="60BC72EC"/>
    <w:rsid w:val="60EE1270"/>
    <w:rsid w:val="60F267B1"/>
    <w:rsid w:val="611438F2"/>
    <w:rsid w:val="612000DB"/>
    <w:rsid w:val="614C36D7"/>
    <w:rsid w:val="61A310C9"/>
    <w:rsid w:val="61C77CE6"/>
    <w:rsid w:val="61E6790B"/>
    <w:rsid w:val="621E0350"/>
    <w:rsid w:val="62B97E3E"/>
    <w:rsid w:val="63320956"/>
    <w:rsid w:val="63473F2D"/>
    <w:rsid w:val="63F40F7E"/>
    <w:rsid w:val="641B6035"/>
    <w:rsid w:val="64470634"/>
    <w:rsid w:val="6454009D"/>
    <w:rsid w:val="6474064E"/>
    <w:rsid w:val="647624F0"/>
    <w:rsid w:val="64F77688"/>
    <w:rsid w:val="65891171"/>
    <w:rsid w:val="65D23419"/>
    <w:rsid w:val="66096B1E"/>
    <w:rsid w:val="66142B41"/>
    <w:rsid w:val="663B7940"/>
    <w:rsid w:val="669263EB"/>
    <w:rsid w:val="66AF5944"/>
    <w:rsid w:val="66B055AC"/>
    <w:rsid w:val="67074111"/>
    <w:rsid w:val="670F0D70"/>
    <w:rsid w:val="675F4262"/>
    <w:rsid w:val="67A72BD9"/>
    <w:rsid w:val="67C47CD3"/>
    <w:rsid w:val="67E845D5"/>
    <w:rsid w:val="6820367B"/>
    <w:rsid w:val="682B6731"/>
    <w:rsid w:val="68313861"/>
    <w:rsid w:val="688B5E63"/>
    <w:rsid w:val="68C81451"/>
    <w:rsid w:val="694302CD"/>
    <w:rsid w:val="69687FC4"/>
    <w:rsid w:val="69AF4CFF"/>
    <w:rsid w:val="69DB7E2C"/>
    <w:rsid w:val="6A3501E3"/>
    <w:rsid w:val="6A481DB3"/>
    <w:rsid w:val="6A4F550E"/>
    <w:rsid w:val="6A751DE0"/>
    <w:rsid w:val="6A91685E"/>
    <w:rsid w:val="6AEC4BE4"/>
    <w:rsid w:val="6B2730DB"/>
    <w:rsid w:val="6B377752"/>
    <w:rsid w:val="6BAA70A8"/>
    <w:rsid w:val="6C332297"/>
    <w:rsid w:val="6C4301C5"/>
    <w:rsid w:val="6C551F6E"/>
    <w:rsid w:val="6C6E73BD"/>
    <w:rsid w:val="6CA93A9A"/>
    <w:rsid w:val="6CCA74A2"/>
    <w:rsid w:val="6DC02985"/>
    <w:rsid w:val="6DF92B99"/>
    <w:rsid w:val="6DFC192A"/>
    <w:rsid w:val="6E5A1515"/>
    <w:rsid w:val="6E785B30"/>
    <w:rsid w:val="6E791A73"/>
    <w:rsid w:val="6F1E0555"/>
    <w:rsid w:val="6F963BBB"/>
    <w:rsid w:val="70033176"/>
    <w:rsid w:val="70326864"/>
    <w:rsid w:val="704417AB"/>
    <w:rsid w:val="70715809"/>
    <w:rsid w:val="707D57D0"/>
    <w:rsid w:val="708B1B8E"/>
    <w:rsid w:val="709A7CAF"/>
    <w:rsid w:val="70FA27FE"/>
    <w:rsid w:val="71284CD7"/>
    <w:rsid w:val="71513219"/>
    <w:rsid w:val="71715567"/>
    <w:rsid w:val="71912AE6"/>
    <w:rsid w:val="71923A1E"/>
    <w:rsid w:val="71D03776"/>
    <w:rsid w:val="71D86BA6"/>
    <w:rsid w:val="71E45D55"/>
    <w:rsid w:val="72355001"/>
    <w:rsid w:val="72913456"/>
    <w:rsid w:val="72CE1252"/>
    <w:rsid w:val="73086FDF"/>
    <w:rsid w:val="73106E3E"/>
    <w:rsid w:val="73801BB7"/>
    <w:rsid w:val="73A370AC"/>
    <w:rsid w:val="73F768EC"/>
    <w:rsid w:val="74094ADE"/>
    <w:rsid w:val="744705CD"/>
    <w:rsid w:val="746B3A63"/>
    <w:rsid w:val="7490759C"/>
    <w:rsid w:val="74B330F3"/>
    <w:rsid w:val="74C5208F"/>
    <w:rsid w:val="754373F9"/>
    <w:rsid w:val="75D642BB"/>
    <w:rsid w:val="76193CAF"/>
    <w:rsid w:val="763F55C5"/>
    <w:rsid w:val="764A1451"/>
    <w:rsid w:val="765113CB"/>
    <w:rsid w:val="76837FFB"/>
    <w:rsid w:val="76876287"/>
    <w:rsid w:val="76877084"/>
    <w:rsid w:val="76951F05"/>
    <w:rsid w:val="769F608D"/>
    <w:rsid w:val="76D82955"/>
    <w:rsid w:val="76D84D5E"/>
    <w:rsid w:val="770838B9"/>
    <w:rsid w:val="772F286C"/>
    <w:rsid w:val="77403AF3"/>
    <w:rsid w:val="779237B9"/>
    <w:rsid w:val="78897CF2"/>
    <w:rsid w:val="78C93F84"/>
    <w:rsid w:val="798D3000"/>
    <w:rsid w:val="79947867"/>
    <w:rsid w:val="79970159"/>
    <w:rsid w:val="79B71030"/>
    <w:rsid w:val="79BD1E74"/>
    <w:rsid w:val="7A277598"/>
    <w:rsid w:val="7AA82948"/>
    <w:rsid w:val="7AF2278F"/>
    <w:rsid w:val="7B09761E"/>
    <w:rsid w:val="7B182C3F"/>
    <w:rsid w:val="7B3E14F6"/>
    <w:rsid w:val="7B926339"/>
    <w:rsid w:val="7BDE426A"/>
    <w:rsid w:val="7C3136B1"/>
    <w:rsid w:val="7C5E3584"/>
    <w:rsid w:val="7CC83D22"/>
    <w:rsid w:val="7CD8130F"/>
    <w:rsid w:val="7CE93EA9"/>
    <w:rsid w:val="7CFD323F"/>
    <w:rsid w:val="7D075F37"/>
    <w:rsid w:val="7D1B429E"/>
    <w:rsid w:val="7D281DEE"/>
    <w:rsid w:val="7D9A3031"/>
    <w:rsid w:val="7DA759D6"/>
    <w:rsid w:val="7E09544E"/>
    <w:rsid w:val="7E55081F"/>
    <w:rsid w:val="7EAD7C35"/>
    <w:rsid w:val="7ECE2DD6"/>
    <w:rsid w:val="7F2E6983"/>
    <w:rsid w:val="7F2F627B"/>
    <w:rsid w:val="7F532A33"/>
    <w:rsid w:val="7F827FF8"/>
    <w:rsid w:val="7F8874F2"/>
    <w:rsid w:val="7F9F3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1431"/>
        <o:r id="V:Rule2" type="connector" idref="#自选图形 14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pageBreakBefore/>
      <w:tabs>
        <w:tab w:val="left" w:pos="1080"/>
      </w:tabs>
      <w:spacing w:before="340" w:after="330" w:line="578" w:lineRule="auto"/>
      <w:ind w:left="432" w:hanging="432"/>
      <w:jc w:val="center"/>
      <w:outlineLvl w:val="0"/>
    </w:pPr>
    <w:rPr>
      <w:rFonts w:eastAsia="黑体"/>
      <w:b/>
      <w:kern w:val="44"/>
      <w:sz w:val="36"/>
      <w:szCs w:val="20"/>
    </w:rPr>
  </w:style>
  <w:style w:type="paragraph" w:styleId="3">
    <w:name w:val="heading 3"/>
    <w:basedOn w:val="1"/>
    <w:next w:val="1"/>
    <w:link w:val="28"/>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2"/>
    <w:qFormat/>
    <w:uiPriority w:val="0"/>
    <w:rPr>
      <w:sz w:val="28"/>
      <w:szCs w:val="20"/>
    </w:rPr>
  </w:style>
  <w:style w:type="paragraph" w:styleId="6">
    <w:name w:val="caption"/>
    <w:basedOn w:val="1"/>
    <w:next w:val="1"/>
    <w:link w:val="31"/>
    <w:qFormat/>
    <w:uiPriority w:val="0"/>
    <w:rPr>
      <w:rFonts w:ascii="Arial" w:hAnsi="Arial" w:eastAsia="黑体" w:cs="Arial"/>
      <w:sz w:val="20"/>
      <w:szCs w:val="20"/>
    </w:rPr>
  </w:style>
  <w:style w:type="paragraph" w:styleId="7">
    <w:name w:val="annotation text"/>
    <w:basedOn w:val="1"/>
    <w:link w:val="29"/>
    <w:qFormat/>
    <w:uiPriority w:val="0"/>
    <w:pPr>
      <w:jc w:val="left"/>
    </w:pPr>
  </w:style>
  <w:style w:type="paragraph" w:styleId="8">
    <w:name w:val="Body Text"/>
    <w:basedOn w:val="1"/>
    <w:link w:val="32"/>
    <w:qFormat/>
    <w:uiPriority w:val="0"/>
    <w:pPr>
      <w:spacing w:after="120"/>
    </w:pPr>
  </w:style>
  <w:style w:type="paragraph" w:styleId="9">
    <w:name w:val="Body Text Indent"/>
    <w:basedOn w:val="1"/>
    <w:next w:val="8"/>
    <w:qFormat/>
    <w:uiPriority w:val="0"/>
    <w:pPr>
      <w:spacing w:after="120" w:afterLines="0"/>
      <w:ind w:left="420" w:leftChars="200"/>
    </w:pPr>
  </w:style>
  <w:style w:type="paragraph" w:styleId="10">
    <w:name w:val="Plain Text"/>
    <w:basedOn w:val="1"/>
    <w:link w:val="33"/>
    <w:qFormat/>
    <w:uiPriority w:val="0"/>
    <w:rPr>
      <w:rFonts w:ascii="宋体" w:hAnsi="Courier New"/>
      <w:sz w:val="28"/>
      <w:szCs w:val="20"/>
    </w:rPr>
  </w:style>
  <w:style w:type="paragraph" w:styleId="11">
    <w:name w:val="Balloon Text"/>
    <w:basedOn w:val="1"/>
    <w:link w:val="34"/>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6"/>
    <w:qFormat/>
    <w:uiPriority w:val="99"/>
    <w:pPr>
      <w:tabs>
        <w:tab w:val="center" w:pos="4153"/>
        <w:tab w:val="right" w:pos="8306"/>
      </w:tabs>
      <w:snapToGrid w:val="0"/>
      <w:jc w:val="center"/>
    </w:pPr>
    <w:rPr>
      <w:sz w:val="18"/>
      <w:szCs w:val="18"/>
    </w:rPr>
  </w:style>
  <w:style w:type="paragraph" w:styleId="14">
    <w:name w:val="toc 1"/>
    <w:basedOn w:val="1"/>
    <w:next w:val="1"/>
    <w:qFormat/>
    <w:uiPriority w:val="0"/>
    <w:pPr>
      <w:tabs>
        <w:tab w:val="left" w:pos="5760"/>
      </w:tabs>
      <w:adjustRightInd w:val="0"/>
      <w:snapToGrid w:val="0"/>
      <w:jc w:val="center"/>
    </w:pPr>
    <w:rPr>
      <w:rFonts w:ascii="宋体" w:hAnsi="宋体"/>
      <w:sz w:val="24"/>
    </w:rPr>
  </w:style>
  <w:style w:type="paragraph" w:styleId="15">
    <w:name w:val="Body Text Indent 3"/>
    <w:basedOn w:val="1"/>
    <w:link w:val="37"/>
    <w:qFormat/>
    <w:uiPriority w:val="0"/>
    <w:pPr>
      <w:spacing w:after="120"/>
      <w:ind w:left="420" w:leftChars="200"/>
    </w:pPr>
    <w:rPr>
      <w:sz w:val="16"/>
      <w:szCs w:val="16"/>
    </w:rPr>
  </w:style>
  <w:style w:type="paragraph" w:styleId="16">
    <w:name w:val="toc 9"/>
    <w:basedOn w:val="1"/>
    <w:next w:val="1"/>
    <w:qFormat/>
    <w:uiPriority w:val="0"/>
    <w:pPr>
      <w:spacing w:line="240" w:lineRule="atLeast"/>
      <w:ind w:firstLine="210" w:firstLineChars="100"/>
      <w:jc w:val="center"/>
    </w:pPr>
    <w:rPr>
      <w:color w:val="FF0000"/>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link w:val="30"/>
    <w:qFormat/>
    <w:uiPriority w:val="0"/>
    <w:rPr>
      <w:b/>
      <w:bCs/>
    </w:rPr>
  </w:style>
  <w:style w:type="paragraph" w:styleId="19">
    <w:name w:val="Body Text First Indent"/>
    <w:basedOn w:val="8"/>
    <w:link w:val="116"/>
    <w:qFormat/>
    <w:uiPriority w:val="0"/>
    <w:pPr>
      <w:ind w:firstLine="420" w:firstLineChars="100"/>
    </w:pPr>
  </w:style>
  <w:style w:type="paragraph" w:styleId="20">
    <w:name w:val="Body Text First Indent 2"/>
    <w:basedOn w:val="9"/>
    <w:next w:val="1"/>
    <w:qFormat/>
    <w:uiPriority w:val="0"/>
    <w:pPr>
      <w:spacing w:after="120" w:line="240" w:lineRule="auto"/>
      <w:ind w:left="420" w:leftChars="200" w:firstLine="420"/>
    </w:pPr>
    <w:rPr>
      <w:rFonts w:hint="default" w:ascii="Times New Roman" w:hAnsi="Times New Roman" w:eastAsia="宋体"/>
      <w:sz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Hyperlink"/>
    <w:basedOn w:val="23"/>
    <w:qFormat/>
    <w:uiPriority w:val="0"/>
    <w:rPr>
      <w:color w:val="0000CC"/>
      <w:u w:val="single"/>
    </w:rPr>
  </w:style>
  <w:style w:type="character" w:styleId="26">
    <w:name w:val="annotation reference"/>
    <w:basedOn w:val="23"/>
    <w:qFormat/>
    <w:uiPriority w:val="0"/>
    <w:rPr>
      <w:sz w:val="21"/>
      <w:szCs w:val="21"/>
    </w:rPr>
  </w:style>
  <w:style w:type="paragraph" w:customStyle="1" w:styleId="27">
    <w:name w:val="_Style 1"/>
    <w:basedOn w:val="1"/>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 w:type="character" w:customStyle="1" w:styleId="28">
    <w:name w:val="标题 3 Char"/>
    <w:basedOn w:val="23"/>
    <w:link w:val="3"/>
    <w:qFormat/>
    <w:uiPriority w:val="0"/>
    <w:rPr>
      <w:b/>
      <w:bCs/>
      <w:kern w:val="2"/>
      <w:sz w:val="32"/>
      <w:szCs w:val="32"/>
    </w:rPr>
  </w:style>
  <w:style w:type="character" w:customStyle="1" w:styleId="29">
    <w:name w:val="批注文字 Char"/>
    <w:basedOn w:val="23"/>
    <w:link w:val="7"/>
    <w:qFormat/>
    <w:uiPriority w:val="0"/>
    <w:rPr>
      <w:kern w:val="2"/>
      <w:sz w:val="21"/>
      <w:szCs w:val="24"/>
    </w:rPr>
  </w:style>
  <w:style w:type="character" w:customStyle="1" w:styleId="30">
    <w:name w:val="批注主题 Char"/>
    <w:basedOn w:val="29"/>
    <w:link w:val="18"/>
    <w:qFormat/>
    <w:uiPriority w:val="0"/>
    <w:rPr>
      <w:kern w:val="2"/>
      <w:sz w:val="21"/>
      <w:szCs w:val="24"/>
    </w:rPr>
  </w:style>
  <w:style w:type="character" w:customStyle="1" w:styleId="31">
    <w:name w:val="题注 Char"/>
    <w:link w:val="6"/>
    <w:qFormat/>
    <w:uiPriority w:val="0"/>
    <w:rPr>
      <w:rFonts w:ascii="Arial" w:hAnsi="Arial" w:eastAsia="黑体" w:cs="Arial"/>
      <w:kern w:val="2"/>
    </w:rPr>
  </w:style>
  <w:style w:type="character" w:customStyle="1" w:styleId="32">
    <w:name w:val="正文文本 Char"/>
    <w:basedOn w:val="23"/>
    <w:link w:val="8"/>
    <w:qFormat/>
    <w:uiPriority w:val="0"/>
    <w:rPr>
      <w:kern w:val="2"/>
      <w:sz w:val="21"/>
      <w:szCs w:val="24"/>
    </w:rPr>
  </w:style>
  <w:style w:type="character" w:customStyle="1" w:styleId="33">
    <w:name w:val="纯文本 Char1"/>
    <w:basedOn w:val="23"/>
    <w:link w:val="10"/>
    <w:qFormat/>
    <w:uiPriority w:val="0"/>
    <w:rPr>
      <w:rFonts w:ascii="宋体" w:hAnsi="Courier New" w:cs="Courier New"/>
      <w:kern w:val="2"/>
      <w:sz w:val="21"/>
      <w:szCs w:val="21"/>
    </w:rPr>
  </w:style>
  <w:style w:type="character" w:customStyle="1" w:styleId="34">
    <w:name w:val="批注框文本 Char"/>
    <w:basedOn w:val="23"/>
    <w:link w:val="11"/>
    <w:qFormat/>
    <w:uiPriority w:val="0"/>
    <w:rPr>
      <w:kern w:val="2"/>
      <w:sz w:val="18"/>
      <w:szCs w:val="18"/>
    </w:rPr>
  </w:style>
  <w:style w:type="character" w:customStyle="1" w:styleId="35">
    <w:name w:val="页脚 Char"/>
    <w:basedOn w:val="23"/>
    <w:link w:val="12"/>
    <w:qFormat/>
    <w:uiPriority w:val="99"/>
    <w:rPr>
      <w:rFonts w:eastAsia="宋体"/>
      <w:kern w:val="2"/>
      <w:sz w:val="18"/>
      <w:szCs w:val="18"/>
      <w:lang w:val="en-US" w:eastAsia="zh-CN" w:bidi="ar-SA"/>
    </w:rPr>
  </w:style>
  <w:style w:type="character" w:customStyle="1" w:styleId="36">
    <w:name w:val="页眉 Char"/>
    <w:basedOn w:val="23"/>
    <w:link w:val="13"/>
    <w:qFormat/>
    <w:uiPriority w:val="99"/>
    <w:rPr>
      <w:kern w:val="2"/>
      <w:sz w:val="18"/>
      <w:szCs w:val="18"/>
    </w:rPr>
  </w:style>
  <w:style w:type="character" w:customStyle="1" w:styleId="37">
    <w:name w:val="正文文本缩进 3 Char"/>
    <w:basedOn w:val="23"/>
    <w:link w:val="15"/>
    <w:qFormat/>
    <w:uiPriority w:val="0"/>
    <w:rPr>
      <w:kern w:val="2"/>
      <w:sz w:val="16"/>
      <w:szCs w:val="16"/>
    </w:rPr>
  </w:style>
  <w:style w:type="character" w:customStyle="1" w:styleId="38">
    <w:name w:val="表头 Char1"/>
    <w:basedOn w:val="23"/>
    <w:link w:val="39"/>
    <w:qFormat/>
    <w:uiPriority w:val="0"/>
    <w:rPr>
      <w:rFonts w:eastAsia="黑体"/>
      <w:kern w:val="2"/>
      <w:sz w:val="24"/>
      <w:szCs w:val="24"/>
      <w:lang w:val="zh-CN" w:eastAsia="zh-CN" w:bidi="ar-SA"/>
    </w:rPr>
  </w:style>
  <w:style w:type="paragraph" w:customStyle="1" w:styleId="39">
    <w:name w:val="表头"/>
    <w:basedOn w:val="1"/>
    <w:next w:val="1"/>
    <w:link w:val="38"/>
    <w:qFormat/>
    <w:uiPriority w:val="0"/>
    <w:pPr>
      <w:adjustRightInd w:val="0"/>
      <w:snapToGrid w:val="0"/>
      <w:spacing w:line="520" w:lineRule="exact"/>
      <w:ind w:firstLine="480" w:firstLineChars="200"/>
    </w:pPr>
    <w:rPr>
      <w:rFonts w:eastAsia="黑体"/>
      <w:sz w:val="24"/>
      <w:lang w:val="zh-CN"/>
    </w:rPr>
  </w:style>
  <w:style w:type="character" w:customStyle="1" w:styleId="40">
    <w:name w:val="批注引用1"/>
    <w:basedOn w:val="23"/>
    <w:qFormat/>
    <w:uiPriority w:val="0"/>
    <w:rPr>
      <w:sz w:val="21"/>
      <w:szCs w:val="21"/>
    </w:rPr>
  </w:style>
  <w:style w:type="character" w:customStyle="1" w:styleId="41">
    <w:name w:val="页码1"/>
    <w:basedOn w:val="23"/>
    <w:qFormat/>
    <w:uiPriority w:val="0"/>
  </w:style>
  <w:style w:type="character" w:customStyle="1" w:styleId="42">
    <w:name w:val="HTML 预设格式 Char"/>
    <w:basedOn w:val="23"/>
    <w:link w:val="43"/>
    <w:qFormat/>
    <w:uiPriority w:val="0"/>
    <w:rPr>
      <w:rFonts w:ascii="Arial" w:hAnsi="Arial" w:cs="Arial"/>
      <w:sz w:val="24"/>
      <w:szCs w:val="24"/>
    </w:rPr>
  </w:style>
  <w:style w:type="paragraph" w:customStyle="1" w:styleId="43">
    <w:name w:val="HTML 预设格式1"/>
    <w:basedOn w:val="1"/>
    <w:link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character" w:customStyle="1" w:styleId="44">
    <w:name w:val="正文文本缩进 Char"/>
    <w:basedOn w:val="23"/>
    <w:link w:val="45"/>
    <w:qFormat/>
    <w:uiPriority w:val="0"/>
    <w:rPr>
      <w:szCs w:val="24"/>
    </w:rPr>
  </w:style>
  <w:style w:type="paragraph" w:customStyle="1" w:styleId="45">
    <w:name w:val="正文文本缩进1"/>
    <w:basedOn w:val="1"/>
    <w:link w:val="44"/>
    <w:qFormat/>
    <w:uiPriority w:val="0"/>
    <w:pPr>
      <w:tabs>
        <w:tab w:val="left" w:pos="210"/>
      </w:tabs>
      <w:spacing w:line="360" w:lineRule="auto"/>
      <w:ind w:firstLine="420" w:firstLineChars="175"/>
    </w:pPr>
  </w:style>
  <w:style w:type="character" w:customStyle="1" w:styleId="46">
    <w:name w:val="正文首行缩进 Char"/>
    <w:basedOn w:val="32"/>
    <w:link w:val="47"/>
    <w:qFormat/>
    <w:uiPriority w:val="0"/>
    <w:rPr>
      <w:kern w:val="2"/>
      <w:sz w:val="21"/>
      <w:szCs w:val="24"/>
    </w:rPr>
  </w:style>
  <w:style w:type="paragraph" w:customStyle="1" w:styleId="47">
    <w:name w:val="正文首行缩进1"/>
    <w:basedOn w:val="8"/>
    <w:link w:val="46"/>
    <w:qFormat/>
    <w:uiPriority w:val="0"/>
    <w:pPr>
      <w:ind w:firstLine="420" w:firstLineChars="100"/>
    </w:pPr>
  </w:style>
  <w:style w:type="character" w:customStyle="1" w:styleId="48">
    <w:name w:val="headline-content"/>
    <w:basedOn w:val="23"/>
    <w:qFormat/>
    <w:uiPriority w:val="0"/>
  </w:style>
  <w:style w:type="character" w:customStyle="1" w:styleId="49">
    <w:name w:val="fontrow151"/>
    <w:basedOn w:val="23"/>
    <w:qFormat/>
    <w:uiPriority w:val="0"/>
  </w:style>
  <w:style w:type="character" w:customStyle="1" w:styleId="50">
    <w:name w:val="zhengwen"/>
    <w:basedOn w:val="23"/>
    <w:qFormat/>
    <w:uiPriority w:val="0"/>
  </w:style>
  <w:style w:type="character" w:customStyle="1" w:styleId="51">
    <w:name w:val="日期 Char"/>
    <w:basedOn w:val="23"/>
    <w:link w:val="52"/>
    <w:qFormat/>
    <w:uiPriority w:val="0"/>
    <w:rPr>
      <w:rFonts w:eastAsia="宋体"/>
      <w:kern w:val="2"/>
      <w:sz w:val="24"/>
      <w:lang w:val="en-US" w:eastAsia="zh-CN" w:bidi="ar-SA"/>
    </w:rPr>
  </w:style>
  <w:style w:type="paragraph" w:customStyle="1" w:styleId="52">
    <w:name w:val="日期1"/>
    <w:basedOn w:val="1"/>
    <w:next w:val="1"/>
    <w:link w:val="51"/>
    <w:qFormat/>
    <w:uiPriority w:val="0"/>
    <w:pPr>
      <w:adjustRightInd w:val="0"/>
      <w:textAlignment w:val="baseline"/>
    </w:pPr>
    <w:rPr>
      <w:sz w:val="24"/>
    </w:rPr>
  </w:style>
  <w:style w:type="character" w:customStyle="1" w:styleId="53">
    <w:name w:val="正文文本 2 Char"/>
    <w:basedOn w:val="23"/>
    <w:link w:val="54"/>
    <w:qFormat/>
    <w:uiPriority w:val="0"/>
    <w:rPr>
      <w:rFonts w:ascii="宋体"/>
      <w:kern w:val="2"/>
      <w:sz w:val="28"/>
    </w:rPr>
  </w:style>
  <w:style w:type="paragraph" w:customStyle="1" w:styleId="54">
    <w:name w:val="正文文本 21"/>
    <w:basedOn w:val="1"/>
    <w:link w:val="53"/>
    <w:qFormat/>
    <w:uiPriority w:val="0"/>
    <w:pPr>
      <w:spacing w:line="312" w:lineRule="auto"/>
    </w:pPr>
    <w:rPr>
      <w:rFonts w:ascii="宋体"/>
      <w:sz w:val="28"/>
    </w:rPr>
  </w:style>
  <w:style w:type="character" w:customStyle="1" w:styleId="55">
    <w:name w:val="表头 Char Char"/>
    <w:basedOn w:val="23"/>
    <w:qFormat/>
    <w:uiPriority w:val="0"/>
    <w:rPr>
      <w:rFonts w:eastAsia="黑体"/>
      <w:kern w:val="2"/>
      <w:sz w:val="24"/>
      <w:szCs w:val="24"/>
      <w:lang w:val="en-US" w:eastAsia="zh-CN" w:bidi="ar-SA"/>
    </w:rPr>
  </w:style>
  <w:style w:type="character" w:customStyle="1" w:styleId="56">
    <w:name w:val="纯文本 Char"/>
    <w:basedOn w:val="23"/>
    <w:link w:val="57"/>
    <w:qFormat/>
    <w:uiPriority w:val="0"/>
    <w:rPr>
      <w:rFonts w:ascii="宋体" w:hAnsi="Courier New" w:eastAsia="宋体"/>
      <w:kern w:val="2"/>
      <w:sz w:val="28"/>
      <w:lang w:val="en-US" w:eastAsia="zh-CN" w:bidi="ar-SA"/>
    </w:rPr>
  </w:style>
  <w:style w:type="paragraph" w:customStyle="1" w:styleId="57">
    <w:name w:val="纯文本1"/>
    <w:basedOn w:val="1"/>
    <w:link w:val="56"/>
    <w:qFormat/>
    <w:uiPriority w:val="0"/>
    <w:rPr>
      <w:rFonts w:ascii="宋体" w:hAnsi="Courier New"/>
      <w:sz w:val="28"/>
    </w:rPr>
  </w:style>
  <w:style w:type="character" w:customStyle="1" w:styleId="58">
    <w:name w:val="apple-style-span"/>
    <w:basedOn w:val="23"/>
    <w:qFormat/>
    <w:uiPriority w:val="0"/>
  </w:style>
  <w:style w:type="character" w:customStyle="1" w:styleId="59">
    <w:name w:val="正文缩进 Char1"/>
    <w:basedOn w:val="23"/>
    <w:link w:val="60"/>
    <w:qFormat/>
    <w:uiPriority w:val="0"/>
    <w:rPr>
      <w:rFonts w:eastAsia="宋体"/>
      <w:kern w:val="2"/>
      <w:sz w:val="28"/>
      <w:lang w:val="en-US" w:eastAsia="zh-CN" w:bidi="ar-SA"/>
    </w:rPr>
  </w:style>
  <w:style w:type="paragraph" w:customStyle="1" w:styleId="60">
    <w:name w:val="正文缩进1"/>
    <w:basedOn w:val="1"/>
    <w:link w:val="59"/>
    <w:qFormat/>
    <w:uiPriority w:val="0"/>
    <w:rPr>
      <w:sz w:val="28"/>
    </w:rPr>
  </w:style>
  <w:style w:type="character" w:customStyle="1" w:styleId="61">
    <w:name w:val="grame"/>
    <w:basedOn w:val="23"/>
    <w:qFormat/>
    <w:uiPriority w:val="0"/>
  </w:style>
  <w:style w:type="character" w:customStyle="1" w:styleId="62">
    <w:name w:val="Char Char2"/>
    <w:basedOn w:val="23"/>
    <w:link w:val="63"/>
    <w:qFormat/>
    <w:uiPriority w:val="0"/>
    <w:rPr>
      <w:kern w:val="2"/>
      <w:sz w:val="24"/>
      <w:szCs w:val="24"/>
    </w:rPr>
  </w:style>
  <w:style w:type="paragraph" w:customStyle="1" w:styleId="63">
    <w:name w:val="Char"/>
    <w:basedOn w:val="1"/>
    <w:link w:val="62"/>
    <w:qFormat/>
    <w:uiPriority w:val="0"/>
    <w:rPr>
      <w:sz w:val="24"/>
    </w:rPr>
  </w:style>
  <w:style w:type="paragraph" w:customStyle="1" w:styleId="64">
    <w:name w:val="p0"/>
    <w:basedOn w:val="1"/>
    <w:qFormat/>
    <w:uiPriority w:val="0"/>
    <w:pPr>
      <w:widowControl/>
      <w:jc w:val="left"/>
    </w:pPr>
    <w:rPr>
      <w:kern w:val="0"/>
      <w:sz w:val="20"/>
      <w:szCs w:val="20"/>
    </w:rPr>
  </w:style>
  <w:style w:type="paragraph" w:customStyle="1" w:styleId="65">
    <w:name w:val="正文内容"/>
    <w:basedOn w:val="1"/>
    <w:qFormat/>
    <w:uiPriority w:val="0"/>
    <w:pPr>
      <w:spacing w:line="360" w:lineRule="auto"/>
      <w:ind w:firstLine="624"/>
    </w:pPr>
    <w:rPr>
      <w:rFonts w:ascii="宋体"/>
      <w:sz w:val="24"/>
    </w:rPr>
  </w:style>
  <w:style w:type="paragraph" w:customStyle="1" w:styleId="66">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67">
    <w:name w:val="普通(网站)1"/>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68">
    <w:name w:val="标题3 Char Char Char Char"/>
    <w:basedOn w:val="1"/>
    <w:qFormat/>
    <w:uiPriority w:val="0"/>
    <w:pPr>
      <w:spacing w:afterLines="50" w:line="560" w:lineRule="exact"/>
    </w:pPr>
    <w:rPr>
      <w:rFonts w:eastAsia="黑体"/>
      <w:sz w:val="30"/>
      <w:szCs w:val="30"/>
    </w:rPr>
  </w:style>
  <w:style w:type="paragraph" w:customStyle="1" w:styleId="69">
    <w:name w:val="Char Char Char Char Char Char3 Char Char Char Char Char Char Char"/>
    <w:basedOn w:val="1"/>
    <w:next w:val="1"/>
    <w:qFormat/>
    <w:uiPriority w:val="0"/>
  </w:style>
  <w:style w:type="paragraph" w:customStyle="1" w:styleId="70">
    <w:name w:val="正文文本 31"/>
    <w:basedOn w:val="1"/>
    <w:qFormat/>
    <w:uiPriority w:val="0"/>
    <w:pPr>
      <w:spacing w:beforeLines="50" w:afterLines="50" w:line="520" w:lineRule="atLeast"/>
    </w:pPr>
    <w:rPr>
      <w:rFonts w:ascii="华文中宋" w:eastAsia="华文中宋"/>
      <w:sz w:val="30"/>
      <w:szCs w:val="20"/>
    </w:rPr>
  </w:style>
  <w:style w:type="paragraph" w:customStyle="1" w:styleId="71">
    <w:name w:val="1.1.1"/>
    <w:basedOn w:val="1"/>
    <w:qFormat/>
    <w:uiPriority w:val="0"/>
    <w:rPr>
      <w:rFonts w:ascii="黑体"/>
      <w:sz w:val="24"/>
    </w:rPr>
  </w:style>
  <w:style w:type="paragraph" w:customStyle="1" w:styleId="72">
    <w:name w:val="标题 31"/>
    <w:basedOn w:val="1"/>
    <w:next w:val="1"/>
    <w:qFormat/>
    <w:uiPriority w:val="0"/>
    <w:pPr>
      <w:keepNext/>
      <w:keepLines/>
      <w:spacing w:before="260" w:after="260" w:line="416" w:lineRule="auto"/>
      <w:outlineLvl w:val="2"/>
    </w:pPr>
    <w:rPr>
      <w:b/>
      <w:bCs/>
      <w:sz w:val="32"/>
      <w:szCs w:val="32"/>
    </w:rPr>
  </w:style>
  <w:style w:type="paragraph" w:customStyle="1" w:styleId="73">
    <w:name w:val="标题 21"/>
    <w:basedOn w:val="1"/>
    <w:next w:val="60"/>
    <w:qFormat/>
    <w:uiPriority w:val="0"/>
    <w:pPr>
      <w:keepNext/>
      <w:keepLines/>
      <w:spacing w:before="240" w:after="120"/>
      <w:outlineLvl w:val="1"/>
    </w:pPr>
    <w:rPr>
      <w:rFonts w:ascii="宋体" w:hAnsi="宋体"/>
      <w:b/>
      <w:sz w:val="32"/>
      <w:szCs w:val="20"/>
    </w:rPr>
  </w:style>
  <w:style w:type="paragraph" w:customStyle="1" w:styleId="74">
    <w:name w:val="正文文本缩进2"/>
    <w:basedOn w:val="1"/>
    <w:qFormat/>
    <w:uiPriority w:val="0"/>
    <w:pPr>
      <w:tabs>
        <w:tab w:val="left" w:pos="210"/>
      </w:tabs>
      <w:spacing w:line="360" w:lineRule="auto"/>
      <w:ind w:firstLine="420" w:firstLineChars="175"/>
    </w:pPr>
    <w:rPr>
      <w:sz w:val="24"/>
    </w:rPr>
  </w:style>
  <w:style w:type="paragraph" w:customStyle="1" w:styleId="75">
    <w:name w:val="正文文本缩进 21"/>
    <w:basedOn w:val="1"/>
    <w:qFormat/>
    <w:uiPriority w:val="0"/>
    <w:pPr>
      <w:spacing w:after="120" w:line="480" w:lineRule="auto"/>
      <w:ind w:left="420" w:leftChars="200"/>
    </w:pPr>
  </w:style>
  <w:style w:type="paragraph" w:customStyle="1" w:styleId="76">
    <w:name w:val="中文报告书"/>
    <w:basedOn w:val="1"/>
    <w:qFormat/>
    <w:uiPriority w:val="0"/>
    <w:pPr>
      <w:adjustRightInd w:val="0"/>
      <w:spacing w:after="80" w:line="420" w:lineRule="atLeast"/>
      <w:jc w:val="left"/>
      <w:textAlignment w:val="baseline"/>
    </w:pPr>
    <w:rPr>
      <w:kern w:val="0"/>
      <w:sz w:val="24"/>
      <w:szCs w:val="20"/>
    </w:rPr>
  </w:style>
  <w:style w:type="paragraph" w:customStyle="1" w:styleId="77">
    <w:name w:val="正文五"/>
    <w:basedOn w:val="1"/>
    <w:qFormat/>
    <w:uiPriority w:val="0"/>
    <w:pPr>
      <w:snapToGrid w:val="0"/>
      <w:jc w:val="center"/>
    </w:pPr>
    <w:rPr>
      <w:sz w:val="24"/>
      <w:szCs w:val="28"/>
    </w:rPr>
  </w:style>
  <w:style w:type="paragraph" w:customStyle="1" w:styleId="78">
    <w:name w:val="居中正文"/>
    <w:basedOn w:val="1"/>
    <w:qFormat/>
    <w:uiPriority w:val="0"/>
    <w:pPr>
      <w:adjustRightInd w:val="0"/>
      <w:spacing w:before="120" w:line="360" w:lineRule="auto"/>
      <w:jc w:val="center"/>
      <w:textAlignment w:val="baseline"/>
    </w:pPr>
    <w:rPr>
      <w:rFonts w:ascii="宋体"/>
      <w:kern w:val="28"/>
      <w:sz w:val="24"/>
      <w:szCs w:val="20"/>
    </w:rPr>
  </w:style>
  <w:style w:type="paragraph" w:customStyle="1" w:styleId="79">
    <w:name w:val="陈样式3"/>
    <w:basedOn w:val="72"/>
    <w:qFormat/>
    <w:uiPriority w:val="0"/>
    <w:pPr>
      <w:spacing w:before="0" w:after="0" w:line="360" w:lineRule="auto"/>
      <w:ind w:left="-3"/>
      <w:jc w:val="left"/>
      <w:outlineLvl w:val="0"/>
    </w:pPr>
    <w:rPr>
      <w:rFonts w:ascii="宋体" w:hAnsi="Courier New"/>
      <w:b w:val="0"/>
      <w:bCs w:val="0"/>
      <w:color w:val="000000"/>
      <w:sz w:val="24"/>
      <w:szCs w:val="24"/>
    </w:rPr>
  </w:style>
  <w:style w:type="paragraph" w:customStyle="1" w:styleId="8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批注主题1"/>
    <w:basedOn w:val="7"/>
    <w:next w:val="7"/>
    <w:qFormat/>
    <w:uiPriority w:val="0"/>
    <w:rPr>
      <w:b/>
      <w:bCs/>
    </w:rPr>
  </w:style>
  <w:style w:type="paragraph" w:customStyle="1" w:styleId="82">
    <w:name w:val="Char Char Char Char"/>
    <w:basedOn w:val="1"/>
    <w:qFormat/>
    <w:uiPriority w:val="0"/>
    <w:pPr>
      <w:spacing w:before="120" w:after="120" w:line="360" w:lineRule="auto"/>
      <w:ind w:firstLine="420"/>
    </w:pPr>
    <w:rPr>
      <w:rFonts w:ascii="Tahoma" w:hAnsi="Tahoma"/>
      <w:sz w:val="28"/>
      <w:szCs w:val="20"/>
    </w:rPr>
  </w:style>
  <w:style w:type="paragraph" w:customStyle="1" w:styleId="83">
    <w:name w:val="Char Char Char Char Char Char Char"/>
    <w:basedOn w:val="1"/>
    <w:qFormat/>
    <w:uiPriority w:val="0"/>
    <w:pPr>
      <w:snapToGrid w:val="0"/>
      <w:spacing w:line="360" w:lineRule="auto"/>
      <w:ind w:firstLine="529" w:firstLineChars="200"/>
    </w:pPr>
    <w:rPr>
      <w:rFonts w:ascii="宋体" w:hAnsi="宋体"/>
      <w:b/>
    </w:rPr>
  </w:style>
  <w:style w:type="paragraph" w:customStyle="1" w:styleId="84">
    <w:name w:val="表格文字"/>
    <w:basedOn w:val="8"/>
    <w:qFormat/>
    <w:uiPriority w:val="0"/>
    <w:pPr>
      <w:adjustRightInd w:val="0"/>
      <w:snapToGrid w:val="0"/>
      <w:spacing w:after="0" w:line="240" w:lineRule="atLeast"/>
      <w:ind w:left="-80" w:leftChars="-38" w:right="-84" w:rightChars="-40"/>
      <w:jc w:val="center"/>
    </w:pPr>
    <w:rPr>
      <w:color w:val="FF0000"/>
      <w:szCs w:val="21"/>
    </w:rPr>
  </w:style>
  <w:style w:type="paragraph" w:customStyle="1" w:styleId="85">
    <w:name w:val="列表 21"/>
    <w:basedOn w:val="1"/>
    <w:qFormat/>
    <w:uiPriority w:val="0"/>
    <w:pPr>
      <w:ind w:left="100" w:leftChars="200" w:hanging="200" w:hangingChars="200"/>
    </w:pPr>
  </w:style>
  <w:style w:type="paragraph" w:customStyle="1" w:styleId="86">
    <w:name w:val="正文文本缩进 31"/>
    <w:basedOn w:val="1"/>
    <w:qFormat/>
    <w:uiPriority w:val="0"/>
    <w:pPr>
      <w:spacing w:line="320" w:lineRule="exact"/>
      <w:ind w:firstLine="480" w:firstLineChars="200"/>
    </w:pPr>
    <w:rPr>
      <w:rFonts w:ascii="宋体" w:hAnsi="宋体"/>
      <w:color w:val="000000"/>
      <w:sz w:val="24"/>
    </w:rPr>
  </w:style>
  <w:style w:type="paragraph" w:customStyle="1" w:styleId="87">
    <w:name w:val="默认段落字体 Para Char"/>
    <w:basedOn w:val="1"/>
    <w:next w:val="1"/>
    <w:qFormat/>
    <w:uiPriority w:val="0"/>
    <w:pPr>
      <w:spacing w:line="360" w:lineRule="auto"/>
      <w:ind w:firstLine="200" w:firstLineChars="200"/>
    </w:pPr>
    <w:rPr>
      <w:szCs w:val="20"/>
    </w:rPr>
  </w:style>
  <w:style w:type="paragraph" w:customStyle="1" w:styleId="88">
    <w:name w:val="Char Char Char Char1"/>
    <w:basedOn w:val="1"/>
    <w:qFormat/>
    <w:uiPriority w:val="0"/>
  </w:style>
  <w:style w:type="character" w:customStyle="1" w:styleId="89">
    <w:name w:val="Char Char5"/>
    <w:basedOn w:val="23"/>
    <w:qFormat/>
    <w:uiPriority w:val="0"/>
    <w:rPr>
      <w:kern w:val="2"/>
      <w:sz w:val="18"/>
    </w:rPr>
  </w:style>
  <w:style w:type="character" w:customStyle="1" w:styleId="90">
    <w:name w:val="Char Char3"/>
    <w:basedOn w:val="23"/>
    <w:qFormat/>
    <w:uiPriority w:val="0"/>
    <w:rPr>
      <w:rFonts w:eastAsia="宋体"/>
      <w:kern w:val="2"/>
      <w:sz w:val="18"/>
      <w:lang w:val="en-US" w:eastAsia="zh-CN"/>
    </w:rPr>
  </w:style>
  <w:style w:type="paragraph" w:customStyle="1" w:styleId="91">
    <w:name w:val="15"/>
    <w:basedOn w:val="1"/>
    <w:next w:val="5"/>
    <w:qFormat/>
    <w:uiPriority w:val="0"/>
    <w:pPr>
      <w:ind w:firstLine="420" w:firstLineChars="200"/>
    </w:pPr>
    <w:rPr>
      <w:sz w:val="28"/>
    </w:rPr>
  </w:style>
  <w:style w:type="character" w:customStyle="1" w:styleId="92">
    <w:name w:val="description"/>
    <w:basedOn w:val="23"/>
    <w:qFormat/>
    <w:uiPriority w:val="0"/>
  </w:style>
  <w:style w:type="paragraph" w:customStyle="1" w:styleId="93">
    <w:name w:val="列出段落1"/>
    <w:basedOn w:val="1"/>
    <w:qFormat/>
    <w:uiPriority w:val="34"/>
    <w:pPr>
      <w:ind w:firstLine="420" w:firstLineChars="200"/>
    </w:pPr>
  </w:style>
  <w:style w:type="paragraph" w:customStyle="1" w:styleId="94">
    <w:name w:val="表格内容"/>
    <w:basedOn w:val="1"/>
    <w:link w:val="95"/>
    <w:qFormat/>
    <w:uiPriority w:val="0"/>
    <w:pPr>
      <w:spacing w:line="360" w:lineRule="exact"/>
      <w:jc w:val="center"/>
    </w:pPr>
  </w:style>
  <w:style w:type="character" w:customStyle="1" w:styleId="95">
    <w:name w:val="表格内容 Char"/>
    <w:basedOn w:val="23"/>
    <w:link w:val="94"/>
    <w:qFormat/>
    <w:uiPriority w:val="0"/>
    <w:rPr>
      <w:kern w:val="2"/>
      <w:sz w:val="21"/>
      <w:szCs w:val="24"/>
    </w:rPr>
  </w:style>
  <w:style w:type="paragraph" w:customStyle="1" w:styleId="96">
    <w:name w:val="纯文本2"/>
    <w:basedOn w:val="1"/>
    <w:qFormat/>
    <w:uiPriority w:val="0"/>
    <w:rPr>
      <w:rFonts w:ascii="宋体" w:hAnsi="Courier New"/>
      <w:kern w:val="0"/>
      <w:sz w:val="20"/>
      <w:szCs w:val="20"/>
    </w:rPr>
  </w:style>
  <w:style w:type="paragraph" w:customStyle="1" w:styleId="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8">
    <w:name w:val="段落 Char"/>
    <w:link w:val="99"/>
    <w:qFormat/>
    <w:uiPriority w:val="0"/>
    <w:rPr>
      <w:kern w:val="2"/>
      <w:sz w:val="28"/>
      <w:szCs w:val="24"/>
    </w:rPr>
  </w:style>
  <w:style w:type="paragraph" w:customStyle="1" w:styleId="99">
    <w:name w:val="段落"/>
    <w:basedOn w:val="10"/>
    <w:link w:val="98"/>
    <w:qFormat/>
    <w:uiPriority w:val="0"/>
    <w:pPr>
      <w:spacing w:line="500" w:lineRule="exact"/>
      <w:ind w:firstLine="578"/>
    </w:pPr>
    <w:rPr>
      <w:rFonts w:ascii="Times New Roman" w:hAnsi="Times New Roman"/>
      <w:szCs w:val="24"/>
    </w:rPr>
  </w:style>
  <w:style w:type="paragraph" w:customStyle="1" w:styleId="100">
    <w:name w:val="Char Char Char Char2"/>
    <w:basedOn w:val="1"/>
    <w:qFormat/>
    <w:uiPriority w:val="0"/>
    <w:pPr>
      <w:spacing w:line="360" w:lineRule="auto"/>
      <w:ind w:firstLine="200" w:firstLineChars="200"/>
    </w:pPr>
    <w:rPr>
      <w:rFonts w:ascii="宋体" w:hAnsi="宋体" w:cs="宋体"/>
      <w:sz w:val="24"/>
    </w:rPr>
  </w:style>
  <w:style w:type="paragraph" w:customStyle="1" w:styleId="101">
    <w:name w:val="仿宋黑"/>
    <w:basedOn w:val="1"/>
    <w:qFormat/>
    <w:uiPriority w:val="0"/>
    <w:pPr>
      <w:snapToGrid w:val="0"/>
      <w:spacing w:line="500" w:lineRule="exact"/>
      <w:ind w:firstLine="567"/>
    </w:pPr>
    <w:rPr>
      <w:rFonts w:eastAsia="仿宋_GB2312"/>
      <w:b/>
      <w:bCs/>
      <w:spacing w:val="20"/>
      <w:sz w:val="28"/>
      <w:szCs w:val="28"/>
    </w:rPr>
  </w:style>
  <w:style w:type="paragraph" w:customStyle="1" w:styleId="102">
    <w:name w:val="Char Char Char Char3"/>
    <w:basedOn w:val="1"/>
    <w:qFormat/>
    <w:uiPriority w:val="0"/>
    <w:pPr>
      <w:spacing w:line="360" w:lineRule="auto"/>
      <w:ind w:firstLine="200" w:firstLineChars="200"/>
    </w:pPr>
    <w:rPr>
      <w:rFonts w:ascii="宋体" w:hAnsi="宋体" w:cs="宋体"/>
      <w:sz w:val="24"/>
    </w:rPr>
  </w:style>
  <w:style w:type="paragraph" w:customStyle="1" w:styleId="103">
    <w:name w:val="Char Char Char Char4"/>
    <w:basedOn w:val="1"/>
    <w:qFormat/>
    <w:uiPriority w:val="0"/>
    <w:pPr>
      <w:spacing w:line="360" w:lineRule="auto"/>
      <w:ind w:firstLine="200" w:firstLineChars="200"/>
    </w:pPr>
    <w:rPr>
      <w:rFonts w:ascii="宋体" w:hAnsi="宋体" w:cs="宋体"/>
      <w:sz w:val="24"/>
    </w:rPr>
  </w:style>
  <w:style w:type="paragraph" w:styleId="104">
    <w:name w:val="List Paragraph"/>
    <w:basedOn w:val="1"/>
    <w:unhideWhenUsed/>
    <w:qFormat/>
    <w:uiPriority w:val="99"/>
    <w:pPr>
      <w:ind w:firstLine="420" w:firstLineChars="200"/>
    </w:pPr>
  </w:style>
  <w:style w:type="paragraph" w:customStyle="1" w:styleId="105">
    <w:name w:val="表头格式"/>
    <w:basedOn w:val="1"/>
    <w:next w:val="1"/>
    <w:link w:val="106"/>
    <w:qFormat/>
    <w:uiPriority w:val="0"/>
    <w:pPr>
      <w:spacing w:line="520" w:lineRule="exact"/>
      <w:jc w:val="center"/>
    </w:pPr>
    <w:rPr>
      <w:rFonts w:eastAsia="黑体"/>
      <w:sz w:val="24"/>
      <w:szCs w:val="22"/>
    </w:rPr>
  </w:style>
  <w:style w:type="character" w:customStyle="1" w:styleId="106">
    <w:name w:val="表头格式 Char"/>
    <w:basedOn w:val="23"/>
    <w:link w:val="105"/>
    <w:qFormat/>
    <w:uiPriority w:val="0"/>
    <w:rPr>
      <w:rFonts w:eastAsia="黑体"/>
      <w:kern w:val="2"/>
      <w:sz w:val="24"/>
      <w:szCs w:val="22"/>
    </w:rPr>
  </w:style>
  <w:style w:type="paragraph" w:customStyle="1" w:styleId="107">
    <w:name w:val="Char Char Char Char5"/>
    <w:basedOn w:val="1"/>
    <w:qFormat/>
    <w:uiPriority w:val="0"/>
    <w:pPr>
      <w:spacing w:line="360" w:lineRule="auto"/>
      <w:ind w:firstLine="200" w:firstLineChars="200"/>
    </w:pPr>
    <w:rPr>
      <w:rFonts w:ascii="宋体" w:hAnsi="宋体" w:cs="宋体"/>
      <w:sz w:val="24"/>
    </w:rPr>
  </w:style>
  <w:style w:type="paragraph" w:customStyle="1" w:styleId="108">
    <w:name w:val="书-表文格"/>
    <w:basedOn w:val="1"/>
    <w:qFormat/>
    <w:uiPriority w:val="0"/>
    <w:pPr>
      <w:widowControl/>
      <w:adjustRightInd w:val="0"/>
      <w:spacing w:line="360" w:lineRule="exact"/>
      <w:jc w:val="center"/>
      <w:textAlignment w:val="baseline"/>
    </w:pPr>
    <w:rPr>
      <w:rFonts w:cs="宋体"/>
      <w:kern w:val="0"/>
      <w:szCs w:val="20"/>
    </w:rPr>
  </w:style>
  <w:style w:type="paragraph" w:customStyle="1" w:styleId="109">
    <w:name w:val="书-表头标"/>
    <w:basedOn w:val="1"/>
    <w:next w:val="1"/>
    <w:link w:val="110"/>
    <w:qFormat/>
    <w:uiPriority w:val="0"/>
    <w:pPr>
      <w:spacing w:line="360" w:lineRule="exact"/>
      <w:ind w:firstLine="200" w:firstLineChars="200"/>
    </w:pPr>
    <w:rPr>
      <w:rFonts w:eastAsia="黑体"/>
      <w:sz w:val="24"/>
      <w:szCs w:val="22"/>
    </w:rPr>
  </w:style>
  <w:style w:type="character" w:customStyle="1" w:styleId="110">
    <w:name w:val="书-表头标 Char"/>
    <w:basedOn w:val="23"/>
    <w:link w:val="109"/>
    <w:qFormat/>
    <w:uiPriority w:val="0"/>
    <w:rPr>
      <w:rFonts w:eastAsia="黑体"/>
      <w:kern w:val="2"/>
      <w:sz w:val="24"/>
      <w:szCs w:val="22"/>
    </w:rPr>
  </w:style>
  <w:style w:type="character" w:styleId="111">
    <w:name w:val="Placeholder Text"/>
    <w:basedOn w:val="23"/>
    <w:unhideWhenUsed/>
    <w:qFormat/>
    <w:uiPriority w:val="99"/>
    <w:rPr>
      <w:color w:val="808080"/>
    </w:rPr>
  </w:style>
  <w:style w:type="paragraph" w:customStyle="1" w:styleId="112">
    <w:name w:val="表头 样式"/>
    <w:basedOn w:val="1"/>
    <w:link w:val="113"/>
    <w:qFormat/>
    <w:uiPriority w:val="0"/>
    <w:pPr>
      <w:adjustRightInd w:val="0"/>
      <w:snapToGrid w:val="0"/>
      <w:spacing w:line="520" w:lineRule="exact"/>
      <w:jc w:val="center"/>
    </w:pPr>
    <w:rPr>
      <w:rFonts w:eastAsia="黑体"/>
      <w:bCs/>
      <w:color w:val="000000"/>
      <w:sz w:val="24"/>
    </w:rPr>
  </w:style>
  <w:style w:type="character" w:customStyle="1" w:styleId="113">
    <w:name w:val="表头 样式 Char"/>
    <w:basedOn w:val="23"/>
    <w:link w:val="112"/>
    <w:qFormat/>
    <w:uiPriority w:val="0"/>
    <w:rPr>
      <w:rFonts w:eastAsia="黑体"/>
      <w:bCs/>
      <w:color w:val="000000"/>
      <w:kern w:val="2"/>
      <w:sz w:val="24"/>
      <w:szCs w:val="24"/>
    </w:rPr>
  </w:style>
  <w:style w:type="paragraph" w:customStyle="1" w:styleId="114">
    <w:name w:val="报告书正文"/>
    <w:basedOn w:val="1"/>
    <w:link w:val="115"/>
    <w:qFormat/>
    <w:uiPriority w:val="0"/>
    <w:pPr>
      <w:adjustRightInd w:val="0"/>
      <w:spacing w:line="360" w:lineRule="exact"/>
      <w:ind w:firstLine="480" w:firstLineChars="200"/>
      <w:textAlignment w:val="baseline"/>
    </w:pPr>
    <w:rPr>
      <w:bCs/>
      <w:sz w:val="24"/>
    </w:rPr>
  </w:style>
  <w:style w:type="character" w:customStyle="1" w:styleId="115">
    <w:name w:val="报告书正文 Char"/>
    <w:link w:val="114"/>
    <w:qFormat/>
    <w:uiPriority w:val="0"/>
    <w:rPr>
      <w:bCs/>
      <w:kern w:val="2"/>
      <w:sz w:val="24"/>
      <w:szCs w:val="24"/>
    </w:rPr>
  </w:style>
  <w:style w:type="character" w:customStyle="1" w:styleId="116">
    <w:name w:val="正文首行缩进 Char1"/>
    <w:basedOn w:val="32"/>
    <w:link w:val="19"/>
    <w:qFormat/>
    <w:uiPriority w:val="0"/>
    <w:rPr>
      <w:kern w:val="2"/>
      <w:sz w:val="21"/>
      <w:szCs w:val="24"/>
    </w:rPr>
  </w:style>
  <w:style w:type="character" w:customStyle="1" w:styleId="117">
    <w:name w:val="表格填充1 Char Char"/>
    <w:link w:val="118"/>
    <w:qFormat/>
    <w:uiPriority w:val="0"/>
    <w:rPr>
      <w:snapToGrid w:val="0"/>
      <w:kern w:val="2"/>
      <w:sz w:val="28"/>
    </w:rPr>
  </w:style>
  <w:style w:type="paragraph" w:customStyle="1" w:styleId="118">
    <w:name w:val="表格填充1"/>
    <w:basedOn w:val="10"/>
    <w:link w:val="117"/>
    <w:qFormat/>
    <w:uiPriority w:val="0"/>
    <w:pPr>
      <w:snapToGrid w:val="0"/>
    </w:pPr>
    <w:rPr>
      <w:rFonts w:ascii="Times New Roman" w:hAnsi="Times New Roman"/>
      <w:snapToGrid w:val="0"/>
    </w:rPr>
  </w:style>
  <w:style w:type="paragraph" w:customStyle="1" w:styleId="119">
    <w:name w:val="Char Char1 Char Char Char Char Char Char Char Char Char Char Char Char Char Char Char Char Char Char Char Char1 Char"/>
    <w:basedOn w:val="1"/>
    <w:unhideWhenUsed/>
    <w:qFormat/>
    <w:uiPriority w:val="0"/>
    <w:pPr>
      <w:spacing w:line="360" w:lineRule="auto"/>
      <w:ind w:firstLine="200" w:firstLineChars="200"/>
    </w:pPr>
    <w:rPr>
      <w:rFonts w:hint="eastAsia" w:ascii="宋体" w:hAnsi="宋体"/>
      <w:sz w:val="24"/>
      <w:szCs w:val="20"/>
    </w:rPr>
  </w:style>
  <w:style w:type="paragraph" w:customStyle="1" w:styleId="120">
    <w:name w:val="报告书表格表头"/>
    <w:basedOn w:val="1"/>
    <w:qFormat/>
    <w:uiPriority w:val="0"/>
    <w:pPr>
      <w:adjustRightInd w:val="0"/>
      <w:snapToGrid w:val="0"/>
      <w:spacing w:line="520" w:lineRule="exact"/>
      <w:ind w:firstLine="200" w:firstLineChars="200"/>
    </w:pPr>
    <w:rPr>
      <w:rFonts w:eastAsia="黑体" w:cstheme="minorBidi"/>
      <w:color w:val="000000" w:themeColor="text1"/>
      <w:sz w:val="24"/>
      <w:szCs w:val="22"/>
    </w:rPr>
  </w:style>
  <w:style w:type="paragraph" w:customStyle="1" w:styleId="121">
    <w:name w:val="报告表表格文字"/>
    <w:basedOn w:val="1"/>
    <w:qFormat/>
    <w:uiPriority w:val="0"/>
    <w:pPr>
      <w:autoSpaceDE w:val="0"/>
      <w:autoSpaceDN w:val="0"/>
      <w:adjustRightInd w:val="0"/>
      <w:snapToGrid w:val="0"/>
      <w:spacing w:line="360" w:lineRule="exact"/>
      <w:jc w:val="center"/>
    </w:pPr>
    <w:rPr>
      <w:color w:val="000000" w:themeColor="text1"/>
      <w:kern w:val="0"/>
      <w:szCs w:val="21"/>
    </w:rPr>
  </w:style>
  <w:style w:type="character" w:customStyle="1" w:styleId="122">
    <w:name w:val="正文缩进 Char"/>
    <w:link w:val="5"/>
    <w:qFormat/>
    <w:uiPriority w:val="0"/>
    <w:rPr>
      <w:kern w:val="2"/>
      <w:sz w:val="28"/>
    </w:rPr>
  </w:style>
  <w:style w:type="character" w:customStyle="1" w:styleId="123">
    <w:name w:val="表格标题 Char Char"/>
    <w:qFormat/>
    <w:uiPriority w:val="0"/>
    <w:rPr>
      <w:b/>
      <w:kern w:val="2"/>
      <w:sz w:val="24"/>
      <w:szCs w:val="24"/>
    </w:rPr>
  </w:style>
  <w:style w:type="paragraph" w:customStyle="1" w:styleId="124">
    <w:name w:val="3正文"/>
    <w:link w:val="126"/>
    <w:qFormat/>
    <w:uiPriority w:val="0"/>
    <w:pPr>
      <w:widowControl w:val="0"/>
      <w:spacing w:line="52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25">
    <w:name w:val="5表格内容"/>
    <w:next w:val="124"/>
    <w:qFormat/>
    <w:uiPriority w:val="0"/>
    <w:pPr>
      <w:widowControl w:val="0"/>
      <w:spacing w:line="400" w:lineRule="exact"/>
      <w:jc w:val="center"/>
    </w:pPr>
    <w:rPr>
      <w:rFonts w:ascii="Times New Roman" w:hAnsi="Times New Roman" w:eastAsia="宋体" w:cs="Times New Roman"/>
      <w:kern w:val="2"/>
      <w:sz w:val="21"/>
      <w:szCs w:val="24"/>
      <w:lang w:val="en-US" w:eastAsia="zh-CN" w:bidi="ar-SA"/>
    </w:rPr>
  </w:style>
  <w:style w:type="character" w:customStyle="1" w:styleId="126">
    <w:name w:val="3正文 Char Char"/>
    <w:link w:val="124"/>
    <w:qFormat/>
    <w:uiPriority w:val="0"/>
    <w:rPr>
      <w:kern w:val="2"/>
      <w:sz w:val="24"/>
      <w:szCs w:val="24"/>
    </w:rPr>
  </w:style>
  <w:style w:type="paragraph" w:customStyle="1" w:styleId="127">
    <w:name w:val="2小标题"/>
    <w:next w:val="124"/>
    <w:qFormat/>
    <w:uiPriority w:val="0"/>
    <w:pPr>
      <w:widowControl w:val="0"/>
      <w:spacing w:line="520" w:lineRule="exact"/>
    </w:pPr>
    <w:rPr>
      <w:rFonts w:ascii="Times New Roman" w:hAnsi="Times New Roman" w:eastAsia="宋体" w:cs="Times New Roman"/>
      <w:kern w:val="2"/>
      <w:sz w:val="24"/>
      <w:szCs w:val="24"/>
      <w:lang w:val="en-US" w:eastAsia="zh-CN" w:bidi="ar-SA"/>
    </w:rPr>
  </w:style>
  <w:style w:type="paragraph" w:customStyle="1" w:styleId="128">
    <w:name w:val="Table Paragraph"/>
    <w:basedOn w:val="1"/>
    <w:qFormat/>
    <w:uiPriority w:val="1"/>
    <w:pPr>
      <w:jc w:val="left"/>
    </w:pPr>
    <w:rPr>
      <w:rFonts w:ascii="Calibri" w:hAnsi="Calibri" w:eastAsia="Calibri"/>
      <w:kern w:val="0"/>
      <w:sz w:val="22"/>
      <w:szCs w:val="22"/>
      <w:lang w:eastAsia="en-US"/>
    </w:rPr>
  </w:style>
  <w:style w:type="paragraph" w:customStyle="1" w:styleId="129">
    <w:name w:val="表头字"/>
    <w:basedOn w:val="1"/>
    <w:qFormat/>
    <w:uiPriority w:val="0"/>
    <w:pPr>
      <w:spacing w:line="520" w:lineRule="exact"/>
      <w:ind w:firstLine="400" w:firstLineChars="400"/>
      <w:jc w:val="left"/>
    </w:pPr>
    <w:rPr>
      <w:rFonts w:eastAsia="黑体"/>
      <w:sz w:val="24"/>
    </w:rPr>
  </w:style>
  <w:style w:type="character" w:customStyle="1" w:styleId="130">
    <w:name w:val="正文01 Char Char"/>
    <w:link w:val="131"/>
    <w:qFormat/>
    <w:uiPriority w:val="0"/>
    <w:rPr>
      <w:sz w:val="24"/>
      <w:szCs w:val="21"/>
    </w:rPr>
  </w:style>
  <w:style w:type="paragraph" w:customStyle="1" w:styleId="131">
    <w:name w:val="正文01"/>
    <w:basedOn w:val="1"/>
    <w:link w:val="130"/>
    <w:qFormat/>
    <w:uiPriority w:val="0"/>
    <w:pPr>
      <w:adjustRightInd w:val="0"/>
      <w:snapToGrid w:val="0"/>
      <w:spacing w:before="60" w:line="460" w:lineRule="exact"/>
      <w:ind w:firstLine="200" w:firstLineChars="200"/>
    </w:pPr>
    <w:rPr>
      <w:kern w:val="0"/>
      <w:sz w:val="24"/>
      <w:szCs w:val="21"/>
    </w:rPr>
  </w:style>
  <w:style w:type="table" w:customStyle="1" w:styleId="132">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33">
    <w:name w:val="样式4"/>
    <w:basedOn w:val="1"/>
    <w:link w:val="134"/>
    <w:qFormat/>
    <w:uiPriority w:val="0"/>
    <w:pPr>
      <w:tabs>
        <w:tab w:val="left" w:pos="2700"/>
      </w:tabs>
      <w:spacing w:line="360" w:lineRule="auto"/>
      <w:jc w:val="center"/>
    </w:pPr>
    <w:rPr>
      <w:rFonts w:ascii="黑体" w:hAnsi="黑体" w:eastAsia="黑体"/>
      <w:sz w:val="24"/>
      <w:szCs w:val="22"/>
    </w:rPr>
  </w:style>
  <w:style w:type="character" w:customStyle="1" w:styleId="134">
    <w:name w:val="样式4 Char"/>
    <w:link w:val="133"/>
    <w:qFormat/>
    <w:uiPriority w:val="0"/>
    <w:rPr>
      <w:rFonts w:ascii="黑体" w:hAnsi="黑体" w:eastAsia="黑体"/>
      <w:kern w:val="2"/>
      <w:sz w:val="24"/>
      <w:szCs w:val="22"/>
    </w:rPr>
  </w:style>
  <w:style w:type="paragraph" w:customStyle="1" w:styleId="135">
    <w:name w:val="表格1"/>
    <w:basedOn w:val="136"/>
    <w:qFormat/>
    <w:uiPriority w:val="0"/>
    <w:pPr>
      <w:tabs>
        <w:tab w:val="left" w:pos="1680"/>
        <w:tab w:val="left" w:pos="3465"/>
      </w:tabs>
      <w:spacing w:before="120" w:line="360" w:lineRule="auto"/>
    </w:pPr>
    <w:rPr>
      <w:sz w:val="24"/>
      <w:szCs w:val="20"/>
    </w:rPr>
  </w:style>
  <w:style w:type="paragraph" w:customStyle="1" w:styleId="136">
    <w:name w:val="表格"/>
    <w:basedOn w:val="1"/>
    <w:qFormat/>
    <w:uiPriority w:val="0"/>
    <w:pPr>
      <w:spacing w:before="20" w:beforeLines="20" w:after="20" w:afterLines="20"/>
      <w:jc w:val="center"/>
    </w:pPr>
    <w:rPr>
      <w:rFonts w:ascii="Times New Roman" w:hAnsi="Times New Roman" w:eastAsia="黑体" w:cs="Times New Roman"/>
      <w:sz w:val="24"/>
    </w:rPr>
  </w:style>
  <w:style w:type="paragraph" w:customStyle="1" w:styleId="137">
    <w:name w:val="表头样式1"/>
    <w:basedOn w:val="1"/>
    <w:qFormat/>
    <w:uiPriority w:val="0"/>
    <w:pPr>
      <w:adjustRightInd w:val="0"/>
      <w:snapToGrid w:val="0"/>
      <w:jc w:val="center"/>
    </w:pPr>
    <w:rPr>
      <w:rFonts w:eastAsia="楷体_GB2312"/>
      <w:bCs/>
      <w:sz w:val="18"/>
      <w:szCs w:val="18"/>
    </w:rPr>
  </w:style>
  <w:style w:type="paragraph" w:customStyle="1" w:styleId="138">
    <w:name w:val=" Char"/>
    <w:basedOn w:val="1"/>
    <w:qFormat/>
    <w:uiPriority w:val="0"/>
  </w:style>
  <w:style w:type="paragraph" w:customStyle="1" w:styleId="139">
    <w:name w:val="报告表正文"/>
    <w:basedOn w:val="1"/>
    <w:qFormat/>
    <w:uiPriority w:val="0"/>
    <w:pPr>
      <w:adjustRightInd w:val="0"/>
      <w:spacing w:line="312" w:lineRule="auto"/>
      <w:ind w:left="113" w:right="113" w:firstLine="482"/>
      <w:jc w:val="left"/>
      <w:textAlignment w:val="baseline"/>
    </w:pPr>
    <w:rPr>
      <w:sz w:val="24"/>
    </w:rPr>
  </w:style>
  <w:style w:type="character" w:customStyle="1" w:styleId="140">
    <w:name w:val="报告表正文 Char1"/>
    <w:qFormat/>
    <w:uiPriority w:val="0"/>
    <w:rPr>
      <w:rFonts w:eastAsia="楷体_GB2312"/>
      <w:kern w:val="2"/>
      <w:sz w:val="24"/>
      <w:szCs w:val="24"/>
      <w:lang w:val="en-US" w:eastAsia="zh-CN" w:bidi="ar-SA"/>
    </w:rPr>
  </w:style>
  <w:style w:type="paragraph" w:customStyle="1" w:styleId="141">
    <w:name w:val="表内格式"/>
    <w:basedOn w:val="1"/>
    <w:qFormat/>
    <w:uiPriority w:val="0"/>
    <w:pPr>
      <w:spacing w:line="240" w:lineRule="exact"/>
      <w:jc w:val="center"/>
    </w:pPr>
    <w:rPr>
      <w:rFonts w:ascii="宋体" w:hAnsi="宋体"/>
      <w:sz w:val="21"/>
    </w:rPr>
  </w:style>
  <w:style w:type="paragraph" w:customStyle="1" w:styleId="142">
    <w:name w:val="君邦正文"/>
    <w:qFormat/>
    <w:uiPriority w:val="0"/>
    <w:pPr>
      <w:spacing w:after="60" w:line="360" w:lineRule="auto"/>
      <w:ind w:firstLine="480" w:firstLineChars="200"/>
      <w:jc w:val="both"/>
    </w:pPr>
    <w:rPr>
      <w:rFonts w:ascii="宋体" w:hAnsi="宋体" w:eastAsia="宋体" w:cs="Times New Roman"/>
      <w:bCs/>
      <w:snapToGrid w:val="0"/>
      <w:sz w:val="24"/>
      <w:szCs w:val="22"/>
      <w:lang w:val="en-US" w:eastAsia="zh-CN" w:bidi="ar-SA"/>
    </w:rPr>
  </w:style>
  <w:style w:type="paragraph" w:customStyle="1" w:styleId="143">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0"/>
      <w:lang w:val="en-US" w:eastAsia="zh-CN" w:bidi="ar-SA"/>
    </w:rPr>
  </w:style>
  <w:style w:type="paragraph" w:customStyle="1" w:styleId="144">
    <w:name w:val="正文标题"/>
    <w:qFormat/>
    <w:uiPriority w:val="0"/>
    <w:pPr>
      <w:spacing w:line="480" w:lineRule="exact"/>
      <w:jc w:val="both"/>
    </w:pPr>
    <w:rPr>
      <w:rFonts w:ascii="Times New Roman" w:hAnsi="Times New Roman" w:eastAsia="黑体" w:cs="Times New Roman"/>
      <w:kern w:val="2"/>
      <w:sz w:val="24"/>
      <w:lang w:val="en-US" w:eastAsia="zh-CN" w:bidi="ar-SA"/>
    </w:rPr>
  </w:style>
  <w:style w:type="paragraph" w:customStyle="1" w:styleId="145">
    <w:name w:val="表内文字"/>
    <w:basedOn w:val="1"/>
    <w:qFormat/>
    <w:uiPriority w:val="0"/>
    <w:pPr>
      <w:widowControl/>
      <w:snapToGrid w:val="0"/>
      <w:spacing w:line="400" w:lineRule="exact"/>
      <w:jc w:val="center"/>
    </w:pPr>
    <w:rPr>
      <w:rFonts w:ascii="Times New Roman" w:hAnsi="Times New Roman" w:eastAsia="仿宋_GB2312" w:cs="Times New Roman"/>
      <w:kern w:val="0"/>
      <w:sz w:val="24"/>
    </w:rPr>
  </w:style>
  <w:style w:type="paragraph" w:customStyle="1" w:styleId="146">
    <w:name w:val="正文1"/>
    <w:basedOn w:val="1"/>
    <w:qFormat/>
    <w:uiPriority w:val="0"/>
    <w:pPr>
      <w:ind w:firstLine="552"/>
    </w:pPr>
    <w:rPr>
      <w:rFonts w:ascii="楷体_GB2312" w:eastAsia="楷体_GB2312"/>
      <w:b/>
      <w:color w:val="auto"/>
    </w:rPr>
  </w:style>
  <w:style w:type="paragraph" w:customStyle="1" w:styleId="147">
    <w:name w:val="我的表格文字"/>
    <w:basedOn w:val="1"/>
    <w:qFormat/>
    <w:uiPriority w:val="0"/>
    <w:pPr>
      <w:jc w:val="center"/>
    </w:pPr>
    <w:rPr>
      <w:rFonts w:hAnsi="宋体" w:eastAsia="Times New Roman" w:cs="宋体"/>
      <w:color w:val="000000"/>
      <w:szCs w:val="21"/>
    </w:rPr>
  </w:style>
  <w:style w:type="paragraph" w:customStyle="1" w:styleId="148">
    <w:name w:val="表头文字"/>
    <w:basedOn w:val="1"/>
    <w:qFormat/>
    <w:uiPriority w:val="0"/>
    <w:pPr>
      <w:widowControl/>
      <w:adjustRightInd w:val="0"/>
      <w:snapToGrid w:val="0"/>
      <w:spacing w:line="360" w:lineRule="exact"/>
      <w:ind w:firstLine="480" w:firstLineChars="200"/>
      <w:textAlignment w:val="baseline"/>
    </w:pPr>
    <w:rPr>
      <w:rFonts w:ascii="Calibri" w:hAnsi="Calibri" w:cs="宋体"/>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72"/>
    <customShpInfo spid="_x0000_s1044"/>
    <customShpInfo spid="_x0000_s1045"/>
    <customShpInfo spid="_x0000_s1046"/>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47"/>
    <customShpInfo spid="_x0000_s1062"/>
    <customShpInfo spid="_x0000_s1063"/>
    <customShpInfo spid="_x0000_s1071"/>
    <customShpInfo spid="_x0000_s1064"/>
    <customShpInfo spid="_x0000_s1065"/>
    <customShpInfo spid="_x0000_s1066"/>
    <customShpInfo spid="_x0000_s1067"/>
    <customShpInfo spid="_x0000_s1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4A733-5985-4949-8425-7F069B96A1AD}">
  <ds:schemaRefs/>
</ds:datastoreItem>
</file>

<file path=docProps/app.xml><?xml version="1.0" encoding="utf-8"?>
<Properties xmlns="http://schemas.openxmlformats.org/officeDocument/2006/extended-properties" xmlns:vt="http://schemas.openxmlformats.org/officeDocument/2006/docPropsVTypes">
  <Template>Normal.dotm</Template>
  <Company>中南金尚环境工程有限公司</Company>
  <Pages>64</Pages>
  <Words>34520</Words>
  <Characters>38768</Characters>
  <Lines>369</Lines>
  <Paragraphs>104</Paragraphs>
  <TotalTime>7</TotalTime>
  <ScaleCrop>false</ScaleCrop>
  <LinksUpToDate>false</LinksUpToDate>
  <CharactersWithSpaces>39394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2018-05-08T03:36:00Z</dcterms:created>
  <dc:creator>gaowenyan</dc:creator>
  <cp:lastModifiedBy>乐仔乐哉</cp:lastModifiedBy>
  <cp:lastPrinted>2020-09-25T08:52:00Z</cp:lastPrinted>
  <dcterms:modified xsi:type="dcterms:W3CDTF">2020-12-15T07:09:59Z</dcterms:modified>
  <dc:title>建设项目环境影响报告表</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