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center"/>
        <w:outlineLvl w:val="0"/>
        <w:rPr>
          <w:rFonts w:hint="eastAsia" w:ascii="Times New Roman" w:hAnsi="Times New Roman" w:eastAsia="黑体"/>
          <w:snapToGrid w:val="0"/>
          <w:sz w:val="30"/>
          <w:szCs w:val="30"/>
          <w:highlight w:val="none"/>
          <w:lang w:eastAsia="zh-CN"/>
        </w:rPr>
      </w:pPr>
      <w:r>
        <w:drawing>
          <wp:anchor distT="0" distB="0" distL="114300" distR="114300" simplePos="0" relativeHeight="251684864" behindDoc="0" locked="0" layoutInCell="1" allowOverlap="1">
            <wp:simplePos x="0" y="0"/>
            <wp:positionH relativeFrom="column">
              <wp:posOffset>-998220</wp:posOffset>
            </wp:positionH>
            <wp:positionV relativeFrom="paragraph">
              <wp:posOffset>-730250</wp:posOffset>
            </wp:positionV>
            <wp:extent cx="7239635" cy="10165715"/>
            <wp:effectExtent l="0" t="0" r="18415" b="698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7239635" cy="10165715"/>
                    </a:xfrm>
                    <a:prstGeom prst="rect">
                      <a:avLst/>
                    </a:prstGeom>
                    <a:noFill/>
                    <a:ln>
                      <a:noFill/>
                    </a:ln>
                  </pic:spPr>
                </pic:pic>
              </a:graphicData>
            </a:graphic>
          </wp:anchor>
        </w:drawing>
      </w:r>
    </w:p>
    <w:p>
      <w:pPr>
        <w:pStyle w:val="15"/>
        <w:jc w:val="center"/>
        <w:outlineLvl w:val="0"/>
        <w:rPr>
          <w:rFonts w:hint="eastAsia" w:ascii="Times New Roman" w:hAnsi="Times New Roman" w:eastAsia="黑体"/>
          <w:snapToGrid w:val="0"/>
          <w:sz w:val="30"/>
          <w:szCs w:val="30"/>
          <w:highlight w:val="none"/>
        </w:rPr>
      </w:pPr>
    </w:p>
    <w:p>
      <w:pPr>
        <w:pStyle w:val="15"/>
        <w:jc w:val="center"/>
        <w:outlineLvl w:val="0"/>
        <w:rPr>
          <w:rFonts w:hint="eastAsia" w:ascii="Times New Roman" w:hAnsi="Times New Roman" w:eastAsia="黑体"/>
          <w:snapToGrid w:val="0"/>
          <w:sz w:val="30"/>
          <w:szCs w:val="30"/>
          <w:highlight w:val="none"/>
        </w:rPr>
      </w:pPr>
    </w:p>
    <w:p>
      <w:pPr>
        <w:pStyle w:val="15"/>
        <w:jc w:val="center"/>
        <w:outlineLvl w:val="0"/>
        <w:rPr>
          <w:rFonts w:hint="eastAsia" w:ascii="Times New Roman" w:hAnsi="Times New Roman" w:eastAsia="黑体"/>
          <w:snapToGrid w:val="0"/>
          <w:sz w:val="30"/>
          <w:szCs w:val="30"/>
          <w:highlight w:val="none"/>
        </w:rPr>
      </w:pPr>
    </w:p>
    <w:p>
      <w:pPr>
        <w:pStyle w:val="15"/>
        <w:jc w:val="center"/>
        <w:outlineLvl w:val="0"/>
        <w:rPr>
          <w:rFonts w:hint="eastAsia" w:ascii="Times New Roman" w:hAnsi="Times New Roman" w:eastAsia="黑体"/>
          <w:snapToGrid w:val="0"/>
          <w:sz w:val="30"/>
          <w:szCs w:val="30"/>
          <w:highlight w:val="none"/>
        </w:rPr>
      </w:pPr>
    </w:p>
    <w:p>
      <w:pPr>
        <w:pStyle w:val="15"/>
        <w:jc w:val="center"/>
        <w:outlineLvl w:val="0"/>
        <w:rPr>
          <w:rFonts w:hint="eastAsia" w:ascii="Times New Roman" w:hAnsi="Times New Roman" w:eastAsia="黑体"/>
          <w:snapToGrid w:val="0"/>
          <w:sz w:val="30"/>
          <w:szCs w:val="30"/>
          <w:highlight w:val="none"/>
          <w:lang w:eastAsia="zh-CN"/>
        </w:rPr>
      </w:pPr>
    </w:p>
    <w:p>
      <w:pPr>
        <w:pStyle w:val="15"/>
        <w:jc w:val="center"/>
        <w:outlineLvl w:val="0"/>
        <w:rPr>
          <w:rFonts w:hint="eastAsia" w:ascii="Times New Roman" w:hAnsi="Times New Roman" w:eastAsia="黑体"/>
          <w:snapToGrid w:val="0"/>
          <w:sz w:val="30"/>
          <w:szCs w:val="30"/>
          <w:highlight w:val="none"/>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720" w:num="1"/>
          <w:docGrid w:linePitch="312" w:charSpace="0"/>
        </w:sectPr>
      </w:pPr>
    </w:p>
    <w:p>
      <w:pPr>
        <w:pStyle w:val="15"/>
        <w:jc w:val="center"/>
        <w:outlineLvl w:val="0"/>
        <w:rPr>
          <w:rFonts w:hint="eastAsia" w:ascii="Times New Roman" w:hAnsi="Times New Roman" w:eastAsia="黑体"/>
          <w:snapToGrid w:val="0"/>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720" w:num="1"/>
          <w:docGrid w:linePitch="312" w:charSpace="0"/>
        </w:sectPr>
      </w:pPr>
      <w:r>
        <w:drawing>
          <wp:anchor distT="0" distB="0" distL="114300" distR="114300" simplePos="0" relativeHeight="251685888" behindDoc="1" locked="0" layoutInCell="1" allowOverlap="1">
            <wp:simplePos x="0" y="0"/>
            <wp:positionH relativeFrom="column">
              <wp:posOffset>-928370</wp:posOffset>
            </wp:positionH>
            <wp:positionV relativeFrom="paragraph">
              <wp:posOffset>-730250</wp:posOffset>
            </wp:positionV>
            <wp:extent cx="7414895" cy="10321925"/>
            <wp:effectExtent l="0" t="0" r="14605" b="3175"/>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7414895" cy="10321925"/>
                    </a:xfrm>
                    <a:prstGeom prst="rect">
                      <a:avLst/>
                    </a:prstGeom>
                    <a:noFill/>
                    <a:ln>
                      <a:noFill/>
                    </a:ln>
                  </pic:spPr>
                </pic:pic>
              </a:graphicData>
            </a:graphic>
          </wp:anchor>
        </w:drawing>
      </w:r>
    </w:p>
    <w:p>
      <w:pPr>
        <w:pStyle w:val="15"/>
        <w:jc w:val="center"/>
        <w:outlineLvl w:val="0"/>
        <w:rPr>
          <w:rFonts w:hint="eastAsia" w:ascii="Times New Roman" w:hAnsi="Times New Roman" w:eastAsia="黑体"/>
          <w:snapToGrid w:val="0"/>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720" w:num="1"/>
          <w:docGrid w:linePitch="312" w:charSpace="0"/>
        </w:sectPr>
      </w:pPr>
      <w:r>
        <w:drawing>
          <wp:anchor distT="0" distB="0" distL="114300" distR="114300" simplePos="0" relativeHeight="251685888" behindDoc="0" locked="0" layoutInCell="1" allowOverlap="1">
            <wp:simplePos x="0" y="0"/>
            <wp:positionH relativeFrom="column">
              <wp:posOffset>-979170</wp:posOffset>
            </wp:positionH>
            <wp:positionV relativeFrom="paragraph">
              <wp:posOffset>-714375</wp:posOffset>
            </wp:positionV>
            <wp:extent cx="7483475" cy="10454640"/>
            <wp:effectExtent l="0" t="0" r="3175" b="381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7483475" cy="10454640"/>
                    </a:xfrm>
                    <a:prstGeom prst="rect">
                      <a:avLst/>
                    </a:prstGeom>
                    <a:noFill/>
                    <a:ln>
                      <a:noFill/>
                    </a:ln>
                  </pic:spPr>
                </pic:pic>
              </a:graphicData>
            </a:graphic>
          </wp:anchor>
        </w:drawing>
      </w:r>
    </w:p>
    <w:p>
      <w:pPr>
        <w:pStyle w:val="15"/>
        <w:jc w:val="center"/>
        <w:outlineLvl w:val="0"/>
        <w:rPr>
          <w:rFonts w:hint="eastAsia" w:ascii="Times New Roman" w:hAnsi="Times New Roman" w:eastAsia="黑体"/>
          <w:snapToGrid w:val="0"/>
          <w:sz w:val="30"/>
          <w:szCs w:val="30"/>
          <w:highlight w:val="none"/>
        </w:rPr>
      </w:pPr>
      <w:bookmarkStart w:id="1" w:name="_GoBack"/>
      <w:bookmarkEnd w:id="1"/>
      <w:r>
        <w:rPr>
          <w:rFonts w:hint="eastAsia" w:ascii="Times New Roman" w:hAnsi="Times New Roman" w:eastAsia="黑体"/>
          <w:snapToGrid w:val="0"/>
          <w:sz w:val="30"/>
          <w:szCs w:val="30"/>
          <w:highlight w:val="none"/>
        </w:rPr>
        <w:t>一、建设项目基本情况</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468"/>
        <w:gridCol w:w="1485"/>
        <w:gridCol w:w="2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rPr>
            </w:pPr>
            <w:r>
              <w:rPr>
                <w:rFonts w:hint="eastAsia" w:cs="宋体"/>
                <w:color w:val="000000"/>
                <w:sz w:val="21"/>
                <w:szCs w:val="21"/>
                <w:highlight w:val="none"/>
              </w:rPr>
              <w:t>建设项目名称</w:t>
            </w:r>
          </w:p>
        </w:tc>
        <w:tc>
          <w:tcPr>
            <w:tcW w:w="6804"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lang w:val="en-US" w:eastAsia="zh-CN"/>
              </w:rPr>
            </w:pPr>
            <w:r>
              <w:rPr>
                <w:rFonts w:hint="eastAsia" w:cs="宋体"/>
                <w:color w:val="000000"/>
                <w:sz w:val="21"/>
                <w:szCs w:val="21"/>
                <w:highlight w:val="none"/>
              </w:rPr>
              <w:t>新乡市卓越橡塑有限公司年产3亿只锂电池密封圈项目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项目代码</w:t>
            </w:r>
          </w:p>
        </w:tc>
        <w:tc>
          <w:tcPr>
            <w:tcW w:w="6804"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2019-410704-29-03-048759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rPr>
            </w:pPr>
            <w:r>
              <w:rPr>
                <w:rFonts w:hint="eastAsia" w:cs="宋体"/>
                <w:color w:val="000000"/>
                <w:sz w:val="21"/>
                <w:szCs w:val="21"/>
                <w:highlight w:val="none"/>
              </w:rPr>
              <w:t>建设单位联系人</w:t>
            </w:r>
          </w:p>
        </w:tc>
        <w:tc>
          <w:tcPr>
            <w:tcW w:w="246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lang w:val="en-US" w:eastAsia="zh-CN"/>
              </w:rPr>
            </w:pPr>
            <w:r>
              <w:rPr>
                <w:rFonts w:hint="eastAsia" w:cs="宋体"/>
                <w:color w:val="000000"/>
                <w:sz w:val="21"/>
                <w:szCs w:val="21"/>
                <w:highlight w:val="none"/>
              </w:rPr>
              <w:t>潘庆伟（410721197906160536）</w:t>
            </w:r>
          </w:p>
        </w:tc>
        <w:tc>
          <w:tcPr>
            <w:tcW w:w="148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lang w:val="en-US" w:eastAsia="zh-CN"/>
              </w:rPr>
            </w:pPr>
            <w:r>
              <w:rPr>
                <w:rFonts w:hint="eastAsia" w:cs="宋体"/>
                <w:color w:val="000000"/>
                <w:sz w:val="21"/>
                <w:szCs w:val="21"/>
                <w:highlight w:val="none"/>
              </w:rPr>
              <w:t>联系方式</w:t>
            </w:r>
          </w:p>
        </w:tc>
        <w:tc>
          <w:tcPr>
            <w:tcW w:w="285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lang w:val="en-US" w:eastAsia="zh-CN"/>
              </w:rPr>
            </w:pPr>
            <w:r>
              <w:rPr>
                <w:rFonts w:hint="eastAsia" w:cs="宋体"/>
                <w:color w:val="000000"/>
                <w:sz w:val="21"/>
                <w:szCs w:val="21"/>
                <w:highlight w:val="none"/>
              </w:rPr>
              <w:t>18638324835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rPr>
            </w:pPr>
            <w:r>
              <w:rPr>
                <w:rFonts w:hint="eastAsia" w:cs="宋体"/>
                <w:color w:val="000000"/>
                <w:sz w:val="21"/>
                <w:szCs w:val="21"/>
                <w:highlight w:val="none"/>
              </w:rPr>
              <w:t>建设地点</w:t>
            </w:r>
          </w:p>
        </w:tc>
        <w:tc>
          <w:tcPr>
            <w:tcW w:w="6804"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lang w:val="en-US" w:eastAsia="zh-CN"/>
              </w:rPr>
            </w:pPr>
            <w:r>
              <w:rPr>
                <w:rFonts w:hint="eastAsia" w:cs="宋体"/>
                <w:color w:val="000000"/>
                <w:sz w:val="21"/>
                <w:szCs w:val="21"/>
                <w:highlight w:val="none"/>
              </w:rPr>
              <w:t>新乡市凤泉区大块镇小块村西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地理坐标</w:t>
            </w:r>
          </w:p>
        </w:tc>
        <w:tc>
          <w:tcPr>
            <w:tcW w:w="6804"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000000"/>
                <w:kern w:val="0"/>
                <w:sz w:val="21"/>
                <w:szCs w:val="21"/>
                <w:highlight w:val="none"/>
                <w:lang w:val="en-US" w:eastAsia="zh-CN" w:bidi="ar-SA"/>
              </w:rPr>
            </w:pPr>
            <w:r>
              <w:rPr>
                <w:rFonts w:hint="default" w:ascii="Times New Roman" w:hAnsi="Times New Roman" w:cs="Times New Roman"/>
                <w:color w:val="000000"/>
                <w:sz w:val="21"/>
                <w:szCs w:val="21"/>
                <w:highlight w:val="none"/>
              </w:rPr>
              <w:t>（113°47′42.898″E</w:t>
            </w:r>
            <w:r>
              <w:rPr>
                <w:rFonts w:hint="eastAsia"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35°22′50.558″N）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国民经济</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rPr>
            </w:pPr>
            <w:r>
              <w:rPr>
                <w:rFonts w:hint="eastAsia" w:cs="宋体"/>
                <w:color w:val="000000"/>
                <w:sz w:val="21"/>
                <w:szCs w:val="21"/>
                <w:highlight w:val="none"/>
              </w:rPr>
              <w:t>行业类别</w:t>
            </w:r>
          </w:p>
        </w:tc>
        <w:tc>
          <w:tcPr>
            <w:tcW w:w="246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lang w:val="en-US" w:eastAsia="zh-CN"/>
              </w:rPr>
            </w:pPr>
            <w:r>
              <w:rPr>
                <w:rFonts w:hint="eastAsia" w:cs="宋体"/>
                <w:color w:val="000000"/>
                <w:sz w:val="21"/>
                <w:szCs w:val="21"/>
                <w:highlight w:val="none"/>
              </w:rPr>
              <w:t>C2929-塑料零件及其他塑料制品制造</w:t>
            </w:r>
          </w:p>
        </w:tc>
        <w:tc>
          <w:tcPr>
            <w:tcW w:w="148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cs="宋体"/>
                <w:color w:val="000000"/>
                <w:sz w:val="21"/>
                <w:szCs w:val="21"/>
                <w:highlight w:val="none"/>
              </w:rPr>
            </w:pPr>
            <w:r>
              <w:rPr>
                <w:rFonts w:hint="eastAsia" w:cs="宋体"/>
                <w:color w:val="000000"/>
                <w:sz w:val="21"/>
                <w:szCs w:val="21"/>
                <w:highlight w:val="none"/>
              </w:rPr>
              <w:t>建设项目</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lang w:val="en-US" w:eastAsia="zh-CN"/>
              </w:rPr>
            </w:pPr>
            <w:r>
              <w:rPr>
                <w:rFonts w:hint="eastAsia" w:cs="宋体"/>
                <w:color w:val="000000"/>
                <w:sz w:val="21"/>
                <w:szCs w:val="21"/>
                <w:highlight w:val="none"/>
              </w:rPr>
              <w:t>行业类别</w:t>
            </w:r>
          </w:p>
        </w:tc>
        <w:tc>
          <w:tcPr>
            <w:tcW w:w="285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 w:val="21"/>
                <w:szCs w:val="21"/>
                <w:highlight w:val="none"/>
                <w:lang w:val="en-US" w:eastAsia="zh-CN"/>
              </w:rPr>
            </w:pPr>
            <w:r>
              <w:rPr>
                <w:rFonts w:hint="eastAsia" w:cs="宋体"/>
                <w:color w:val="000000"/>
                <w:sz w:val="21"/>
                <w:szCs w:val="21"/>
                <w:highlight w:val="none"/>
              </w:rPr>
              <w:t>53、塑料制品业292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建设性质</w:t>
            </w:r>
          </w:p>
        </w:tc>
        <w:tc>
          <w:tcPr>
            <w:tcW w:w="2468"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cs="宋体"/>
                <w:color w:val="000000"/>
                <w:sz w:val="21"/>
                <w:szCs w:val="21"/>
                <w:highlight w:val="none"/>
              </w:rPr>
            </w:pPr>
            <w:r>
              <w:rPr>
                <w:rFonts w:hint="eastAsia" w:cs="宋体"/>
                <w:color w:val="000000"/>
                <w:sz w:val="21"/>
                <w:szCs w:val="21"/>
                <w:highlight w:val="none"/>
              </w:rPr>
              <w:t>□新建（迁建）</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eastAsia" w:cs="宋体"/>
                <w:color w:val="000000"/>
                <w:sz w:val="21"/>
                <w:szCs w:val="21"/>
                <w:highlight w:val="none"/>
              </w:rPr>
            </w:pPr>
            <w:r>
              <w:rPr>
                <w:rFonts w:hint="eastAsia" w:cs="宋体"/>
                <w:color w:val="000000"/>
                <w:sz w:val="21"/>
                <w:szCs w:val="21"/>
                <w:highlight w:val="none"/>
              </w:rPr>
              <w:t>□改建</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eastAsia" w:cs="宋体"/>
                <w:color w:val="000000"/>
                <w:sz w:val="21"/>
                <w:szCs w:val="21"/>
                <w:highlight w:val="none"/>
              </w:rPr>
            </w:pPr>
            <w:r>
              <w:rPr>
                <w:rFonts w:ascii="Wingdings 2" w:hAnsi="Wingdings 2"/>
                <w:color w:val="000000"/>
                <w:kern w:val="0"/>
                <w:sz w:val="21"/>
                <w:szCs w:val="21"/>
                <w:highlight w:val="none"/>
                <w:lang w:val="zh-CN"/>
              </w:rPr>
              <w:t></w:t>
            </w:r>
            <w:r>
              <w:rPr>
                <w:rFonts w:hint="eastAsia" w:cs="宋体"/>
                <w:color w:val="000000"/>
                <w:sz w:val="21"/>
                <w:szCs w:val="21"/>
                <w:highlight w:val="none"/>
              </w:rPr>
              <w:t>扩建</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□技术改造</w:t>
            </w:r>
          </w:p>
        </w:tc>
        <w:tc>
          <w:tcPr>
            <w:tcW w:w="1485" w:type="dxa"/>
            <w:tcBorders>
              <w:top w:val="single" w:color="000000" w:sz="8" w:space="0"/>
              <w:left w:val="single" w:color="auto" w:sz="4"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建设项目</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申报情形</w:t>
            </w:r>
          </w:p>
        </w:tc>
        <w:tc>
          <w:tcPr>
            <w:tcW w:w="2851"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cs="宋体"/>
                <w:color w:val="000000"/>
                <w:sz w:val="21"/>
                <w:szCs w:val="21"/>
                <w:highlight w:val="none"/>
              </w:rPr>
            </w:pPr>
            <w:r>
              <w:rPr>
                <w:rFonts w:ascii="Wingdings 2" w:hAnsi="Wingdings 2"/>
                <w:color w:val="000000"/>
                <w:kern w:val="0"/>
                <w:sz w:val="21"/>
                <w:szCs w:val="21"/>
                <w:highlight w:val="none"/>
                <w:lang w:val="zh-CN"/>
              </w:rPr>
              <w:t></w:t>
            </w:r>
            <w:r>
              <w:rPr>
                <w:rFonts w:hint="eastAsia" w:cs="宋体"/>
                <w:color w:val="000000"/>
                <w:sz w:val="21"/>
                <w:szCs w:val="21"/>
                <w:highlight w:val="none"/>
              </w:rPr>
              <w:t>首次申报项目</w:t>
            </w:r>
            <w:r>
              <w:rPr>
                <w:rFonts w:cs="宋体"/>
                <w:color w:val="000000"/>
                <w:sz w:val="21"/>
                <w:szCs w:val="21"/>
                <w:highlight w:val="none"/>
              </w:rPr>
              <w:t xml:space="preserve">             </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cs="宋体"/>
                <w:color w:val="000000"/>
                <w:sz w:val="21"/>
                <w:szCs w:val="21"/>
                <w:highlight w:val="none"/>
              </w:rPr>
            </w:pPr>
            <w:r>
              <w:rPr>
                <w:rFonts w:hint="eastAsia" w:cs="宋体"/>
                <w:color w:val="000000"/>
                <w:sz w:val="21"/>
                <w:szCs w:val="21"/>
                <w:highlight w:val="none"/>
              </w:rPr>
              <w:t>□不予批准后再次申报项目</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cs="宋体"/>
                <w:color w:val="000000"/>
                <w:sz w:val="21"/>
                <w:szCs w:val="21"/>
                <w:highlight w:val="none"/>
              </w:rPr>
            </w:pPr>
            <w:r>
              <w:rPr>
                <w:rFonts w:hint="eastAsia" w:cs="宋体"/>
                <w:color w:val="000000"/>
                <w:sz w:val="21"/>
                <w:szCs w:val="21"/>
                <w:highlight w:val="none"/>
              </w:rPr>
              <w:sym w:font="Wingdings 2" w:char="00A3"/>
            </w:r>
            <w:r>
              <w:rPr>
                <w:rFonts w:hint="eastAsia" w:cs="宋体"/>
                <w:color w:val="000000"/>
                <w:sz w:val="21"/>
                <w:szCs w:val="21"/>
                <w:highlight w:val="none"/>
              </w:rPr>
              <w:t>超五年重新审核项目</w:t>
            </w:r>
            <w:r>
              <w:rPr>
                <w:rFonts w:cs="宋体"/>
                <w:color w:val="000000"/>
                <w:sz w:val="21"/>
                <w:szCs w:val="21"/>
                <w:highlight w:val="none"/>
              </w:rPr>
              <w:t xml:space="preserve">     </w:t>
            </w:r>
          </w:p>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项目审批（核准</w:t>
            </w:r>
            <w:r>
              <w:rPr>
                <w:rFonts w:cs="宋体"/>
                <w:color w:val="000000"/>
                <w:sz w:val="21"/>
                <w:szCs w:val="21"/>
                <w:highlight w:val="none"/>
              </w:rPr>
              <w:t>/</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备案）部门（选填）</w:t>
            </w:r>
          </w:p>
        </w:tc>
        <w:tc>
          <w:tcPr>
            <w:tcW w:w="2468"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lang w:val="en-US" w:eastAsia="zh-CN"/>
              </w:rPr>
              <w:t>/</w:t>
            </w:r>
          </w:p>
        </w:tc>
        <w:tc>
          <w:tcPr>
            <w:tcW w:w="1485" w:type="dxa"/>
            <w:tcBorders>
              <w:top w:val="single" w:color="000000" w:sz="8" w:space="0"/>
              <w:left w:val="single" w:color="auto" w:sz="4"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项目审批（核准</w:t>
            </w:r>
            <w:r>
              <w:rPr>
                <w:rFonts w:cs="宋体"/>
                <w:color w:val="000000"/>
                <w:sz w:val="21"/>
                <w:szCs w:val="21"/>
                <w:highlight w:val="none"/>
              </w:rPr>
              <w:t>/</w:t>
            </w:r>
            <w:r>
              <w:rPr>
                <w:rFonts w:hint="eastAsia" w:cs="宋体"/>
                <w:color w:val="000000"/>
                <w:sz w:val="21"/>
                <w:szCs w:val="21"/>
                <w:highlight w:val="none"/>
              </w:rPr>
              <w:t>备案）文号（选填）</w:t>
            </w:r>
          </w:p>
        </w:tc>
        <w:tc>
          <w:tcPr>
            <w:tcW w:w="2851"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总投资（万元）</w:t>
            </w:r>
          </w:p>
        </w:tc>
        <w:tc>
          <w:tcPr>
            <w:tcW w:w="2468"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lang w:val="en-US" w:eastAsia="zh-CN"/>
              </w:rPr>
              <w:t>800</w:t>
            </w:r>
          </w:p>
        </w:tc>
        <w:tc>
          <w:tcPr>
            <w:tcW w:w="1485" w:type="dxa"/>
            <w:tcBorders>
              <w:top w:val="single" w:color="000000" w:sz="8" w:space="0"/>
              <w:left w:val="single" w:color="auto" w:sz="4"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sz w:val="21"/>
                <w:szCs w:val="21"/>
                <w:highlight w:val="none"/>
              </w:rPr>
            </w:pPr>
            <w:r>
              <w:rPr>
                <w:rFonts w:hint="eastAsia" w:cs="宋体"/>
                <w:color w:val="000000"/>
                <w:sz w:val="21"/>
                <w:szCs w:val="21"/>
                <w:highlight w:val="none"/>
              </w:rPr>
              <w:t>环保投资</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（万元）</w:t>
            </w:r>
          </w:p>
        </w:tc>
        <w:tc>
          <w:tcPr>
            <w:tcW w:w="2851"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环保投资占比（</w:t>
            </w:r>
            <w:r>
              <w:rPr>
                <w:rFonts w:cs="宋体"/>
                <w:color w:val="000000"/>
                <w:sz w:val="21"/>
                <w:szCs w:val="21"/>
                <w:highlight w:val="none"/>
              </w:rPr>
              <w:t>%</w:t>
            </w:r>
            <w:r>
              <w:rPr>
                <w:rFonts w:hint="eastAsia" w:cs="宋体"/>
                <w:color w:val="000000"/>
                <w:sz w:val="21"/>
                <w:szCs w:val="21"/>
                <w:highlight w:val="none"/>
              </w:rPr>
              <w:t>）</w:t>
            </w:r>
          </w:p>
        </w:tc>
        <w:tc>
          <w:tcPr>
            <w:tcW w:w="2468"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lang w:val="en-US" w:eastAsia="zh-CN"/>
              </w:rPr>
              <w:t>3.75</w:t>
            </w:r>
          </w:p>
        </w:tc>
        <w:tc>
          <w:tcPr>
            <w:tcW w:w="1485" w:type="dxa"/>
            <w:tcBorders>
              <w:top w:val="single" w:color="000000" w:sz="8" w:space="0"/>
              <w:left w:val="single" w:color="auto" w:sz="4"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施工工期</w:t>
            </w:r>
          </w:p>
        </w:tc>
        <w:tc>
          <w:tcPr>
            <w:tcW w:w="2851"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lang w:val="en-US" w:eastAsia="zh-CN"/>
              </w:rPr>
              <w:t>60天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t>是否开工建设</w:t>
            </w:r>
          </w:p>
        </w:tc>
        <w:tc>
          <w:tcPr>
            <w:tcW w:w="2468"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cs="宋体"/>
                <w:color w:val="000000"/>
                <w:sz w:val="21"/>
                <w:szCs w:val="21"/>
                <w:highlight w:val="none"/>
              </w:rPr>
            </w:pPr>
            <w:r>
              <w:rPr>
                <w:rFonts w:hint="eastAsia" w:cs="宋体"/>
                <w:color w:val="000000"/>
                <w:sz w:val="21"/>
                <w:szCs w:val="21"/>
                <w:highlight w:val="none"/>
              </w:rPr>
              <w:sym w:font="Wingdings 2" w:char="0052"/>
            </w:r>
            <w:r>
              <w:rPr>
                <w:rFonts w:hint="eastAsia" w:cs="宋体"/>
                <w:color w:val="000000"/>
                <w:sz w:val="21"/>
                <w:szCs w:val="21"/>
                <w:highlight w:val="none"/>
              </w:rPr>
              <w:t>否</w:t>
            </w:r>
          </w:p>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rPr>
              <w:sym w:font="Wingdings 2" w:char="00A3"/>
            </w:r>
            <w:r>
              <w:rPr>
                <w:rFonts w:hint="eastAsia" w:cs="宋体"/>
                <w:color w:val="000000"/>
                <w:sz w:val="21"/>
                <w:szCs w:val="21"/>
                <w:highlight w:val="none"/>
              </w:rPr>
              <w:t>是：</w:t>
            </w:r>
            <w:r>
              <w:rPr>
                <w:rFonts w:hint="eastAsia" w:cs="宋体"/>
                <w:color w:val="000000"/>
                <w:sz w:val="21"/>
                <w:szCs w:val="21"/>
                <w:highlight w:val="none"/>
                <w:u w:val="single"/>
              </w:rPr>
              <w:t xml:space="preserve">             </w:t>
            </w:r>
          </w:p>
        </w:tc>
        <w:tc>
          <w:tcPr>
            <w:tcW w:w="1485" w:type="dxa"/>
            <w:tcBorders>
              <w:top w:val="single" w:color="000000" w:sz="8" w:space="0"/>
              <w:left w:val="single" w:color="auto" w:sz="4" w:space="0"/>
              <w:bottom w:val="single" w:color="000000" w:sz="8"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cs="宋体"/>
                <w:color w:val="000000"/>
                <w:spacing w:val="-6"/>
                <w:sz w:val="21"/>
                <w:szCs w:val="21"/>
                <w:highlight w:val="none"/>
              </w:rPr>
            </w:pPr>
            <w:r>
              <w:rPr>
                <w:rFonts w:hint="eastAsia" w:cs="宋体"/>
                <w:color w:val="000000"/>
                <w:spacing w:val="-6"/>
                <w:sz w:val="21"/>
                <w:szCs w:val="21"/>
                <w:highlight w:val="none"/>
              </w:rPr>
              <w:t>用地（用海）</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pacing w:val="-6"/>
                <w:sz w:val="21"/>
                <w:szCs w:val="21"/>
                <w:highlight w:val="none"/>
              </w:rPr>
              <w:t>面积（</w:t>
            </w:r>
            <w:r>
              <w:rPr>
                <w:rFonts w:cs="宋体"/>
                <w:color w:val="000000"/>
                <w:spacing w:val="-6"/>
                <w:sz w:val="21"/>
                <w:szCs w:val="21"/>
                <w:highlight w:val="none"/>
              </w:rPr>
              <w:t>m</w:t>
            </w:r>
            <w:r>
              <w:rPr>
                <w:rFonts w:cs="宋体"/>
                <w:color w:val="000000"/>
                <w:spacing w:val="-6"/>
                <w:sz w:val="21"/>
                <w:szCs w:val="21"/>
                <w:highlight w:val="none"/>
                <w:vertAlign w:val="superscript"/>
              </w:rPr>
              <w:t>2</w:t>
            </w:r>
            <w:r>
              <w:rPr>
                <w:rFonts w:hint="eastAsia" w:cs="宋体"/>
                <w:color w:val="000000"/>
                <w:spacing w:val="-6"/>
                <w:sz w:val="21"/>
                <w:szCs w:val="21"/>
                <w:highlight w:val="none"/>
              </w:rPr>
              <w:t>）</w:t>
            </w:r>
          </w:p>
        </w:tc>
        <w:tc>
          <w:tcPr>
            <w:tcW w:w="2851" w:type="dxa"/>
            <w:tcBorders>
              <w:top w:val="single" w:color="000000" w:sz="8" w:space="0"/>
              <w:left w:val="single" w:color="auto" w:sz="4"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ascii="Times New Roman" w:hAnsi="Times New Roman" w:eastAsia="宋体" w:cs="宋体"/>
                <w:color w:val="000000"/>
                <w:kern w:val="2"/>
                <w:sz w:val="21"/>
                <w:szCs w:val="21"/>
                <w:highlight w:val="none"/>
                <w:lang w:val="en-US" w:eastAsia="zh-CN" w:bidi="ar-SA"/>
              </w:rPr>
            </w:pPr>
            <w:r>
              <w:rPr>
                <w:rFonts w:hint="eastAsia" w:cs="宋体"/>
                <w:color w:val="000000"/>
                <w:sz w:val="21"/>
                <w:szCs w:val="21"/>
                <w:highlight w:val="none"/>
                <w:lang w:val="en-US" w:eastAsia="zh-CN"/>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cs="宋体"/>
                <w:color w:val="000000"/>
                <w:kern w:val="0"/>
                <w:szCs w:val="21"/>
                <w:highlight w:val="none"/>
              </w:rPr>
            </w:pPr>
            <w:r>
              <w:rPr>
                <w:rFonts w:hint="eastAsia" w:cs="宋体"/>
                <w:color w:val="000000"/>
                <w:kern w:val="0"/>
                <w:szCs w:val="21"/>
                <w:highlight w:val="none"/>
              </w:rPr>
              <w:t>专项评价设置情况</w:t>
            </w:r>
          </w:p>
        </w:tc>
        <w:tc>
          <w:tcPr>
            <w:tcW w:w="6804"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outlineLvl w:val="9"/>
              <w:rPr>
                <w:rFonts w:hint="default" w:eastAsia="宋体" w:cs="宋体"/>
                <w:color w:val="000000"/>
                <w:kern w:val="0"/>
                <w:szCs w:val="21"/>
                <w:highlight w:val="none"/>
                <w:lang w:val="en-US" w:eastAsia="zh-CN"/>
              </w:rPr>
            </w:pPr>
            <w:r>
              <w:rPr>
                <w:rFonts w:hint="eastAsia" w:cs="宋体"/>
                <w:color w:val="000000"/>
                <w:kern w:val="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Cs w:val="21"/>
                <w:highlight w:val="none"/>
              </w:rPr>
            </w:pPr>
            <w:r>
              <w:rPr>
                <w:rFonts w:hint="eastAsia" w:cs="宋体"/>
                <w:color w:val="000000"/>
                <w:szCs w:val="21"/>
                <w:highlight w:val="none"/>
              </w:rPr>
              <w:t>规划情况</w:t>
            </w:r>
          </w:p>
        </w:tc>
        <w:tc>
          <w:tcPr>
            <w:tcW w:w="6804"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outlineLvl w:val="9"/>
              <w:rPr>
                <w:rFonts w:hint="eastAsia" w:eastAsia="宋体" w:cs="宋体"/>
                <w:color w:val="000000"/>
                <w:kern w:val="0"/>
                <w:szCs w:val="21"/>
                <w:highlight w:val="none"/>
                <w:lang w:eastAsia="zh-CN"/>
              </w:rPr>
            </w:pPr>
            <w:r>
              <w:rPr>
                <w:rFonts w:hint="eastAsia" w:cs="宋体"/>
                <w:color w:val="000000"/>
                <w:kern w:val="0"/>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cs="宋体"/>
                <w:color w:val="000000"/>
                <w:szCs w:val="21"/>
                <w:highlight w:val="none"/>
              </w:rPr>
            </w:pPr>
            <w:r>
              <w:rPr>
                <w:rFonts w:hint="eastAsia" w:cs="宋体"/>
                <w:color w:val="000000"/>
                <w:szCs w:val="21"/>
                <w:highlight w:val="none"/>
              </w:rPr>
              <w:t>规划环境影响</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Cs w:val="21"/>
                <w:highlight w:val="none"/>
              </w:rPr>
            </w:pPr>
            <w:r>
              <w:rPr>
                <w:rFonts w:hint="eastAsia" w:cs="宋体"/>
                <w:color w:val="000000"/>
                <w:szCs w:val="21"/>
                <w:highlight w:val="none"/>
              </w:rPr>
              <w:t>评价情况</w:t>
            </w:r>
          </w:p>
        </w:tc>
        <w:tc>
          <w:tcPr>
            <w:tcW w:w="6804"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outlineLvl w:val="9"/>
              <w:rPr>
                <w:rFonts w:hint="eastAsia" w:eastAsia="宋体" w:cs="宋体"/>
                <w:color w:val="000000"/>
                <w:kern w:val="0"/>
                <w:szCs w:val="21"/>
                <w:highlight w:val="none"/>
                <w:lang w:eastAsia="zh-CN"/>
              </w:rPr>
            </w:pPr>
            <w:r>
              <w:rPr>
                <w:rFonts w:hint="eastAsia" w:cs="宋体"/>
                <w:color w:val="000000"/>
                <w:kern w:val="0"/>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eastAsia" w:cs="宋体"/>
                <w:color w:val="000000"/>
                <w:kern w:val="0"/>
                <w:szCs w:val="21"/>
                <w:highlight w:val="none"/>
              </w:rPr>
            </w:pPr>
            <w:r>
              <w:rPr>
                <w:rFonts w:hint="eastAsia" w:cs="宋体"/>
                <w:color w:val="000000"/>
                <w:kern w:val="0"/>
                <w:szCs w:val="21"/>
                <w:highlight w:val="none"/>
              </w:rPr>
              <w:t>规划及规划环境</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cs="宋体"/>
                <w:color w:val="000000"/>
                <w:kern w:val="0"/>
                <w:szCs w:val="21"/>
                <w:highlight w:val="none"/>
              </w:rPr>
            </w:pPr>
            <w:r>
              <w:rPr>
                <w:rFonts w:hint="eastAsia" w:cs="宋体"/>
                <w:color w:val="000000"/>
                <w:kern w:val="0"/>
                <w:szCs w:val="21"/>
                <w:highlight w:val="none"/>
              </w:rPr>
              <w:t>影响评价符合性分析</w:t>
            </w:r>
          </w:p>
        </w:tc>
        <w:tc>
          <w:tcPr>
            <w:tcW w:w="6804"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outlineLvl w:val="9"/>
              <w:rPr>
                <w:rFonts w:hint="eastAsia" w:eastAsia="宋体" w:cs="宋体"/>
                <w:color w:val="000000"/>
                <w:kern w:val="0"/>
                <w:szCs w:val="21"/>
                <w:highlight w:val="none"/>
                <w:lang w:eastAsia="zh-CN"/>
              </w:rPr>
            </w:pPr>
            <w:r>
              <w:rPr>
                <w:rFonts w:hint="eastAsia" w:cs="宋体"/>
                <w:color w:val="000000"/>
                <w:kern w:val="0"/>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1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jc w:val="center"/>
              <w:textAlignment w:val="auto"/>
              <w:outlineLvl w:val="9"/>
              <w:rPr>
                <w:rFonts w:hint="eastAsia" w:cs="宋体"/>
                <w:color w:val="000000"/>
                <w:kern w:val="0"/>
                <w:szCs w:val="21"/>
                <w:highlight w:val="none"/>
              </w:rPr>
            </w:pPr>
            <w:r>
              <w:rPr>
                <w:rFonts w:hint="eastAsia" w:cs="宋体"/>
                <w:color w:val="000000"/>
                <w:kern w:val="0"/>
                <w:szCs w:val="21"/>
                <w:highlight w:val="none"/>
              </w:rPr>
              <w:t>其他符合性分析</w:t>
            </w:r>
          </w:p>
        </w:tc>
        <w:tc>
          <w:tcPr>
            <w:tcW w:w="6804"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60" w:lineRule="auto"/>
              <w:ind w:left="0" w:leftChars="0" w:firstLine="422" w:firstLineChars="200"/>
              <w:textAlignment w:val="auto"/>
              <w:outlineLvl w:val="9"/>
              <w:rPr>
                <w:rFonts w:hint="default" w:ascii="Times New Roman" w:hAnsi="Times New Roman" w:cs="Times New Roman"/>
                <w:b/>
                <w:bCs/>
                <w:color w:val="000000"/>
                <w:highlight w:val="none"/>
              </w:rPr>
            </w:pPr>
            <w:r>
              <w:rPr>
                <w:rFonts w:hint="eastAsia" w:cs="Times New Roman"/>
                <w:b/>
                <w:bCs/>
                <w:color w:val="000000"/>
                <w:highlight w:val="none"/>
                <w:lang w:val="en-US" w:eastAsia="zh-CN"/>
              </w:rPr>
              <w:t>1、</w:t>
            </w:r>
            <w:r>
              <w:rPr>
                <w:rFonts w:hint="default" w:ascii="Times New Roman" w:hAnsi="Times New Roman" w:cs="Times New Roman"/>
                <w:b/>
                <w:bCs/>
                <w:color w:val="000000"/>
                <w:highlight w:val="none"/>
              </w:rPr>
              <w:t>与备案的相符性分析</w:t>
            </w:r>
          </w:p>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default"/>
                <w:color w:val="000000"/>
              </w:rPr>
            </w:pPr>
            <w:r>
              <w:rPr>
                <w:rFonts w:hint="default" w:ascii="Times New Roman" w:hAnsi="Times New Roman" w:cs="Times New Roman"/>
                <w:color w:val="000000"/>
                <w:highlight w:val="none"/>
              </w:rPr>
              <w:t>本项目已</w:t>
            </w:r>
            <w:r>
              <w:rPr>
                <w:rFonts w:hint="default" w:ascii="Times New Roman" w:hAnsi="Times New Roman" w:cs="Times New Roman"/>
                <w:color w:val="000000"/>
                <w:highlight w:val="none"/>
                <w:lang w:eastAsia="zh-CN"/>
              </w:rPr>
              <w:t>经新乡市凤泉区</w:t>
            </w:r>
            <w:r>
              <w:rPr>
                <w:rFonts w:hint="default" w:ascii="Times New Roman" w:hAnsi="Times New Roman" w:cs="Times New Roman"/>
                <w:color w:val="000000"/>
                <w:highlight w:val="none"/>
              </w:rPr>
              <w:t>发展和改革委员会备案，</w:t>
            </w:r>
            <w:r>
              <w:rPr>
                <w:rFonts w:hint="default" w:ascii="Times New Roman" w:hAnsi="Times New Roman" w:cs="Times New Roman"/>
                <w:color w:val="000000"/>
                <w:highlight w:val="none"/>
                <w:lang w:eastAsia="zh-CN"/>
              </w:rPr>
              <w:t>备案</w:t>
            </w:r>
            <w:r>
              <w:rPr>
                <w:rFonts w:hint="default" w:ascii="Times New Roman" w:hAnsi="Times New Roman" w:cs="Times New Roman"/>
                <w:color w:val="000000"/>
                <w:highlight w:val="none"/>
              </w:rPr>
              <w:t>项目代码</w:t>
            </w:r>
            <w:r>
              <w:rPr>
                <w:rFonts w:hint="default" w:ascii="Times New Roman" w:hAnsi="Times New Roman" w:eastAsia="宋体" w:cs="Times New Roman"/>
                <w:color w:val="000000"/>
                <w:highlight w:val="none"/>
                <w:lang w:eastAsia="zh-CN"/>
              </w:rPr>
              <w:t>为</w:t>
            </w:r>
            <w:r>
              <w:rPr>
                <w:rFonts w:hint="default" w:ascii="Times New Roman" w:hAnsi="Times New Roman" w:eastAsia="宋体" w:cs="Times New Roman"/>
                <w:color w:val="000000"/>
                <w:highlight w:val="none"/>
                <w:lang w:val="en-US" w:eastAsia="zh-CN"/>
              </w:rPr>
              <w:t>2019-410704-29-03-048759</w:t>
            </w:r>
            <w:r>
              <w:rPr>
                <w:rFonts w:hint="default" w:ascii="Times New Roman" w:hAnsi="Times New Roman" w:eastAsia="宋体" w:cs="Times New Roman"/>
                <w:color w:val="000000"/>
                <w:highlight w:val="none"/>
                <w:lang w:eastAsia="zh-CN"/>
              </w:rPr>
              <w:t>，本项目与备案的详细对比如下</w:t>
            </w:r>
            <w:r>
              <w:rPr>
                <w:rFonts w:hint="default" w:ascii="Times New Roman" w:hAnsi="Times New Roman" w:cs="Times New Roman"/>
                <w:color w:val="000000"/>
                <w:highlight w:val="none"/>
              </w:rPr>
              <w:t>：</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 xml:space="preserve">    项目备案相符性分析一览表</w:t>
            </w:r>
          </w:p>
          <w:tbl>
            <w:tblPr>
              <w:tblStyle w:val="18"/>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05"/>
              <w:gridCol w:w="715"/>
              <w:gridCol w:w="2273"/>
              <w:gridCol w:w="2273"/>
              <w:gridCol w:w="1022"/>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774" w:type="pct"/>
                  <w:gridSpan w:val="2"/>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名称</w:t>
                  </w:r>
                </w:p>
              </w:tc>
              <w:tc>
                <w:tcPr>
                  <w:tcW w:w="1725" w:type="pct"/>
                  <w:noWrap w:val="0"/>
                  <w:tcMar>
                    <w:top w:w="0" w:type="dxa"/>
                    <w:left w:w="113" w:type="dxa"/>
                    <w:bottom w:w="0" w:type="dxa"/>
                    <w:right w:w="113"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项目备案</w:t>
                  </w:r>
                </w:p>
              </w:tc>
              <w:tc>
                <w:tcPr>
                  <w:tcW w:w="1725" w:type="pct"/>
                  <w:noWrap w:val="0"/>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lang w:eastAsia="zh-CN"/>
                    </w:rPr>
                    <w:t>实际</w:t>
                  </w:r>
                  <w:r>
                    <w:rPr>
                      <w:rFonts w:hint="default" w:ascii="Times New Roman" w:hAnsi="Times New Roman" w:cs="Times New Roman" w:eastAsiaTheme="minorEastAsia"/>
                      <w:color w:val="000000"/>
                      <w:sz w:val="18"/>
                      <w:szCs w:val="18"/>
                      <w:highlight w:val="none"/>
                    </w:rPr>
                    <w:t>情况</w:t>
                  </w:r>
                </w:p>
              </w:tc>
              <w:tc>
                <w:tcPr>
                  <w:tcW w:w="77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项目备案</w:t>
                  </w:r>
                </w:p>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相符性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4" w:type="pct"/>
                  <w:gridSpan w:val="2"/>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建设单位</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新乡市卓越橡塑有限公司</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新乡市卓越橡塑有限公司</w:t>
                  </w:r>
                </w:p>
              </w:tc>
              <w:tc>
                <w:tcPr>
                  <w:tcW w:w="77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4" w:type="pct"/>
                  <w:gridSpan w:val="2"/>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eastAsia="zh-CN"/>
                    </w:rPr>
                  </w:pPr>
                  <w:r>
                    <w:rPr>
                      <w:rFonts w:hint="default" w:ascii="Times New Roman" w:hAnsi="Times New Roman" w:cs="Times New Roman" w:eastAsiaTheme="minorEastAsia"/>
                      <w:color w:val="000000"/>
                      <w:sz w:val="18"/>
                      <w:szCs w:val="18"/>
                      <w:highlight w:val="none"/>
                      <w:lang w:eastAsia="zh-CN"/>
                    </w:rPr>
                    <w:t>建设项目</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产3亿只锂电池密封圈项目</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产3亿只锂电池密封圈项目</w:t>
                  </w:r>
                </w:p>
              </w:tc>
              <w:tc>
                <w:tcPr>
                  <w:tcW w:w="77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4" w:type="pct"/>
                  <w:gridSpan w:val="2"/>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建设地点</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新乡市凤泉区大块镇小块村西</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新乡市凤泉区大块镇小块村西</w:t>
                  </w:r>
                </w:p>
              </w:tc>
              <w:tc>
                <w:tcPr>
                  <w:tcW w:w="77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 w:type="pct"/>
                  <w:vMerge w:val="restart"/>
                  <w:tcBorders>
                    <w:right w:val="single" w:color="auto" w:sz="4" w:space="0"/>
                  </w:tcBorders>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建设内容</w:t>
                  </w:r>
                </w:p>
              </w:tc>
              <w:tc>
                <w:tcPr>
                  <w:tcW w:w="542" w:type="pct"/>
                  <w:tcBorders>
                    <w:left w:val="single" w:color="auto" w:sz="4" w:space="0"/>
                  </w:tcBorders>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产品</w:t>
                  </w:r>
                </w:p>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val="en-US" w:eastAsia="zh-CN"/>
                    </w:rPr>
                  </w:pPr>
                  <w:r>
                    <w:rPr>
                      <w:rFonts w:hint="default" w:ascii="Times New Roman" w:hAnsi="Times New Roman" w:cs="Times New Roman" w:eastAsiaTheme="minorEastAsia"/>
                      <w:color w:val="000000"/>
                      <w:sz w:val="18"/>
                      <w:szCs w:val="18"/>
                      <w:highlight w:val="none"/>
                    </w:rPr>
                    <w:t>规模</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val="en-US" w:eastAsia="zh-CN"/>
                    </w:rPr>
                  </w:pPr>
                  <w:r>
                    <w:rPr>
                      <w:rFonts w:hint="default" w:ascii="Times New Roman" w:hAnsi="Times New Roman" w:cs="Times New Roman" w:eastAsiaTheme="minorEastAsia"/>
                      <w:color w:val="000000"/>
                      <w:sz w:val="18"/>
                      <w:szCs w:val="18"/>
                      <w:highlight w:val="none"/>
                      <w:lang w:val="en-US" w:eastAsia="zh-CN"/>
                    </w:rPr>
                    <w:t>年产3亿只锂电池密封圈</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lang w:val="en-US" w:eastAsia="zh-CN"/>
                    </w:rPr>
                    <w:t>年产3亿只锂电池密封圈</w:t>
                  </w:r>
                </w:p>
              </w:tc>
              <w:tc>
                <w:tcPr>
                  <w:tcW w:w="77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 w:type="pct"/>
                  <w:vMerge w:val="continue"/>
                  <w:tcBorders>
                    <w:right w:val="single" w:color="auto" w:sz="4" w:space="0"/>
                  </w:tcBorders>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p>
              </w:tc>
              <w:tc>
                <w:tcPr>
                  <w:tcW w:w="542" w:type="pct"/>
                  <w:tcBorders>
                    <w:left w:val="single" w:color="auto" w:sz="4" w:space="0"/>
                  </w:tcBorders>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val="en-US" w:eastAsia="zh-CN"/>
                    </w:rPr>
                  </w:pPr>
                  <w:r>
                    <w:rPr>
                      <w:rFonts w:hint="default" w:ascii="Times New Roman" w:hAnsi="Times New Roman" w:cs="Times New Roman" w:eastAsiaTheme="minorEastAsia"/>
                      <w:color w:val="000000"/>
                      <w:sz w:val="18"/>
                      <w:szCs w:val="18"/>
                      <w:highlight w:val="none"/>
                    </w:rPr>
                    <w:t>主要生产工艺</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val="en-US" w:eastAsia="zh-CN"/>
                    </w:rPr>
                  </w:pPr>
                  <w:r>
                    <w:rPr>
                      <w:rFonts w:hint="default" w:ascii="Times New Roman" w:hAnsi="Times New Roman" w:cs="Times New Roman" w:eastAsiaTheme="minorEastAsia"/>
                      <w:color w:val="000000"/>
                      <w:sz w:val="18"/>
                      <w:szCs w:val="18"/>
                      <w:highlight w:val="none"/>
                      <w:lang w:val="en-US" w:eastAsia="zh-CN"/>
                    </w:rPr>
                    <w:t>原料（PA66）—熔融—注塑成型</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val="en-US" w:eastAsia="zh-CN"/>
                    </w:rPr>
                  </w:pPr>
                  <w:r>
                    <w:rPr>
                      <w:rFonts w:hint="default" w:ascii="Times New Roman" w:hAnsi="Times New Roman" w:cs="Times New Roman" w:eastAsiaTheme="minorEastAsia"/>
                      <w:color w:val="000000"/>
                      <w:sz w:val="18"/>
                      <w:szCs w:val="18"/>
                      <w:highlight w:val="none"/>
                      <w:lang w:val="en-US" w:eastAsia="zh-CN"/>
                    </w:rPr>
                    <w:t>上料烘干、加热熔融、注塑成型、间接冷却、检验</w:t>
                  </w:r>
                </w:p>
              </w:tc>
              <w:tc>
                <w:tcPr>
                  <w:tcW w:w="77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eastAsia="zh-CN"/>
                    </w:rPr>
                  </w:pPr>
                  <w:r>
                    <w:rPr>
                      <w:rFonts w:hint="default" w:ascii="Times New Roman" w:hAnsi="Times New Roman" w:cs="Times New Roman" w:eastAsiaTheme="minorEastAsia"/>
                      <w:color w:val="000000"/>
                      <w:sz w:val="18"/>
                      <w:szCs w:val="18"/>
                      <w:highlight w:val="none"/>
                      <w:lang w:eastAsia="zh-CN"/>
                    </w:rPr>
                    <w:t>基本相符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 w:type="pct"/>
                  <w:vMerge w:val="continue"/>
                  <w:tcBorders>
                    <w:right w:val="single" w:color="auto" w:sz="4" w:space="0"/>
                  </w:tcBorders>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p>
              </w:tc>
              <w:tc>
                <w:tcPr>
                  <w:tcW w:w="542" w:type="pct"/>
                  <w:tcBorders>
                    <w:left w:val="single" w:color="auto" w:sz="4" w:space="0"/>
                  </w:tcBorders>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val="en-US" w:eastAsia="zh-CN"/>
                    </w:rPr>
                  </w:pPr>
                  <w:r>
                    <w:rPr>
                      <w:rFonts w:hint="default" w:ascii="Times New Roman" w:hAnsi="Times New Roman" w:cs="Times New Roman" w:eastAsiaTheme="minorEastAsia"/>
                      <w:color w:val="000000"/>
                      <w:sz w:val="18"/>
                      <w:szCs w:val="18"/>
                      <w:highlight w:val="none"/>
                    </w:rPr>
                    <w:t>主要生产设备</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val="en-US" w:eastAsia="zh-CN"/>
                    </w:rPr>
                  </w:pPr>
                  <w:r>
                    <w:rPr>
                      <w:rFonts w:hint="default" w:ascii="Times New Roman" w:hAnsi="Times New Roman" w:cs="Times New Roman" w:eastAsiaTheme="minorEastAsia"/>
                      <w:color w:val="000000"/>
                      <w:sz w:val="18"/>
                      <w:szCs w:val="18"/>
                      <w:highlight w:val="none"/>
                      <w:lang w:val="en-US" w:eastAsia="zh-CN"/>
                    </w:rPr>
                    <w:t>注塑机及辅机</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eastAsia="zh-CN"/>
                    </w:rPr>
                  </w:pPr>
                  <w:r>
                    <w:rPr>
                      <w:rFonts w:hint="default" w:ascii="Times New Roman" w:hAnsi="Times New Roman" w:cs="Times New Roman" w:eastAsiaTheme="minorEastAsia"/>
                      <w:color w:val="000000"/>
                      <w:sz w:val="18"/>
                      <w:szCs w:val="18"/>
                      <w:highlight w:val="none"/>
                      <w:lang w:eastAsia="zh-CN"/>
                    </w:rPr>
                    <w:t>注塑机、破碎机、上料机等</w:t>
                  </w:r>
                </w:p>
              </w:tc>
              <w:tc>
                <w:tcPr>
                  <w:tcW w:w="77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eastAsia="zh-CN"/>
                    </w:rPr>
                  </w:pPr>
                  <w:r>
                    <w:rPr>
                      <w:rFonts w:hint="default" w:ascii="Times New Roman" w:hAnsi="Times New Roman" w:cs="Times New Roman" w:eastAsiaTheme="minorEastAsia"/>
                      <w:color w:val="000000"/>
                      <w:sz w:val="18"/>
                      <w:szCs w:val="18"/>
                      <w:highlight w:val="none"/>
                      <w:lang w:eastAsia="zh-CN"/>
                    </w:rPr>
                    <w:t>基本相符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4" w:type="pct"/>
                  <w:gridSpan w:val="2"/>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rPr>
                    <w:t>投资</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val="en-US" w:eastAsia="zh-CN"/>
                    </w:rPr>
                  </w:pPr>
                  <w:r>
                    <w:rPr>
                      <w:rFonts w:hint="default" w:ascii="Times New Roman" w:hAnsi="Times New Roman" w:cs="Times New Roman" w:eastAsiaTheme="minorEastAsia"/>
                      <w:color w:val="000000"/>
                      <w:sz w:val="18"/>
                      <w:szCs w:val="18"/>
                      <w:highlight w:val="none"/>
                      <w:lang w:val="en-US" w:eastAsia="zh-CN"/>
                    </w:rPr>
                    <w:t>800万元</w:t>
                  </w:r>
                </w:p>
              </w:tc>
              <w:tc>
                <w:tcPr>
                  <w:tcW w:w="172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rPr>
                  </w:pPr>
                  <w:r>
                    <w:rPr>
                      <w:rFonts w:hint="default" w:ascii="Times New Roman" w:hAnsi="Times New Roman" w:cs="Times New Roman" w:eastAsiaTheme="minorEastAsia"/>
                      <w:color w:val="000000"/>
                      <w:sz w:val="18"/>
                      <w:szCs w:val="18"/>
                      <w:highlight w:val="none"/>
                      <w:lang w:val="en-US" w:eastAsia="zh-CN"/>
                    </w:rPr>
                    <w:t>800万元</w:t>
                  </w:r>
                </w:p>
              </w:tc>
              <w:tc>
                <w:tcPr>
                  <w:tcW w:w="775" w:type="pct"/>
                  <w:noWrap w:val="0"/>
                  <w:tcMar>
                    <w:top w:w="0" w:type="dxa"/>
                    <w:left w:w="108" w:type="dxa"/>
                    <w:bottom w:w="0" w:type="dxa"/>
                    <w:right w:w="108" w:type="dxa"/>
                  </w:tcMar>
                  <w:vAlign w:val="center"/>
                </w:tcPr>
                <w:p>
                  <w:pPr>
                    <w:keepNext/>
                    <w:keepLines/>
                    <w:pageBreakBefore w:val="0"/>
                    <w:widowControl/>
                    <w:kinsoku/>
                    <w:wordWrap/>
                    <w:overflowPunct/>
                    <w:topLinePunct w:val="0"/>
                    <w:autoSpaceDE/>
                    <w:autoSpaceDN/>
                    <w:bidi w:val="0"/>
                    <w:adjustRightInd/>
                    <w:snapToGrid/>
                    <w:spacing w:line="320" w:lineRule="exact"/>
                    <w:ind w:left="0" w:leftChars="0"/>
                    <w:jc w:val="center"/>
                    <w:textAlignment w:val="center"/>
                    <w:outlineLvl w:val="9"/>
                    <w:rPr>
                      <w:rFonts w:hint="default" w:ascii="Times New Roman" w:hAnsi="Times New Roman" w:cs="Times New Roman" w:eastAsiaTheme="minorEastAsia"/>
                      <w:color w:val="000000"/>
                      <w:sz w:val="18"/>
                      <w:szCs w:val="18"/>
                      <w:highlight w:val="none"/>
                      <w:lang w:eastAsia="zh-CN"/>
                    </w:rPr>
                  </w:pPr>
                  <w:r>
                    <w:rPr>
                      <w:rFonts w:hint="default" w:ascii="Times New Roman" w:hAnsi="Times New Roman" w:cs="Times New Roman" w:eastAsiaTheme="minorEastAsia"/>
                      <w:color w:val="000000"/>
                      <w:sz w:val="18"/>
                      <w:szCs w:val="18"/>
                      <w:highlight w:val="none"/>
                      <w:lang w:eastAsia="zh-CN"/>
                    </w:rPr>
                    <w:t>相符</w:t>
                  </w:r>
                </w:p>
              </w:tc>
            </w:tr>
          </w:tbl>
          <w:p>
            <w:pPr>
              <w:keepNext w:val="0"/>
              <w:keepLines w:val="0"/>
              <w:pageBreakBefore w:val="0"/>
              <w:widowControl/>
              <w:kinsoku/>
              <w:wordWrap/>
              <w:overflowPunct/>
              <w:topLinePunct w:val="0"/>
              <w:autoSpaceDE/>
              <w:autoSpaceDN/>
              <w:bidi w:val="0"/>
              <w:adjustRightInd/>
              <w:snapToGrid/>
              <w:spacing w:line="360" w:lineRule="auto"/>
              <w:ind w:left="0" w:leftChars="0" w:right="0" w:firstLine="482"/>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综上，本项目建设地点、建设规模及主要设备等均与发改委备案基本一致。</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22" w:firstLineChars="200"/>
              <w:jc w:val="both"/>
              <w:textAlignment w:val="auto"/>
              <w:outlineLvl w:val="9"/>
              <w:rPr>
                <w:rFonts w:hint="default" w:ascii="Times New Roman" w:hAnsi="Times New Roman" w:cs="Times New Roman"/>
                <w:b/>
                <w:bCs/>
                <w:color w:val="000000"/>
                <w:sz w:val="21"/>
                <w:szCs w:val="21"/>
                <w:highlight w:val="none"/>
              </w:rPr>
            </w:pPr>
            <w:r>
              <w:rPr>
                <w:rFonts w:hint="eastAsia" w:cs="Times New Roman"/>
                <w:b/>
                <w:bCs/>
                <w:color w:val="000000"/>
                <w:sz w:val="21"/>
                <w:szCs w:val="21"/>
                <w:highlight w:val="none"/>
                <w:lang w:val="en-US" w:eastAsia="zh-CN"/>
              </w:rPr>
              <w:t>2、</w:t>
            </w:r>
            <w:r>
              <w:rPr>
                <w:rFonts w:hint="default" w:ascii="Times New Roman" w:hAnsi="Times New Roman" w:cs="Times New Roman"/>
                <w:b/>
                <w:bCs/>
                <w:color w:val="000000"/>
                <w:sz w:val="21"/>
                <w:szCs w:val="21"/>
                <w:highlight w:val="none"/>
              </w:rPr>
              <w:t>与《产业结构调整指导目录（201</w:t>
            </w:r>
            <w:r>
              <w:rPr>
                <w:rFonts w:hint="default" w:ascii="Times New Roman" w:hAnsi="Times New Roman" w:cs="Times New Roman"/>
                <w:b/>
                <w:bCs/>
                <w:color w:val="000000"/>
                <w:sz w:val="21"/>
                <w:szCs w:val="21"/>
                <w:highlight w:val="none"/>
                <w:lang w:val="en-US" w:eastAsia="zh-CN"/>
              </w:rPr>
              <w:t>9</w:t>
            </w:r>
            <w:r>
              <w:rPr>
                <w:rFonts w:hint="default" w:ascii="Times New Roman" w:hAnsi="Times New Roman" w:cs="Times New Roman"/>
                <w:b/>
                <w:bCs/>
                <w:color w:val="000000"/>
                <w:sz w:val="21"/>
                <w:szCs w:val="21"/>
                <w:highlight w:val="none"/>
              </w:rPr>
              <w:t>年本）》相符性分析</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420" w:firstLineChars="200"/>
              <w:jc w:val="left"/>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对照《产业结构调整指导目录（201</w:t>
            </w:r>
            <w:r>
              <w:rPr>
                <w:rFonts w:hint="default" w:ascii="Times New Roman" w:hAnsi="Times New Roman" w:cs="Times New Roman"/>
                <w:color w:val="000000"/>
                <w:sz w:val="21"/>
                <w:szCs w:val="21"/>
                <w:highlight w:val="none"/>
                <w:lang w:val="en-US" w:eastAsia="zh-CN"/>
              </w:rPr>
              <w:t>9</w:t>
            </w:r>
            <w:r>
              <w:rPr>
                <w:rFonts w:hint="default" w:ascii="Times New Roman" w:hAnsi="Times New Roman" w:cs="Times New Roman"/>
                <w:color w:val="000000"/>
                <w:sz w:val="21"/>
                <w:szCs w:val="21"/>
                <w:highlight w:val="none"/>
              </w:rPr>
              <w:t>年本）》，</w:t>
            </w:r>
            <w:r>
              <w:rPr>
                <w:rFonts w:hint="default" w:ascii="Times New Roman" w:hAnsi="Times New Roman" w:cs="Times New Roman" w:eastAsiaTheme="minorEastAsia"/>
                <w:b w:val="0"/>
                <w:bCs w:val="0"/>
                <w:color w:val="000000"/>
                <w:sz w:val="21"/>
                <w:szCs w:val="21"/>
                <w:highlight w:val="none"/>
              </w:rPr>
              <w:t>本项目</w:t>
            </w:r>
            <w:r>
              <w:rPr>
                <w:rFonts w:hint="default" w:ascii="Times New Roman" w:hAnsi="Times New Roman" w:cs="Times New Roman" w:eastAsiaTheme="minorEastAsia"/>
                <w:b w:val="0"/>
                <w:bCs w:val="0"/>
                <w:color w:val="000000"/>
                <w:sz w:val="21"/>
                <w:szCs w:val="21"/>
                <w:highlight w:val="none"/>
                <w:lang w:eastAsia="zh-CN"/>
              </w:rPr>
              <w:t>不</w:t>
            </w:r>
            <w:r>
              <w:rPr>
                <w:rFonts w:hint="default" w:ascii="Times New Roman" w:hAnsi="Times New Roman" w:cs="Times New Roman" w:eastAsiaTheme="minorEastAsia"/>
                <w:b w:val="0"/>
                <w:bCs w:val="0"/>
                <w:color w:val="000000"/>
                <w:sz w:val="21"/>
                <w:szCs w:val="21"/>
                <w:highlight w:val="none"/>
              </w:rPr>
              <w:t>属于</w:t>
            </w:r>
            <w:r>
              <w:rPr>
                <w:rFonts w:hint="default" w:ascii="Times New Roman" w:hAnsi="Times New Roman" w:cs="Times New Roman" w:eastAsiaTheme="minorEastAsia"/>
                <w:b w:val="0"/>
                <w:bCs w:val="0"/>
                <w:color w:val="000000"/>
                <w:sz w:val="21"/>
                <w:szCs w:val="21"/>
                <w:highlight w:val="none"/>
                <w:lang w:eastAsia="zh-CN"/>
              </w:rPr>
              <w:t>鼓励类、限制类和淘汰类项目，为允许类项目</w:t>
            </w:r>
            <w:r>
              <w:rPr>
                <w:rFonts w:hint="default" w:ascii="Times New Roman" w:hAnsi="Times New Roman" w:cs="Times New Roman"/>
                <w:color w:val="000000"/>
                <w:sz w:val="21"/>
                <w:szCs w:val="21"/>
                <w:highlight w:val="none"/>
              </w:rPr>
              <w:t>，</w:t>
            </w:r>
            <w:r>
              <w:rPr>
                <w:rFonts w:hint="default" w:ascii="Times New Roman" w:hAnsi="Times New Roman" w:cs="Times New Roman" w:eastAsiaTheme="minorEastAsia"/>
                <w:b w:val="0"/>
                <w:bCs w:val="0"/>
                <w:color w:val="000000"/>
                <w:sz w:val="21"/>
                <w:szCs w:val="21"/>
                <w:highlight w:val="none"/>
                <w:lang w:eastAsia="zh-CN"/>
              </w:rPr>
              <w:t>目前</w:t>
            </w:r>
            <w:r>
              <w:rPr>
                <w:rFonts w:hint="default" w:ascii="Times New Roman" w:hAnsi="Times New Roman" w:cs="Times New Roman" w:eastAsiaTheme="minorEastAsia"/>
                <w:b w:val="0"/>
                <w:bCs w:val="0"/>
                <w:color w:val="000000"/>
                <w:sz w:val="21"/>
                <w:szCs w:val="21"/>
                <w:highlight w:val="none"/>
              </w:rPr>
              <w:t>已</w:t>
            </w:r>
            <w:r>
              <w:rPr>
                <w:rFonts w:hint="default" w:ascii="Times New Roman" w:hAnsi="Times New Roman" w:cs="Times New Roman" w:eastAsiaTheme="minorEastAsia"/>
                <w:b w:val="0"/>
                <w:bCs w:val="0"/>
                <w:color w:val="000000"/>
                <w:sz w:val="21"/>
                <w:szCs w:val="21"/>
                <w:highlight w:val="none"/>
                <w:lang w:eastAsia="zh-CN"/>
              </w:rPr>
              <w:t>通过新乡市凤泉区发展和改革委员会备案，</w:t>
            </w:r>
            <w:r>
              <w:rPr>
                <w:rFonts w:hint="default" w:ascii="Times New Roman" w:hAnsi="Times New Roman" w:cs="Times New Roman"/>
                <w:color w:val="000000"/>
                <w:sz w:val="21"/>
                <w:szCs w:val="21"/>
                <w:highlight w:val="none"/>
              </w:rPr>
              <w:t>符合国家有关产业政策。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2" w:firstLineChars="200"/>
              <w:textAlignment w:val="auto"/>
              <w:outlineLvl w:val="9"/>
              <w:rPr>
                <w:rFonts w:cs="宋体"/>
                <w:b/>
                <w:bCs/>
                <w:color w:val="000000"/>
                <w:kern w:val="0"/>
                <w:sz w:val="21"/>
                <w:szCs w:val="21"/>
                <w:highlight w:val="none"/>
                <w:lang w:val="en-GB"/>
              </w:rPr>
            </w:pPr>
            <w:r>
              <w:rPr>
                <w:rFonts w:hint="eastAsia" w:cs="宋体"/>
                <w:b/>
                <w:color w:val="000000"/>
                <w:kern w:val="0"/>
                <w:sz w:val="21"/>
                <w:szCs w:val="21"/>
                <w:highlight w:val="none"/>
                <w:lang w:val="en-US" w:eastAsia="zh-CN"/>
              </w:rPr>
              <w:t>3、</w:t>
            </w:r>
            <w:r>
              <w:rPr>
                <w:rFonts w:cs="宋体"/>
                <w:b/>
                <w:color w:val="000000"/>
                <w:kern w:val="0"/>
                <w:sz w:val="21"/>
                <w:szCs w:val="21"/>
                <w:highlight w:val="none"/>
              </w:rPr>
              <w:t>《新乡市环保局关于印发深化建设项目环境影响评价审批制度改革实施细则的通知》</w:t>
            </w:r>
            <w:r>
              <w:rPr>
                <w:rFonts w:cs="宋体"/>
                <w:b/>
                <w:bCs/>
                <w:color w:val="000000"/>
                <w:kern w:val="0"/>
                <w:sz w:val="21"/>
                <w:szCs w:val="21"/>
                <w:highlight w:val="none"/>
                <w:lang w:val="en-GB"/>
              </w:rPr>
              <w:t>（新环（2015）342号）</w:t>
            </w:r>
          </w:p>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outlineLvl w:val="9"/>
              <w:rPr>
                <w:rFonts w:cs="宋体"/>
                <w:bCs/>
                <w:color w:val="000000"/>
                <w:kern w:val="0"/>
                <w:sz w:val="21"/>
                <w:szCs w:val="21"/>
                <w:highlight w:val="none"/>
              </w:rPr>
            </w:pPr>
            <w:r>
              <w:rPr>
                <w:rFonts w:cs="宋体"/>
                <w:bCs/>
                <w:color w:val="000000"/>
                <w:kern w:val="0"/>
                <w:sz w:val="21"/>
                <w:szCs w:val="21"/>
                <w:highlight w:val="none"/>
              </w:rPr>
              <w:t>根据《河南省环境保护厅关于深化建设项目环境影响评价审批制度改革的实施意见》（豫环（2014）149号），新乡市制定了《新乡市环保局关于印发深化建设项目环境影响评价审批制度改革实施细则的通知》（新环（2015）342号）（以下简称《实施细则》），拟建项目与《实施细则》对比情况详见表</w:t>
            </w:r>
            <w:r>
              <w:rPr>
                <w:rFonts w:hint="eastAsia" w:cs="宋体"/>
                <w:bCs/>
                <w:color w:val="000000"/>
                <w:kern w:val="0"/>
                <w:sz w:val="21"/>
                <w:szCs w:val="21"/>
                <w:highlight w:val="none"/>
                <w:lang w:val="en-US" w:eastAsia="zh-CN"/>
              </w:rPr>
              <w:t>2</w:t>
            </w:r>
            <w:r>
              <w:rPr>
                <w:rFonts w:cs="宋体"/>
                <w:bCs/>
                <w:color w:val="000000"/>
                <w:kern w:val="0"/>
                <w:sz w:val="21"/>
                <w:szCs w:val="21"/>
                <w:highlight w:val="none"/>
              </w:rPr>
              <w:t>。</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 xml:space="preserve">  </w:t>
            </w:r>
            <w:r>
              <w:rPr>
                <w:rFonts w:hint="default" w:ascii="Times New Roman" w:hAnsi="Times New Roman" w:cs="Times New Roman" w:eastAsiaTheme="minorEastAsia"/>
                <w:color w:val="000000"/>
                <w:sz w:val="21"/>
                <w:szCs w:val="21"/>
                <w:highlight w:val="none"/>
                <w:lang w:val="en-US" w:eastAsia="zh-CN"/>
              </w:rPr>
              <w:t>拟建项目与实施细则对比情况一览表</w:t>
            </w:r>
          </w:p>
          <w:tbl>
            <w:tblPr>
              <w:tblStyle w:val="1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43"/>
              <w:gridCol w:w="1828"/>
              <w:gridCol w:w="1980"/>
              <w:gridCol w:w="429"/>
              <w:gridCol w:w="7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项目</w:t>
                  </w:r>
                </w:p>
              </w:tc>
              <w:tc>
                <w:tcPr>
                  <w:tcW w:w="2104"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与本项目相关条文</w:t>
                  </w:r>
                </w:p>
              </w:tc>
              <w:tc>
                <w:tcPr>
                  <w:tcW w:w="150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本项目情况</w:t>
                  </w:r>
                </w:p>
              </w:tc>
              <w:tc>
                <w:tcPr>
                  <w:tcW w:w="867"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新乡市主体功能区分</w:t>
                  </w:r>
                </w:p>
              </w:tc>
              <w:tc>
                <w:tcPr>
                  <w:tcW w:w="2104"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工业准入优先区范围：我市范围内的省级产业集聚区、市级人民政府规范设立的专业园区</w:t>
                  </w:r>
                </w:p>
              </w:tc>
              <w:tc>
                <w:tcPr>
                  <w:tcW w:w="150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lang w:eastAsia="zh-CN"/>
                    </w:rPr>
                  </w:pPr>
                  <w:r>
                    <w:rPr>
                      <w:rFonts w:hint="default" w:ascii="Times New Roman" w:hAnsi="Times New Roman" w:cs="Times New Roman"/>
                      <w:color w:val="000000"/>
                      <w:sz w:val="18"/>
                      <w:szCs w:val="18"/>
                      <w:highlight w:val="none"/>
                    </w:rPr>
                    <w:t>项目选址位于新乡市凤泉区大块镇小块村西</w:t>
                  </w:r>
                </w:p>
              </w:tc>
              <w:tc>
                <w:tcPr>
                  <w:tcW w:w="32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lang w:eastAsia="zh-CN"/>
                    </w:rPr>
                  </w:pPr>
                  <w:r>
                    <w:rPr>
                      <w:rFonts w:hint="default" w:ascii="Times New Roman" w:hAnsi="Times New Roman" w:cs="Times New Roman"/>
                      <w:color w:val="000000"/>
                      <w:sz w:val="18"/>
                      <w:szCs w:val="18"/>
                      <w:highlight w:val="none"/>
                      <w:lang w:eastAsia="zh-CN"/>
                    </w:rPr>
                    <w:t>不</w:t>
                  </w:r>
                  <w:r>
                    <w:rPr>
                      <w:rFonts w:hint="default" w:ascii="Times New Roman" w:hAnsi="Times New Roman" w:cs="Times New Roman"/>
                      <w:color w:val="000000"/>
                      <w:sz w:val="18"/>
                      <w:szCs w:val="18"/>
                      <w:highlight w:val="none"/>
                    </w:rPr>
                    <w:t>属于</w:t>
                  </w:r>
                </w:p>
              </w:tc>
              <w:tc>
                <w:tcPr>
                  <w:tcW w:w="54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lang w:eastAsia="zh-CN"/>
                    </w:rPr>
                  </w:pPr>
                  <w:r>
                    <w:rPr>
                      <w:rFonts w:hint="default" w:ascii="Times New Roman" w:hAnsi="Times New Roman" w:cs="Times New Roman"/>
                      <w:color w:val="000000"/>
                      <w:spacing w:val="-4"/>
                      <w:sz w:val="18"/>
                      <w:szCs w:val="18"/>
                      <w:highlight w:val="none"/>
                    </w:rPr>
                    <w:t>项目选址不属于实施细则所列四种类型分区中，根据相关说明第3条，应参照农产品主产区的环境准入政策执行。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p>
              </w:tc>
              <w:tc>
                <w:tcPr>
                  <w:tcW w:w="2104"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城市人居功能区范围：新乡市市区（含平原城乡一体示范区）、县城建成区，以及规划区中以居住、商贸、文教科研为主的区域。</w:t>
                  </w:r>
                </w:p>
              </w:tc>
              <w:tc>
                <w:tcPr>
                  <w:tcW w:w="150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项目选址位</w:t>
                  </w:r>
                  <w:r>
                    <w:rPr>
                      <w:rFonts w:hint="default" w:ascii="Times New Roman" w:hAnsi="Times New Roman" w:cs="Times New Roman"/>
                      <w:color w:val="000000"/>
                      <w:sz w:val="18"/>
                      <w:szCs w:val="18"/>
                      <w:highlight w:val="none"/>
                      <w:lang w:eastAsia="zh-CN"/>
                    </w:rPr>
                    <w:t>于新乡市凤泉区大块镇小块村西</w:t>
                  </w:r>
                  <w:r>
                    <w:rPr>
                      <w:rFonts w:hint="default" w:ascii="Times New Roman" w:hAnsi="Times New Roman" w:cs="Times New Roman"/>
                      <w:color w:val="000000"/>
                      <w:sz w:val="18"/>
                      <w:szCs w:val="18"/>
                      <w:highlight w:val="none"/>
                    </w:rPr>
                    <w:t>，</w:t>
                  </w:r>
                  <w:r>
                    <w:rPr>
                      <w:rFonts w:hint="default" w:ascii="Times New Roman" w:hAnsi="Times New Roman" w:cs="Times New Roman"/>
                      <w:color w:val="000000"/>
                      <w:sz w:val="18"/>
                      <w:szCs w:val="18"/>
                      <w:highlight w:val="none"/>
                      <w:lang w:eastAsia="zh-CN"/>
                    </w:rPr>
                    <w:t>不在新乡市</w:t>
                  </w:r>
                  <w:r>
                    <w:rPr>
                      <w:rFonts w:hint="default" w:ascii="Times New Roman" w:hAnsi="Times New Roman" w:cs="Times New Roman"/>
                      <w:color w:val="000000"/>
                      <w:sz w:val="18"/>
                      <w:szCs w:val="18"/>
                      <w:highlight w:val="none"/>
                    </w:rPr>
                    <w:t>市区范围内，县城建成区，以及规划区中以居住、商贸、文教科研为主的区域。</w:t>
                  </w:r>
                  <w:r>
                    <w:rPr>
                      <w:rFonts w:hint="default" w:ascii="Times New Roman" w:hAnsi="Times New Roman" w:cs="Times New Roman"/>
                      <w:color w:val="000000"/>
                      <w:sz w:val="18"/>
                      <w:szCs w:val="18"/>
                      <w:highlight w:val="none"/>
                      <w:lang w:eastAsia="zh-CN"/>
                    </w:rPr>
                    <w:t>不</w:t>
                  </w:r>
                  <w:r>
                    <w:rPr>
                      <w:rFonts w:hint="default" w:ascii="Times New Roman" w:hAnsi="Times New Roman" w:cs="Times New Roman"/>
                      <w:color w:val="000000"/>
                      <w:sz w:val="18"/>
                      <w:szCs w:val="18"/>
                      <w:highlight w:val="none"/>
                    </w:rPr>
                    <w:t>属于城市人居功能区范围</w:t>
                  </w:r>
                </w:p>
              </w:tc>
              <w:tc>
                <w:tcPr>
                  <w:tcW w:w="32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lang w:eastAsia="zh-CN"/>
                    </w:rPr>
                  </w:pPr>
                  <w:r>
                    <w:rPr>
                      <w:rFonts w:hint="default" w:ascii="Times New Roman" w:hAnsi="Times New Roman" w:cs="Times New Roman"/>
                      <w:color w:val="000000"/>
                      <w:sz w:val="18"/>
                      <w:szCs w:val="18"/>
                      <w:highlight w:val="none"/>
                      <w:lang w:eastAsia="zh-CN"/>
                    </w:rPr>
                    <w:t>不</w:t>
                  </w:r>
                  <w:r>
                    <w:rPr>
                      <w:rFonts w:hint="default" w:ascii="Times New Roman" w:hAnsi="Times New Roman" w:cs="Times New Roman"/>
                      <w:color w:val="000000"/>
                      <w:sz w:val="18"/>
                      <w:szCs w:val="18"/>
                      <w:highlight w:val="none"/>
                    </w:rPr>
                    <w:t>属于</w:t>
                  </w:r>
                </w:p>
              </w:tc>
              <w:tc>
                <w:tcPr>
                  <w:tcW w:w="54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p>
              </w:tc>
              <w:tc>
                <w:tcPr>
                  <w:tcW w:w="2104"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农产品主产区范围：辉县市、获嘉县、原阳县、延津县、封丘县。（不含产业集聚区、专业园区和县城建成区以及规划区中以居住、商贸、文教科研为主的区域）</w:t>
                  </w:r>
                </w:p>
              </w:tc>
              <w:tc>
                <w:tcPr>
                  <w:tcW w:w="150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项目选址位于新乡市凤泉区大块镇小块村西</w:t>
                  </w:r>
                </w:p>
              </w:tc>
              <w:tc>
                <w:tcPr>
                  <w:tcW w:w="32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lang w:eastAsia="zh-CN"/>
                    </w:rPr>
                  </w:pPr>
                  <w:r>
                    <w:rPr>
                      <w:rFonts w:hint="default" w:ascii="Times New Roman" w:hAnsi="Times New Roman" w:cs="Times New Roman"/>
                      <w:color w:val="000000"/>
                      <w:sz w:val="18"/>
                      <w:szCs w:val="18"/>
                      <w:highlight w:val="none"/>
                      <w:lang w:eastAsia="zh-CN"/>
                    </w:rPr>
                    <w:t>不属于</w:t>
                  </w:r>
                </w:p>
              </w:tc>
              <w:tc>
                <w:tcPr>
                  <w:tcW w:w="54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p>
              </w:tc>
              <w:tc>
                <w:tcPr>
                  <w:tcW w:w="2104"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特殊环境敏感区范围：（1）禁止开发区域：国家、省级自然保护区，世界文化自然遗产，国家、省级风景名胜区，国家，省级森林公园，国家级、省级地质公园，国家、省级湿地公园，国家级、省级水产种植资源保护区；（2）依法划定的集中式饮用水源地一、二级保护区</w:t>
                  </w:r>
                </w:p>
              </w:tc>
              <w:tc>
                <w:tcPr>
                  <w:tcW w:w="150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项目选址周围无自然保护区、森林公园等特殊环境敏感区，厂址不在集中式饮用水水源地保护区范围内</w:t>
                  </w:r>
                </w:p>
              </w:tc>
              <w:tc>
                <w:tcPr>
                  <w:tcW w:w="32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lang w:eastAsia="zh-CN"/>
                    </w:rPr>
                  </w:pPr>
                  <w:r>
                    <w:rPr>
                      <w:rFonts w:hint="default" w:ascii="Times New Roman" w:hAnsi="Times New Roman" w:cs="Times New Roman"/>
                      <w:color w:val="000000"/>
                      <w:sz w:val="18"/>
                      <w:szCs w:val="18"/>
                      <w:highlight w:val="none"/>
                      <w:lang w:eastAsia="zh-CN"/>
                    </w:rPr>
                    <w:t>不属于</w:t>
                  </w:r>
                </w:p>
              </w:tc>
              <w:tc>
                <w:tcPr>
                  <w:tcW w:w="54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污染防治（控）重点单元</w:t>
                  </w:r>
                </w:p>
              </w:tc>
              <w:tc>
                <w:tcPr>
                  <w:tcW w:w="71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水污染</w:t>
                  </w:r>
                </w:p>
              </w:tc>
              <w:tc>
                <w:tcPr>
                  <w:tcW w:w="138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卫河流域：新乡市区、新乡县、卫辉市、辉县市、获嘉县</w:t>
                  </w:r>
                </w:p>
              </w:tc>
              <w:tc>
                <w:tcPr>
                  <w:tcW w:w="150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项目选址位于新乡市凤泉区大块镇小块村西</w:t>
                  </w:r>
                </w:p>
              </w:tc>
              <w:tc>
                <w:tcPr>
                  <w:tcW w:w="867"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eastAsia="zh-CN"/>
                    </w:rPr>
                    <w:t>不</w:t>
                  </w:r>
                  <w:r>
                    <w:rPr>
                      <w:rFonts w:hint="default" w:ascii="Times New Roman" w:hAnsi="Times New Roman" w:cs="Times New Roman"/>
                      <w:color w:val="000000"/>
                      <w:sz w:val="18"/>
                      <w:szCs w:val="18"/>
                      <w:highlight w:val="none"/>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p>
              </w:tc>
              <w:tc>
                <w:tcPr>
                  <w:tcW w:w="71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大气污染</w:t>
                  </w:r>
                </w:p>
              </w:tc>
              <w:tc>
                <w:tcPr>
                  <w:tcW w:w="138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新乡市域全部</w:t>
                  </w:r>
                </w:p>
              </w:tc>
              <w:tc>
                <w:tcPr>
                  <w:tcW w:w="15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p>
              </w:tc>
              <w:tc>
                <w:tcPr>
                  <w:tcW w:w="867"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p>
              </w:tc>
              <w:tc>
                <w:tcPr>
                  <w:tcW w:w="71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重金属</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污染</w:t>
                  </w:r>
                </w:p>
              </w:tc>
              <w:tc>
                <w:tcPr>
                  <w:tcW w:w="138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新乡县、凤泉区</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（铅镉污染控制区）</w:t>
                  </w:r>
                </w:p>
              </w:tc>
              <w:tc>
                <w:tcPr>
                  <w:tcW w:w="15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p>
              </w:tc>
              <w:tc>
                <w:tcPr>
                  <w:tcW w:w="867"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工业项</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目分类</w:t>
                  </w:r>
                </w:p>
              </w:tc>
              <w:tc>
                <w:tcPr>
                  <w:tcW w:w="2104"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eastAsia="宋体" w:cs="Times New Roman"/>
                      <w:bCs/>
                      <w:color w:val="000000"/>
                      <w:sz w:val="18"/>
                      <w:szCs w:val="18"/>
                      <w:highlight w:val="none"/>
                      <w:lang w:val="en-US" w:eastAsia="zh-CN" w:bidi="ar-SA"/>
                    </w:rPr>
                  </w:pPr>
                  <w:r>
                    <w:rPr>
                      <w:rFonts w:hint="default" w:ascii="Times New Roman" w:hAnsi="Times New Roman" w:cs="Times New Roman"/>
                      <w:color w:val="000000"/>
                      <w:sz w:val="18"/>
                      <w:szCs w:val="18"/>
                      <w:highlight w:val="none"/>
                    </w:rPr>
                    <w:t>轻工：一类工业项目：（粮食及饲料加工（不含发酵工艺的）；植物油加工；肉禽类、蛋品加工；乳制品加工；竹、藤、棕、草制品制造（不含化学处理工艺的）；纸制品（不含化学处理工艺的）；工艺品制造（无电镀、喷漆工艺和机加工的））；二类工业项目：（含发酵工艺的粮食及饲料加工；屠宰；调味品、发酵制品制造；酒精饮料及酒类制造；果菜汁及其他软饮料制造；竹、藤、棕、草制品制造（含化学处理工艺的）；商品浆造纸；纸制品（含化学处理工艺的）；工艺品制造（含电镀、喷漆工艺和机加工的）；轮胎制造、再生橡胶制造、橡胶加工）；三类工业项目：（生物质纤维素乙醇制造、制浆制造、造纸（不含商品浆造纸）；含制革、毛皮鞣制的皮革、毛皮、羽毛（绒）制品）；</w:t>
                  </w:r>
                </w:p>
              </w:tc>
              <w:tc>
                <w:tcPr>
                  <w:tcW w:w="150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eastAsia="宋体" w:cs="Times New Roman"/>
                      <w:color w:val="000000"/>
                      <w:sz w:val="18"/>
                      <w:szCs w:val="18"/>
                      <w:highlight w:val="none"/>
                      <w:lang w:val="en-US" w:eastAsia="zh-CN" w:bidi="ar-SA"/>
                    </w:rPr>
                  </w:pPr>
                  <w:r>
                    <w:rPr>
                      <w:rFonts w:hint="default" w:ascii="Times New Roman" w:hAnsi="Times New Roman" w:cs="Times New Roman"/>
                      <w:color w:val="000000"/>
                      <w:sz w:val="18"/>
                      <w:szCs w:val="18"/>
                      <w:highlight w:val="none"/>
                    </w:rPr>
                    <w:t>本项目为年产</w:t>
                  </w:r>
                  <w:r>
                    <w:rPr>
                      <w:rFonts w:hint="default" w:ascii="Times New Roman" w:hAnsi="Times New Roman" w:cs="Times New Roman"/>
                      <w:color w:val="000000"/>
                      <w:sz w:val="18"/>
                      <w:szCs w:val="18"/>
                      <w:highlight w:val="none"/>
                      <w:lang w:val="en-US" w:eastAsia="zh-CN"/>
                    </w:rPr>
                    <w:t>3</w:t>
                  </w:r>
                  <w:r>
                    <w:rPr>
                      <w:rFonts w:hint="default" w:ascii="Times New Roman" w:hAnsi="Times New Roman" w:cs="Times New Roman"/>
                      <w:color w:val="000000"/>
                      <w:sz w:val="18"/>
                      <w:szCs w:val="18"/>
                      <w:highlight w:val="none"/>
                    </w:rPr>
                    <w:t>亿只锂离子电池密封圈，属于塑料制品制造（轻工业）不在分类清单所列行业中，</w:t>
                  </w:r>
                  <w:r>
                    <w:rPr>
                      <w:rFonts w:hint="default" w:ascii="Times New Roman" w:hAnsi="Times New Roman" w:cs="Times New Roman"/>
                      <w:color w:val="000000"/>
                      <w:sz w:val="18"/>
                      <w:szCs w:val="18"/>
                      <w:highlight w:val="none"/>
                      <w:lang w:eastAsia="zh-CN"/>
                    </w:rPr>
                    <w:t>项目</w:t>
                  </w:r>
                  <w:r>
                    <w:rPr>
                      <w:rFonts w:hint="default" w:ascii="Times New Roman" w:hAnsi="Times New Roman" w:cs="Times New Roman"/>
                      <w:color w:val="000000"/>
                      <w:sz w:val="18"/>
                      <w:szCs w:val="18"/>
                      <w:highlight w:val="none"/>
                    </w:rPr>
                    <w:t>生产工艺包括</w: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lang w:val="en-US" w:eastAsia="zh-CN"/>
                    </w:rPr>
                    <w:t>PA66尼龙料</w:t>
                  </w:r>
                  <w:r>
                    <w:rPr>
                      <w:rFonts w:hint="default" w:ascii="Times New Roman" w:hAnsi="Times New Roman" w:cs="Times New Roman"/>
                      <w:color w:val="000000"/>
                      <w:sz w:val="18"/>
                      <w:szCs w:val="18"/>
                      <w:highlight w:val="none"/>
                    </w:rPr>
                    <w:t>-注塑-</w:t>
                  </w:r>
                  <w:r>
                    <w:rPr>
                      <w:rFonts w:hint="default" w:ascii="Times New Roman" w:hAnsi="Times New Roman" w:cs="Times New Roman"/>
                      <w:color w:val="000000"/>
                      <w:sz w:val="18"/>
                      <w:szCs w:val="18"/>
                      <w:highlight w:val="none"/>
                      <w:lang w:eastAsia="zh-CN"/>
                    </w:rPr>
                    <w:t>注塑成型</w:t>
                  </w:r>
                  <w:r>
                    <w:rPr>
                      <w:rFonts w:hint="default" w:ascii="Times New Roman" w:hAnsi="Times New Roman" w:cs="Times New Roman"/>
                      <w:color w:val="000000"/>
                      <w:sz w:val="18"/>
                      <w:szCs w:val="18"/>
                      <w:highlight w:val="none"/>
                      <w:lang w:val="en-US" w:eastAsia="zh-CN"/>
                    </w:rPr>
                    <w:t>-冷却</w:t>
                  </w:r>
                  <w:r>
                    <w:rPr>
                      <w:rFonts w:hint="default" w:ascii="Times New Roman" w:hAnsi="Times New Roman" w:cs="Times New Roman"/>
                      <w:color w:val="000000"/>
                      <w:sz w:val="18"/>
                      <w:szCs w:val="18"/>
                      <w:highlight w:val="none"/>
                    </w:rPr>
                    <w:t>-成品，属于污染和环境风险不高、污染物排放量不大的项目</w: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rPr>
                    <w:t>根据项目本身污染特点及污染强度，评价认为本项目应参照轻工类二类工业项目执行。</w:t>
                  </w:r>
                </w:p>
              </w:tc>
              <w:tc>
                <w:tcPr>
                  <w:tcW w:w="867"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eastAsia="zh-CN"/>
                    </w:rPr>
                    <w:t>属于二类工业项目</w:t>
                  </w:r>
                </w:p>
              </w:tc>
            </w:tr>
          </w:tbl>
          <w:p>
            <w:pPr>
              <w:keepNext w:val="0"/>
              <w:keepLines w:val="0"/>
              <w:pageBreakBefore w:val="0"/>
              <w:widowControl/>
              <w:kinsoku/>
              <w:wordWrap/>
              <w:overflowPunct/>
              <w:topLinePunct w:val="0"/>
              <w:autoSpaceDE/>
              <w:autoSpaceDN/>
              <w:bidi w:val="0"/>
              <w:adjustRightInd w:val="0"/>
              <w:snapToGrid w:val="0"/>
              <w:spacing w:line="360" w:lineRule="auto"/>
              <w:ind w:left="0" w:leftChars="0" w:firstLine="420" w:firstLineChars="200"/>
              <w:textAlignment w:val="auto"/>
              <w:outlineLvl w:val="9"/>
              <w:rPr>
                <w:rFonts w:hint="eastAsia"/>
                <w:color w:val="000000"/>
              </w:rPr>
            </w:pPr>
            <w:r>
              <w:rPr>
                <w:rFonts w:hint="eastAsia" w:cs="宋体"/>
                <w:bCs/>
                <w:color w:val="000000"/>
                <w:kern w:val="0"/>
                <w:szCs w:val="21"/>
                <w:highlight w:val="none"/>
              </w:rPr>
              <w:t>本项目选址不属于实施细则所列四种类型分区中，根据实施细则相关说明第3条，应参照农产品主产区的环境准入政策执行，与农产品主产区准入政策具体条款及相符性见下表：</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cs="Times New Roman" w:eastAsiaTheme="minorEastAsia"/>
                <w:color w:val="000000"/>
                <w:sz w:val="21"/>
                <w:szCs w:val="21"/>
                <w:highlight w:val="none"/>
                <w:lang w:val="en-US" w:eastAsia="zh-CN"/>
              </w:rPr>
            </w:pPr>
            <w:r>
              <w:rPr>
                <w:rFonts w:hint="default" w:cs="Times New Roman" w:eastAsiaTheme="minorEastAsia"/>
                <w:color w:val="000000"/>
                <w:sz w:val="21"/>
                <w:szCs w:val="21"/>
                <w:highlight w:val="none"/>
                <w:lang w:val="en-US" w:eastAsia="zh-CN"/>
              </w:rPr>
              <w:t xml:space="preserve">     与农产品主产区规定对照</w:t>
            </w:r>
          </w:p>
          <w:tbl>
            <w:tblPr>
              <w:tblStyle w:val="1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2879"/>
              <w:gridCol w:w="2171"/>
              <w:gridCol w:w="9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类别</w:t>
                  </w:r>
                </w:p>
              </w:tc>
              <w:tc>
                <w:tcPr>
                  <w:tcW w:w="218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内容</w:t>
                  </w:r>
                </w:p>
              </w:tc>
              <w:tc>
                <w:tcPr>
                  <w:tcW w:w="164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本项目情况</w:t>
                  </w:r>
                </w:p>
              </w:tc>
              <w:tc>
                <w:tcPr>
                  <w:tcW w:w="73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是否符合</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审批条件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农产品主产区</w:t>
                  </w:r>
                </w:p>
              </w:tc>
              <w:tc>
                <w:tcPr>
                  <w:tcW w:w="218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1</w:t>
                  </w:r>
                  <w:r>
                    <w:rPr>
                      <w:rFonts w:hint="default" w:ascii="Times New Roman" w:hAnsi="Times New Roman" w:cs="Times New Roman"/>
                      <w:color w:val="000000"/>
                      <w:sz w:val="18"/>
                      <w:szCs w:val="18"/>
                      <w:highlight w:val="none"/>
                    </w:rPr>
                    <w:t>、简化部分审批程序。依据环保部《建设项目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2</w:t>
                  </w:r>
                  <w:r>
                    <w:rPr>
                      <w:rFonts w:hint="default" w:ascii="Times New Roman" w:hAnsi="Times New Roman" w:cs="Times New Roman"/>
                      <w:color w:val="000000"/>
                      <w:sz w:val="18"/>
                      <w:szCs w:val="18"/>
                      <w:highlight w:val="none"/>
                    </w:rPr>
                    <w:t>、严控重污染项目。不予审批《工业项目分类清单》中三类工业项目和排放重金属、持久性有机污染物、挥发性有机污染物等影响粮食生产安全的二类工业新建项目（矿产资源点状开发项目和符合省、市重大产业布局的项目除外）。</w:t>
                  </w:r>
                </w:p>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3</w:t>
                  </w:r>
                  <w:r>
                    <w:rPr>
                      <w:rFonts w:hint="default" w:ascii="Times New Roman" w:hAnsi="Times New Roman" w:cs="Times New Roman"/>
                      <w:color w:val="000000"/>
                      <w:sz w:val="18"/>
                      <w:szCs w:val="18"/>
                      <w:highlight w:val="none"/>
                    </w:rPr>
                    <w:t>、严控部分区域重污染项目。在《水污染防治重点单元》区域内不予审批屠宰、酿造、含发酵工艺的粮食加工等废水排放量大且废水无法进入集中式污水处理厂处理的项目。</w:t>
                  </w:r>
                </w:p>
              </w:tc>
              <w:tc>
                <w:tcPr>
                  <w:tcW w:w="164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lang w:val="en-US" w:eastAsia="zh-CN"/>
                    </w:rPr>
                    <w:t>1</w: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rPr>
                    <w:t>本项目应编写环境影响报告表，不属于简化审批程序的项目。</w:t>
                  </w:r>
                </w:p>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2、本项目为</w:t>
                  </w:r>
                  <w:r>
                    <w:rPr>
                      <w:rFonts w:hint="default" w:ascii="Times New Roman" w:hAnsi="Times New Roman" w:cs="Times New Roman"/>
                      <w:color w:val="000000"/>
                      <w:sz w:val="18"/>
                      <w:szCs w:val="18"/>
                      <w:highlight w:val="none"/>
                      <w:lang w:val="en-US" w:eastAsia="zh-CN"/>
                    </w:rPr>
                    <w:t>改扩建项目，属于</w:t>
                  </w:r>
                  <w:r>
                    <w:rPr>
                      <w:rFonts w:hint="default" w:ascii="Times New Roman" w:hAnsi="Times New Roman" w:eastAsia="宋体" w:cs="Times New Roman"/>
                      <w:color w:val="000000"/>
                      <w:sz w:val="18"/>
                      <w:szCs w:val="18"/>
                      <w:highlight w:val="none"/>
                      <w:lang w:val="en-US" w:eastAsia="zh-CN"/>
                    </w:rPr>
                    <w:t>二类工业项目</w:t>
                  </w:r>
                  <w:r>
                    <w:rPr>
                      <w:rFonts w:hint="default" w:ascii="Times New Roman" w:hAnsi="Times New Roman" w:cs="Times New Roman"/>
                      <w:color w:val="000000"/>
                      <w:sz w:val="18"/>
                      <w:szCs w:val="18"/>
                      <w:highlight w:val="none"/>
                      <w:lang w:val="en-US" w:eastAsia="zh-CN"/>
                    </w:rPr>
                    <w:t>，但不属于排放重金属、持久性有机污染物、挥发性有机污染物等影响粮食生产安全项目</w:t>
                  </w:r>
                  <w:r>
                    <w:rPr>
                      <w:rFonts w:hint="default" w:ascii="Times New Roman" w:hAnsi="Times New Roman" w:eastAsia="宋体" w:cs="Times New Roman"/>
                      <w:color w:val="000000"/>
                      <w:sz w:val="18"/>
                      <w:szCs w:val="18"/>
                      <w:highlight w:val="none"/>
                      <w:lang w:val="en-US" w:eastAsia="zh-CN"/>
                    </w:rPr>
                    <w:t>。</w:t>
                  </w:r>
                </w:p>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cs="Times New Roman"/>
                      <w:color w:val="000000"/>
                      <w:sz w:val="18"/>
                      <w:szCs w:val="18"/>
                      <w:highlight w:val="none"/>
                      <w:lang w:val="en-US"/>
                    </w:rPr>
                  </w:pPr>
                  <w:r>
                    <w:rPr>
                      <w:rFonts w:hint="default" w:ascii="Times New Roman" w:hAnsi="Times New Roman" w:cs="Times New Roman"/>
                      <w:color w:val="000000"/>
                      <w:sz w:val="18"/>
                      <w:szCs w:val="18"/>
                      <w:highlight w:val="none"/>
                      <w:lang w:val="en-US" w:eastAsia="zh-CN"/>
                    </w:rPr>
                    <w:t>3</w:t>
                  </w:r>
                  <w:r>
                    <w:rPr>
                      <w:rFonts w:hint="default" w:ascii="Times New Roman" w:hAnsi="Times New Roman" w:cs="Times New Roman"/>
                      <w:color w:val="000000"/>
                      <w:sz w:val="18"/>
                      <w:szCs w:val="18"/>
                      <w:highlight w:val="none"/>
                    </w:rPr>
                    <w:t>、项目选址位于新乡市凤泉区大块镇小块村西，属于水污染防治重点单元，但本项目不属于屠宰、酿造、含发酵工艺的粮食加工等行业，项目</w:t>
                  </w:r>
                  <w:r>
                    <w:rPr>
                      <w:rFonts w:hint="default" w:ascii="Times New Roman" w:hAnsi="Times New Roman" w:cs="Times New Roman"/>
                      <w:color w:val="000000"/>
                      <w:sz w:val="18"/>
                      <w:szCs w:val="18"/>
                      <w:highlight w:val="none"/>
                      <w:lang w:eastAsia="zh-CN"/>
                    </w:rPr>
                    <w:t>产生的废水主要为少量生活污水和产品冷却水，生活污水经厂区化粪池</w:t>
                  </w:r>
                  <w:r>
                    <w:rPr>
                      <w:rFonts w:hint="default" w:ascii="Times New Roman" w:hAnsi="Times New Roman" w:cs="Times New Roman"/>
                      <w:color w:val="000000"/>
                      <w:sz w:val="18"/>
                      <w:szCs w:val="18"/>
                      <w:highlight w:val="none"/>
                      <w:lang w:val="en-US" w:eastAsia="zh-CN"/>
                    </w:rPr>
                    <w:t>处理后，定期清运；产品冷却水经厂区设置的恒温冷却水罐冷却后，循环使用。</w:t>
                  </w:r>
                </w:p>
              </w:tc>
              <w:tc>
                <w:tcPr>
                  <w:tcW w:w="73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符合</w:t>
                  </w:r>
                </w:p>
              </w:tc>
            </w:tr>
          </w:tbl>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outlineLvl w:val="9"/>
              <w:rPr>
                <w:color w:val="000000"/>
              </w:rPr>
            </w:pPr>
            <w:r>
              <w:rPr>
                <w:rFonts w:hint="default" w:ascii="Times New Roman" w:hAnsi="Times New Roman" w:cs="Times New Roman"/>
                <w:color w:val="000000"/>
                <w:highlight w:val="none"/>
              </w:rPr>
              <w:t>由上表可知，本项目不属于《实施细则》中所列不予审批的项目，符合审批条件。</w:t>
            </w:r>
          </w:p>
          <w:p>
            <w:pPr>
              <w:pStyle w:val="45"/>
              <w:keepNext w:val="0"/>
              <w:keepLines w:val="0"/>
              <w:pageBreakBefore w:val="0"/>
              <w:widowControl/>
              <w:kinsoku/>
              <w:wordWrap/>
              <w:overflowPunct/>
              <w:topLinePunct w:val="0"/>
              <w:autoSpaceDE/>
              <w:autoSpaceDN/>
              <w:bidi w:val="0"/>
              <w:adjustRightInd/>
              <w:snapToGrid/>
              <w:spacing w:line="360" w:lineRule="auto"/>
              <w:ind w:left="0" w:leftChars="0" w:firstLine="406" w:firstLineChars="200"/>
              <w:jc w:val="both"/>
              <w:textAlignment w:val="auto"/>
              <w:outlineLvl w:val="9"/>
              <w:rPr>
                <w:rFonts w:hint="default" w:ascii="Times New Roman" w:hAnsi="Times New Roman" w:eastAsia="宋体" w:cs="Times New Roman"/>
                <w:b/>
                <w:bCs/>
                <w:color w:val="000000"/>
                <w:sz w:val="21"/>
                <w:szCs w:val="21"/>
                <w:highlight w:val="none"/>
              </w:rPr>
            </w:pPr>
            <w:r>
              <w:rPr>
                <w:rFonts w:hint="eastAsia" w:ascii="Times New Roman" w:eastAsia="宋体" w:cs="Times New Roman"/>
                <w:b/>
                <w:bCs/>
                <w:color w:val="000000"/>
                <w:spacing w:val="-4"/>
                <w:sz w:val="21"/>
                <w:szCs w:val="21"/>
                <w:highlight w:val="none"/>
                <w:lang w:val="en-US" w:eastAsia="zh-CN"/>
              </w:rPr>
              <w:t>4、</w:t>
            </w:r>
            <w:r>
              <w:rPr>
                <w:rFonts w:hint="default" w:ascii="Times New Roman" w:hAnsi="Times New Roman" w:eastAsia="宋体" w:cs="Times New Roman"/>
                <w:b/>
                <w:bCs/>
                <w:color w:val="000000"/>
                <w:sz w:val="21"/>
                <w:szCs w:val="21"/>
                <w:highlight w:val="none"/>
              </w:rPr>
              <w:t>与《新乡市环境污染防治攻坚战三年行动实施方案（2018-2020）》相符性分析</w:t>
            </w:r>
          </w:p>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与《新乡市环境污染防治攻坚战三年行动实施方案（2018-2020年）》（以下简称《三年行动计划》）对照分析见下表。</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cs="Times New Roman" w:eastAsiaTheme="minorEastAsia"/>
                <w:color w:val="000000"/>
                <w:sz w:val="21"/>
                <w:szCs w:val="21"/>
                <w:highlight w:val="none"/>
                <w:lang w:val="en-US" w:eastAsia="zh-CN"/>
              </w:rPr>
            </w:pPr>
            <w:r>
              <w:rPr>
                <w:rFonts w:hint="default" w:cs="Times New Roman" w:eastAsiaTheme="minorEastAsia"/>
                <w:color w:val="000000"/>
                <w:sz w:val="21"/>
                <w:szCs w:val="21"/>
                <w:highlight w:val="none"/>
                <w:lang w:val="en-US" w:eastAsia="zh-CN"/>
              </w:rPr>
              <w:t xml:space="preserve">  与三年行动计划相符性分析</w:t>
            </w:r>
          </w:p>
          <w:tbl>
            <w:tblPr>
              <w:tblStyle w:val="18"/>
              <w:tblW w:w="4999"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197"/>
              <w:gridCol w:w="1971"/>
              <w:gridCol w:w="625"/>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2" w:type="pct"/>
                  <w:tcBorders>
                    <w:top w:val="single" w:color="auto" w:sz="8" w:space="0"/>
                    <w:bottom w:val="single" w:color="auto" w:sz="8"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类别</w:t>
                  </w:r>
                </w:p>
              </w:tc>
              <w:tc>
                <w:tcPr>
                  <w:tcW w:w="2426" w:type="pct"/>
                  <w:tcBorders>
                    <w:top w:val="single" w:color="auto" w:sz="8" w:space="0"/>
                    <w:bottom w:val="single" w:color="auto" w:sz="8"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与本项目相关条文</w:t>
                  </w:r>
                </w:p>
              </w:tc>
              <w:tc>
                <w:tcPr>
                  <w:tcW w:w="1496" w:type="pct"/>
                  <w:tcBorders>
                    <w:top w:val="single" w:color="auto" w:sz="8" w:space="0"/>
                    <w:bottom w:val="single" w:color="auto" w:sz="8"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本项目情况</w:t>
                  </w:r>
                </w:p>
              </w:tc>
              <w:tc>
                <w:tcPr>
                  <w:tcW w:w="474" w:type="pct"/>
                  <w:tcBorders>
                    <w:top w:val="single" w:color="auto" w:sz="8" w:space="0"/>
                    <w:bottom w:val="single" w:color="auto" w:sz="8"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02" w:type="pct"/>
                  <w:tcBorders>
                    <w:top w:val="single" w:color="auto" w:sz="8"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产业结构优化工程</w:t>
                  </w:r>
                </w:p>
              </w:tc>
              <w:tc>
                <w:tcPr>
                  <w:tcW w:w="2426" w:type="pct"/>
                  <w:tcBorders>
                    <w:top w:val="single" w:color="auto" w:sz="8"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cs="Times New Roman"/>
                      <w:bCs/>
                      <w:color w:val="000000"/>
                      <w:kern w:val="0"/>
                      <w:sz w:val="18"/>
                      <w:szCs w:val="18"/>
                      <w:highlight w:val="none"/>
                    </w:rPr>
                  </w:pPr>
                  <w:r>
                    <w:rPr>
                      <w:rFonts w:hint="default" w:ascii="Times New Roman" w:hAnsi="Times New Roman" w:cs="Times New Roman"/>
                      <w:bCs/>
                      <w:color w:val="000000"/>
                      <w:kern w:val="0"/>
                      <w:sz w:val="18"/>
                      <w:szCs w:val="18"/>
                      <w:highlight w:val="none"/>
                    </w:rPr>
                    <w:t>9、严格准入门槛</w:t>
                  </w:r>
                </w:p>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bCs/>
                      <w:color w:val="000000"/>
                      <w:kern w:val="0"/>
                      <w:sz w:val="18"/>
                      <w:szCs w:val="18"/>
                      <w:highlight w:val="none"/>
                    </w:rPr>
                    <w:t>禁止火电</w:t>
                  </w:r>
                  <w:r>
                    <w:rPr>
                      <w:rFonts w:hint="default" w:ascii="Times New Roman" w:hAnsi="Times New Roman" w:cs="Times New Roman"/>
                      <w:bCs/>
                      <w:color w:val="000000"/>
                      <w:spacing w:val="-4"/>
                      <w:kern w:val="0"/>
                      <w:sz w:val="18"/>
                      <w:szCs w:val="18"/>
                      <w:highlight w:val="none"/>
                    </w:rPr>
                    <w:t>、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其他行业搬迁项目污染物排放量削减比例不低于1.5:1，并将替代方案落实到企业排污许可证中，纳入环境执法管理。禁止建设生产和使用高 VOCs 含量的溶剂型涂料、油墨、胶黏剂项目。其他新、改、扩建排放 VOCs 的项目，应从源头加强控制，使用低（无）VOCs 含量的原辅材料，配套安装高效收集、治理设施，其中新建涉 VOCs 排放的工业企业要入园区，实行区域内 VOCs 排放总量倍量消减替代。</w:t>
                  </w:r>
                </w:p>
              </w:tc>
              <w:tc>
                <w:tcPr>
                  <w:tcW w:w="1496" w:type="pct"/>
                  <w:tcBorders>
                    <w:top w:val="single" w:color="auto" w:sz="8"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rPr>
                    <w:t>本项目不属于火电、焦化、铸造、传统煤化工（甲醇、合成氨）、电解铝、水泥和平板玻璃等行业，也不属于高VOCs含量的溶剂涂料、油墨、胶黏剂项目，符合环境准入门槛</w:t>
                  </w:r>
                  <w:r>
                    <w:rPr>
                      <w:rFonts w:hint="default"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rPr>
                    <w:t>项目涉及 VOCs排放，</w:t>
                  </w:r>
                  <w:r>
                    <w:rPr>
                      <w:rFonts w:hint="default" w:ascii="Times New Roman" w:hAnsi="Times New Roman" w:cs="Times New Roman"/>
                      <w:color w:val="000000"/>
                      <w:sz w:val="18"/>
                      <w:szCs w:val="18"/>
                      <w:highlight w:val="none"/>
                      <w:lang w:eastAsia="zh-CN"/>
                    </w:rPr>
                    <w:t>属于改扩建项目，</w:t>
                  </w:r>
                  <w:r>
                    <w:rPr>
                      <w:rFonts w:hint="default" w:ascii="Times New Roman" w:hAnsi="Times New Roman" w:cs="Times New Roman"/>
                      <w:color w:val="000000"/>
                      <w:sz w:val="18"/>
                      <w:szCs w:val="18"/>
                      <w:highlight w:val="none"/>
                    </w:rPr>
                    <w:t>选址位于新乡市凤泉区大块镇小块村西，涉VOCs工段</w:t>
                  </w:r>
                  <w:r>
                    <w:rPr>
                      <w:rFonts w:hint="default" w:ascii="Times New Roman" w:hAnsi="Times New Roman" w:cs="Times New Roman"/>
                      <w:color w:val="000000"/>
                      <w:sz w:val="18"/>
                      <w:szCs w:val="18"/>
                      <w:highlight w:val="none"/>
                      <w:lang w:eastAsia="zh-CN"/>
                    </w:rPr>
                    <w:t>设置二次密闭间收集，并通过</w:t>
                  </w:r>
                  <w:r>
                    <w:rPr>
                      <w:rFonts w:hint="default" w:ascii="Times New Roman" w:hAnsi="Times New Roman" w:cs="Times New Roman"/>
                      <w:b/>
                      <w:bCs/>
                      <w:color w:val="000000"/>
                      <w:sz w:val="18"/>
                      <w:szCs w:val="18"/>
                      <w:highlight w:val="none"/>
                      <w:u w:val="single"/>
                      <w:lang w:val="en-US" w:eastAsia="zh-CN"/>
                    </w:rPr>
                    <w:t>1套</w:t>
                  </w:r>
                  <w:r>
                    <w:rPr>
                      <w:rFonts w:hint="default" w:ascii="Times New Roman" w:hAnsi="Times New Roman" w:cs="Times New Roman" w:eastAsiaTheme="minorEastAsia"/>
                      <w:b/>
                      <w:bCs/>
                      <w:color w:val="000000"/>
                      <w:sz w:val="18"/>
                      <w:szCs w:val="18"/>
                      <w:highlight w:val="none"/>
                      <w:u w:val="single"/>
                      <w:lang w:val="en-US" w:eastAsia="zh-CN"/>
                    </w:rPr>
                    <w:t>“活性炭吸脱附+催化燃烧”</w:t>
                  </w:r>
                  <w:r>
                    <w:rPr>
                      <w:rFonts w:hint="default" w:ascii="Times New Roman" w:hAnsi="Times New Roman" w:cs="Times New Roman"/>
                      <w:b/>
                      <w:bCs/>
                      <w:color w:val="000000"/>
                      <w:sz w:val="18"/>
                      <w:szCs w:val="18"/>
                      <w:highlight w:val="none"/>
                      <w:u w:val="single"/>
                      <w:lang w:val="en-US" w:eastAsia="zh-CN"/>
                    </w:rPr>
                    <w:t>废气净化</w:t>
                  </w:r>
                  <w:r>
                    <w:rPr>
                      <w:rFonts w:hint="default" w:ascii="Times New Roman" w:hAnsi="Times New Roman" w:cs="Times New Roman"/>
                      <w:b/>
                      <w:bCs/>
                      <w:color w:val="000000"/>
                      <w:sz w:val="18"/>
                      <w:szCs w:val="18"/>
                      <w:highlight w:val="none"/>
                      <w:u w:val="single"/>
                    </w:rPr>
                    <w:t>装置</w:t>
                  </w:r>
                  <w:r>
                    <w:rPr>
                      <w:rFonts w:hint="default" w:ascii="Times New Roman" w:hAnsi="Times New Roman" w:cs="Times New Roman"/>
                      <w:color w:val="000000"/>
                      <w:sz w:val="18"/>
                      <w:szCs w:val="18"/>
                      <w:highlight w:val="none"/>
                    </w:rPr>
                    <w:t>进行处理，按要求实行VOCs 排放总量倍量消减替代</w:t>
                  </w:r>
                </w:p>
              </w:tc>
              <w:tc>
                <w:tcPr>
                  <w:tcW w:w="474" w:type="pct"/>
                  <w:tcBorders>
                    <w:top w:val="single" w:color="auto" w:sz="8"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不属于禁止类项目</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2"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工业污染治理工程</w:t>
                  </w:r>
                </w:p>
              </w:tc>
              <w:tc>
                <w:tcPr>
                  <w:tcW w:w="2426"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cs="Times New Roman"/>
                      <w:bCs/>
                      <w:color w:val="000000"/>
                      <w:kern w:val="0"/>
                      <w:sz w:val="18"/>
                      <w:szCs w:val="18"/>
                      <w:highlight w:val="none"/>
                    </w:rPr>
                  </w:pPr>
                  <w:r>
                    <w:rPr>
                      <w:rFonts w:hint="default" w:ascii="Times New Roman" w:hAnsi="Times New Roman" w:cs="Times New Roman"/>
                      <w:bCs/>
                      <w:color w:val="000000"/>
                      <w:kern w:val="0"/>
                      <w:sz w:val="18"/>
                      <w:szCs w:val="18"/>
                      <w:highlight w:val="none"/>
                    </w:rPr>
                    <w:t>20、加快工业源 VOCs 治理</w:t>
                  </w:r>
                </w:p>
                <w:p>
                  <w:pPr>
                    <w:keepNext w:val="0"/>
                    <w:keepLines w:val="0"/>
                    <w:pageBreakBefore w:val="0"/>
                    <w:widowControl/>
                    <w:kinsoku/>
                    <w:wordWrap/>
                    <w:overflowPunct/>
                    <w:topLinePunct w:val="0"/>
                    <w:autoSpaceDE/>
                    <w:autoSpaceDN/>
                    <w:bidi w:val="0"/>
                    <w:adjustRightInd/>
                    <w:snapToGrid/>
                    <w:spacing w:line="320" w:lineRule="exact"/>
                    <w:ind w:left="0" w:leftChars="0"/>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bCs/>
                      <w:color w:val="000000"/>
                      <w:kern w:val="0"/>
                      <w:sz w:val="18"/>
                      <w:szCs w:val="18"/>
                      <w:highlight w:val="none"/>
                    </w:rPr>
                    <w:t>坚持源头减排、过程控制、末端治理和强化管理相结合的综合防治原则，深入开展工业 VOCs治理。对VOCs废气末端处理工艺进行提升改造，鼓励企业采用多种技术组合工艺，提高VOCs治理效率。低温等离子体技术、光催化技术仅适用于处理低浓度有机废气或恶臭气体。</w:t>
                  </w:r>
                </w:p>
              </w:tc>
              <w:tc>
                <w:tcPr>
                  <w:tcW w:w="1496"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contextualSpacing/>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kern w:val="0"/>
                      <w:sz w:val="18"/>
                      <w:szCs w:val="18"/>
                      <w:highlight w:val="none"/>
                    </w:rPr>
                    <w:t>项目有机废气</w:t>
                  </w:r>
                  <w:r>
                    <w:rPr>
                      <w:rFonts w:hint="default" w:ascii="Times New Roman" w:hAnsi="Times New Roman" w:cs="Times New Roman"/>
                      <w:color w:val="000000"/>
                      <w:kern w:val="0"/>
                      <w:sz w:val="18"/>
                      <w:szCs w:val="18"/>
                      <w:highlight w:val="none"/>
                      <w:lang w:eastAsia="zh-CN"/>
                    </w:rPr>
                    <w:t>产生工段通过设置二次密闭间并配套设置负压集气装置</w:t>
                  </w:r>
                  <w:r>
                    <w:rPr>
                      <w:rFonts w:hint="default" w:ascii="Times New Roman" w:hAnsi="Times New Roman" w:cs="Times New Roman"/>
                      <w:color w:val="000000"/>
                      <w:kern w:val="0"/>
                      <w:sz w:val="18"/>
                      <w:szCs w:val="18"/>
                      <w:highlight w:val="none"/>
                    </w:rPr>
                    <w:t>收集后</w:t>
                  </w:r>
                  <w:r>
                    <w:rPr>
                      <w:rFonts w:hint="default" w:ascii="Times New Roman" w:hAnsi="Times New Roman" w:cs="Times New Roman"/>
                      <w:color w:val="000000"/>
                      <w:kern w:val="0"/>
                      <w:sz w:val="18"/>
                      <w:szCs w:val="18"/>
                      <w:highlight w:val="none"/>
                      <w:lang w:eastAsia="zh-CN"/>
                    </w:rPr>
                    <w:t>，通过新建</w:t>
                  </w:r>
                  <w:r>
                    <w:rPr>
                      <w:rFonts w:hint="default" w:ascii="Times New Roman" w:hAnsi="Times New Roman" w:cs="Times New Roman"/>
                      <w:b/>
                      <w:bCs/>
                      <w:color w:val="000000"/>
                      <w:kern w:val="0"/>
                      <w:sz w:val="18"/>
                      <w:szCs w:val="18"/>
                      <w:highlight w:val="none"/>
                      <w:u w:val="single"/>
                      <w:lang w:val="en-US" w:eastAsia="zh-CN"/>
                    </w:rPr>
                    <w:t>1套</w:t>
                  </w:r>
                  <w:r>
                    <w:rPr>
                      <w:rFonts w:hint="default" w:ascii="Times New Roman" w:hAnsi="Times New Roman" w:cs="Times New Roman" w:eastAsiaTheme="minorEastAsia"/>
                      <w:b/>
                      <w:bCs/>
                      <w:color w:val="000000"/>
                      <w:sz w:val="18"/>
                      <w:szCs w:val="18"/>
                      <w:highlight w:val="none"/>
                      <w:u w:val="single"/>
                      <w:lang w:val="en-US" w:eastAsia="zh-CN"/>
                    </w:rPr>
                    <w:t>“活性炭吸脱附+催化燃烧”</w:t>
                  </w:r>
                  <w:r>
                    <w:rPr>
                      <w:rFonts w:hint="default" w:ascii="Times New Roman" w:hAnsi="Times New Roman" w:cs="Times New Roman"/>
                      <w:b/>
                      <w:bCs/>
                      <w:color w:val="000000"/>
                      <w:sz w:val="18"/>
                      <w:szCs w:val="18"/>
                      <w:highlight w:val="none"/>
                      <w:u w:val="single"/>
                      <w:lang w:val="en-US" w:eastAsia="zh-CN"/>
                    </w:rPr>
                    <w:t>废气净化</w:t>
                  </w:r>
                  <w:r>
                    <w:rPr>
                      <w:rFonts w:hint="default" w:ascii="Times New Roman" w:hAnsi="Times New Roman" w:cs="Times New Roman"/>
                      <w:b/>
                      <w:bCs/>
                      <w:color w:val="000000"/>
                      <w:sz w:val="18"/>
                      <w:szCs w:val="18"/>
                      <w:highlight w:val="none"/>
                      <w:u w:val="single"/>
                    </w:rPr>
                    <w:t>装置</w:t>
                  </w:r>
                  <w:r>
                    <w:rPr>
                      <w:rFonts w:hint="default" w:ascii="Times New Roman" w:hAnsi="Times New Roman" w:cs="Times New Roman"/>
                      <w:color w:val="000000"/>
                      <w:sz w:val="18"/>
                      <w:szCs w:val="18"/>
                      <w:highlight w:val="none"/>
                      <w:lang w:val="en-US" w:eastAsia="zh-CN"/>
                    </w:rPr>
                    <w:t>处理</w:t>
                  </w:r>
                  <w:r>
                    <w:rPr>
                      <w:rFonts w:hint="default" w:ascii="Times New Roman" w:hAnsi="Times New Roman" w:cs="Times New Roman"/>
                      <w:color w:val="000000"/>
                      <w:sz w:val="18"/>
                      <w:szCs w:val="18"/>
                      <w:highlight w:val="none"/>
                    </w:rPr>
                    <w:t>，确保能够</w:t>
                  </w:r>
                  <w:r>
                    <w:rPr>
                      <w:rFonts w:hint="default" w:ascii="Times New Roman" w:hAnsi="Times New Roman" w:cs="Times New Roman"/>
                      <w:color w:val="000000"/>
                      <w:kern w:val="0"/>
                      <w:sz w:val="18"/>
                      <w:szCs w:val="18"/>
                      <w:highlight w:val="none"/>
                    </w:rPr>
                    <w:t>稳定达标排放。</w:t>
                  </w:r>
                </w:p>
              </w:tc>
              <w:tc>
                <w:tcPr>
                  <w:tcW w:w="474"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符合</w:t>
                  </w:r>
                </w:p>
              </w:tc>
            </w:tr>
          </w:tbl>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 xml:space="preserve">  由</w:t>
            </w:r>
            <w:r>
              <w:rPr>
                <w:rFonts w:hint="default" w:ascii="Times New Roman" w:hAnsi="Times New Roman" w:cs="Times New Roman"/>
                <w:color w:val="000000"/>
                <w:sz w:val="21"/>
                <w:szCs w:val="21"/>
                <w:highlight w:val="none"/>
                <w:lang w:eastAsia="zh-CN"/>
              </w:rPr>
              <w:t>上表</w:t>
            </w:r>
            <w:r>
              <w:rPr>
                <w:rFonts w:hint="default" w:ascii="Times New Roman" w:hAnsi="Times New Roman" w:cs="Times New Roman"/>
                <w:color w:val="000000"/>
                <w:sz w:val="21"/>
                <w:szCs w:val="21"/>
                <w:highlight w:val="none"/>
              </w:rPr>
              <w:t>可知，本项目符合《新乡市环境污染防治攻坚战三年行动实施方案（2018-2020年）》的相关规定。</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9"/>
              <w:rPr>
                <w:rFonts w:hint="default" w:ascii="Times New Roman" w:hAnsi="Times New Roman" w:cs="Times New Roman" w:eastAsiaTheme="minorEastAsia"/>
                <w:b/>
                <w:bCs/>
                <w:snapToGrid/>
                <w:color w:val="000000"/>
                <w:sz w:val="21"/>
                <w:szCs w:val="21"/>
                <w:highlight w:val="none"/>
                <w:lang w:val="en-US" w:eastAsia="zh-CN" w:bidi="ar-SA"/>
              </w:rPr>
            </w:pPr>
            <w:r>
              <w:rPr>
                <w:rFonts w:hint="eastAsia" w:cs="Times New Roman"/>
                <w:b/>
                <w:bCs/>
                <w:color w:val="000000"/>
                <w:sz w:val="21"/>
                <w:szCs w:val="21"/>
                <w:highlight w:val="none"/>
                <w:lang w:val="en-US" w:eastAsia="zh-CN"/>
              </w:rPr>
              <w:t>5、</w:t>
            </w:r>
            <w:r>
              <w:rPr>
                <w:rFonts w:hint="default" w:ascii="Times New Roman" w:hAnsi="Times New Roman" w:cs="Times New Roman"/>
                <w:b/>
                <w:bCs/>
                <w:color w:val="000000"/>
                <w:sz w:val="21"/>
                <w:szCs w:val="21"/>
                <w:highlight w:val="none"/>
                <w:lang w:eastAsia="zh-CN"/>
              </w:rPr>
              <w:t>与《“十三五”挥发性有机物污染防治工作方案》</w:t>
            </w:r>
            <w:r>
              <w:rPr>
                <w:rFonts w:hint="default" w:ascii="Times New Roman" w:hAnsi="Times New Roman" w:cs="Times New Roman"/>
                <w:b/>
                <w:bCs/>
                <w:snapToGrid/>
                <w:color w:val="000000"/>
                <w:sz w:val="21"/>
                <w:szCs w:val="21"/>
                <w:highlight w:val="none"/>
                <w:lang w:val="en-US" w:eastAsia="zh-CN" w:bidi="ar-SA"/>
              </w:rPr>
              <w:t>对照分析</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0" w:leftChars="0" w:right="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 xml:space="preserve">     与《“十三五”挥发性有机物污染防治工作方案》对照分析</w:t>
            </w:r>
          </w:p>
          <w:tbl>
            <w:tblPr>
              <w:tblStyle w:val="1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3237"/>
              <w:gridCol w:w="1980"/>
              <w:gridCol w:w="6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67" w:type="pct"/>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文件名称</w:t>
                  </w:r>
                </w:p>
              </w:tc>
              <w:tc>
                <w:tcPr>
                  <w:tcW w:w="2456" w:type="pct"/>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与本项目相关条文</w:t>
                  </w:r>
                </w:p>
              </w:tc>
              <w:tc>
                <w:tcPr>
                  <w:tcW w:w="1502" w:type="pct"/>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本项目情况</w:t>
                  </w:r>
                </w:p>
              </w:tc>
              <w:tc>
                <w:tcPr>
                  <w:tcW w:w="473" w:type="pct"/>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Merge w:val="restart"/>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《“十三五”挥发性有机物污染防治工作方案》</w:t>
                  </w:r>
                </w:p>
              </w:tc>
              <w:tc>
                <w:tcPr>
                  <w:tcW w:w="2456" w:type="pct"/>
                  <w:noWrap/>
                  <w:vAlign w:val="center"/>
                </w:tcPr>
                <w:p>
                  <w:pPr>
                    <w:keepNext w:val="0"/>
                    <w:keepLines w:val="0"/>
                    <w:pageBreakBefore w:val="0"/>
                    <w:widowControl/>
                    <w:kinsoku/>
                    <w:wordWrap/>
                    <w:overflowPunct/>
                    <w:topLinePunct w:val="0"/>
                    <w:autoSpaceDE/>
                    <w:autoSpaceDN/>
                    <w:bidi w:val="0"/>
                    <w:adjustRightInd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1、重点地区。京津冀及周边、长三角、珠三角、 成渝、武汉及其周边、辽宁中部、陕西关中、长株潭等区域，涉及北京、天津、河北、辽宁、上海、江苏、浙江、安徽、山东、河南、广东、湖北、湖南、重庆、四川、陕西等16个省（市）。</w:t>
                  </w:r>
                </w:p>
              </w:tc>
              <w:tc>
                <w:tcPr>
                  <w:tcW w:w="1502" w:type="pct"/>
                  <w:noWrap/>
                  <w:vAlign w:val="center"/>
                </w:tcPr>
                <w:p>
                  <w:pPr>
                    <w:keepNext w:val="0"/>
                    <w:keepLines w:val="0"/>
                    <w:pageBreakBefore w:val="0"/>
                    <w:widowControl/>
                    <w:kinsoku/>
                    <w:wordWrap/>
                    <w:overflowPunct/>
                    <w:topLinePunct w:val="0"/>
                    <w:autoSpaceDE/>
                    <w:autoSpaceDN/>
                    <w:bidi w:val="0"/>
                    <w:adjustRightInd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本项目位于新乡市凤泉区大块镇小块村西，属于重点地区。</w:t>
                  </w:r>
                </w:p>
              </w:tc>
              <w:tc>
                <w:tcPr>
                  <w:tcW w:w="473" w:type="pct"/>
                  <w:noWrap/>
                  <w:vAlign w:val="center"/>
                </w:tcPr>
                <w:p>
                  <w:pPr>
                    <w:keepNext w:val="0"/>
                    <w:keepLines w:val="0"/>
                    <w:pageBreakBefore w:val="0"/>
                    <w:widowControl/>
                    <w:kinsoku/>
                    <w:wordWrap/>
                    <w:overflowPunct/>
                    <w:topLinePunct w:val="0"/>
                    <w:autoSpaceDE/>
                    <w:autoSpaceDN/>
                    <w:bidi w:val="0"/>
                    <w:adjustRightInd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Merge w:val="continue"/>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p>
              </w:tc>
              <w:tc>
                <w:tcPr>
                  <w:tcW w:w="2456" w:type="pct"/>
                  <w:noWrap/>
                  <w:vAlign w:val="center"/>
                </w:tcPr>
                <w:p>
                  <w:pPr>
                    <w:keepNext w:val="0"/>
                    <w:keepLines w:val="0"/>
                    <w:pageBreakBefore w:val="0"/>
                    <w:widowControl/>
                    <w:kinsoku/>
                    <w:wordWrap/>
                    <w:overflowPunct/>
                    <w:topLinePunct w:val="0"/>
                    <w:autoSpaceDE/>
                    <w:autoSpaceDN/>
                    <w:bidi w:val="0"/>
                    <w:adjustRightInd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2、重点行业。重点推进石化、化工、包装印刷、工业涂装等重点行业以及机动车、油品储运销等交通源VOCs污染防治，实施一批重点工程。各地应结合自身产业结构特征、VOCs排放来源等，确定本地VOCs控制重点行业；充分考虑行业产能利用率、生产工艺特征以及污染物排放情况等， 结合环境空气质量季节性变化特征， 研究制定行业生产调控措施。</w:t>
                  </w:r>
                </w:p>
              </w:tc>
              <w:tc>
                <w:tcPr>
                  <w:tcW w:w="1502" w:type="pct"/>
                  <w:noWrap/>
                  <w:vAlign w:val="center"/>
                </w:tcPr>
                <w:p>
                  <w:pPr>
                    <w:keepNext w:val="0"/>
                    <w:keepLines w:val="0"/>
                    <w:pageBreakBefore w:val="0"/>
                    <w:widowControl/>
                    <w:kinsoku/>
                    <w:wordWrap/>
                    <w:overflowPunct/>
                    <w:topLinePunct w:val="0"/>
                    <w:autoSpaceDE/>
                    <w:autoSpaceDN/>
                    <w:bidi w:val="0"/>
                    <w:adjustRightInd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本项目</w:t>
                  </w:r>
                  <w:r>
                    <w:rPr>
                      <w:rFonts w:hint="default" w:ascii="Times New Roman" w:hAnsi="Times New Roman" w:cs="Times New Roman"/>
                      <w:color w:val="000000"/>
                      <w:sz w:val="18"/>
                      <w:szCs w:val="18"/>
                      <w:lang w:eastAsia="zh-CN"/>
                    </w:rPr>
                    <w:t>属于C2929-塑料零件及其他塑料制品制造行业</w:t>
                  </w:r>
                  <w:r>
                    <w:rPr>
                      <w:rFonts w:hint="default" w:ascii="Times New Roman" w:hAnsi="Times New Roman" w:cs="Times New Roman"/>
                      <w:color w:val="000000"/>
                      <w:sz w:val="18"/>
                      <w:szCs w:val="18"/>
                    </w:rPr>
                    <w:t>，不属于重点行业</w:t>
                  </w:r>
                  <w:r>
                    <w:rPr>
                      <w:rFonts w:hint="default" w:ascii="Times New Roman" w:hAnsi="Times New Roman" w:cs="Times New Roman"/>
                      <w:color w:val="000000"/>
                      <w:kern w:val="0"/>
                      <w:sz w:val="18"/>
                      <w:szCs w:val="18"/>
                    </w:rPr>
                    <w:t>。</w:t>
                  </w:r>
                </w:p>
              </w:tc>
              <w:tc>
                <w:tcPr>
                  <w:tcW w:w="473" w:type="pct"/>
                  <w:noWrap/>
                  <w:vAlign w:val="center"/>
                </w:tcPr>
                <w:p>
                  <w:pPr>
                    <w:keepNext w:val="0"/>
                    <w:keepLines w:val="0"/>
                    <w:pageBreakBefore w:val="0"/>
                    <w:widowControl/>
                    <w:kinsoku/>
                    <w:wordWrap/>
                    <w:overflowPunct/>
                    <w:topLinePunct w:val="0"/>
                    <w:autoSpaceDE/>
                    <w:autoSpaceDN/>
                    <w:bidi w:val="0"/>
                    <w:adjustRightInd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Merge w:val="continue"/>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p>
              </w:tc>
              <w:tc>
                <w:tcPr>
                  <w:tcW w:w="2456" w:type="pct"/>
                  <w:noWrap/>
                  <w:vAlign w:val="center"/>
                </w:tcPr>
                <w:p>
                  <w:pPr>
                    <w:keepNext w:val="0"/>
                    <w:keepLines w:val="0"/>
                    <w:pageBreakBefore w:val="0"/>
                    <w:widowControl/>
                    <w:kinsoku/>
                    <w:wordWrap/>
                    <w:overflowPunct/>
                    <w:topLinePunct w:val="0"/>
                    <w:autoSpaceDE/>
                    <w:autoSpaceDN/>
                    <w:bidi w:val="0"/>
                    <w:adjustRightInd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3、重点污染物。加强活性强的VOCs排放控制，主要为芳香烃、烯烃、炔烃、醛类等。各地应紧密围绕本地环境空气质量改善需求，基于O</w:t>
                  </w:r>
                  <w:r>
                    <w:rPr>
                      <w:rFonts w:hint="default" w:ascii="Times New Roman" w:hAnsi="Times New Roman" w:cs="Times New Roman"/>
                      <w:color w:val="000000"/>
                      <w:kern w:val="0"/>
                      <w:sz w:val="18"/>
                      <w:szCs w:val="18"/>
                      <w:vertAlign w:val="subscript"/>
                    </w:rPr>
                    <w:t>3</w:t>
                  </w:r>
                  <w:r>
                    <w:rPr>
                      <w:rFonts w:hint="default" w:ascii="Times New Roman" w:hAnsi="Times New Roman" w:cs="Times New Roman"/>
                      <w:color w:val="000000"/>
                      <w:kern w:val="0"/>
                      <w:sz w:val="18"/>
                      <w:szCs w:val="18"/>
                    </w:rPr>
                    <w:t>和PM</w:t>
                  </w:r>
                  <w:r>
                    <w:rPr>
                      <w:rFonts w:hint="default" w:ascii="Times New Roman" w:hAnsi="Times New Roman" w:cs="Times New Roman"/>
                      <w:color w:val="000000"/>
                      <w:kern w:val="0"/>
                      <w:sz w:val="18"/>
                      <w:szCs w:val="18"/>
                      <w:vertAlign w:val="subscript"/>
                    </w:rPr>
                    <w:t>2.5</w:t>
                  </w:r>
                  <w:r>
                    <w:rPr>
                      <w:rFonts w:hint="default" w:ascii="Times New Roman" w:hAnsi="Times New Roman" w:cs="Times New Roman"/>
                      <w:color w:val="000000"/>
                      <w:kern w:val="0"/>
                      <w:sz w:val="18"/>
                      <w:szCs w:val="18"/>
                    </w:rPr>
                    <w:t>来源解析，确定VOCs控制重点。对于控制O</w:t>
                  </w:r>
                  <w:r>
                    <w:rPr>
                      <w:rFonts w:hint="default" w:ascii="Times New Roman" w:hAnsi="Times New Roman" w:cs="Times New Roman"/>
                      <w:color w:val="000000"/>
                      <w:kern w:val="0"/>
                      <w:sz w:val="18"/>
                      <w:szCs w:val="18"/>
                      <w:vertAlign w:val="subscript"/>
                    </w:rPr>
                    <w:t>3</w:t>
                  </w:r>
                  <w:r>
                    <w:rPr>
                      <w:rFonts w:hint="default" w:ascii="Times New Roman" w:hAnsi="Times New Roman" w:cs="Times New Roman"/>
                      <w:color w:val="000000"/>
                      <w:kern w:val="0"/>
                      <w:sz w:val="18"/>
                      <w:szCs w:val="18"/>
                    </w:rPr>
                    <w:t>而言，重点控制污染物主要为间/对-二甲苯、乙烯、丙烯、甲醛、甲苯、乙醛、1,3-丁二烯、1,2,4-三甲基苯、邻-二甲苯、苯乙烯等；对于控制PM2.5而言，重点控制污染物主要为甲苯、正十二烷、间/对-二甲苯、苯乙烯、正十一烷、正癸烷、乙苯、邻-二甲苯、1,3-丁二烯、甲基环己烷、正壬烷等。同时，要强化苯乙烯、甲硫醇、 甲硫醚等恶臭类 VOCs 的排放控制。</w:t>
                  </w:r>
                </w:p>
              </w:tc>
              <w:tc>
                <w:tcPr>
                  <w:tcW w:w="1502" w:type="pct"/>
                  <w:noWrap/>
                  <w:vAlign w:val="center"/>
                </w:tcPr>
                <w:p>
                  <w:pPr>
                    <w:keepNext w:val="0"/>
                    <w:keepLines w:val="0"/>
                    <w:pageBreakBefore w:val="0"/>
                    <w:widowControl/>
                    <w:kinsoku/>
                    <w:wordWrap/>
                    <w:overflowPunct/>
                    <w:topLinePunct w:val="0"/>
                    <w:autoSpaceDE/>
                    <w:autoSpaceDN/>
                    <w:bidi w:val="0"/>
                    <w:adjustRightInd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本项目涉VOCs污染物主要为非甲烷总烃，属于重点控制污染物。</w:t>
                  </w:r>
                </w:p>
              </w:tc>
              <w:tc>
                <w:tcPr>
                  <w:tcW w:w="473" w:type="pct"/>
                  <w:noWrap/>
                  <w:vAlign w:val="center"/>
                </w:tcPr>
                <w:p>
                  <w:pPr>
                    <w:keepNext w:val="0"/>
                    <w:keepLines w:val="0"/>
                    <w:pageBreakBefore w:val="0"/>
                    <w:widowControl/>
                    <w:kinsoku/>
                    <w:wordWrap/>
                    <w:overflowPunct/>
                    <w:topLinePunct w:val="0"/>
                    <w:autoSpaceDE/>
                    <w:autoSpaceDN/>
                    <w:bidi w:val="0"/>
                    <w:adjustRightInd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Merge w:val="continue"/>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p>
              </w:tc>
              <w:tc>
                <w:tcPr>
                  <w:tcW w:w="2456" w:type="pct"/>
                  <w:noWrap/>
                  <w:vAlign w:val="center"/>
                </w:tcPr>
                <w:p>
                  <w:pPr>
                    <w:keepNext w:val="0"/>
                    <w:keepLines w:val="0"/>
                    <w:pageBreakBefore w:val="0"/>
                    <w:widowControl/>
                    <w:kinsoku/>
                    <w:wordWrap/>
                    <w:overflowPunct/>
                    <w:topLinePunct w:val="0"/>
                    <w:autoSpaceDE/>
                    <w:autoSpaceDN/>
                    <w:bidi w:val="0"/>
                    <w:adjustRightInd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4、严格建设项目环境准入。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1502" w:type="pct"/>
                  <w:noWrap/>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本项目选址属于重点地区，不属于</w:t>
                  </w:r>
                  <w:r>
                    <w:rPr>
                      <w:rFonts w:hint="default" w:ascii="Times New Roman" w:hAnsi="Times New Roman" w:cs="Times New Roman"/>
                      <w:color w:val="000000"/>
                      <w:kern w:val="0"/>
                      <w:sz w:val="18"/>
                      <w:szCs w:val="18"/>
                    </w:rPr>
                    <w:t>石化、化工、包装印刷、工业涂装等高VOCs排放建设项目</w:t>
                  </w:r>
                  <w:r>
                    <w:rPr>
                      <w:rFonts w:hint="default" w:ascii="Times New Roman" w:hAnsi="Times New Roman" w:cs="Times New Roman"/>
                      <w:color w:val="000000"/>
                      <w:sz w:val="18"/>
                      <w:szCs w:val="18"/>
                    </w:rPr>
                    <w:t>；本项目属于塑料制品制造行业，不属于高VOCs排放项目</w:t>
                  </w:r>
                  <w:r>
                    <w:rPr>
                      <w:rFonts w:hint="default" w:ascii="Times New Roman" w:hAnsi="Times New Roman" w:cs="Times New Roman"/>
                      <w:color w:val="000000"/>
                      <w:kern w:val="0"/>
                      <w:sz w:val="18"/>
                      <w:szCs w:val="18"/>
                    </w:rPr>
                    <w:t>企业，</w:t>
                  </w:r>
                  <w:r>
                    <w:rPr>
                      <w:rFonts w:hint="default" w:ascii="Times New Roman" w:hAnsi="Times New Roman" w:cs="Times New Roman"/>
                      <w:color w:val="000000"/>
                      <w:kern w:val="0"/>
                      <w:sz w:val="18"/>
                      <w:szCs w:val="18"/>
                      <w:lang w:eastAsia="zh-CN"/>
                    </w:rPr>
                    <w:t>本项目</w:t>
                  </w:r>
                  <w:r>
                    <w:rPr>
                      <w:rFonts w:hint="default" w:ascii="Times New Roman" w:hAnsi="Times New Roman" w:cs="Times New Roman"/>
                      <w:color w:val="000000"/>
                      <w:sz w:val="18"/>
                      <w:szCs w:val="18"/>
                      <w:highlight w:val="none"/>
                      <w:lang w:eastAsia="zh-CN"/>
                    </w:rPr>
                    <w:t>属于改扩建项目，</w:t>
                  </w:r>
                  <w:r>
                    <w:rPr>
                      <w:rFonts w:hint="default" w:ascii="Times New Roman" w:hAnsi="Times New Roman" w:cs="Times New Roman"/>
                      <w:color w:val="000000"/>
                      <w:sz w:val="18"/>
                      <w:szCs w:val="18"/>
                      <w:highlight w:val="none"/>
                    </w:rPr>
                    <w:t>选址位于新乡市凤泉区大块镇小块村西</w:t>
                  </w:r>
                  <w:r>
                    <w:rPr>
                      <w:rFonts w:hint="default" w:ascii="Times New Roman" w:hAnsi="Times New Roman" w:cs="Times New Roman"/>
                      <w:color w:val="000000"/>
                      <w:kern w:val="0"/>
                      <w:sz w:val="18"/>
                      <w:szCs w:val="18"/>
                      <w:lang w:eastAsia="zh-CN"/>
                    </w:rPr>
                    <w:t>；项目扩建后</w:t>
                  </w:r>
                  <w:r>
                    <w:rPr>
                      <w:rFonts w:hint="default" w:ascii="Times New Roman" w:hAnsi="Times New Roman" w:cs="Times New Roman"/>
                      <w:color w:val="000000"/>
                      <w:kern w:val="0"/>
                      <w:sz w:val="18"/>
                      <w:szCs w:val="18"/>
                      <w:lang w:val="en-US" w:eastAsia="zh-CN"/>
                    </w:rPr>
                    <w:t>VOCs排放量通过现有工程以新带老消减量替代，无新增VOCs排放量</w:t>
                  </w:r>
                  <w:r>
                    <w:rPr>
                      <w:rFonts w:hint="default" w:ascii="Times New Roman" w:hAnsi="Times New Roman" w:cs="Times New Roman"/>
                      <w:color w:val="000000"/>
                      <w:kern w:val="0"/>
                      <w:sz w:val="18"/>
                      <w:szCs w:val="18"/>
                      <w:lang w:eastAsia="zh-CN"/>
                    </w:rPr>
                    <w:t>；</w:t>
                  </w:r>
                  <w:r>
                    <w:rPr>
                      <w:rFonts w:hint="default" w:ascii="Times New Roman" w:hAnsi="Times New Roman" w:cs="Times New Roman"/>
                      <w:color w:val="000000"/>
                      <w:kern w:val="0"/>
                      <w:sz w:val="18"/>
                      <w:szCs w:val="18"/>
                    </w:rPr>
                    <w:t>本项目选用低VOCs含量的原辅材料，涉及VOCs的工序采取</w:t>
                  </w:r>
                  <w:r>
                    <w:rPr>
                      <w:rFonts w:hint="default" w:ascii="Times New Roman" w:hAnsi="Times New Roman" w:cs="Times New Roman"/>
                      <w:color w:val="000000"/>
                      <w:kern w:val="0"/>
                      <w:sz w:val="18"/>
                      <w:szCs w:val="18"/>
                      <w:lang w:eastAsia="zh-CN"/>
                    </w:rPr>
                    <w:t>设置二次密闭间负压收集</w:t>
                  </w:r>
                  <w:r>
                    <w:rPr>
                      <w:rFonts w:hint="default" w:ascii="Times New Roman" w:hAnsi="Times New Roman" w:cs="Times New Roman"/>
                      <w:color w:val="000000"/>
                      <w:kern w:val="0"/>
                      <w:sz w:val="18"/>
                      <w:szCs w:val="18"/>
                    </w:rPr>
                    <w:t>，并采取</w:t>
                  </w:r>
                  <w:r>
                    <w:rPr>
                      <w:rFonts w:hint="default" w:ascii="Times New Roman" w:hAnsi="Times New Roman" w:cs="Times New Roman"/>
                      <w:b/>
                      <w:bCs/>
                      <w:color w:val="000000"/>
                      <w:kern w:val="0"/>
                      <w:sz w:val="18"/>
                      <w:szCs w:val="18"/>
                      <w:u w:val="single"/>
                      <w:lang w:val="en-US" w:eastAsia="zh-CN"/>
                    </w:rPr>
                    <w:t>1套</w:t>
                  </w:r>
                  <w:r>
                    <w:rPr>
                      <w:rFonts w:hint="default" w:ascii="Times New Roman" w:hAnsi="Times New Roman" w:cs="Times New Roman" w:eastAsiaTheme="minorEastAsia"/>
                      <w:b/>
                      <w:bCs/>
                      <w:color w:val="000000"/>
                      <w:sz w:val="18"/>
                      <w:szCs w:val="18"/>
                      <w:highlight w:val="none"/>
                      <w:u w:val="single"/>
                      <w:lang w:val="en-US" w:eastAsia="zh-CN"/>
                    </w:rPr>
                    <w:t>“活性炭吸脱附+催化燃烧”</w:t>
                  </w:r>
                  <w:r>
                    <w:rPr>
                      <w:rFonts w:hint="default" w:ascii="Times New Roman" w:hAnsi="Times New Roman" w:cs="Times New Roman"/>
                      <w:b/>
                      <w:bCs/>
                      <w:color w:val="000000"/>
                      <w:sz w:val="18"/>
                      <w:szCs w:val="18"/>
                      <w:highlight w:val="none"/>
                      <w:u w:val="single"/>
                      <w:lang w:val="en-US" w:eastAsia="zh-CN"/>
                    </w:rPr>
                    <w:t>废气净化</w:t>
                  </w:r>
                  <w:r>
                    <w:rPr>
                      <w:rFonts w:hint="default" w:ascii="Times New Roman" w:hAnsi="Times New Roman" w:cs="Times New Roman"/>
                      <w:b/>
                      <w:bCs/>
                      <w:color w:val="000000"/>
                      <w:sz w:val="18"/>
                      <w:szCs w:val="18"/>
                      <w:highlight w:val="none"/>
                      <w:u w:val="single"/>
                    </w:rPr>
                    <w:t>装置</w:t>
                  </w:r>
                  <w:r>
                    <w:rPr>
                      <w:rFonts w:hint="default" w:ascii="Times New Roman" w:hAnsi="Times New Roman" w:cs="Times New Roman"/>
                      <w:color w:val="000000"/>
                      <w:kern w:val="0"/>
                      <w:sz w:val="18"/>
                      <w:szCs w:val="18"/>
                    </w:rPr>
                    <w:t>进行废气治理</w:t>
                  </w:r>
                  <w:r>
                    <w:rPr>
                      <w:rFonts w:hint="default" w:ascii="Times New Roman" w:hAnsi="Times New Roman" w:cs="Times New Roman"/>
                      <w:color w:val="000000"/>
                      <w:sz w:val="18"/>
                      <w:szCs w:val="18"/>
                    </w:rPr>
                    <w:t>。</w:t>
                  </w:r>
                </w:p>
              </w:tc>
              <w:tc>
                <w:tcPr>
                  <w:tcW w:w="473" w:type="pct"/>
                  <w:noWrap/>
                  <w:vAlign w:val="center"/>
                </w:tcPr>
                <w:p>
                  <w:pPr>
                    <w:keepNext w:val="0"/>
                    <w:keepLines w:val="0"/>
                    <w:pageBreakBefore w:val="0"/>
                    <w:widowControl/>
                    <w:kinsoku/>
                    <w:wordWrap/>
                    <w:overflowPunct/>
                    <w:topLinePunct w:val="0"/>
                    <w:autoSpaceDE/>
                    <w:autoSpaceDN/>
                    <w:bidi w:val="0"/>
                    <w:adjustRightInd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符合环境准入条件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Merge w:val="continue"/>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p>
              </w:tc>
              <w:tc>
                <w:tcPr>
                  <w:tcW w:w="2456" w:type="pct"/>
                  <w:noWrap/>
                  <w:vAlign w:val="center"/>
                </w:tcPr>
                <w:p>
                  <w:pPr>
                    <w:keepNext w:val="0"/>
                    <w:keepLines w:val="0"/>
                    <w:pageBreakBefore w:val="0"/>
                    <w:widowControl/>
                    <w:kinsoku/>
                    <w:wordWrap/>
                    <w:overflowPunct/>
                    <w:topLinePunct w:val="0"/>
                    <w:autoSpaceDE/>
                    <w:autoSpaceDN/>
                    <w:bidi w:val="0"/>
                    <w:adjustRightInd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bCs/>
                      <w:color w:val="000000"/>
                      <w:kern w:val="0"/>
                      <w:sz w:val="18"/>
                      <w:szCs w:val="18"/>
                    </w:rPr>
                    <w:t>5、因地制宜推进其他工业行业VOCs综合治理。</w:t>
                  </w:r>
                  <w:r>
                    <w:rPr>
                      <w:rFonts w:hint="default" w:ascii="Times New Roman" w:hAnsi="Times New Roman" w:cs="Times New Roman"/>
                      <w:color w:val="000000"/>
                      <w:kern w:val="0"/>
                      <w:sz w:val="18"/>
                      <w:szCs w:val="18"/>
                    </w:rPr>
                    <w:t>各地应结合本地产业结构特征和VOCs治理重点，因地制宜选择其他工业行业开展VOCs治理。电子行业应重点加强溶剂清洗、光刻、涂胶、涂装等工序VOCs排放控制；制鞋行业应重点加强鞋面拼接、成型、组底、喷漆、发泡、注塑、印刷、清洗等工序VOCs排放治理；纺织印染行业应重点加强化纤纺丝、热定型、涂层等工序VOCs排放治理；木材加工行业应重点加强干燥、涂胶、热压过程VOCs排放治理。</w:t>
                  </w:r>
                </w:p>
              </w:tc>
              <w:tc>
                <w:tcPr>
                  <w:tcW w:w="1502" w:type="pct"/>
                  <w:noWrap/>
                  <w:vAlign w:val="center"/>
                </w:tcPr>
                <w:p>
                  <w:pPr>
                    <w:keepNext w:val="0"/>
                    <w:keepLines w:val="0"/>
                    <w:pageBreakBefore w:val="0"/>
                    <w:widowControl/>
                    <w:kinsoku/>
                    <w:wordWrap/>
                    <w:overflowPunct/>
                    <w:topLinePunct w:val="0"/>
                    <w:autoSpaceDE/>
                    <w:autoSpaceDN/>
                    <w:bidi w:val="0"/>
                    <w:adjustRightInd w:val="0"/>
                    <w:spacing w:line="280" w:lineRule="exact"/>
                    <w:ind w:left="0" w:leftChars="0"/>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本项目涉VOCs污染物主要为非甲烷总烃</w:t>
                  </w:r>
                  <w:r>
                    <w:rPr>
                      <w:rFonts w:hint="default" w:ascii="Times New Roman" w:hAnsi="Times New Roman" w:cs="Times New Roman"/>
                      <w:color w:val="000000"/>
                      <w:kern w:val="0"/>
                      <w:sz w:val="18"/>
                      <w:szCs w:val="18"/>
                    </w:rPr>
                    <w:t>，采取</w:t>
                  </w:r>
                  <w:r>
                    <w:rPr>
                      <w:rFonts w:hint="default" w:ascii="Times New Roman" w:hAnsi="Times New Roman" w:cs="Times New Roman"/>
                      <w:b/>
                      <w:bCs/>
                      <w:color w:val="000000"/>
                      <w:kern w:val="0"/>
                      <w:sz w:val="18"/>
                      <w:szCs w:val="18"/>
                      <w:u w:val="single"/>
                      <w:lang w:val="en-US" w:eastAsia="zh-CN"/>
                    </w:rPr>
                    <w:t>1套</w:t>
                  </w:r>
                  <w:r>
                    <w:rPr>
                      <w:rFonts w:hint="default" w:ascii="Times New Roman" w:hAnsi="Times New Roman" w:cs="Times New Roman" w:eastAsiaTheme="minorEastAsia"/>
                      <w:b/>
                      <w:bCs/>
                      <w:color w:val="000000"/>
                      <w:sz w:val="18"/>
                      <w:szCs w:val="18"/>
                      <w:highlight w:val="none"/>
                      <w:u w:val="single"/>
                      <w:lang w:val="en-US" w:eastAsia="zh-CN"/>
                    </w:rPr>
                    <w:t>“活性炭吸脱附+催化燃烧”</w:t>
                  </w:r>
                  <w:r>
                    <w:rPr>
                      <w:rFonts w:hint="default" w:ascii="Times New Roman" w:hAnsi="Times New Roman" w:cs="Times New Roman"/>
                      <w:b/>
                      <w:bCs/>
                      <w:color w:val="000000"/>
                      <w:sz w:val="18"/>
                      <w:szCs w:val="18"/>
                      <w:highlight w:val="none"/>
                      <w:u w:val="single"/>
                      <w:lang w:val="en-US" w:eastAsia="zh-CN"/>
                    </w:rPr>
                    <w:t>废气净化</w:t>
                  </w:r>
                  <w:r>
                    <w:rPr>
                      <w:rFonts w:hint="default" w:ascii="Times New Roman" w:hAnsi="Times New Roman" w:cs="Times New Roman"/>
                      <w:b/>
                      <w:bCs/>
                      <w:color w:val="000000"/>
                      <w:sz w:val="18"/>
                      <w:szCs w:val="18"/>
                      <w:highlight w:val="none"/>
                      <w:u w:val="single"/>
                    </w:rPr>
                    <w:t>装置</w:t>
                  </w:r>
                  <w:r>
                    <w:rPr>
                      <w:rFonts w:hint="default" w:ascii="Times New Roman" w:hAnsi="Times New Roman" w:cs="Times New Roman"/>
                      <w:b/>
                      <w:bCs/>
                      <w:color w:val="000000"/>
                      <w:kern w:val="0"/>
                      <w:sz w:val="18"/>
                      <w:szCs w:val="18"/>
                      <w:u w:val="single"/>
                    </w:rPr>
                    <w:t>治理</w:t>
                  </w:r>
                  <w:r>
                    <w:rPr>
                      <w:rFonts w:hint="default" w:ascii="Times New Roman" w:hAnsi="Times New Roman" w:cs="Times New Roman"/>
                      <w:color w:val="000000"/>
                      <w:kern w:val="0"/>
                      <w:sz w:val="18"/>
                      <w:szCs w:val="18"/>
                    </w:rPr>
                    <w:t>，处理后尾气通过</w:t>
                  </w:r>
                  <w:r>
                    <w:rPr>
                      <w:rFonts w:hint="default" w:ascii="Times New Roman" w:hAnsi="Times New Roman" w:cs="Times New Roman"/>
                      <w:color w:val="000000"/>
                      <w:kern w:val="0"/>
                      <w:sz w:val="18"/>
                      <w:szCs w:val="18"/>
                      <w:lang w:val="en-US" w:eastAsia="zh-CN"/>
                    </w:rPr>
                    <w:t>15</w:t>
                  </w:r>
                  <w:r>
                    <w:rPr>
                      <w:rFonts w:hint="default" w:ascii="Times New Roman" w:hAnsi="Times New Roman" w:cs="Times New Roman"/>
                      <w:color w:val="000000"/>
                      <w:kern w:val="0"/>
                      <w:sz w:val="18"/>
                      <w:szCs w:val="18"/>
                    </w:rPr>
                    <w:t>m高排气筒排放。</w:t>
                  </w:r>
                </w:p>
              </w:tc>
              <w:tc>
                <w:tcPr>
                  <w:tcW w:w="473" w:type="pct"/>
                  <w:noWrap/>
                  <w:vAlign w:val="center"/>
                </w:tcPr>
                <w:p>
                  <w:pPr>
                    <w:keepNext w:val="0"/>
                    <w:keepLines w:val="0"/>
                    <w:pageBreakBefore w:val="0"/>
                    <w:widowControl/>
                    <w:kinsoku/>
                    <w:wordWrap/>
                    <w:overflowPunct/>
                    <w:topLinePunct w:val="0"/>
                    <w:autoSpaceDE/>
                    <w:autoSpaceDN/>
                    <w:bidi w:val="0"/>
                    <w:adjustRightInd w:val="0"/>
                    <w:ind w:left="0" w:leftChars="0"/>
                    <w:jc w:val="center"/>
                    <w:textAlignment w:val="auto"/>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满足</w:t>
                  </w:r>
                </w:p>
                <w:p>
                  <w:pPr>
                    <w:keepNext w:val="0"/>
                    <w:keepLines w:val="0"/>
                    <w:pageBreakBefore w:val="0"/>
                    <w:widowControl/>
                    <w:kinsoku/>
                    <w:wordWrap/>
                    <w:overflowPunct/>
                    <w:topLinePunct w:val="0"/>
                    <w:autoSpaceDE/>
                    <w:autoSpaceDN/>
                    <w:bidi w:val="0"/>
                    <w:adjustRightInd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rPr>
                    <w:t>要求</w:t>
                  </w:r>
                </w:p>
              </w:tc>
            </w:tr>
          </w:tbl>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eastAsia="zh-CN"/>
              </w:rPr>
            </w:pPr>
            <w:r>
              <w:rPr>
                <w:rFonts w:hint="eastAsia" w:cs="Times New Roman"/>
                <w:color w:val="000000"/>
                <w:sz w:val="21"/>
                <w:szCs w:val="21"/>
                <w:highlight w:val="none"/>
                <w:lang w:val="en-US" w:eastAsia="zh-CN"/>
              </w:rPr>
              <w:t>6、</w:t>
            </w:r>
            <w:r>
              <w:rPr>
                <w:rFonts w:hint="default" w:ascii="Times New Roman" w:hAnsi="Times New Roman" w:cs="Times New Roman"/>
                <w:color w:val="000000"/>
                <w:sz w:val="21"/>
                <w:szCs w:val="21"/>
                <w:highlight w:val="none"/>
                <w:lang w:eastAsia="zh-CN"/>
              </w:rPr>
              <w:t>与《新乡市环境污染防治攻坚指挥部办公室关于印发新乡市2020年大气、水、土壤污染防治攻坚战实施方案的通知》新环攻坚办〔2020〕10号对照分析</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0" w:leftChars="0" w:right="0" w:firstLine="0" w:firstLineChars="0"/>
              <w:jc w:val="center"/>
              <w:textAlignment w:val="auto"/>
              <w:outlineLvl w:val="9"/>
              <w:rPr>
                <w:rFonts w:hint="default" w:ascii="Times New Roman" w:hAnsi="Times New Roman" w:cs="Times New Roman"/>
                <w:color w:val="000000"/>
                <w:sz w:val="21"/>
                <w:szCs w:val="21"/>
                <w:lang w:eastAsia="zh-CN"/>
              </w:rPr>
            </w:pPr>
            <w:r>
              <w:rPr>
                <w:rFonts w:hint="default" w:ascii="Times New Roman" w:hAnsi="Times New Roman" w:cs="Times New Roman" w:eastAsiaTheme="minorEastAsia"/>
                <w:b w:val="0"/>
                <w:bCs w:val="0"/>
                <w:color w:val="000000"/>
                <w:sz w:val="21"/>
                <w:szCs w:val="21"/>
                <w:highlight w:val="none"/>
                <w:lang w:val="en-US" w:eastAsia="zh-CN"/>
              </w:rPr>
              <w:t xml:space="preserve">    项目与《新乡市环境污染防治攻坚指挥部办公室关于印发新乡市2020年大气、水、土壤污染防治攻坚战实施方案的通知》相符性分析</w:t>
            </w:r>
          </w:p>
          <w:tbl>
            <w:tblPr>
              <w:tblStyle w:val="1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434"/>
              <w:gridCol w:w="1939"/>
              <w:gridCol w:w="6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文件名称</w:t>
                  </w:r>
                </w:p>
              </w:tc>
              <w:tc>
                <w:tcPr>
                  <w:tcW w:w="2605"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与本项目相关条文</w:t>
                  </w:r>
                </w:p>
              </w:tc>
              <w:tc>
                <w:tcPr>
                  <w:tcW w:w="1471"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本项目情况</w:t>
                  </w:r>
                </w:p>
              </w:tc>
              <w:tc>
                <w:tcPr>
                  <w:tcW w:w="474"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color w:val="000000"/>
                      <w:sz w:val="18"/>
                      <w:szCs w:val="18"/>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vMerge w:val="restar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《新乡市环境污染防治攻坚指挥部办公室</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关于印发新乡市2020年大气、水、土壤污染防治攻坚战实施方案的通知》</w:t>
                  </w:r>
                </w:p>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新环攻坚办〔2020〕10号</w:t>
                  </w:r>
                </w:p>
              </w:tc>
              <w:tc>
                <w:tcPr>
                  <w:tcW w:w="2605"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严格新建项目准入管理。加强区域、流域规划环评管理，强化对项目环评的指导和约束，逐步构建起“三线一单”为空间管控基础、项目环评为环境准入把关、排污许可为企业运行守法依据的管理新框架，从源头预防环境污染和生态破坏。全市原则上禁止新增钢铁、电解铝、水泥、玻璃、传统煤化工（甲醇、合成氨）、焦化、铸造、铝用炭素、砖瓦窑、耐火材料等行业产能，原则上禁止新建燃料类煤气发生炉和35蒸吨/时及以下燃煤锅炉。对水泥、玻璃等行业严格落实国家、省、市有关产能置换规定，新建涉工业炉窑的建设项目，应进入园区，配套建设高效环保治理设施。</w:t>
                  </w:r>
                </w:p>
              </w:tc>
              <w:tc>
                <w:tcPr>
                  <w:tcW w:w="1471"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color w:val="000000"/>
                      <w:sz w:val="18"/>
                      <w:szCs w:val="18"/>
                    </w:rPr>
                    <w:t>本项目不属于钢铁、电解铝、水泥、玻璃、传统煤化工（甲醇、合成氨）、焦化、铸造、铝用炭素、砖瓦窑、耐火材料等行业</w:t>
                  </w:r>
                </w:p>
              </w:tc>
              <w:tc>
                <w:tcPr>
                  <w:tcW w:w="474"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vMerge w:val="continue"/>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rPr>
                  </w:pPr>
                </w:p>
              </w:tc>
              <w:tc>
                <w:tcPr>
                  <w:tcW w:w="2605"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38. 加强废气收集和处理。推进治污设施升级改造，通过采用全密闭、连续化、自动化等生产技术，以及高效工艺与设备等，减少工艺过程无组织排放。提高废气收集率，遵循“应收尽收、分质收集”的原则，科学设计废气收集系统，将无组织排放转变为有组织排放进行控制，采用密闭空间作业的，除行业有特殊要求外，应保持微负压状态，并根据相关规范合理设置通风量；采用局部集气罩的，距集气罩开口面最远处的 VOCs 无组织排放位置，控制风速应不低于 0.3 米/秒，有行业要求的按相关规定执行。车间或生产设施收集排放的废气，VOCs 初始排放速率大于等于2 千克/小时，应加大控制力度，除确保排放浓度稳定达标外，还应实行去除效率控制，去除效率不低于 80%。</w:t>
                  </w:r>
                </w:p>
              </w:tc>
              <w:tc>
                <w:tcPr>
                  <w:tcW w:w="1471"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rPr>
                  </w:pPr>
                  <w:r>
                    <w:rPr>
                      <w:rFonts w:hint="default" w:ascii="Times New Roman" w:hAnsi="Times New Roman" w:cs="Times New Roman"/>
                      <w:bCs/>
                      <w:color w:val="000000"/>
                      <w:sz w:val="18"/>
                      <w:szCs w:val="18"/>
                    </w:rPr>
                    <w:t>本项涉及VOCs排放，项目VOCs产生点主要为</w:t>
                  </w:r>
                  <w:r>
                    <w:rPr>
                      <w:rFonts w:hint="default" w:ascii="Times New Roman" w:hAnsi="Times New Roman" w:cs="Times New Roman"/>
                      <w:bCs/>
                      <w:color w:val="000000"/>
                      <w:sz w:val="18"/>
                      <w:szCs w:val="18"/>
                      <w:lang w:eastAsia="zh-CN"/>
                    </w:rPr>
                    <w:t>熔融塑化、冷却脱模</w:t>
                  </w:r>
                  <w:r>
                    <w:rPr>
                      <w:rFonts w:hint="default" w:ascii="Times New Roman" w:hAnsi="Times New Roman" w:cs="Times New Roman"/>
                      <w:bCs/>
                      <w:color w:val="000000"/>
                      <w:sz w:val="18"/>
                      <w:szCs w:val="18"/>
                    </w:rPr>
                    <w:t>等工序，废气采用密闭作业，并对</w:t>
                  </w:r>
                  <w:r>
                    <w:rPr>
                      <w:rFonts w:hint="default" w:ascii="Times New Roman" w:hAnsi="Times New Roman" w:cs="Times New Roman"/>
                      <w:bCs/>
                      <w:color w:val="000000"/>
                      <w:sz w:val="18"/>
                      <w:szCs w:val="18"/>
                      <w:lang w:eastAsia="zh-CN"/>
                    </w:rPr>
                    <w:t>上述工序设备设置</w:t>
                  </w:r>
                  <w:r>
                    <w:rPr>
                      <w:rFonts w:hint="default" w:ascii="Times New Roman" w:hAnsi="Times New Roman" w:cs="Times New Roman"/>
                      <w:bCs/>
                      <w:color w:val="000000"/>
                      <w:sz w:val="18"/>
                      <w:szCs w:val="18"/>
                    </w:rPr>
                    <w:t>二次密闭</w:t>
                  </w:r>
                  <w:r>
                    <w:rPr>
                      <w:rFonts w:hint="default" w:ascii="Times New Roman" w:hAnsi="Times New Roman" w:cs="Times New Roman"/>
                      <w:bCs/>
                      <w:color w:val="000000"/>
                      <w:sz w:val="18"/>
                      <w:szCs w:val="18"/>
                      <w:lang w:eastAsia="zh-CN"/>
                    </w:rPr>
                    <w:t>间进行负压收集</w:t>
                  </w:r>
                  <w:r>
                    <w:rPr>
                      <w:rFonts w:hint="default" w:ascii="Times New Roman" w:hAnsi="Times New Roman" w:cs="Times New Roman"/>
                      <w:bCs/>
                      <w:color w:val="000000"/>
                      <w:sz w:val="18"/>
                      <w:szCs w:val="18"/>
                    </w:rPr>
                    <w:t>，尾气采用</w:t>
                  </w:r>
                  <w:r>
                    <w:rPr>
                      <w:rFonts w:hint="default" w:ascii="Times New Roman" w:hAnsi="Times New Roman" w:cs="Times New Roman"/>
                      <w:b/>
                      <w:bCs w:val="0"/>
                      <w:color w:val="000000"/>
                      <w:sz w:val="18"/>
                      <w:szCs w:val="18"/>
                      <w:u w:val="single"/>
                      <w:lang w:val="en-US" w:eastAsia="zh-CN"/>
                    </w:rPr>
                    <w:t>1套</w:t>
                  </w:r>
                  <w:r>
                    <w:rPr>
                      <w:rFonts w:hint="default" w:ascii="Times New Roman" w:hAnsi="Times New Roman" w:cs="Times New Roman" w:eastAsiaTheme="minorEastAsia"/>
                      <w:b/>
                      <w:bCs/>
                      <w:color w:val="000000"/>
                      <w:sz w:val="18"/>
                      <w:szCs w:val="18"/>
                      <w:highlight w:val="none"/>
                      <w:u w:val="single"/>
                      <w:lang w:val="en-US" w:eastAsia="zh-CN"/>
                    </w:rPr>
                    <w:t>“活性炭吸脱附+催化燃烧”</w:t>
                  </w:r>
                  <w:r>
                    <w:rPr>
                      <w:rFonts w:hint="default" w:ascii="Times New Roman" w:hAnsi="Times New Roman" w:cs="Times New Roman"/>
                      <w:b/>
                      <w:bCs w:val="0"/>
                      <w:color w:val="000000"/>
                      <w:sz w:val="18"/>
                      <w:szCs w:val="18"/>
                      <w:highlight w:val="none"/>
                      <w:u w:val="single"/>
                      <w:lang w:val="en-US" w:eastAsia="zh-CN"/>
                    </w:rPr>
                    <w:t>废气净化</w:t>
                  </w:r>
                  <w:r>
                    <w:rPr>
                      <w:rFonts w:hint="default" w:ascii="Times New Roman" w:hAnsi="Times New Roman" w:cs="Times New Roman"/>
                      <w:b/>
                      <w:bCs w:val="0"/>
                      <w:color w:val="000000"/>
                      <w:sz w:val="18"/>
                      <w:szCs w:val="18"/>
                      <w:highlight w:val="none"/>
                      <w:u w:val="single"/>
                    </w:rPr>
                    <w:t>装置</w:t>
                  </w:r>
                  <w:r>
                    <w:rPr>
                      <w:rFonts w:hint="default" w:ascii="Times New Roman" w:hAnsi="Times New Roman" w:cs="Times New Roman"/>
                      <w:bCs/>
                      <w:color w:val="000000"/>
                      <w:sz w:val="18"/>
                      <w:szCs w:val="18"/>
                    </w:rPr>
                    <w:t>进行处理，去除效率</w:t>
                  </w:r>
                  <w:r>
                    <w:rPr>
                      <w:rFonts w:hint="default" w:ascii="Times New Roman" w:hAnsi="Times New Roman" w:cs="Times New Roman"/>
                      <w:bCs/>
                      <w:color w:val="000000"/>
                      <w:sz w:val="18"/>
                      <w:szCs w:val="18"/>
                      <w:lang w:eastAsia="zh-CN"/>
                    </w:rPr>
                    <w:t>不低于</w:t>
                  </w:r>
                  <w:r>
                    <w:rPr>
                      <w:rFonts w:hint="default" w:ascii="Times New Roman" w:hAnsi="Times New Roman" w:cs="Times New Roman"/>
                      <w:bCs/>
                      <w:color w:val="000000"/>
                      <w:sz w:val="18"/>
                      <w:szCs w:val="18"/>
                      <w:lang w:val="en-US" w:eastAsia="zh-CN"/>
                    </w:rPr>
                    <w:t>80</w:t>
                  </w:r>
                  <w:r>
                    <w:rPr>
                      <w:rFonts w:hint="default" w:ascii="Times New Roman" w:hAnsi="Times New Roman" w:cs="Times New Roman"/>
                      <w:bCs/>
                      <w:color w:val="000000"/>
                      <w:sz w:val="18"/>
                      <w:szCs w:val="18"/>
                    </w:rPr>
                    <w:t>%。</w:t>
                  </w:r>
                </w:p>
              </w:tc>
              <w:tc>
                <w:tcPr>
                  <w:tcW w:w="474"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bCs/>
                      <w:color w:val="00000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vMerge w:val="continue"/>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color w:val="000000"/>
                      <w:sz w:val="18"/>
                      <w:szCs w:val="18"/>
                    </w:rPr>
                  </w:pPr>
                </w:p>
              </w:tc>
              <w:tc>
                <w:tcPr>
                  <w:tcW w:w="2605"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39. 强化设施运行管理。企业应系统梳理 </w:t>
                  </w:r>
                  <w:r>
                    <w:rPr>
                      <w:rFonts w:hint="default" w:ascii="Times New Roman" w:hAnsi="Times New Roman" w:cs="Times New Roman"/>
                      <w:color w:val="000000"/>
                      <w:spacing w:val="-6"/>
                      <w:sz w:val="18"/>
                      <w:szCs w:val="18"/>
                    </w:rPr>
                    <w:t>VOCs 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1471"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制定VOCs治理设施规程，落实到具体责任人，加强员工培训，设置设施运行台账，相关台账记录至少保存三年</w:t>
                  </w:r>
                </w:p>
              </w:tc>
              <w:tc>
                <w:tcPr>
                  <w:tcW w:w="474"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bl>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9"/>
              <w:rPr>
                <w:rFonts w:hint="default" w:ascii="Times New Roman" w:hAnsi="Times New Roman" w:cs="Times New Roman"/>
                <w:color w:val="000000"/>
                <w:sz w:val="21"/>
                <w:szCs w:val="21"/>
                <w:highlight w:val="none"/>
                <w:lang w:eastAsia="zh-CN"/>
              </w:rPr>
            </w:pPr>
            <w:r>
              <w:rPr>
                <w:rFonts w:hint="eastAsia" w:cs="Times New Roman"/>
                <w:color w:val="000000"/>
                <w:sz w:val="21"/>
                <w:szCs w:val="21"/>
                <w:highlight w:val="none"/>
                <w:lang w:val="en-US" w:eastAsia="zh-CN"/>
              </w:rPr>
              <w:t>7、</w:t>
            </w:r>
            <w:r>
              <w:rPr>
                <w:rFonts w:hint="default" w:ascii="Times New Roman" w:hAnsi="Times New Roman" w:cs="Times New Roman"/>
                <w:color w:val="000000"/>
                <w:sz w:val="21"/>
                <w:szCs w:val="21"/>
                <w:highlight w:val="none"/>
                <w:lang w:eastAsia="zh-CN"/>
              </w:rPr>
              <w:t>与《2020年挥发性有机物治理攻坚方案》对照分析</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0" w:leftChars="0" w:right="0" w:firstLine="0" w:firstLineChars="0"/>
              <w:jc w:val="center"/>
              <w:textAlignment w:val="auto"/>
              <w:outlineLvl w:val="9"/>
              <w:rPr>
                <w:rFonts w:hint="default" w:ascii="Times New Roman" w:hAnsi="Times New Roman" w:cs="Times New Roman"/>
                <w:color w:val="000000"/>
                <w:sz w:val="21"/>
                <w:szCs w:val="21"/>
                <w:lang w:eastAsia="zh-CN"/>
              </w:rPr>
            </w:pPr>
            <w:r>
              <w:rPr>
                <w:rFonts w:hint="default" w:ascii="Times New Roman" w:hAnsi="Times New Roman" w:cs="Times New Roman" w:eastAsiaTheme="minorEastAsia"/>
                <w:b w:val="0"/>
                <w:bCs w:val="0"/>
                <w:color w:val="000000"/>
                <w:sz w:val="21"/>
                <w:szCs w:val="21"/>
                <w:highlight w:val="none"/>
                <w:lang w:val="en-US" w:eastAsia="zh-CN"/>
              </w:rPr>
              <w:t xml:space="preserve">    项目与《2020年挥发性有机物治理攻坚方案》相符性分析</w:t>
            </w:r>
          </w:p>
          <w:tbl>
            <w:tblPr>
              <w:tblStyle w:val="18"/>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3462"/>
              <w:gridCol w:w="1896"/>
              <w:gridCol w:w="6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9" w:type="pct"/>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pacing w:val="-8"/>
                      <w:sz w:val="18"/>
                      <w:szCs w:val="18"/>
                    </w:rPr>
                  </w:pPr>
                  <w:r>
                    <w:rPr>
                      <w:rFonts w:hint="default" w:ascii="Times New Roman" w:hAnsi="Times New Roman" w:cs="Times New Roman"/>
                      <w:color w:val="000000"/>
                      <w:sz w:val="18"/>
                      <w:szCs w:val="18"/>
                      <w:lang w:eastAsia="zh-CN"/>
                    </w:rPr>
                    <w:t>文件名称</w:t>
                  </w:r>
                </w:p>
              </w:tc>
              <w:tc>
                <w:tcPr>
                  <w:tcW w:w="2627" w:type="pct"/>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color w:val="000000"/>
                      <w:sz w:val="18"/>
                      <w:szCs w:val="18"/>
                    </w:rPr>
                    <w:t>与本项目相关条文</w:t>
                  </w:r>
                </w:p>
              </w:tc>
              <w:tc>
                <w:tcPr>
                  <w:tcW w:w="1438" w:type="pct"/>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color w:val="000000"/>
                      <w:sz w:val="18"/>
                      <w:szCs w:val="18"/>
                    </w:rPr>
                    <w:t>本项目情况</w:t>
                  </w:r>
                </w:p>
              </w:tc>
              <w:tc>
                <w:tcPr>
                  <w:tcW w:w="464" w:type="pct"/>
                  <w:noWrap/>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9" w:type="pct"/>
                  <w:vMerge w:val="restart"/>
                  <w:noWrap/>
                  <w:vAlign w:val="center"/>
                </w:tcPr>
                <w:p>
                  <w:pPr>
                    <w:keepNext w:val="0"/>
                    <w:keepLines w:val="0"/>
                    <w:pageBreakBefore w:val="0"/>
                    <w:widowControl/>
                    <w:kinsoku/>
                    <w:wordWrap/>
                    <w:overflowPunct/>
                    <w:topLinePunct w:val="0"/>
                    <w:autoSpaceDE/>
                    <w:autoSpaceDN/>
                    <w:bidi w:val="0"/>
                    <w:spacing w:line="280" w:lineRule="exact"/>
                    <w:ind w:left="0" w:leftChars="0"/>
                    <w:jc w:val="center"/>
                    <w:textAlignment w:val="auto"/>
                    <w:outlineLvl w:val="9"/>
                    <w:rPr>
                      <w:rFonts w:hint="default" w:ascii="Times New Roman" w:hAnsi="Times New Roman" w:cs="Times New Roman"/>
                      <w:color w:val="000000"/>
                      <w:sz w:val="18"/>
                      <w:szCs w:val="18"/>
                      <w:lang w:val="zh-CN"/>
                    </w:rPr>
                  </w:pPr>
                  <w:r>
                    <w:rPr>
                      <w:rFonts w:hint="default" w:ascii="Times New Roman" w:hAnsi="Times New Roman" w:cs="Times New Roman"/>
                      <w:color w:val="000000"/>
                      <w:spacing w:val="-8"/>
                      <w:sz w:val="18"/>
                      <w:szCs w:val="18"/>
                    </w:rPr>
                    <w:t>《2020年挥发性有机物治理攻坚方案》</w:t>
                  </w:r>
                </w:p>
              </w:tc>
              <w:tc>
                <w:tcPr>
                  <w:tcW w:w="2627"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left"/>
                    <w:textAlignment w:val="auto"/>
                    <w:outlineLvl w:val="9"/>
                    <w:rPr>
                      <w:rFonts w:hint="default" w:ascii="Times New Roman" w:hAnsi="Times New Roman" w:cs="Times New Roman"/>
                      <w:color w:val="000000"/>
                      <w:sz w:val="18"/>
                      <w:szCs w:val="18"/>
                      <w:lang w:val="zh-CN"/>
                    </w:rPr>
                  </w:pPr>
                  <w:r>
                    <w:rPr>
                      <w:rFonts w:hint="default" w:ascii="Times New Roman" w:hAnsi="Times New Roman" w:cs="Times New Roman"/>
                      <w:bCs/>
                      <w:color w:val="000000"/>
                      <w:sz w:val="18"/>
                      <w:szCs w:val="18"/>
                    </w:rPr>
                    <w:t>企业应建立原辅材料台账，记录VOCs原辅材料名称、成分、VOCs含量、采购量、使用量、库存量、回收方式、回收量等信息，并保存相关证明材料。</w:t>
                  </w:r>
                </w:p>
              </w:tc>
              <w:tc>
                <w:tcPr>
                  <w:tcW w:w="1438"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bCs/>
                      <w:color w:val="000000"/>
                      <w:sz w:val="18"/>
                      <w:szCs w:val="18"/>
                    </w:rPr>
                    <w:t>企业应按照要求建立台账，台账保存期限不少于3年。</w:t>
                  </w:r>
                </w:p>
              </w:tc>
              <w:tc>
                <w:tcPr>
                  <w:tcW w:w="464"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000000"/>
                      <w:kern w:val="21"/>
                      <w:sz w:val="18"/>
                      <w:szCs w:val="18"/>
                    </w:rPr>
                  </w:pPr>
                  <w:r>
                    <w:rPr>
                      <w:rFonts w:hint="default" w:ascii="Times New Roman" w:hAnsi="Times New Roman" w:cs="Times New Roman"/>
                      <w:color w:val="00000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ign w:val="center"/>
                </w:tcPr>
                <w:p>
                  <w:pPr>
                    <w:keepNext w:val="0"/>
                    <w:keepLines w:val="0"/>
                    <w:pageBreakBefore w:val="0"/>
                    <w:widowControl/>
                    <w:kinsoku/>
                    <w:wordWrap/>
                    <w:overflowPunct/>
                    <w:topLinePunct w:val="0"/>
                    <w:autoSpaceDE/>
                    <w:autoSpaceDN/>
                    <w:bidi w:val="0"/>
                    <w:spacing w:line="280" w:lineRule="exact"/>
                    <w:ind w:left="0" w:leftChars="0"/>
                    <w:jc w:val="center"/>
                    <w:textAlignment w:val="auto"/>
                    <w:outlineLvl w:val="9"/>
                    <w:rPr>
                      <w:rFonts w:hint="default" w:ascii="Times New Roman" w:hAnsi="Times New Roman" w:cs="Times New Roman"/>
                      <w:color w:val="000000"/>
                      <w:sz w:val="18"/>
                      <w:szCs w:val="18"/>
                      <w:lang w:val="zh-CN"/>
                    </w:rPr>
                  </w:pPr>
                </w:p>
              </w:tc>
              <w:tc>
                <w:tcPr>
                  <w:tcW w:w="2627"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left"/>
                    <w:textAlignment w:val="auto"/>
                    <w:outlineLvl w:val="9"/>
                    <w:rPr>
                      <w:rFonts w:hint="default" w:ascii="Times New Roman" w:hAnsi="Times New Roman" w:cs="Times New Roman"/>
                      <w:color w:val="000000"/>
                      <w:sz w:val="18"/>
                      <w:szCs w:val="18"/>
                      <w:lang w:val="zh-CN"/>
                    </w:rPr>
                  </w:pPr>
                  <w:r>
                    <w:rPr>
                      <w:rFonts w:hint="default" w:ascii="Times New Roman" w:hAnsi="Times New Roman" w:cs="Times New Roman"/>
                      <w:bCs/>
                      <w:color w:val="000000"/>
                      <w:sz w:val="18"/>
                      <w:szCs w:val="18"/>
                    </w:rPr>
                    <w:t>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w:t>
                  </w:r>
                </w:p>
              </w:tc>
              <w:tc>
                <w:tcPr>
                  <w:tcW w:w="1438"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000000"/>
                      <w:sz w:val="18"/>
                      <w:szCs w:val="18"/>
                      <w:lang w:val="en-US" w:eastAsia="zh-CN"/>
                    </w:rPr>
                  </w:pPr>
                  <w:r>
                    <w:rPr>
                      <w:rFonts w:hint="default" w:ascii="Times New Roman" w:hAnsi="Times New Roman" w:cs="Times New Roman"/>
                      <w:color w:val="000000"/>
                      <w:sz w:val="18"/>
                      <w:szCs w:val="18"/>
                      <w:lang w:eastAsia="zh-CN"/>
                    </w:rPr>
                    <w:t>项目原料</w:t>
                  </w:r>
                  <w:r>
                    <w:rPr>
                      <w:rFonts w:hint="default" w:ascii="Times New Roman" w:hAnsi="Times New Roman" w:cs="Times New Roman"/>
                      <w:color w:val="000000"/>
                      <w:sz w:val="18"/>
                      <w:szCs w:val="18"/>
                      <w:lang w:val="en-US" w:eastAsia="zh-CN"/>
                    </w:rPr>
                    <w:t>PA66尼龙均为颗粒状袋装储存在生产车间内原料区；</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color w:val="000000"/>
                      <w:sz w:val="18"/>
                      <w:szCs w:val="18"/>
                      <w:lang w:eastAsia="zh-CN"/>
                    </w:rPr>
                    <w:t>项目</w:t>
                  </w:r>
                  <w:r>
                    <w:rPr>
                      <w:rFonts w:hint="default" w:ascii="Times New Roman" w:hAnsi="Times New Roman" w:cs="Times New Roman"/>
                      <w:color w:val="000000"/>
                      <w:sz w:val="18"/>
                      <w:szCs w:val="18"/>
                    </w:rPr>
                    <w:t>含 VOCs 产品</w:t>
                  </w:r>
                  <w:r>
                    <w:rPr>
                      <w:rFonts w:hint="default" w:ascii="Times New Roman" w:hAnsi="Times New Roman" w:cs="Times New Roman"/>
                      <w:color w:val="000000"/>
                      <w:sz w:val="18"/>
                      <w:szCs w:val="18"/>
                      <w:lang w:eastAsia="zh-CN"/>
                    </w:rPr>
                    <w:t>生产</w:t>
                  </w:r>
                  <w:r>
                    <w:rPr>
                      <w:rFonts w:hint="default" w:ascii="Times New Roman" w:hAnsi="Times New Roman" w:cs="Times New Roman"/>
                      <w:color w:val="000000"/>
                      <w:sz w:val="18"/>
                      <w:szCs w:val="18"/>
                    </w:rPr>
                    <w:t>过程设备</w:t>
                  </w:r>
                  <w:r>
                    <w:rPr>
                      <w:rFonts w:hint="default" w:ascii="Times New Roman" w:hAnsi="Times New Roman" w:cs="Times New Roman"/>
                      <w:color w:val="000000"/>
                      <w:sz w:val="18"/>
                      <w:szCs w:val="18"/>
                      <w:lang w:eastAsia="zh-CN"/>
                    </w:rPr>
                    <w:t>均设置在二次</w:t>
                  </w:r>
                  <w:r>
                    <w:rPr>
                      <w:rFonts w:hint="default" w:ascii="Times New Roman" w:hAnsi="Times New Roman" w:cs="Times New Roman"/>
                      <w:color w:val="000000"/>
                      <w:sz w:val="18"/>
                      <w:szCs w:val="18"/>
                    </w:rPr>
                    <w:t>密闭</w:t>
                  </w:r>
                  <w:r>
                    <w:rPr>
                      <w:rFonts w:hint="default" w:ascii="Times New Roman" w:hAnsi="Times New Roman" w:cs="Times New Roman"/>
                      <w:color w:val="000000"/>
                      <w:sz w:val="18"/>
                      <w:szCs w:val="18"/>
                      <w:lang w:eastAsia="zh-CN"/>
                    </w:rPr>
                    <w:t>间内，通过负压集气方式进行收集。</w:t>
                  </w:r>
                </w:p>
              </w:tc>
              <w:tc>
                <w:tcPr>
                  <w:tcW w:w="464"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000000"/>
                      <w:kern w:val="21"/>
                      <w:sz w:val="18"/>
                      <w:szCs w:val="18"/>
                    </w:rPr>
                  </w:pPr>
                  <w:r>
                    <w:rPr>
                      <w:rFonts w:hint="default" w:ascii="Times New Roman" w:hAnsi="Times New Roman" w:cs="Times New Roman"/>
                      <w:color w:val="00000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ign w:val="center"/>
                </w:tcPr>
                <w:p>
                  <w:pPr>
                    <w:keepNext w:val="0"/>
                    <w:keepLines w:val="0"/>
                    <w:pageBreakBefore w:val="0"/>
                    <w:widowControl/>
                    <w:kinsoku/>
                    <w:wordWrap/>
                    <w:overflowPunct/>
                    <w:topLinePunct w:val="0"/>
                    <w:autoSpaceDE/>
                    <w:autoSpaceDN/>
                    <w:bidi w:val="0"/>
                    <w:spacing w:line="280" w:lineRule="exact"/>
                    <w:ind w:left="0" w:leftChars="0"/>
                    <w:jc w:val="center"/>
                    <w:textAlignment w:val="auto"/>
                    <w:outlineLvl w:val="9"/>
                    <w:rPr>
                      <w:rFonts w:hint="default" w:ascii="Times New Roman" w:hAnsi="Times New Roman" w:cs="Times New Roman"/>
                      <w:color w:val="000000"/>
                      <w:sz w:val="18"/>
                      <w:szCs w:val="18"/>
                      <w:lang w:val="zh-CN"/>
                    </w:rPr>
                  </w:pPr>
                </w:p>
              </w:tc>
              <w:tc>
                <w:tcPr>
                  <w:tcW w:w="2627"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000000"/>
                      <w:sz w:val="18"/>
                      <w:szCs w:val="18"/>
                      <w:lang w:val="zh-CN"/>
                    </w:rPr>
                  </w:pPr>
                  <w:r>
                    <w:rPr>
                      <w:rFonts w:hint="default" w:ascii="Times New Roman" w:hAnsi="Times New Roman" w:cs="Times New Roman"/>
                      <w:bCs/>
                      <w:color w:val="000000"/>
                      <w:sz w:val="18"/>
                      <w:szCs w:val="18"/>
                    </w:rPr>
                    <w:t>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按照“适宜高效”的原则提高治理设施去除率，不得稀释排放。</w:t>
                  </w:r>
                </w:p>
              </w:tc>
              <w:tc>
                <w:tcPr>
                  <w:tcW w:w="1438"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000000"/>
                      <w:sz w:val="18"/>
                      <w:szCs w:val="18"/>
                    </w:rPr>
                  </w:pPr>
                  <w:r>
                    <w:rPr>
                      <w:rFonts w:hint="default" w:ascii="Times New Roman" w:hAnsi="Times New Roman" w:cs="Times New Roman"/>
                      <w:bCs/>
                      <w:color w:val="000000"/>
                      <w:sz w:val="18"/>
                      <w:szCs w:val="18"/>
                    </w:rPr>
                    <w:t>企业VOCs 废气收集处理系统与生产工艺设备同步运行。</w:t>
                  </w:r>
                  <w:r>
                    <w:rPr>
                      <w:rFonts w:hint="default" w:ascii="Times New Roman" w:hAnsi="Times New Roman" w:cs="Times New Roman"/>
                      <w:color w:val="000000"/>
                      <w:sz w:val="18"/>
                      <w:szCs w:val="18"/>
                    </w:rPr>
                    <w:t>含 VOCs 产品使用过程采用二次密闭间，废气排至 VOCs 废气收集处理系统，</w:t>
                  </w:r>
                  <w:r>
                    <w:rPr>
                      <w:rFonts w:hint="default" w:ascii="Times New Roman" w:hAnsi="Times New Roman" w:cs="Times New Roman"/>
                      <w:bCs/>
                      <w:color w:val="000000"/>
                      <w:sz w:val="18"/>
                      <w:szCs w:val="18"/>
                    </w:rPr>
                    <w:t>VOCs 废气收集处理系统发生故障或检修时，对应的生产工艺设备应停止运行，待检修完毕后同步投入使用。</w:t>
                  </w:r>
                </w:p>
              </w:tc>
              <w:tc>
                <w:tcPr>
                  <w:tcW w:w="464" w:type="pct"/>
                  <w:noWrap/>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000000"/>
                      <w:kern w:val="21"/>
                      <w:sz w:val="18"/>
                      <w:szCs w:val="18"/>
                    </w:rPr>
                  </w:pPr>
                  <w:r>
                    <w:rPr>
                      <w:rFonts w:hint="default" w:ascii="Times New Roman" w:hAnsi="Times New Roman" w:cs="Times New Roman"/>
                      <w:color w:val="000000"/>
                      <w:sz w:val="18"/>
                      <w:szCs w:val="18"/>
                    </w:rPr>
                    <w:t>符合</w:t>
                  </w:r>
                </w:p>
              </w:tc>
            </w:tr>
          </w:tbl>
          <w:p>
            <w:pPr>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ascii="Times New Roman" w:hAnsi="Times New Roman" w:cs="Times New Roman"/>
                <w:snapToGrid/>
                <w:color w:val="000000"/>
                <w:sz w:val="21"/>
                <w:szCs w:val="21"/>
                <w:highlight w:val="none"/>
                <w:lang w:val="en-US" w:eastAsia="zh-CN" w:bidi="ar-SA"/>
              </w:rPr>
            </w:pPr>
            <w:r>
              <w:rPr>
                <w:rFonts w:hint="eastAsia" w:cs="Times New Roman"/>
                <w:color w:val="000000"/>
                <w:sz w:val="21"/>
                <w:szCs w:val="21"/>
                <w:highlight w:val="none"/>
                <w:lang w:val="en-US" w:eastAsia="zh-CN"/>
              </w:rPr>
              <w:t>8、</w:t>
            </w:r>
            <w:r>
              <w:rPr>
                <w:rFonts w:hint="default" w:ascii="Times New Roman" w:hAnsi="Times New Roman" w:cs="Times New Roman"/>
                <w:color w:val="000000"/>
                <w:sz w:val="21"/>
                <w:szCs w:val="21"/>
                <w:highlight w:val="none"/>
                <w:lang w:eastAsia="zh-CN"/>
              </w:rPr>
              <w:t>与《挥发性有机物无组织排放控制</w:t>
            </w:r>
            <w:r>
              <w:rPr>
                <w:rFonts w:hint="default" w:ascii="Times New Roman" w:hAnsi="Times New Roman" w:eastAsia="宋体" w:cs="Times New Roman"/>
                <w:snapToGrid/>
                <w:color w:val="000000"/>
                <w:sz w:val="21"/>
                <w:szCs w:val="21"/>
                <w:highlight w:val="none"/>
                <w:lang w:val="en-US" w:eastAsia="zh-CN" w:bidi="ar-SA"/>
              </w:rPr>
              <w:t>标准（GB 37822—2019</w:t>
            </w:r>
            <w:r>
              <w:rPr>
                <w:rFonts w:hint="default" w:ascii="Times New Roman" w:hAnsi="Times New Roman" w:cs="Times New Roman"/>
                <w:snapToGrid/>
                <w:color w:val="000000"/>
                <w:sz w:val="21"/>
                <w:szCs w:val="21"/>
                <w:highlight w:val="none"/>
                <w:lang w:val="en-US" w:eastAsia="zh-CN" w:bidi="ar-SA"/>
              </w:rPr>
              <w:t>）</w:t>
            </w:r>
            <w:r>
              <w:rPr>
                <w:rFonts w:hint="default" w:ascii="Times New Roman" w:hAnsi="Times New Roman" w:eastAsia="宋体" w:cs="Times New Roman"/>
                <w:snapToGrid/>
                <w:color w:val="000000"/>
                <w:sz w:val="21"/>
                <w:szCs w:val="21"/>
                <w:highlight w:val="none"/>
                <w:lang w:val="en-US" w:eastAsia="zh-CN" w:bidi="ar-SA"/>
              </w:rPr>
              <w:t>》</w:t>
            </w:r>
            <w:r>
              <w:rPr>
                <w:rFonts w:hint="default" w:ascii="Times New Roman" w:hAnsi="Times New Roman" w:cs="Times New Roman"/>
                <w:snapToGrid/>
                <w:color w:val="000000"/>
                <w:sz w:val="21"/>
                <w:szCs w:val="21"/>
                <w:highlight w:val="none"/>
                <w:lang w:val="en-US" w:eastAsia="zh-CN" w:bidi="ar-SA"/>
              </w:rPr>
              <w:t>对照分析。</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0" w:leftChars="0" w:right="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 xml:space="preserve">    项目与《挥发性有机物无组织排放控制标准（GB 37822—2019）》相符性分析</w:t>
            </w:r>
          </w:p>
          <w:tbl>
            <w:tblPr>
              <w:tblStyle w:val="18"/>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969"/>
              <w:gridCol w:w="2197"/>
              <w:gridCol w:w="68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1" w:type="pct"/>
                  <w:gridSpan w:val="2"/>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《控制标准》中与本项目有关的内容</w:t>
                  </w:r>
                </w:p>
              </w:tc>
              <w:tc>
                <w:tcPr>
                  <w:tcW w:w="1667"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本项目情况</w:t>
                  </w:r>
                </w:p>
              </w:tc>
              <w:tc>
                <w:tcPr>
                  <w:tcW w:w="521" w:type="pct"/>
                  <w:noWrap w:val="0"/>
                  <w:vAlign w:val="center"/>
                </w:tcPr>
                <w:p>
                  <w:pPr>
                    <w:keepNext w:val="0"/>
                    <w:keepLines w:val="0"/>
                    <w:pageBreakBefore w:val="0"/>
                    <w:widowControl/>
                    <w:kinsoku/>
                    <w:wordWrap/>
                    <w:overflowPunct/>
                    <w:topLinePunct w:val="0"/>
                    <w:autoSpaceDE/>
                    <w:autoSpaceDN/>
                    <w:bidi w:val="0"/>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noWrap w:val="0"/>
                  <w:vAlign w:val="center"/>
                </w:tcPr>
                <w:p>
                  <w:pPr>
                    <w:keepNext w:val="0"/>
                    <w:keepLines w:val="0"/>
                    <w:pageBreakBefore w:val="0"/>
                    <w:widowControl/>
                    <w:kinsoku/>
                    <w:wordWrap/>
                    <w:overflowPunct/>
                    <w:topLinePunct w:val="0"/>
                    <w:autoSpaceDE/>
                    <w:autoSpaceDN/>
                    <w:bidi w:val="0"/>
                    <w:spacing w:line="280" w:lineRule="exact"/>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5.VOCs物料储存无组织排放控制要求</w:t>
                  </w: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5.1.1 VOCs物料应储存于密闭的容器、包装袋、储罐、储库、料仓中。</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本项目涉及VOCs物料为</w:t>
                  </w:r>
                  <w:r>
                    <w:rPr>
                      <w:rFonts w:hint="default" w:ascii="Times New Roman" w:hAnsi="Times New Roman" w:cs="Times New Roman"/>
                      <w:bCs/>
                      <w:color w:val="000000"/>
                      <w:sz w:val="18"/>
                      <w:szCs w:val="18"/>
                      <w:lang w:val="en-US" w:eastAsia="zh-CN"/>
                    </w:rPr>
                    <w:t>PA66尼龙塑料颗粒</w:t>
                  </w:r>
                  <w:r>
                    <w:rPr>
                      <w:rFonts w:hint="default" w:ascii="Times New Roman" w:hAnsi="Times New Roman" w:cs="Times New Roman"/>
                      <w:bCs/>
                      <w:color w:val="000000"/>
                      <w:sz w:val="18"/>
                      <w:szCs w:val="18"/>
                    </w:rPr>
                    <w:t>，均在密闭的包装袋内储存，暂存于料库中备用。</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noWrap w:val="0"/>
                  <w:vAlign w:val="center"/>
                </w:tcPr>
                <w:p>
                  <w:pPr>
                    <w:keepNext w:val="0"/>
                    <w:keepLines w:val="0"/>
                    <w:pageBreakBefore w:val="0"/>
                    <w:widowControl/>
                    <w:kinsoku/>
                    <w:wordWrap/>
                    <w:overflowPunct/>
                    <w:topLinePunct w:val="0"/>
                    <w:autoSpaceDE/>
                    <w:autoSpaceDN/>
                    <w:bidi w:val="0"/>
                    <w:spacing w:line="280" w:lineRule="exact"/>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7、工艺工程VOC</w:t>
                  </w:r>
                  <w:r>
                    <w:rPr>
                      <w:rFonts w:hint="default" w:ascii="Times New Roman" w:hAnsi="Times New Roman" w:cs="Times New Roman"/>
                      <w:bCs/>
                      <w:color w:val="000000"/>
                      <w:sz w:val="18"/>
                      <w:szCs w:val="18"/>
                      <w:vertAlign w:val="subscript"/>
                    </w:rPr>
                    <w:t>S</w:t>
                  </w:r>
                  <w:r>
                    <w:rPr>
                      <w:rFonts w:hint="default" w:ascii="Times New Roman" w:hAnsi="Times New Roman" w:cs="Times New Roman"/>
                      <w:bCs/>
                      <w:color w:val="000000"/>
                      <w:sz w:val="18"/>
                      <w:szCs w:val="18"/>
                    </w:rPr>
                    <w:t>无组织排放控制要求</w:t>
                  </w: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 xml:space="preserve">7.1.5配料加工和含VOCs产品的包装VOCs物料混合、搅拌、研磨、造粒、切片、压块等配料加工过程,以及含VOCs产品的包装(灌袋分装)过程应采用密闭设备或在密闭空间内操作,废气应排至VOCs废气收集处理系统:无法密闭时,应采取局部气体收集措施,废气应排至VOCs废气收集处理系统。 </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本项目产生VOCs的工序为</w:t>
                  </w:r>
                  <w:r>
                    <w:rPr>
                      <w:rFonts w:hint="default" w:ascii="Times New Roman" w:hAnsi="Times New Roman" w:cs="Times New Roman"/>
                      <w:bCs/>
                      <w:color w:val="000000"/>
                      <w:sz w:val="18"/>
                      <w:szCs w:val="18"/>
                      <w:lang w:eastAsia="zh-CN"/>
                    </w:rPr>
                    <w:t>熔融塑化</w:t>
                  </w:r>
                  <w:r>
                    <w:rPr>
                      <w:rFonts w:hint="default" w:ascii="Times New Roman" w:hAnsi="Times New Roman" w:cs="Times New Roman"/>
                      <w:bCs/>
                      <w:color w:val="000000"/>
                      <w:sz w:val="18"/>
                      <w:szCs w:val="18"/>
                    </w:rPr>
                    <w:t>、冷却</w:t>
                  </w:r>
                  <w:r>
                    <w:rPr>
                      <w:rFonts w:hint="default" w:ascii="Times New Roman" w:hAnsi="Times New Roman" w:cs="Times New Roman"/>
                      <w:bCs/>
                      <w:color w:val="000000"/>
                      <w:sz w:val="18"/>
                      <w:szCs w:val="18"/>
                      <w:lang w:eastAsia="zh-CN"/>
                    </w:rPr>
                    <w:t>脱模</w:t>
                  </w:r>
                  <w:r>
                    <w:rPr>
                      <w:rFonts w:hint="default" w:ascii="Times New Roman" w:hAnsi="Times New Roman" w:cs="Times New Roman"/>
                      <w:bCs/>
                      <w:color w:val="000000"/>
                      <w:sz w:val="18"/>
                      <w:szCs w:val="18"/>
                    </w:rPr>
                    <w:t>等工段，评价要求</w:t>
                  </w:r>
                  <w:r>
                    <w:rPr>
                      <w:rFonts w:hint="default" w:ascii="Times New Roman" w:hAnsi="Times New Roman" w:cs="Times New Roman"/>
                      <w:bCs/>
                      <w:color w:val="000000"/>
                      <w:sz w:val="18"/>
                      <w:szCs w:val="18"/>
                      <w:lang w:eastAsia="zh-CN"/>
                    </w:rPr>
                    <w:t>对所有注塑机设置</w:t>
                  </w:r>
                  <w:r>
                    <w:rPr>
                      <w:rFonts w:hint="default" w:ascii="Times New Roman" w:hAnsi="Times New Roman" w:cs="Times New Roman"/>
                      <w:bCs/>
                      <w:color w:val="000000"/>
                      <w:sz w:val="18"/>
                      <w:szCs w:val="18"/>
                    </w:rPr>
                    <w:t>二次密闭</w:t>
                  </w:r>
                  <w:r>
                    <w:rPr>
                      <w:rFonts w:hint="default" w:ascii="Times New Roman" w:hAnsi="Times New Roman" w:cs="Times New Roman"/>
                      <w:bCs/>
                      <w:color w:val="000000"/>
                      <w:sz w:val="18"/>
                      <w:szCs w:val="18"/>
                      <w:lang w:eastAsia="zh-CN"/>
                    </w:rPr>
                    <w:t>间</w:t>
                  </w:r>
                  <w:r>
                    <w:rPr>
                      <w:rFonts w:hint="default" w:ascii="Times New Roman" w:hAnsi="Times New Roman" w:cs="Times New Roman"/>
                      <w:bCs/>
                      <w:color w:val="000000"/>
                      <w:sz w:val="18"/>
                      <w:szCs w:val="18"/>
                    </w:rPr>
                    <w:t>，废气采用负压抽吸后，</w:t>
                  </w:r>
                  <w:r>
                    <w:rPr>
                      <w:rFonts w:hint="default" w:ascii="Times New Roman" w:hAnsi="Times New Roman" w:cs="Times New Roman"/>
                      <w:bCs/>
                      <w:color w:val="000000"/>
                      <w:sz w:val="18"/>
                      <w:szCs w:val="18"/>
                      <w:lang w:eastAsia="zh-CN"/>
                    </w:rPr>
                    <w:t>通过</w:t>
                  </w:r>
                  <w:r>
                    <w:rPr>
                      <w:rFonts w:hint="default" w:ascii="Times New Roman" w:hAnsi="Times New Roman" w:cs="Times New Roman"/>
                      <w:b/>
                      <w:bCs w:val="0"/>
                      <w:color w:val="000000"/>
                      <w:sz w:val="18"/>
                      <w:szCs w:val="18"/>
                      <w:u w:val="single"/>
                      <w:lang w:val="en-US" w:eastAsia="zh-CN"/>
                    </w:rPr>
                    <w:t>1套</w:t>
                  </w:r>
                  <w:r>
                    <w:rPr>
                      <w:rFonts w:hint="default" w:ascii="Times New Roman" w:hAnsi="Times New Roman" w:cs="Times New Roman" w:eastAsiaTheme="minorEastAsia"/>
                      <w:b/>
                      <w:bCs/>
                      <w:color w:val="000000"/>
                      <w:sz w:val="18"/>
                      <w:szCs w:val="18"/>
                      <w:highlight w:val="none"/>
                      <w:u w:val="single"/>
                      <w:lang w:val="en-US" w:eastAsia="zh-CN"/>
                    </w:rPr>
                    <w:t>“活性炭吸脱附+催化燃烧”</w:t>
                  </w:r>
                  <w:r>
                    <w:rPr>
                      <w:rFonts w:hint="default" w:ascii="Times New Roman" w:hAnsi="Times New Roman" w:cs="Times New Roman"/>
                      <w:b/>
                      <w:bCs w:val="0"/>
                      <w:color w:val="000000"/>
                      <w:sz w:val="18"/>
                      <w:szCs w:val="18"/>
                      <w:highlight w:val="none"/>
                      <w:u w:val="single"/>
                      <w:lang w:val="en-US" w:eastAsia="zh-CN"/>
                    </w:rPr>
                    <w:t>废气净化</w:t>
                  </w:r>
                  <w:r>
                    <w:rPr>
                      <w:rFonts w:hint="default" w:ascii="Times New Roman" w:hAnsi="Times New Roman" w:cs="Times New Roman"/>
                      <w:b/>
                      <w:bCs w:val="0"/>
                      <w:color w:val="000000"/>
                      <w:sz w:val="18"/>
                      <w:szCs w:val="18"/>
                      <w:highlight w:val="none"/>
                      <w:u w:val="single"/>
                    </w:rPr>
                    <w:t>装置</w:t>
                  </w:r>
                  <w:r>
                    <w:rPr>
                      <w:rFonts w:hint="default" w:ascii="Times New Roman" w:hAnsi="Times New Roman" w:cs="Times New Roman"/>
                      <w:bCs/>
                      <w:color w:val="000000"/>
                      <w:sz w:val="18"/>
                      <w:szCs w:val="18"/>
                    </w:rPr>
                    <w:t>进行治理，经</w:t>
                  </w:r>
                  <w:r>
                    <w:rPr>
                      <w:rFonts w:hint="default" w:ascii="Times New Roman" w:hAnsi="Times New Roman" w:cs="Times New Roman"/>
                      <w:bCs/>
                      <w:color w:val="000000"/>
                      <w:sz w:val="18"/>
                      <w:szCs w:val="18"/>
                      <w:lang w:val="en-US" w:eastAsia="zh-CN"/>
                    </w:rPr>
                    <w:t>15m</w:t>
                  </w:r>
                  <w:r>
                    <w:rPr>
                      <w:rFonts w:hint="default" w:ascii="Times New Roman" w:hAnsi="Times New Roman" w:cs="Times New Roman"/>
                      <w:bCs/>
                      <w:color w:val="000000"/>
                      <w:sz w:val="18"/>
                      <w:szCs w:val="18"/>
                    </w:rPr>
                    <w:t>排气筒有组织排放。</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noWrap w:val="0"/>
                  <w:vAlign w:val="center"/>
                </w:tcPr>
                <w:p>
                  <w:pPr>
                    <w:keepNext w:val="0"/>
                    <w:keepLines w:val="0"/>
                    <w:pageBreakBefore w:val="0"/>
                    <w:widowControl/>
                    <w:kinsoku/>
                    <w:wordWrap/>
                    <w:overflowPunct/>
                    <w:topLinePunct w:val="0"/>
                    <w:autoSpaceDE/>
                    <w:autoSpaceDN/>
                    <w:bidi w:val="0"/>
                    <w:spacing w:line="280" w:lineRule="exact"/>
                    <w:ind w:left="0" w:leftChars="0"/>
                    <w:jc w:val="center"/>
                    <w:textAlignment w:val="auto"/>
                    <w:outlineLvl w:val="9"/>
                    <w:rPr>
                      <w:rFonts w:hint="default" w:ascii="Times New Roman" w:hAnsi="Times New Roman" w:cs="Times New Roman"/>
                      <w:bCs/>
                      <w:color w:val="000000"/>
                      <w:sz w:val="18"/>
                      <w:szCs w:val="18"/>
                    </w:rPr>
                  </w:pP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7.2含VOCs 产品的使用过程</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7.2.2 有机聚合物产品用于制品生产的过程，在混合/混炼、塑炼/塑化/熔化、加工成型（挤出、注射、压制、压延、发泡、纺丝等）等作业中应采用密闭设备或在密闭空间内操作，废气应排至VOCs 废气收集处理系统；无法密闭的，应采取局部气体收集措施，废气应排至VOCs 废气收集处理系统。</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本项目含有</w:t>
                  </w:r>
                  <w:r>
                    <w:rPr>
                      <w:rFonts w:hint="default" w:ascii="Times New Roman" w:hAnsi="Times New Roman" w:cs="Times New Roman"/>
                      <w:bCs/>
                      <w:color w:val="000000"/>
                      <w:sz w:val="18"/>
                      <w:szCs w:val="18"/>
                      <w:lang w:eastAsia="zh-CN"/>
                    </w:rPr>
                    <w:t>塑化、融化</w:t>
                  </w:r>
                  <w:r>
                    <w:rPr>
                      <w:rFonts w:hint="default" w:ascii="Times New Roman" w:hAnsi="Times New Roman" w:cs="Times New Roman"/>
                      <w:bCs/>
                      <w:color w:val="000000"/>
                      <w:sz w:val="18"/>
                      <w:szCs w:val="18"/>
                    </w:rPr>
                    <w:t>工段，评价要求</w:t>
                  </w:r>
                  <w:r>
                    <w:rPr>
                      <w:rFonts w:hint="default" w:ascii="Times New Roman" w:hAnsi="Times New Roman" w:cs="Times New Roman"/>
                      <w:bCs/>
                      <w:color w:val="000000"/>
                      <w:sz w:val="18"/>
                      <w:szCs w:val="18"/>
                      <w:lang w:eastAsia="zh-CN"/>
                    </w:rPr>
                    <w:t>注塑机</w:t>
                  </w:r>
                  <w:r>
                    <w:rPr>
                      <w:rFonts w:hint="default" w:ascii="Times New Roman" w:hAnsi="Times New Roman" w:cs="Times New Roman"/>
                      <w:bCs/>
                      <w:color w:val="000000"/>
                      <w:sz w:val="18"/>
                      <w:szCs w:val="18"/>
                    </w:rPr>
                    <w:t>密闭操作，管道收集废气，对</w:t>
                  </w:r>
                  <w:r>
                    <w:rPr>
                      <w:rFonts w:hint="default" w:ascii="Times New Roman" w:hAnsi="Times New Roman" w:cs="Times New Roman"/>
                      <w:bCs/>
                      <w:color w:val="000000"/>
                      <w:sz w:val="18"/>
                      <w:szCs w:val="18"/>
                      <w:lang w:eastAsia="zh-CN"/>
                    </w:rPr>
                    <w:t>熔融塑化、冷却脱模</w:t>
                  </w:r>
                  <w:r>
                    <w:rPr>
                      <w:rFonts w:hint="default" w:ascii="Times New Roman" w:hAnsi="Times New Roman" w:cs="Times New Roman"/>
                      <w:bCs/>
                      <w:color w:val="000000"/>
                      <w:sz w:val="18"/>
                      <w:szCs w:val="18"/>
                    </w:rPr>
                    <w:t>等工序进行二次密闭，废气采用负压抽吸后，由</w:t>
                  </w:r>
                  <w:r>
                    <w:rPr>
                      <w:rFonts w:hint="default" w:ascii="Times New Roman" w:hAnsi="Times New Roman" w:cs="Times New Roman"/>
                      <w:b/>
                      <w:bCs w:val="0"/>
                      <w:color w:val="000000"/>
                      <w:sz w:val="18"/>
                      <w:szCs w:val="18"/>
                      <w:u w:val="single"/>
                      <w:lang w:val="en-US" w:eastAsia="zh-CN"/>
                    </w:rPr>
                    <w:t>1套</w:t>
                  </w:r>
                  <w:r>
                    <w:rPr>
                      <w:rFonts w:hint="default" w:ascii="Times New Roman" w:hAnsi="Times New Roman" w:cs="Times New Roman" w:eastAsiaTheme="minorEastAsia"/>
                      <w:b/>
                      <w:bCs/>
                      <w:color w:val="000000"/>
                      <w:sz w:val="18"/>
                      <w:szCs w:val="18"/>
                      <w:highlight w:val="none"/>
                      <w:u w:val="single"/>
                      <w:lang w:val="en-US" w:eastAsia="zh-CN"/>
                    </w:rPr>
                    <w:t>“活性炭吸脱附+催化燃烧”</w:t>
                  </w:r>
                  <w:r>
                    <w:rPr>
                      <w:rFonts w:hint="default" w:ascii="Times New Roman" w:hAnsi="Times New Roman" w:cs="Times New Roman"/>
                      <w:b/>
                      <w:bCs w:val="0"/>
                      <w:color w:val="000000"/>
                      <w:sz w:val="18"/>
                      <w:szCs w:val="18"/>
                      <w:highlight w:val="none"/>
                      <w:u w:val="single"/>
                      <w:lang w:val="en-US" w:eastAsia="zh-CN"/>
                    </w:rPr>
                    <w:t>废气净化</w:t>
                  </w:r>
                  <w:r>
                    <w:rPr>
                      <w:rFonts w:hint="default" w:ascii="Times New Roman" w:hAnsi="Times New Roman" w:cs="Times New Roman"/>
                      <w:b/>
                      <w:bCs w:val="0"/>
                      <w:color w:val="000000"/>
                      <w:sz w:val="18"/>
                      <w:szCs w:val="18"/>
                      <w:highlight w:val="none"/>
                      <w:u w:val="single"/>
                    </w:rPr>
                    <w:t>装置</w:t>
                  </w:r>
                  <w:r>
                    <w:rPr>
                      <w:rFonts w:hint="default" w:ascii="Times New Roman" w:hAnsi="Times New Roman" w:cs="Times New Roman"/>
                      <w:bCs/>
                      <w:color w:val="000000"/>
                      <w:sz w:val="18"/>
                      <w:szCs w:val="18"/>
                    </w:rPr>
                    <w:t>进行治理，经</w:t>
                  </w:r>
                  <w:r>
                    <w:rPr>
                      <w:rFonts w:hint="default" w:ascii="Times New Roman" w:hAnsi="Times New Roman" w:cs="Times New Roman"/>
                      <w:bCs/>
                      <w:color w:val="000000"/>
                      <w:sz w:val="18"/>
                      <w:szCs w:val="18"/>
                      <w:lang w:val="en-US" w:eastAsia="zh-CN"/>
                    </w:rPr>
                    <w:t>15m高</w:t>
                  </w:r>
                  <w:r>
                    <w:rPr>
                      <w:rFonts w:hint="default" w:ascii="Times New Roman" w:hAnsi="Times New Roman" w:cs="Times New Roman"/>
                      <w:bCs/>
                      <w:color w:val="000000"/>
                      <w:sz w:val="18"/>
                      <w:szCs w:val="18"/>
                    </w:rPr>
                    <w:t>排气筒有组织排放。</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noWrap w:val="0"/>
                  <w:vAlign w:val="center"/>
                </w:tcPr>
                <w:p>
                  <w:pPr>
                    <w:keepNext w:val="0"/>
                    <w:keepLines w:val="0"/>
                    <w:pageBreakBefore w:val="0"/>
                    <w:widowControl/>
                    <w:kinsoku/>
                    <w:wordWrap/>
                    <w:overflowPunct/>
                    <w:topLinePunct w:val="0"/>
                    <w:autoSpaceDE/>
                    <w:autoSpaceDN/>
                    <w:bidi w:val="0"/>
                    <w:spacing w:line="280" w:lineRule="exact"/>
                    <w:ind w:left="0" w:leftChars="0"/>
                    <w:jc w:val="center"/>
                    <w:textAlignment w:val="auto"/>
                    <w:outlineLvl w:val="9"/>
                    <w:rPr>
                      <w:rFonts w:hint="default" w:ascii="Times New Roman" w:hAnsi="Times New Roman" w:cs="Times New Roman"/>
                      <w:bCs/>
                      <w:color w:val="000000"/>
                      <w:sz w:val="18"/>
                      <w:szCs w:val="18"/>
                    </w:rPr>
                  </w:pP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7.3其他要求</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7.3.1 企业应建立台账，记录含VOCs 原辅材料和含VOCs 产品的名称、使用量、回收量、废弃量、去向以及VOCs 含量等信息。台账保存期限不少于3 年。</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pacing w:val="-4"/>
                      <w:sz w:val="18"/>
                      <w:szCs w:val="18"/>
                    </w:rPr>
                  </w:pPr>
                  <w:r>
                    <w:rPr>
                      <w:rFonts w:hint="default" w:ascii="Times New Roman" w:hAnsi="Times New Roman" w:cs="Times New Roman"/>
                      <w:bCs/>
                      <w:color w:val="000000"/>
                      <w:spacing w:val="-4"/>
                      <w:sz w:val="18"/>
                      <w:szCs w:val="18"/>
                    </w:rPr>
                    <w:t>7.3.2 通风生产设备、操作工位、车间厂房等应在符合安全生产、职业卫生相关规定的前提下，根据行业作业规程与标准、工业建筑及洁净厂房通风设计规范等的要求，采用合理的通风量。</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pacing w:val="-4"/>
                      <w:sz w:val="18"/>
                      <w:szCs w:val="18"/>
                    </w:rPr>
                  </w:pPr>
                  <w:r>
                    <w:rPr>
                      <w:rFonts w:hint="default" w:ascii="Times New Roman" w:hAnsi="Times New Roman" w:cs="Times New Roman"/>
                      <w:bCs/>
                      <w:color w:val="000000"/>
                      <w:spacing w:val="-4"/>
                      <w:sz w:val="18"/>
                      <w:szCs w:val="18"/>
                    </w:rPr>
                    <w:t>本项目企业拟建立台账，记录P</w:t>
                  </w:r>
                  <w:r>
                    <w:rPr>
                      <w:rFonts w:hint="default" w:ascii="Times New Roman" w:hAnsi="Times New Roman" w:cs="Times New Roman"/>
                      <w:bCs/>
                      <w:color w:val="000000"/>
                      <w:spacing w:val="-4"/>
                      <w:sz w:val="18"/>
                      <w:szCs w:val="18"/>
                      <w:lang w:val="en-US" w:eastAsia="zh-CN"/>
                    </w:rPr>
                    <w:t>A66尼龙原料</w:t>
                  </w:r>
                  <w:r>
                    <w:rPr>
                      <w:rFonts w:hint="default" w:ascii="Times New Roman" w:hAnsi="Times New Roman" w:cs="Times New Roman"/>
                      <w:bCs/>
                      <w:color w:val="000000"/>
                      <w:spacing w:val="-4"/>
                      <w:sz w:val="18"/>
                      <w:szCs w:val="18"/>
                    </w:rPr>
                    <w:t>使用量、回收量、废弃量、去向等信息，并保存至少3年。</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企业通风生产设备、操作工位、车间厂房等均符合安全生产、职业卫生相关规定。</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noWrap w:val="0"/>
                  <w:vAlign w:val="center"/>
                </w:tcPr>
                <w:p>
                  <w:pPr>
                    <w:keepNext w:val="0"/>
                    <w:keepLines w:val="0"/>
                    <w:pageBreakBefore w:val="0"/>
                    <w:widowControl/>
                    <w:kinsoku/>
                    <w:wordWrap/>
                    <w:overflowPunct/>
                    <w:topLinePunct w:val="0"/>
                    <w:autoSpaceDE/>
                    <w:autoSpaceDN/>
                    <w:bidi w:val="0"/>
                    <w:spacing w:line="280" w:lineRule="exact"/>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10、VOCs无组织排放废气收集处理系统要求</w:t>
                  </w: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10.1 基本要求</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10.1.1 针对VOCs 无组织排放设置的废气收集处理系统应满足本章要求。</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10.1.2 VOCs 废气收集处理系统应与生产工艺设备同步运行。VOCs 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u w:val="single"/>
                    </w:rPr>
                  </w:pPr>
                  <w:r>
                    <w:rPr>
                      <w:rFonts w:hint="default" w:ascii="Times New Roman" w:hAnsi="Times New Roman" w:cs="Times New Roman"/>
                      <w:bCs/>
                      <w:color w:val="000000"/>
                      <w:sz w:val="18"/>
                      <w:szCs w:val="18"/>
                    </w:rPr>
                    <w:t>本项目建成后，VOCs废气收集处理系统与生产工艺设备同步运行。</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noWrap w:val="0"/>
                  <w:vAlign w:val="center"/>
                </w:tcPr>
                <w:p>
                  <w:pPr>
                    <w:keepNext w:val="0"/>
                    <w:keepLines w:val="0"/>
                    <w:pageBreakBefore w:val="0"/>
                    <w:widowControl/>
                    <w:kinsoku/>
                    <w:wordWrap/>
                    <w:overflowPunct/>
                    <w:topLinePunct w:val="0"/>
                    <w:autoSpaceDE/>
                    <w:autoSpaceDN/>
                    <w:bidi w:val="0"/>
                    <w:spacing w:line="280" w:lineRule="exact"/>
                    <w:ind w:left="0" w:leftChars="0"/>
                    <w:jc w:val="left"/>
                    <w:textAlignment w:val="auto"/>
                    <w:outlineLvl w:val="9"/>
                    <w:rPr>
                      <w:rFonts w:hint="default" w:ascii="Times New Roman" w:hAnsi="Times New Roman" w:cs="Times New Roman"/>
                      <w:bCs/>
                      <w:color w:val="000000"/>
                      <w:sz w:val="18"/>
                      <w:szCs w:val="18"/>
                    </w:rPr>
                  </w:pP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10.2 废气收集系统要求</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10.2.1 企业应考虑生产工艺、操作方式、废气性质、处理方法等因素，对VOCs 废气进行分类收集。</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10.2.2 废气收集系统排风罩（集气罩）的设置应符合GB/T 16758 的规定。采用外部排风罩的，应按GB/T 16758、AQ/T 4274—2016 规定的方法测量控制风速，测量点应选取在距排风罩开口面最远处的VOCs 无组织排放位置，控制风速不应低于0.3 m/s（行业相关规范有具体规定的，按相关规定执行）。</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本项目含有</w:t>
                  </w:r>
                  <w:r>
                    <w:rPr>
                      <w:rFonts w:hint="default" w:ascii="Times New Roman" w:hAnsi="Times New Roman" w:cs="Times New Roman"/>
                      <w:bCs/>
                      <w:color w:val="000000"/>
                      <w:sz w:val="18"/>
                      <w:szCs w:val="18"/>
                      <w:lang w:eastAsia="zh-CN"/>
                    </w:rPr>
                    <w:t>塑化、融化、冷却脱模等</w:t>
                  </w:r>
                  <w:r>
                    <w:rPr>
                      <w:rFonts w:hint="default" w:ascii="Times New Roman" w:hAnsi="Times New Roman" w:cs="Times New Roman"/>
                      <w:bCs/>
                      <w:color w:val="000000"/>
                      <w:sz w:val="18"/>
                      <w:szCs w:val="18"/>
                    </w:rPr>
                    <w:t>工段，评价要求</w:t>
                  </w:r>
                  <w:r>
                    <w:rPr>
                      <w:rFonts w:hint="default" w:ascii="Times New Roman" w:hAnsi="Times New Roman" w:cs="Times New Roman"/>
                      <w:bCs/>
                      <w:color w:val="000000"/>
                      <w:sz w:val="18"/>
                      <w:szCs w:val="18"/>
                      <w:lang w:eastAsia="zh-CN"/>
                    </w:rPr>
                    <w:t>注塑机</w:t>
                  </w:r>
                  <w:r>
                    <w:rPr>
                      <w:rFonts w:hint="default" w:ascii="Times New Roman" w:hAnsi="Times New Roman" w:cs="Times New Roman"/>
                      <w:bCs/>
                      <w:color w:val="000000"/>
                      <w:sz w:val="18"/>
                      <w:szCs w:val="18"/>
                    </w:rPr>
                    <w:t>密闭操作，管道收集废气，对</w:t>
                  </w:r>
                  <w:r>
                    <w:rPr>
                      <w:rFonts w:hint="default" w:ascii="Times New Roman" w:hAnsi="Times New Roman" w:cs="Times New Roman"/>
                      <w:bCs/>
                      <w:color w:val="000000"/>
                      <w:sz w:val="18"/>
                      <w:szCs w:val="18"/>
                      <w:lang w:eastAsia="zh-CN"/>
                    </w:rPr>
                    <w:t>上述工段设备</w:t>
                  </w:r>
                  <w:r>
                    <w:rPr>
                      <w:rFonts w:hint="default" w:ascii="Times New Roman" w:hAnsi="Times New Roman" w:cs="Times New Roman"/>
                      <w:bCs/>
                      <w:color w:val="000000"/>
                      <w:sz w:val="18"/>
                      <w:szCs w:val="18"/>
                    </w:rPr>
                    <w:t>进行二次密闭，废气采用负压抽吸后，由</w:t>
                  </w:r>
                  <w:r>
                    <w:rPr>
                      <w:rFonts w:hint="default" w:ascii="Times New Roman" w:hAnsi="Times New Roman" w:cs="Times New Roman"/>
                      <w:b/>
                      <w:bCs w:val="0"/>
                      <w:color w:val="000000"/>
                      <w:sz w:val="18"/>
                      <w:szCs w:val="18"/>
                      <w:u w:val="single"/>
                      <w:lang w:val="en-US" w:eastAsia="zh-CN"/>
                    </w:rPr>
                    <w:t>1套</w:t>
                  </w:r>
                  <w:r>
                    <w:rPr>
                      <w:rFonts w:hint="default" w:ascii="Times New Roman" w:hAnsi="Times New Roman" w:cs="Times New Roman" w:eastAsiaTheme="minorEastAsia"/>
                      <w:b/>
                      <w:bCs/>
                      <w:color w:val="000000"/>
                      <w:sz w:val="18"/>
                      <w:szCs w:val="18"/>
                      <w:highlight w:val="none"/>
                      <w:u w:val="single"/>
                      <w:lang w:val="en-US" w:eastAsia="zh-CN"/>
                    </w:rPr>
                    <w:t>“活性炭吸脱附+催化燃烧”</w:t>
                  </w:r>
                  <w:r>
                    <w:rPr>
                      <w:rFonts w:hint="default" w:ascii="Times New Roman" w:hAnsi="Times New Roman" w:cs="Times New Roman"/>
                      <w:b/>
                      <w:bCs w:val="0"/>
                      <w:color w:val="000000"/>
                      <w:sz w:val="18"/>
                      <w:szCs w:val="18"/>
                      <w:highlight w:val="none"/>
                      <w:u w:val="single"/>
                      <w:lang w:val="en-US" w:eastAsia="zh-CN"/>
                    </w:rPr>
                    <w:t>废气净化</w:t>
                  </w:r>
                  <w:r>
                    <w:rPr>
                      <w:rFonts w:hint="default" w:ascii="Times New Roman" w:hAnsi="Times New Roman" w:cs="Times New Roman"/>
                      <w:b/>
                      <w:bCs w:val="0"/>
                      <w:color w:val="000000"/>
                      <w:sz w:val="18"/>
                      <w:szCs w:val="18"/>
                      <w:highlight w:val="none"/>
                      <w:u w:val="single"/>
                    </w:rPr>
                    <w:t>装置</w:t>
                  </w:r>
                  <w:r>
                    <w:rPr>
                      <w:rFonts w:hint="default" w:ascii="Times New Roman" w:hAnsi="Times New Roman" w:cs="Times New Roman"/>
                      <w:bCs/>
                      <w:color w:val="000000"/>
                      <w:sz w:val="18"/>
                      <w:szCs w:val="18"/>
                    </w:rPr>
                    <w:t>进行治理，经</w:t>
                  </w:r>
                  <w:r>
                    <w:rPr>
                      <w:rFonts w:hint="default" w:ascii="Times New Roman" w:hAnsi="Times New Roman" w:cs="Times New Roman"/>
                      <w:bCs/>
                      <w:color w:val="000000"/>
                      <w:sz w:val="18"/>
                      <w:szCs w:val="18"/>
                      <w:lang w:val="en-US" w:eastAsia="zh-CN"/>
                    </w:rPr>
                    <w:t>15m高</w:t>
                  </w:r>
                  <w:r>
                    <w:rPr>
                      <w:rFonts w:hint="default" w:ascii="Times New Roman" w:hAnsi="Times New Roman" w:cs="Times New Roman"/>
                      <w:bCs/>
                      <w:color w:val="000000"/>
                      <w:sz w:val="18"/>
                      <w:szCs w:val="18"/>
                    </w:rPr>
                    <w:t>排气筒有组织排放。</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noWrap w:val="0"/>
                  <w:vAlign w:val="center"/>
                </w:tcPr>
                <w:p>
                  <w:pPr>
                    <w:keepNext w:val="0"/>
                    <w:keepLines w:val="0"/>
                    <w:pageBreakBefore w:val="0"/>
                    <w:widowControl/>
                    <w:kinsoku/>
                    <w:wordWrap/>
                    <w:overflowPunct/>
                    <w:topLinePunct w:val="0"/>
                    <w:autoSpaceDE/>
                    <w:autoSpaceDN/>
                    <w:bidi w:val="0"/>
                    <w:spacing w:line="280" w:lineRule="exact"/>
                    <w:ind w:left="0" w:leftChars="0"/>
                    <w:jc w:val="left"/>
                    <w:textAlignment w:val="auto"/>
                    <w:outlineLvl w:val="9"/>
                    <w:rPr>
                      <w:rFonts w:hint="default" w:ascii="Times New Roman" w:hAnsi="Times New Roman" w:cs="Times New Roman"/>
                      <w:bCs/>
                      <w:color w:val="000000"/>
                      <w:sz w:val="18"/>
                      <w:szCs w:val="18"/>
                    </w:rPr>
                  </w:pPr>
                </w:p>
              </w:tc>
              <w:tc>
                <w:tcPr>
                  <w:tcW w:w="2254" w:type="pct"/>
                  <w:noWrap w:val="0"/>
                  <w:vAlign w:val="center"/>
                </w:tcPr>
                <w:p>
                  <w:pPr>
                    <w:keepNext w:val="0"/>
                    <w:keepLines w:val="0"/>
                    <w:pageBreakBefore w:val="0"/>
                    <w:widowControl/>
                    <w:kinsoku/>
                    <w:wordWrap/>
                    <w:overflowPunct/>
                    <w:topLinePunct w:val="0"/>
                    <w:autoSpaceDE/>
                    <w:autoSpaceDN/>
                    <w:bidi w:val="0"/>
                    <w:spacing w:line="26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10.3 VOCs排放控制要求</w:t>
                  </w:r>
                </w:p>
                <w:p>
                  <w:pPr>
                    <w:keepNext w:val="0"/>
                    <w:keepLines w:val="0"/>
                    <w:pageBreakBefore w:val="0"/>
                    <w:widowControl/>
                    <w:kinsoku/>
                    <w:wordWrap/>
                    <w:overflowPunct/>
                    <w:topLinePunct w:val="0"/>
                    <w:autoSpaceDE/>
                    <w:autoSpaceDN/>
                    <w:bidi w:val="0"/>
                    <w:spacing w:line="26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10.3.1  VOC</w:t>
                  </w:r>
                  <w:r>
                    <w:rPr>
                      <w:rFonts w:hint="default" w:ascii="Times New Roman" w:hAnsi="Times New Roman" w:cs="Times New Roman"/>
                      <w:bCs/>
                      <w:color w:val="000000"/>
                      <w:sz w:val="18"/>
                      <w:szCs w:val="18"/>
                      <w:vertAlign w:val="subscript"/>
                    </w:rPr>
                    <w:t>S</w:t>
                  </w:r>
                  <w:r>
                    <w:rPr>
                      <w:rFonts w:hint="default" w:ascii="Times New Roman" w:hAnsi="Times New Roman" w:cs="Times New Roman"/>
                      <w:bCs/>
                      <w:color w:val="000000"/>
                      <w:sz w:val="18"/>
                      <w:szCs w:val="18"/>
                    </w:rPr>
                    <w:t>废气收集处理系统污染物排放应符合GB16297或相关行业排放标准的规定。</w:t>
                  </w:r>
                </w:p>
                <w:p>
                  <w:pPr>
                    <w:keepNext w:val="0"/>
                    <w:keepLines w:val="0"/>
                    <w:pageBreakBefore w:val="0"/>
                    <w:widowControl/>
                    <w:kinsoku/>
                    <w:wordWrap/>
                    <w:overflowPunct/>
                    <w:topLinePunct w:val="0"/>
                    <w:autoSpaceDE/>
                    <w:autoSpaceDN/>
                    <w:bidi w:val="0"/>
                    <w:spacing w:line="26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10.3.2 收集的废气中NMHC 初始排放速率≥3 kg/h 时，应配置VOCs 处理设施，处理效率不应低于80%；对于重点地区，收集的废气中NMHC 初始排放速率≥2 kg/h 时，应配置VOCs 处理设施，处理效率不应低于80%；采用的原辅材料符合国家有关低VOCs 含量产品规定的除外。</w:t>
                  </w:r>
                </w:p>
                <w:p>
                  <w:pPr>
                    <w:keepNext w:val="0"/>
                    <w:keepLines w:val="0"/>
                    <w:pageBreakBefore w:val="0"/>
                    <w:widowControl/>
                    <w:kinsoku/>
                    <w:wordWrap/>
                    <w:overflowPunct/>
                    <w:topLinePunct w:val="0"/>
                    <w:autoSpaceDE/>
                    <w:autoSpaceDN/>
                    <w:bidi w:val="0"/>
                    <w:spacing w:line="26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10.3.4 排气筒高度不低于15 m（因安全考虑或有特殊工艺要求的除外），具体高度以及与周围建筑物的相对高度关系应根据环境影响评价文件确定。</w:t>
                  </w:r>
                </w:p>
                <w:p>
                  <w:pPr>
                    <w:keepNext w:val="0"/>
                    <w:keepLines w:val="0"/>
                    <w:pageBreakBefore w:val="0"/>
                    <w:widowControl/>
                    <w:kinsoku/>
                    <w:wordWrap/>
                    <w:overflowPunct/>
                    <w:topLinePunct w:val="0"/>
                    <w:autoSpaceDE/>
                    <w:autoSpaceDN/>
                    <w:bidi w:val="0"/>
                    <w:spacing w:line="26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10.3.5 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本项目废气污染物排放满足《大气污染物综合排放标准》（GB16297-1996）表2二级标准要求和《关于全省开展工业企业挥发性有机物专项治理工作中排放建议值的通知》（豫环攻坚办（2017）162号）标准要求。</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highlight w:val="none"/>
                    </w:rPr>
                  </w:pPr>
                  <w:r>
                    <w:rPr>
                      <w:rFonts w:hint="default" w:ascii="Times New Roman" w:hAnsi="Times New Roman" w:cs="Times New Roman"/>
                      <w:bCs/>
                      <w:color w:val="000000"/>
                      <w:sz w:val="18"/>
                      <w:szCs w:val="18"/>
                    </w:rPr>
                    <w:t>本项目属于重点地区，收集的有机废气配置有</w:t>
                  </w:r>
                  <w:r>
                    <w:rPr>
                      <w:rFonts w:hint="default" w:ascii="Times New Roman" w:hAnsi="Times New Roman" w:cs="Times New Roman"/>
                      <w:b/>
                      <w:bCs w:val="0"/>
                      <w:color w:val="000000"/>
                      <w:sz w:val="18"/>
                      <w:szCs w:val="18"/>
                      <w:u w:val="single"/>
                      <w:lang w:val="en-US" w:eastAsia="zh-CN"/>
                    </w:rPr>
                    <w:t>1套</w:t>
                  </w:r>
                  <w:r>
                    <w:rPr>
                      <w:rFonts w:hint="default" w:ascii="Times New Roman" w:hAnsi="Times New Roman" w:cs="Times New Roman" w:eastAsiaTheme="minorEastAsia"/>
                      <w:b/>
                      <w:bCs/>
                      <w:color w:val="000000"/>
                      <w:sz w:val="18"/>
                      <w:szCs w:val="18"/>
                      <w:highlight w:val="none"/>
                      <w:u w:val="single"/>
                      <w:lang w:val="en-US" w:eastAsia="zh-CN"/>
                    </w:rPr>
                    <w:t>“活性炭吸脱附+催化燃烧”</w:t>
                  </w:r>
                  <w:r>
                    <w:rPr>
                      <w:rFonts w:hint="default" w:ascii="Times New Roman" w:hAnsi="Times New Roman" w:cs="Times New Roman"/>
                      <w:b/>
                      <w:bCs w:val="0"/>
                      <w:color w:val="000000"/>
                      <w:sz w:val="18"/>
                      <w:szCs w:val="18"/>
                      <w:highlight w:val="none"/>
                      <w:u w:val="single"/>
                      <w:lang w:val="en-US" w:eastAsia="zh-CN"/>
                    </w:rPr>
                    <w:t>废气净化</w:t>
                  </w:r>
                  <w:r>
                    <w:rPr>
                      <w:rFonts w:hint="default" w:ascii="Times New Roman" w:hAnsi="Times New Roman" w:cs="Times New Roman"/>
                      <w:b/>
                      <w:bCs w:val="0"/>
                      <w:color w:val="000000"/>
                      <w:sz w:val="18"/>
                      <w:szCs w:val="18"/>
                      <w:highlight w:val="none"/>
                      <w:u w:val="single"/>
                    </w:rPr>
                    <w:t>装置</w:t>
                  </w:r>
                  <w:r>
                    <w:rPr>
                      <w:rFonts w:hint="default" w:ascii="Times New Roman" w:hAnsi="Times New Roman" w:cs="Times New Roman"/>
                      <w:bCs/>
                      <w:color w:val="000000"/>
                      <w:sz w:val="18"/>
                      <w:szCs w:val="18"/>
                    </w:rPr>
                    <w:t>处理设施，处理效率</w:t>
                  </w:r>
                  <w:r>
                    <w:rPr>
                      <w:rFonts w:hint="default" w:ascii="Times New Roman" w:hAnsi="Times New Roman" w:cs="Times New Roman"/>
                      <w:bCs/>
                      <w:color w:val="000000"/>
                      <w:sz w:val="18"/>
                      <w:szCs w:val="18"/>
                      <w:lang w:eastAsia="zh-CN"/>
                    </w:rPr>
                    <w:t>不低</w:t>
                  </w:r>
                  <w:r>
                    <w:rPr>
                      <w:rFonts w:hint="default" w:ascii="Times New Roman" w:hAnsi="Times New Roman" w:cs="Times New Roman"/>
                      <w:bCs/>
                      <w:color w:val="000000"/>
                      <w:sz w:val="18"/>
                      <w:szCs w:val="18"/>
                      <w:highlight w:val="none"/>
                      <w:lang w:eastAsia="zh-CN"/>
                    </w:rPr>
                    <w:t>于</w:t>
                  </w:r>
                  <w:r>
                    <w:rPr>
                      <w:rFonts w:hint="default" w:ascii="Times New Roman" w:hAnsi="Times New Roman" w:cs="Times New Roman"/>
                      <w:bCs/>
                      <w:color w:val="000000"/>
                      <w:sz w:val="18"/>
                      <w:szCs w:val="18"/>
                      <w:highlight w:val="none"/>
                    </w:rPr>
                    <w:t>80%。</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本项目排气筒高度为</w:t>
                  </w:r>
                  <w:r>
                    <w:rPr>
                      <w:rFonts w:hint="default" w:ascii="Times New Roman" w:hAnsi="Times New Roman" w:cs="Times New Roman"/>
                      <w:bCs/>
                      <w:color w:val="000000"/>
                      <w:sz w:val="18"/>
                      <w:szCs w:val="18"/>
                      <w:lang w:val="en-US" w:eastAsia="zh-CN"/>
                    </w:rPr>
                    <w:t>15</w:t>
                  </w:r>
                  <w:r>
                    <w:rPr>
                      <w:rFonts w:hint="default" w:ascii="Times New Roman" w:hAnsi="Times New Roman" w:cs="Times New Roman"/>
                      <w:bCs/>
                      <w:color w:val="000000"/>
                      <w:sz w:val="18"/>
                      <w:szCs w:val="18"/>
                    </w:rPr>
                    <w:t>m。</w:t>
                  </w:r>
                </w:p>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本项目排气筒为</w:t>
                  </w:r>
                  <w:r>
                    <w:rPr>
                      <w:rFonts w:hint="default" w:ascii="Times New Roman" w:hAnsi="Times New Roman" w:cs="Times New Roman"/>
                      <w:bCs/>
                      <w:color w:val="000000"/>
                      <w:sz w:val="18"/>
                      <w:szCs w:val="18"/>
                      <w:lang w:eastAsia="zh-CN"/>
                    </w:rPr>
                    <w:t>熔融塑化、冷却脱模</w:t>
                  </w:r>
                  <w:r>
                    <w:rPr>
                      <w:rFonts w:hint="default" w:ascii="Times New Roman" w:hAnsi="Times New Roman" w:cs="Times New Roman"/>
                      <w:bCs/>
                      <w:color w:val="000000"/>
                      <w:sz w:val="18"/>
                      <w:szCs w:val="18"/>
                    </w:rPr>
                    <w:t>工序的VOCs废气排放，不存在执行不同排放控制要求的废气合并排气筒排放情况。</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noWrap w:val="0"/>
                  <w:vAlign w:val="center"/>
                </w:tcPr>
                <w:p>
                  <w:pPr>
                    <w:keepNext w:val="0"/>
                    <w:keepLines w:val="0"/>
                    <w:pageBreakBefore w:val="0"/>
                    <w:widowControl/>
                    <w:kinsoku/>
                    <w:wordWrap/>
                    <w:overflowPunct/>
                    <w:topLinePunct w:val="0"/>
                    <w:autoSpaceDE/>
                    <w:autoSpaceDN/>
                    <w:bidi w:val="0"/>
                    <w:spacing w:line="280" w:lineRule="exact"/>
                    <w:ind w:left="0" w:leftChars="0"/>
                    <w:jc w:val="left"/>
                    <w:textAlignment w:val="auto"/>
                    <w:outlineLvl w:val="9"/>
                    <w:rPr>
                      <w:rFonts w:hint="default" w:ascii="Times New Roman" w:hAnsi="Times New Roman" w:cs="Times New Roman"/>
                      <w:bCs/>
                      <w:color w:val="000000"/>
                      <w:sz w:val="18"/>
                      <w:szCs w:val="18"/>
                    </w:rPr>
                  </w:pPr>
                </w:p>
              </w:tc>
              <w:tc>
                <w:tcPr>
                  <w:tcW w:w="2254" w:type="pct"/>
                  <w:noWrap w:val="0"/>
                  <w:vAlign w:val="center"/>
                </w:tcPr>
                <w:p>
                  <w:pPr>
                    <w:keepNext w:val="0"/>
                    <w:keepLines w:val="0"/>
                    <w:pageBreakBefore w:val="0"/>
                    <w:widowControl/>
                    <w:kinsoku/>
                    <w:wordWrap/>
                    <w:overflowPunct/>
                    <w:topLinePunct w:val="0"/>
                    <w:autoSpaceDE/>
                    <w:autoSpaceDN/>
                    <w:bidi w:val="0"/>
                    <w:spacing w:line="26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10.4 记录要求</w:t>
                  </w:r>
                </w:p>
                <w:p>
                  <w:pPr>
                    <w:keepNext w:val="0"/>
                    <w:keepLines w:val="0"/>
                    <w:pageBreakBefore w:val="0"/>
                    <w:widowControl/>
                    <w:kinsoku/>
                    <w:wordWrap/>
                    <w:overflowPunct/>
                    <w:topLinePunct w:val="0"/>
                    <w:autoSpaceDE/>
                    <w:autoSpaceDN/>
                    <w:bidi w:val="0"/>
                    <w:spacing w:line="26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企业应建立台账，记录废气收集系统、VOCs 处理设施的主要运行和维护信息，如运行时间、废气处理量、操作温度、停留时间、吸附剂再生/更换周期和更换量、催化剂更换周期和更换量、吸收液pH值等关键运行参数。台账保存期限不少于3 年。</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本项目建成后，企业将按相关要求建立台账，记录废气收集系统、VOCs处理设施的主要运行和维护信息。</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noWrap w:val="0"/>
                  <w:vAlign w:val="center"/>
                </w:tcPr>
                <w:p>
                  <w:pPr>
                    <w:keepNext w:val="0"/>
                    <w:keepLines w:val="0"/>
                    <w:pageBreakBefore w:val="0"/>
                    <w:widowControl/>
                    <w:kinsoku/>
                    <w:wordWrap/>
                    <w:overflowPunct/>
                    <w:topLinePunct w:val="0"/>
                    <w:autoSpaceDE/>
                    <w:autoSpaceDN/>
                    <w:bidi w:val="0"/>
                    <w:spacing w:line="280" w:lineRule="exact"/>
                    <w:ind w:left="0" w:leftChars="0"/>
                    <w:jc w:val="left"/>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11、企业厂区内及周边污染监控要求</w:t>
                  </w: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11.1 企业边界及周边VOCs 监控要求执行GB 16297 或相关行业排放标准的规定。</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本项目厂界VOCs浓度能够满足《关于全省开展工业企业挥发性有机物专项治理工作中排放建议值的通知》（豫环攻坚办（2017）162号）2.0mg/m</w:t>
                  </w:r>
                  <w:r>
                    <w:rPr>
                      <w:rFonts w:hint="default" w:ascii="Times New Roman" w:hAnsi="Times New Roman" w:cs="Times New Roman"/>
                      <w:bCs/>
                      <w:color w:val="000000"/>
                      <w:sz w:val="18"/>
                      <w:szCs w:val="18"/>
                      <w:vertAlign w:val="superscript"/>
                    </w:rPr>
                    <w:t>3</w:t>
                  </w:r>
                  <w:r>
                    <w:rPr>
                      <w:rFonts w:hint="default" w:ascii="Times New Roman" w:hAnsi="Times New Roman" w:cs="Times New Roman"/>
                      <w:bCs/>
                      <w:color w:val="000000"/>
                      <w:sz w:val="18"/>
                      <w:szCs w:val="18"/>
                    </w:rPr>
                    <w:t>的标准要求。</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noWrap w:val="0"/>
                  <w:vAlign w:val="center"/>
                </w:tcPr>
                <w:p>
                  <w:pPr>
                    <w:keepNext w:val="0"/>
                    <w:keepLines w:val="0"/>
                    <w:pageBreakBefore w:val="0"/>
                    <w:widowControl/>
                    <w:kinsoku/>
                    <w:wordWrap/>
                    <w:overflowPunct/>
                    <w:topLinePunct w:val="0"/>
                    <w:autoSpaceDE/>
                    <w:autoSpaceDN/>
                    <w:bidi w:val="0"/>
                    <w:spacing w:line="280" w:lineRule="exact"/>
                    <w:ind w:left="0" w:leftChars="0"/>
                    <w:jc w:val="left"/>
                    <w:textAlignment w:val="auto"/>
                    <w:outlineLvl w:val="9"/>
                    <w:rPr>
                      <w:rFonts w:hint="default" w:ascii="Times New Roman" w:hAnsi="Times New Roman" w:cs="Times New Roman"/>
                      <w:bCs/>
                      <w:color w:val="000000"/>
                      <w:sz w:val="18"/>
                      <w:szCs w:val="18"/>
                    </w:rPr>
                  </w:pP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11.2 地方生态环境主管部门可根据当地环境保护需要，对厂区内VOCs 无组织排放状况进行监控，具体实施方式由各地自行确定。厂区内VOCs 无组织排放监控要求：监控点处1 h平均浓度值≤6mg/m³、监控点处任意一次浓度值≤20mg/m³。</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项目按照要求对厂区无组织排放进行监测，监测频为次/年</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restart"/>
                  <w:noWrap w:val="0"/>
                  <w:vAlign w:val="center"/>
                </w:tcPr>
                <w:p>
                  <w:pPr>
                    <w:keepNext w:val="0"/>
                    <w:keepLines w:val="0"/>
                    <w:pageBreakBefore w:val="0"/>
                    <w:widowControl/>
                    <w:kinsoku/>
                    <w:wordWrap/>
                    <w:overflowPunct/>
                    <w:topLinePunct w:val="0"/>
                    <w:autoSpaceDE/>
                    <w:autoSpaceDN/>
                    <w:bidi w:val="0"/>
                    <w:spacing w:line="280" w:lineRule="exact"/>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12 污染物监测要求</w:t>
                  </w: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12.1 企业应按照有关法律、《环境监测管理办法》和HJ 819 等规定，建立企业监测制度，制订监测方案，对污染物排放状况及其对周边环境质量的影响开展自行监测，保存原始监测记录，并公布监测结果。</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本项目建成后将建立企业监测制度，制订监测方案，对污染物排放状况及其对周边环境质量的影响开展自行监测，保存原始监测记录，并公布监测结果。</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vMerge w:val="continue"/>
                  <w:noWrap w:val="0"/>
                  <w:vAlign w:val="center"/>
                </w:tcPr>
                <w:p>
                  <w:pPr>
                    <w:keepNext w:val="0"/>
                    <w:keepLines w:val="0"/>
                    <w:pageBreakBefore w:val="0"/>
                    <w:widowControl/>
                    <w:kinsoku/>
                    <w:wordWrap/>
                    <w:overflowPunct/>
                    <w:topLinePunct w:val="0"/>
                    <w:autoSpaceDE/>
                    <w:autoSpaceDN/>
                    <w:bidi w:val="0"/>
                    <w:spacing w:line="280" w:lineRule="exact"/>
                    <w:ind w:left="0" w:leftChars="0"/>
                    <w:jc w:val="left"/>
                    <w:textAlignment w:val="auto"/>
                    <w:outlineLvl w:val="9"/>
                    <w:rPr>
                      <w:rFonts w:hint="default" w:ascii="Times New Roman" w:hAnsi="Times New Roman" w:cs="Times New Roman"/>
                      <w:bCs/>
                      <w:color w:val="000000"/>
                      <w:sz w:val="18"/>
                      <w:szCs w:val="18"/>
                    </w:rPr>
                  </w:pPr>
                </w:p>
              </w:tc>
              <w:tc>
                <w:tcPr>
                  <w:tcW w:w="2254"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12.2 新建企业和现有企业安装污染物排放自动监控设备的要求，按有关法律和《污染源自动监控管理办法》等规定执行。</w:t>
                  </w:r>
                </w:p>
              </w:tc>
              <w:tc>
                <w:tcPr>
                  <w:tcW w:w="1667" w:type="pct"/>
                  <w:noWrap w:val="0"/>
                  <w:vAlign w:val="center"/>
                </w:tcPr>
                <w:p>
                  <w:pPr>
                    <w:keepNext w:val="0"/>
                    <w:keepLines w:val="0"/>
                    <w:pageBreakBefore w:val="0"/>
                    <w:widowControl/>
                    <w:kinsoku/>
                    <w:wordWrap/>
                    <w:overflowPunct/>
                    <w:topLinePunct w:val="0"/>
                    <w:autoSpaceDE/>
                    <w:autoSpaceDN/>
                    <w:bidi w:val="0"/>
                    <w:spacing w:line="280" w:lineRule="exact"/>
                    <w:ind w:left="0" w:leftChars="0"/>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本项目按有关法律和《污染源自动监控管理办法》等规定执行。</w:t>
                  </w:r>
                </w:p>
              </w:tc>
              <w:tc>
                <w:tcPr>
                  <w:tcW w:w="521" w:type="pct"/>
                  <w:noWrap w:val="0"/>
                  <w:vAlign w:val="center"/>
                </w:tcPr>
                <w:p>
                  <w:pPr>
                    <w:keepNext w:val="0"/>
                    <w:keepLines w:val="0"/>
                    <w:pageBreakBefore w:val="0"/>
                    <w:widowControl/>
                    <w:kinsoku/>
                    <w:wordWrap/>
                    <w:overflowPunct/>
                    <w:topLinePunct w:val="0"/>
                    <w:autoSpaceDE/>
                    <w:autoSpaceDN/>
                    <w:bidi w:val="0"/>
                    <w:ind w:left="0" w:leftChars="0"/>
                    <w:jc w:val="center"/>
                    <w:textAlignment w:val="auto"/>
                    <w:outlineLvl w:val="9"/>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符合</w:t>
                  </w:r>
                </w:p>
              </w:tc>
            </w:tr>
          </w:tbl>
          <w:p>
            <w:pPr>
              <w:keepNext w:val="0"/>
              <w:keepLines w:val="0"/>
              <w:pageBreakBefore w:val="0"/>
              <w:widowControl/>
              <w:kinsoku/>
              <w:wordWrap/>
              <w:overflowPunct/>
              <w:topLinePunct w:val="0"/>
              <w:autoSpaceDE/>
              <w:autoSpaceDN/>
              <w:bidi w:val="0"/>
              <w:adjustRightInd/>
              <w:snapToGrid/>
              <w:spacing w:line="360" w:lineRule="auto"/>
              <w:ind w:left="0" w:leftChars="0" w:firstLine="422" w:firstLineChars="200"/>
              <w:textAlignment w:val="auto"/>
              <w:outlineLvl w:val="9"/>
              <w:rPr>
                <w:rFonts w:hint="default" w:ascii="Times New Roman" w:hAnsi="Times New Roman" w:cs="Times New Roman"/>
                <w:b/>
                <w:bCs w:val="0"/>
                <w:color w:val="000000"/>
                <w:sz w:val="21"/>
                <w:szCs w:val="21"/>
                <w:highlight w:val="none"/>
              </w:rPr>
            </w:pPr>
            <w:r>
              <w:rPr>
                <w:rFonts w:hint="eastAsia" w:cs="Times New Roman"/>
                <w:b/>
                <w:bCs w:val="0"/>
                <w:color w:val="000000"/>
                <w:sz w:val="21"/>
                <w:szCs w:val="21"/>
                <w:highlight w:val="none"/>
                <w:lang w:val="en-US" w:eastAsia="zh-CN"/>
              </w:rPr>
              <w:t>9、</w:t>
            </w:r>
            <w:r>
              <w:rPr>
                <w:rFonts w:hint="default" w:ascii="Times New Roman" w:hAnsi="Times New Roman" w:cs="Times New Roman"/>
                <w:b/>
                <w:bCs w:val="0"/>
                <w:color w:val="000000"/>
                <w:sz w:val="21"/>
                <w:szCs w:val="21"/>
                <w:highlight w:val="none"/>
              </w:rPr>
              <w:t>与《新乡市生态环境局关于部署按照工业企业用电量监控系统的通知》（新环[2019]154号）（以下简称用电量监控通知）的对照分析</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 xml:space="preserve">   项目与《用电量监控通知》相符性分析</w:t>
            </w:r>
          </w:p>
          <w:tbl>
            <w:tblPr>
              <w:tblStyle w:val="18"/>
              <w:tblW w:w="4998" w:type="pct"/>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3091"/>
              <w:gridCol w:w="2290"/>
              <w:gridCol w:w="681"/>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9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contextualSpacing/>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类别</w:t>
                  </w:r>
                </w:p>
              </w:tc>
              <w:tc>
                <w:tcPr>
                  <w:tcW w:w="23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contextualSpacing/>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《新乡市生态环境局关于部署按照工业企业用电量监控系统的通知》有关要求</w:t>
                  </w:r>
                </w:p>
              </w:tc>
              <w:tc>
                <w:tcPr>
                  <w:tcW w:w="173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contextualSpacing/>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本项目情况</w:t>
                  </w:r>
                </w:p>
              </w:tc>
              <w:tc>
                <w:tcPr>
                  <w:tcW w:w="51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contextualSpacing/>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对比</w:t>
                  </w:r>
                </w:p>
                <w:p>
                  <w:pPr>
                    <w:keepNext w:val="0"/>
                    <w:keepLines w:val="0"/>
                    <w:pageBreakBefore w:val="0"/>
                    <w:widowControl/>
                    <w:kinsoku/>
                    <w:wordWrap/>
                    <w:overflowPunct/>
                    <w:topLinePunct w:val="0"/>
                    <w:autoSpaceDE/>
                    <w:autoSpaceDN/>
                    <w:bidi w:val="0"/>
                    <w:adjustRightInd/>
                    <w:snapToGrid/>
                    <w:spacing w:line="320" w:lineRule="exact"/>
                    <w:ind w:left="0" w:leftChars="0"/>
                    <w:contextualSpacing/>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结论</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9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contextualSpacing/>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安装范围</w:t>
                  </w:r>
                </w:p>
              </w:tc>
              <w:tc>
                <w:tcPr>
                  <w:tcW w:w="2346" w:type="pct"/>
                  <w:noWrap w:val="0"/>
                  <w:vAlign w:val="top"/>
                </w:tcPr>
                <w:p>
                  <w:pPr>
                    <w:keepNext w:val="0"/>
                    <w:keepLines w:val="0"/>
                    <w:pageBreakBefore w:val="0"/>
                    <w:widowControl/>
                    <w:kinsoku/>
                    <w:wordWrap/>
                    <w:overflowPunct/>
                    <w:topLinePunct w:val="0"/>
                    <w:autoSpaceDE/>
                    <w:autoSpaceDN/>
                    <w:bidi w:val="0"/>
                    <w:adjustRightInd/>
                    <w:snapToGrid/>
                    <w:spacing w:line="320" w:lineRule="exact"/>
                    <w:ind w:left="0" w:leftChars="0"/>
                    <w:contextualSpacing/>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第一批安装部署用电量监控系统的企业为：新乡市辖区内国控、省控、市控重点监控企业、涉VOCs污染排放的企业、铸造行业、建材行业，然后逐步扩展至新乡市辖区内所有排污企业。所有排污企业的总用电控制位置、主要生产设施和污染治理设施必须安装用电量监控系统终端。</w:t>
                  </w:r>
                </w:p>
              </w:tc>
              <w:tc>
                <w:tcPr>
                  <w:tcW w:w="173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contextualSpacing/>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本项目属于用电量监控系统的安装范围，企业应按照要求在总用电控制位置、主要生产设施和污染治理设施安装用电量监控系统终端。</w:t>
                  </w:r>
                </w:p>
              </w:tc>
              <w:tc>
                <w:tcPr>
                  <w:tcW w:w="51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contextualSpacing/>
                    <w:jc w:val="center"/>
                    <w:textAlignment w:val="auto"/>
                    <w:outlineLvl w:val="9"/>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符合</w:t>
                  </w:r>
                </w:p>
              </w:tc>
            </w:tr>
          </w:tbl>
          <w:p>
            <w:pPr>
              <w:keepNext w:val="0"/>
              <w:keepLines w:val="0"/>
              <w:pageBreakBefore w:val="0"/>
              <w:widowControl/>
              <w:kinsoku/>
              <w:wordWrap/>
              <w:overflowPunct/>
              <w:topLinePunct w:val="0"/>
              <w:autoSpaceDE/>
              <w:autoSpaceDN/>
              <w:bidi w:val="0"/>
              <w:spacing w:line="500" w:lineRule="exact"/>
              <w:ind w:left="0" w:leftChars="0" w:firstLine="480"/>
              <w:textAlignment w:val="auto"/>
              <w:outlineLvl w:val="9"/>
              <w:rPr>
                <w:rFonts w:hint="eastAsia"/>
                <w:color w:val="000000"/>
                <w:lang w:val="en-US" w:eastAsia="zh-CN"/>
              </w:rPr>
            </w:pPr>
            <w:r>
              <w:rPr>
                <w:rFonts w:hint="default" w:ascii="Times New Roman" w:hAnsi="Times New Roman" w:cs="Times New Roman"/>
                <w:bCs/>
                <w:color w:val="000000"/>
                <w:sz w:val="21"/>
                <w:szCs w:val="21"/>
                <w:highlight w:val="none"/>
              </w:rPr>
              <w:t>本项目应按照要求在总用电控制位置、主要生产设施和污染治理设施安装用电量监控系统终端。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2" w:firstLineChars="200"/>
              <w:textAlignment w:val="auto"/>
              <w:outlineLvl w:val="9"/>
              <w:rPr>
                <w:rFonts w:cs="宋体"/>
                <w:b/>
                <w:bCs/>
                <w:color w:val="000000"/>
                <w:kern w:val="0"/>
                <w:szCs w:val="21"/>
                <w:highlight w:val="none"/>
              </w:rPr>
            </w:pPr>
            <w:r>
              <w:rPr>
                <w:rFonts w:hint="eastAsia" w:cs="宋体"/>
                <w:b/>
                <w:bCs/>
                <w:color w:val="000000"/>
                <w:kern w:val="0"/>
                <w:szCs w:val="21"/>
                <w:highlight w:val="none"/>
                <w:lang w:val="en-US" w:eastAsia="zh-CN"/>
              </w:rPr>
              <w:t>10、</w:t>
            </w:r>
            <w:r>
              <w:rPr>
                <w:rFonts w:hint="eastAsia" w:cs="宋体"/>
                <w:b/>
                <w:bCs/>
                <w:color w:val="000000"/>
                <w:kern w:val="0"/>
                <w:szCs w:val="21"/>
                <w:highlight w:val="none"/>
              </w:rPr>
              <w:t>饮用水源保护规划</w:t>
            </w:r>
          </w:p>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lang w:val="en-US" w:eastAsia="zh-CN"/>
              </w:rPr>
              <w:t>1</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rPr>
              <w:t>新乡市饮用水水源</w:t>
            </w:r>
            <w:r>
              <w:rPr>
                <w:rFonts w:hint="default" w:ascii="Times New Roman" w:hAnsi="Times New Roman" w:cs="Times New Roman"/>
                <w:color w:val="000000"/>
                <w:highlight w:val="none"/>
                <w:lang w:eastAsia="zh-CN"/>
              </w:rPr>
              <w:t>区</w:t>
            </w:r>
          </w:p>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Times New Roman" w:hAnsi="Times New Roman" w:cs="Times New Roman"/>
                <w:color w:val="000000"/>
                <w:highlight w:val="none"/>
              </w:rPr>
            </w:pPr>
            <w:r>
              <w:rPr>
                <w:rFonts w:hint="default" w:ascii="Times New Roman" w:hAnsi="Times New Roman" w:cs="Times New Roman"/>
                <w:color w:val="000000"/>
                <w:highlight w:val="none"/>
              </w:rPr>
              <w:t>《新乡市城市饮用水水源地保护区划分报告》（2007.5）已由河南省人民政府以豫政办[2007]125号文批复，具体划分结果如下表。</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 xml:space="preserve">   新乡市城市集中饮用水源地</w:t>
            </w:r>
          </w:p>
          <w:tbl>
            <w:tblPr>
              <w:tblStyle w:val="1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219"/>
              <w:gridCol w:w="2472"/>
              <w:gridCol w:w="23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序号</w:t>
                  </w:r>
                </w:p>
              </w:tc>
              <w:tc>
                <w:tcPr>
                  <w:tcW w:w="92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水源地名称</w:t>
                  </w:r>
                </w:p>
              </w:tc>
              <w:tc>
                <w:tcPr>
                  <w:tcW w:w="1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一级保护区</w:t>
                  </w:r>
                </w:p>
              </w:tc>
              <w:tc>
                <w:tcPr>
                  <w:tcW w:w="17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二级保护区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1</w:t>
                  </w:r>
                </w:p>
              </w:tc>
              <w:tc>
                <w:tcPr>
                  <w:tcW w:w="92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四水厂地下水饮用水源保护区</w:t>
                  </w:r>
                </w:p>
              </w:tc>
              <w:tc>
                <w:tcPr>
                  <w:tcW w:w="1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西曹和东曹村北以北，2号井和11号井连线向北150米以南，22号井向东150米以西，12—1号井西150米以东以及输水管线两侧10米的区域。</w:t>
                  </w:r>
                </w:p>
              </w:tc>
              <w:tc>
                <w:tcPr>
                  <w:tcW w:w="17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西曹、中曹村和余庄南及七里营村北以北，西石碑和东石碑村南及高村和西贾城村北以南，21号桥以西，敦留店村西以东的区域。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2</w:t>
                  </w:r>
                </w:p>
              </w:tc>
              <w:tc>
                <w:tcPr>
                  <w:tcW w:w="92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凤泉水厂地下水饮用水源保护区</w:t>
                  </w:r>
                </w:p>
              </w:tc>
              <w:tc>
                <w:tcPr>
                  <w:tcW w:w="1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以水厂东、西两院的院墙为界向外10米以及输水管线两侧10米的区域。</w:t>
                  </w:r>
                </w:p>
              </w:tc>
              <w:tc>
                <w:tcPr>
                  <w:tcW w:w="17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东以团结路为界，其他三面以水厂院墙为界，向外100米的区域。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3</w:t>
                  </w:r>
                </w:p>
              </w:tc>
              <w:tc>
                <w:tcPr>
                  <w:tcW w:w="92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卫辉市塔岗水库地表水饮用水源保护区</w:t>
                  </w:r>
                </w:p>
              </w:tc>
              <w:tc>
                <w:tcPr>
                  <w:tcW w:w="1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取水口外围300米的水域、正常水位线取水口一侧200米的陆域及输水管道两侧10米的陆域。</w:t>
                  </w:r>
                </w:p>
              </w:tc>
              <w:tc>
                <w:tcPr>
                  <w:tcW w:w="17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一级保护区外的水域及山脊线内、入库河流上游3000米的陆域。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4</w:t>
                  </w:r>
                </w:p>
              </w:tc>
              <w:tc>
                <w:tcPr>
                  <w:tcW w:w="92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center"/>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辉县市段屯地下水饮用水源保护区</w:t>
                  </w:r>
                </w:p>
              </w:tc>
              <w:tc>
                <w:tcPr>
                  <w:tcW w:w="1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井群外围线以外30米的区域及输水管道两侧10米的陆域。</w:t>
                  </w:r>
                </w:p>
              </w:tc>
              <w:tc>
                <w:tcPr>
                  <w:tcW w:w="17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jc w:val="left"/>
                    <w:textAlignment w:val="auto"/>
                    <w:outlineLvl w:val="9"/>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卫柿路以北，东外环路以东，井群外围线外300米以西和以南的区域。</w:t>
                  </w:r>
                </w:p>
              </w:tc>
            </w:tr>
          </w:tbl>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default" w:ascii="Times New Roman" w:hAnsi="Times New Roman" w:cs="Times New Roman"/>
                <w:color w:val="000000"/>
                <w:highlight w:val="none"/>
              </w:rPr>
            </w:pPr>
            <w:r>
              <w:rPr>
                <w:rFonts w:hint="default" w:ascii="Times New Roman" w:hAnsi="Times New Roman" w:cs="Times New Roman"/>
                <w:color w:val="000000"/>
                <w:highlight w:val="none"/>
                <w:lang w:eastAsia="zh-CN"/>
              </w:rPr>
              <w:t>根据</w:t>
            </w:r>
            <w:r>
              <w:rPr>
                <w:rFonts w:hint="default" w:ascii="Times New Roman" w:hAnsi="Times New Roman" w:cs="Times New Roman"/>
                <w:color w:val="000000"/>
                <w:highlight w:val="none"/>
              </w:rPr>
              <w:t>《新乡市城市饮用水水源地保护区划分报告》（2007.5）</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rPr>
              <w:t>项目选址距离最近的水源保护区为</w:t>
            </w:r>
            <w:r>
              <w:rPr>
                <w:rFonts w:hint="default" w:ascii="Times New Roman" w:hAnsi="Times New Roman" w:cs="Times New Roman"/>
                <w:color w:val="000000"/>
                <w:highlight w:val="none"/>
                <w:lang w:eastAsia="zh-CN"/>
              </w:rPr>
              <w:t>北侧</w:t>
            </w:r>
            <w:r>
              <w:rPr>
                <w:rFonts w:hint="default" w:ascii="Times New Roman" w:hAnsi="Times New Roman" w:cs="Times New Roman"/>
                <w:color w:val="000000"/>
                <w:highlight w:val="none"/>
                <w:lang w:val="en-US" w:eastAsia="zh-CN"/>
              </w:rPr>
              <w:t>的辉县市段屯地下水饮用水源保护区</w:t>
            </w:r>
            <w:r>
              <w:rPr>
                <w:rFonts w:hint="default" w:ascii="Times New Roman" w:hAnsi="Times New Roman" w:cs="Times New Roman"/>
                <w:color w:val="000000"/>
                <w:highlight w:val="none"/>
              </w:rPr>
              <w:t>，本项目距离</w:t>
            </w:r>
            <w:r>
              <w:rPr>
                <w:rFonts w:hint="default" w:ascii="Times New Roman" w:hAnsi="Times New Roman" w:cs="Times New Roman"/>
                <w:color w:val="000000"/>
                <w:highlight w:val="none"/>
                <w:lang w:eastAsia="zh-CN"/>
              </w:rPr>
              <w:t>该</w:t>
            </w:r>
            <w:r>
              <w:rPr>
                <w:rFonts w:hint="default" w:ascii="Times New Roman" w:hAnsi="Times New Roman" w:cs="Times New Roman"/>
                <w:color w:val="000000"/>
                <w:highlight w:val="none"/>
              </w:rPr>
              <w:t>饮用水源二级保护区边界约</w:t>
            </w:r>
            <w:r>
              <w:rPr>
                <w:rFonts w:hint="default" w:ascii="Times New Roman" w:hAnsi="Times New Roman" w:cs="Times New Roman"/>
                <w:color w:val="000000"/>
                <w:highlight w:val="none"/>
                <w:lang w:val="en-US" w:eastAsia="zh-CN"/>
              </w:rPr>
              <w:t>5k</w:t>
            </w:r>
            <w:r>
              <w:rPr>
                <w:rFonts w:hint="default" w:ascii="Times New Roman" w:hAnsi="Times New Roman" w:cs="Times New Roman"/>
                <w:color w:val="000000"/>
                <w:highlight w:val="none"/>
              </w:rPr>
              <w:t>m，不在其保护区范围内。</w:t>
            </w:r>
          </w:p>
          <w:p>
            <w:pPr>
              <w:pStyle w:val="2"/>
              <w:rPr>
                <w:rFonts w:hint="default" w:ascii="Times New Roman" w:hAnsi="Times New Roman" w:cs="Times New Roman"/>
                <w:color w:val="000000"/>
                <w:highlight w:val="none"/>
              </w:rPr>
            </w:pPr>
          </w:p>
          <w:p>
            <w:pPr>
              <w:rPr>
                <w:rFonts w:hint="default"/>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2" w:firstLineChars="200"/>
              <w:textAlignment w:val="auto"/>
              <w:rPr>
                <w:rFonts w:cs="宋体"/>
                <w:b/>
                <w:kern w:val="0"/>
                <w:szCs w:val="21"/>
              </w:rPr>
            </w:pPr>
            <w:r>
              <w:rPr>
                <w:rFonts w:hint="eastAsia" w:cs="宋体"/>
                <w:b/>
                <w:kern w:val="0"/>
                <w:szCs w:val="21"/>
                <w:lang w:val="en-US" w:eastAsia="zh-CN"/>
              </w:rPr>
              <w:t>11、</w:t>
            </w:r>
            <w:r>
              <w:rPr>
                <w:rFonts w:hint="eastAsia" w:cs="宋体"/>
                <w:b/>
                <w:kern w:val="0"/>
                <w:szCs w:val="21"/>
              </w:rPr>
              <w:t>与“三线一单”相容性判定</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cs="宋体"/>
                <w:b/>
                <w:bCs/>
                <w:kern w:val="0"/>
                <w:szCs w:val="21"/>
              </w:rPr>
            </w:pPr>
            <w:r>
              <w:rPr>
                <w:rFonts w:hint="eastAsia" w:cs="宋体"/>
                <w:b/>
                <w:bCs/>
                <w:kern w:val="0"/>
                <w:szCs w:val="21"/>
              </w:rPr>
              <w:t>（1）生态保护红线制约性</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kern w:val="0"/>
                <w:szCs w:val="21"/>
                <w:highlight w:val="none"/>
              </w:rPr>
            </w:pPr>
            <w:r>
              <w:rPr>
                <w:rFonts w:cs="宋体"/>
                <w:bCs/>
                <w:kern w:val="0"/>
                <w:szCs w:val="21"/>
              </w:rPr>
              <w:t>通过</w:t>
            </w:r>
            <w:r>
              <w:rPr>
                <w:rFonts w:hint="eastAsia" w:cs="宋体"/>
                <w:bCs/>
                <w:kern w:val="0"/>
                <w:szCs w:val="21"/>
              </w:rPr>
              <w:t>咨询</w:t>
            </w:r>
            <w:r>
              <w:rPr>
                <w:rFonts w:cs="宋体"/>
                <w:bCs/>
                <w:kern w:val="0"/>
                <w:szCs w:val="21"/>
              </w:rPr>
              <w:t>相关部门，</w:t>
            </w:r>
            <w:r>
              <w:rPr>
                <w:rFonts w:hint="eastAsia" w:cs="宋体"/>
                <w:bCs/>
                <w:kern w:val="0"/>
                <w:szCs w:val="21"/>
                <w:lang w:eastAsia="zh-CN"/>
              </w:rPr>
              <w:t>新乡市凤泉区</w:t>
            </w:r>
            <w:r>
              <w:rPr>
                <w:rFonts w:cs="宋体"/>
                <w:bCs/>
                <w:kern w:val="0"/>
                <w:szCs w:val="21"/>
              </w:rPr>
              <w:t>生态红线尚在制定中，本项目所在</w:t>
            </w:r>
            <w:r>
              <w:rPr>
                <w:rFonts w:cs="宋体"/>
                <w:bCs/>
                <w:kern w:val="0"/>
                <w:szCs w:val="21"/>
                <w:highlight w:val="none"/>
              </w:rPr>
              <w:t>区域内</w:t>
            </w:r>
            <w:r>
              <w:rPr>
                <w:rFonts w:hint="eastAsia" w:cs="宋体"/>
                <w:bCs/>
                <w:kern w:val="0"/>
                <w:szCs w:val="21"/>
                <w:highlight w:val="none"/>
              </w:rPr>
              <w:t>尚未</w:t>
            </w:r>
            <w:r>
              <w:rPr>
                <w:rFonts w:cs="宋体"/>
                <w:bCs/>
                <w:kern w:val="0"/>
                <w:szCs w:val="21"/>
                <w:highlight w:val="none"/>
              </w:rPr>
              <w:t>生态红线区域分布。</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kern w:val="0"/>
                <w:szCs w:val="21"/>
                <w:highlight w:val="none"/>
              </w:rPr>
            </w:pPr>
            <w:r>
              <w:rPr>
                <w:rFonts w:hint="eastAsia" w:cs="宋体"/>
                <w:bCs/>
                <w:kern w:val="0"/>
                <w:szCs w:val="21"/>
                <w:highlight w:val="none"/>
              </w:rPr>
              <w:t>本</w:t>
            </w:r>
            <w:r>
              <w:rPr>
                <w:rFonts w:cs="宋体"/>
                <w:bCs/>
                <w:kern w:val="0"/>
                <w:szCs w:val="21"/>
                <w:highlight w:val="none"/>
              </w:rPr>
              <w:t>项目位于</w:t>
            </w:r>
            <w:r>
              <w:rPr>
                <w:rFonts w:hint="eastAsia" w:cs="宋体"/>
                <w:bCs/>
                <w:kern w:val="0"/>
                <w:szCs w:val="21"/>
                <w:highlight w:val="none"/>
              </w:rPr>
              <w:t>新乡市凤泉区大块镇小块村西，本项目</w:t>
            </w:r>
            <w:r>
              <w:rPr>
                <w:rFonts w:hint="eastAsia" w:cs="宋体"/>
                <w:bCs/>
                <w:kern w:val="0"/>
                <w:szCs w:val="21"/>
                <w:highlight w:val="none"/>
                <w:lang w:val="en-GB"/>
              </w:rPr>
              <w:t>不在当地饮用水源、风景区、自然保护区等生态保护区内，不在环境功能区划等相关文件划定的生态保护红线范围</w:t>
            </w:r>
            <w:r>
              <w:rPr>
                <w:rFonts w:cs="宋体"/>
                <w:bCs/>
                <w:kern w:val="0"/>
                <w:szCs w:val="21"/>
                <w:highlight w:val="none"/>
                <w:lang w:val="en-GB"/>
              </w:rPr>
              <w:t>内</w:t>
            </w:r>
            <w:r>
              <w:rPr>
                <w:rFonts w:hint="eastAsia" w:cs="宋体"/>
                <w:bCs/>
                <w:kern w:val="0"/>
                <w:szCs w:val="21"/>
                <w:highlight w:val="none"/>
                <w:lang w:val="en-GB"/>
              </w:rPr>
              <w:t>，满足生态保护红线要求</w:t>
            </w:r>
            <w:r>
              <w:rPr>
                <w:rFonts w:cs="宋体"/>
                <w:bCs/>
                <w:kern w:val="0"/>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cs="宋体"/>
                <w:b/>
                <w:bCs/>
                <w:kern w:val="0"/>
                <w:szCs w:val="21"/>
                <w:highlight w:val="none"/>
              </w:rPr>
            </w:pPr>
            <w:r>
              <w:rPr>
                <w:rFonts w:hint="eastAsia" w:cs="宋体"/>
                <w:b/>
                <w:bCs/>
                <w:kern w:val="0"/>
                <w:szCs w:val="21"/>
                <w:highlight w:val="none"/>
              </w:rPr>
              <w:t>（2）资源利用上线制约性</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kern w:val="0"/>
                <w:szCs w:val="21"/>
                <w:highlight w:val="none"/>
              </w:rPr>
            </w:pPr>
            <w:r>
              <w:rPr>
                <w:rFonts w:hint="eastAsia" w:cs="宋体"/>
                <w:bCs/>
                <w:kern w:val="0"/>
                <w:szCs w:val="21"/>
                <w:highlight w:val="none"/>
              </w:rPr>
              <w:t>本项目依托现有厂区的供水系统；能源主要为电，由</w:t>
            </w:r>
            <w:r>
              <w:rPr>
                <w:rFonts w:hint="eastAsia" w:cs="宋体"/>
                <w:bCs/>
                <w:kern w:val="0"/>
                <w:szCs w:val="21"/>
                <w:highlight w:val="none"/>
                <w:lang w:eastAsia="zh-CN"/>
              </w:rPr>
              <w:t>区域市政供电部门</w:t>
            </w:r>
            <w:r>
              <w:rPr>
                <w:rFonts w:hint="eastAsia" w:cs="宋体"/>
                <w:bCs/>
                <w:kern w:val="0"/>
                <w:szCs w:val="21"/>
                <w:highlight w:val="none"/>
              </w:rPr>
              <w:t>统一供电。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cs="宋体"/>
                <w:b/>
                <w:bCs/>
                <w:kern w:val="0"/>
                <w:szCs w:val="21"/>
                <w:highlight w:val="none"/>
              </w:rPr>
            </w:pPr>
            <w:r>
              <w:rPr>
                <w:rFonts w:hint="eastAsia" w:cs="宋体"/>
                <w:b/>
                <w:bCs/>
                <w:kern w:val="0"/>
                <w:szCs w:val="21"/>
                <w:highlight w:val="none"/>
              </w:rPr>
              <w:t>（3）环境质量底线制约性</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kern w:val="0"/>
                <w:szCs w:val="21"/>
                <w:highlight w:val="none"/>
              </w:rPr>
            </w:pPr>
            <w:r>
              <w:rPr>
                <w:rFonts w:hint="eastAsia" w:cs="宋体"/>
                <w:bCs/>
                <w:kern w:val="0"/>
                <w:szCs w:val="21"/>
                <w:highlight w:val="none"/>
              </w:rPr>
              <w:t>本项目废气、噪声排放不改变区域环境质量功能区划，环境影响可接受。项目对周边大气环境、地表水环境、地下水环境、声环境、土壤环境影响</w:t>
            </w:r>
            <w:r>
              <w:rPr>
                <w:rFonts w:cs="宋体"/>
                <w:bCs/>
                <w:kern w:val="0"/>
                <w:szCs w:val="21"/>
                <w:highlight w:val="none"/>
              </w:rPr>
              <w:t>均可接受</w:t>
            </w:r>
            <w:r>
              <w:rPr>
                <w:rFonts w:hint="eastAsia" w:cs="宋体"/>
                <w:bCs/>
                <w:kern w:val="0"/>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cs="宋体"/>
                <w:b/>
                <w:bCs/>
                <w:kern w:val="0"/>
                <w:szCs w:val="21"/>
                <w:highlight w:val="none"/>
              </w:rPr>
            </w:pPr>
            <w:r>
              <w:rPr>
                <w:rFonts w:hint="eastAsia" w:cs="宋体"/>
                <w:b/>
                <w:bCs/>
                <w:kern w:val="0"/>
                <w:szCs w:val="21"/>
                <w:highlight w:val="none"/>
              </w:rPr>
              <w:t>（4）环境准入负面清单</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kern w:val="0"/>
                <w:szCs w:val="21"/>
                <w:highlight w:val="none"/>
              </w:rPr>
            </w:pPr>
            <w:r>
              <w:rPr>
                <w:rFonts w:hint="eastAsia" w:cs="宋体"/>
                <w:bCs/>
                <w:kern w:val="0"/>
                <w:szCs w:val="21"/>
                <w:highlight w:val="none"/>
              </w:rPr>
              <w:t>对照《新乡市城市总体规划图》（2010-2020），项目用地为其他用地；对照《新乡市凤泉区大块镇总体规划（2012-2020）调整》及《新乡市凤泉区大块镇总体规划（2012-2020）用地规划图》，项目用地不在大块镇规划片区范围内，项目占地处为未规划用地性质。根据《大块镇土地利用总体规划图（2010-2020）调整完善》，项目用地属于现状建设用地，项目建设符合大块镇土地利用规划、产业发展规划及总体规划。</w:t>
            </w:r>
            <w:r>
              <w:rPr>
                <w:rFonts w:hint="eastAsia" w:cs="宋体"/>
                <w:bCs/>
                <w:kern w:val="0"/>
                <w:szCs w:val="21"/>
                <w:highlight w:val="none"/>
                <w:lang w:eastAsia="zh-CN"/>
              </w:rPr>
              <w:t>项目所在区域</w:t>
            </w:r>
            <w:r>
              <w:rPr>
                <w:rFonts w:cs="宋体"/>
                <w:bCs/>
                <w:kern w:val="0"/>
                <w:szCs w:val="21"/>
                <w:highlight w:val="none"/>
              </w:rPr>
              <w:t>暂未制定</w:t>
            </w:r>
            <w:r>
              <w:rPr>
                <w:rFonts w:hint="eastAsia" w:cs="宋体"/>
                <w:bCs/>
                <w:kern w:val="0"/>
                <w:szCs w:val="21"/>
                <w:highlight w:val="none"/>
              </w:rPr>
              <w:t>负面清单。</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宋体"/>
                <w:bCs/>
                <w:kern w:val="0"/>
                <w:szCs w:val="21"/>
              </w:rPr>
            </w:pPr>
            <w:r>
              <w:rPr>
                <w:rFonts w:hint="eastAsia" w:cs="宋体"/>
                <w:bCs/>
                <w:kern w:val="0"/>
                <w:szCs w:val="21"/>
                <w:highlight w:val="none"/>
              </w:rPr>
              <w:t>综上，本项目总体上能够符合“三线一单”的管理要求。</w:t>
            </w:r>
            <w:r>
              <w:rPr>
                <w:rFonts w:hint="eastAsia" w:cs="宋体"/>
                <w:bCs/>
                <w:kern w:val="0"/>
                <w:szCs w:val="21"/>
                <w:highlight w:val="none"/>
              </w:rPr>
              <w:br w:type="textWrapping"/>
            </w:r>
            <w:r>
              <w:rPr>
                <w:rFonts w:hint="eastAsia" w:cs="宋体"/>
                <w:bCs/>
                <w:kern w:val="0"/>
                <w:szCs w:val="21"/>
              </w:rPr>
              <w:br w:type="textWrapping"/>
            </w:r>
            <w:r>
              <w:rPr>
                <w:rFonts w:hint="eastAsia" w:cs="宋体"/>
                <w:bCs/>
                <w:kern w:val="0"/>
                <w:szCs w:val="21"/>
              </w:rPr>
              <w:br w:type="textWrapping"/>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kern w:val="0"/>
                <w:szCs w:val="21"/>
              </w:rPr>
            </w:pPr>
            <w:r>
              <w:rPr>
                <w:rFonts w:hint="eastAsia" w:cs="宋体"/>
                <w:bCs/>
                <w:kern w:val="0"/>
                <w:szCs w:val="21"/>
              </w:rPr>
              <w:br w:type="textWrapping"/>
            </w:r>
            <w:r>
              <w:rPr>
                <w:rFonts w:hint="eastAsia" w:cs="宋体"/>
                <w:bCs/>
                <w:kern w:val="0"/>
                <w:szCs w:val="21"/>
              </w:rPr>
              <w:br w:type="textWrapping"/>
            </w:r>
            <w:r>
              <w:rPr>
                <w:rFonts w:hint="eastAsia" w:cs="宋体"/>
                <w:bCs/>
                <w:kern w:val="0"/>
                <w:szCs w:val="21"/>
              </w:rPr>
              <w:br w:type="textWrapping"/>
            </w:r>
          </w:p>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both"/>
              <w:textAlignment w:val="auto"/>
              <w:outlineLvl w:val="9"/>
              <w:rPr>
                <w:rFonts w:cs="宋体"/>
                <w:color w:val="000000"/>
                <w:kern w:val="0"/>
                <w:szCs w:val="21"/>
                <w:highlight w:val="cyan"/>
              </w:rPr>
            </w:pPr>
          </w:p>
        </w:tc>
      </w:tr>
    </w:tbl>
    <w:p>
      <w:pPr>
        <w:spacing w:line="360" w:lineRule="auto"/>
        <w:outlineLvl w:val="0"/>
        <w:rPr>
          <w:rFonts w:eastAsia="黑体"/>
          <w:sz w:val="30"/>
          <w:highlight w:val="cyan"/>
        </w:rPr>
        <w:sectPr>
          <w:footerReference r:id="rId4" w:type="default"/>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pgNumType w:start="1"/>
          <w:cols w:space="720" w:num="1"/>
          <w:docGrid w:linePitch="312" w:charSpace="0"/>
        </w:sectPr>
      </w:pPr>
    </w:p>
    <w:p>
      <w:pPr>
        <w:pStyle w:val="15"/>
        <w:jc w:val="center"/>
        <w:outlineLvl w:val="0"/>
        <w:rPr>
          <w:rFonts w:ascii="Times New Roman" w:hAnsi="Times New Roman" w:eastAsia="黑体"/>
          <w:snapToGrid w:val="0"/>
          <w:sz w:val="30"/>
          <w:szCs w:val="30"/>
          <w:highlight w:val="none"/>
        </w:rPr>
      </w:pPr>
      <w:r>
        <w:rPr>
          <w:rFonts w:hint="eastAsia" w:ascii="Times New Roman" w:hAnsi="Times New Roman" w:eastAsia="黑体"/>
          <w:snapToGrid w:val="0"/>
          <w:sz w:val="30"/>
          <w:szCs w:val="30"/>
          <w:highlight w:val="none"/>
        </w:rPr>
        <w:t>二、建设项目工程分析</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3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718" w:type="dxa"/>
            <w:noWrap w:val="0"/>
            <w:vAlign w:val="center"/>
          </w:tcPr>
          <w:p>
            <w:pPr>
              <w:pStyle w:val="15"/>
              <w:adjustRightInd w:val="0"/>
              <w:snapToGrid w:val="0"/>
              <w:spacing w:before="0" w:beforeAutospacing="0" w:after="0" w:afterAutospacing="0"/>
              <w:jc w:val="center"/>
              <w:rPr>
                <w:rFonts w:ascii="Times New Roman" w:hAnsi="Times New Roman" w:cs="宋体"/>
                <w:sz w:val="21"/>
                <w:szCs w:val="21"/>
                <w:highlight w:val="cyan"/>
              </w:rPr>
            </w:pPr>
            <w:r>
              <w:rPr>
                <w:rFonts w:hint="eastAsia" w:ascii="Times New Roman" w:hAnsi="Times New Roman" w:cs="宋体"/>
                <w:sz w:val="21"/>
                <w:szCs w:val="21"/>
                <w:highlight w:val="none"/>
              </w:rPr>
              <w:t>建设内容</w:t>
            </w:r>
          </w:p>
        </w:tc>
        <w:tc>
          <w:tcPr>
            <w:tcW w:w="8342" w:type="dxa"/>
            <w:noWrap w:val="0"/>
            <w:vAlign w:val="top"/>
          </w:tcPr>
          <w:p>
            <w:pPr>
              <w:numPr>
                <w:ilvl w:val="0"/>
                <w:numId w:val="2"/>
              </w:numPr>
              <w:autoSpaceDE w:val="0"/>
              <w:autoSpaceDN w:val="0"/>
              <w:adjustRightInd w:val="0"/>
              <w:snapToGrid w:val="0"/>
              <w:spacing w:line="400" w:lineRule="exact"/>
              <w:rPr>
                <w:rFonts w:cs="宋体"/>
                <w:b/>
                <w:kern w:val="0"/>
                <w:szCs w:val="21"/>
                <w:highlight w:val="none"/>
              </w:rPr>
            </w:pPr>
            <w:r>
              <w:rPr>
                <w:rFonts w:hint="eastAsia" w:cs="宋体"/>
                <w:b/>
                <w:kern w:val="0"/>
                <w:szCs w:val="21"/>
                <w:highlight w:val="none"/>
              </w:rPr>
              <w:t>本项目概况</w:t>
            </w:r>
          </w:p>
          <w:p>
            <w:pPr>
              <w:autoSpaceDE w:val="0"/>
              <w:autoSpaceDN w:val="0"/>
              <w:adjustRightInd w:val="0"/>
              <w:snapToGrid w:val="0"/>
              <w:spacing w:line="400" w:lineRule="exact"/>
              <w:ind w:firstLine="420" w:firstLineChars="200"/>
              <w:rPr>
                <w:rFonts w:hint="eastAsia" w:cs="宋体"/>
                <w:bCs/>
                <w:kern w:val="0"/>
                <w:szCs w:val="21"/>
                <w:highlight w:val="none"/>
              </w:rPr>
            </w:pPr>
            <w:r>
              <w:rPr>
                <w:rFonts w:hint="eastAsia" w:cs="宋体"/>
                <w:bCs/>
                <w:kern w:val="0"/>
                <w:szCs w:val="21"/>
                <w:highlight w:val="none"/>
              </w:rPr>
              <w:t>新乡市卓越橡塑有限公司位于新乡市凤泉区大块镇小块村西，该公司主要从事电池密封圈生产及销售，目前公司现有“年产1亿只锂电池密封圈项目”，该项目于2015年11月12日以凤环审（2015）029号通过新乡市凤泉区环保局审批，并于2018年 6月29日完成自主验收，目前具备年产1亿只锂电池密封圈生产能力。</w:t>
            </w:r>
          </w:p>
          <w:p>
            <w:pPr>
              <w:autoSpaceDE w:val="0"/>
              <w:autoSpaceDN w:val="0"/>
              <w:adjustRightInd w:val="0"/>
              <w:snapToGrid w:val="0"/>
              <w:spacing w:line="400" w:lineRule="exact"/>
              <w:ind w:firstLine="420" w:firstLineChars="200"/>
              <w:rPr>
                <w:rFonts w:hint="eastAsia" w:cs="宋体"/>
                <w:bCs/>
                <w:kern w:val="0"/>
                <w:szCs w:val="21"/>
                <w:highlight w:val="none"/>
              </w:rPr>
            </w:pPr>
            <w:r>
              <w:rPr>
                <w:rFonts w:hint="eastAsia" w:cs="宋体"/>
                <w:bCs/>
                <w:kern w:val="0"/>
                <w:szCs w:val="21"/>
                <w:highlight w:val="none"/>
              </w:rPr>
              <w:t>为扩大市场经营，新乡市卓越橡塑有限公司拟投资800万元，在现有工程基础上进行改扩建。根据现场勘查，由于现有工程注塑生产车间已无其他可用空间，本次改扩建工程拟将现有工程4套注塑机及配套设施均搬至厂区南侧1间预留车间内，并在该预留车间再次扩建15套注塑机及配套设施，本次改扩建工程产品仍为锂电池密封圈，改扩建工程完成后可新增年锂电池密封圈3亿只产能，建成后全厂可具备年产锂电池密封圈4亿只生产能力。</w:t>
            </w:r>
          </w:p>
          <w:p>
            <w:pPr>
              <w:autoSpaceDE w:val="0"/>
              <w:autoSpaceDN w:val="0"/>
              <w:adjustRightInd w:val="0"/>
              <w:snapToGrid w:val="0"/>
              <w:spacing w:line="400" w:lineRule="exact"/>
              <w:ind w:firstLine="420" w:firstLineChars="200"/>
              <w:rPr>
                <w:rFonts w:hint="eastAsia" w:cs="宋体"/>
                <w:bCs/>
                <w:kern w:val="0"/>
                <w:szCs w:val="21"/>
                <w:highlight w:val="none"/>
              </w:rPr>
            </w:pPr>
            <w:r>
              <w:rPr>
                <w:rFonts w:hint="eastAsia" w:cs="宋体"/>
                <w:bCs/>
                <w:kern w:val="0"/>
                <w:szCs w:val="21"/>
                <w:highlight w:val="none"/>
              </w:rPr>
              <w:t>本项目的基本情况见</w:t>
            </w:r>
            <w:r>
              <w:rPr>
                <w:rFonts w:hint="eastAsia" w:cs="宋体"/>
                <w:bCs/>
                <w:kern w:val="0"/>
                <w:szCs w:val="21"/>
                <w:highlight w:val="none"/>
                <w:lang w:eastAsia="zh-CN"/>
              </w:rPr>
              <w:t>下表</w:t>
            </w:r>
            <w:r>
              <w:rPr>
                <w:rFonts w:hint="eastAsia" w:cs="宋体"/>
                <w:bCs/>
                <w:kern w:val="0"/>
                <w:szCs w:val="21"/>
                <w:highlight w:val="none"/>
              </w:rPr>
              <w:t>。</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 xml:space="preserve">   </w:t>
            </w:r>
            <w:r>
              <w:rPr>
                <w:rFonts w:hint="eastAsia" w:ascii="Times New Roman" w:hAnsi="Times New Roman" w:cs="Times New Roman" w:eastAsiaTheme="minorEastAsia"/>
                <w:b w:val="0"/>
                <w:bCs w:val="0"/>
                <w:color w:val="auto"/>
                <w:sz w:val="21"/>
                <w:szCs w:val="21"/>
                <w:highlight w:val="none"/>
                <w:lang w:val="en-US" w:eastAsia="zh-CN"/>
              </w:rPr>
              <w:t>项目</w:t>
            </w:r>
            <w:r>
              <w:rPr>
                <w:rFonts w:hint="default" w:ascii="Times New Roman" w:hAnsi="Times New Roman" w:cs="Times New Roman" w:eastAsiaTheme="minorEastAsia"/>
                <w:b w:val="0"/>
                <w:bCs w:val="0"/>
                <w:color w:val="auto"/>
                <w:sz w:val="21"/>
                <w:szCs w:val="21"/>
                <w:highlight w:val="none"/>
                <w:lang w:val="en-US" w:eastAsia="zh-CN"/>
              </w:rPr>
              <w:t>概况一览表</w:t>
            </w:r>
          </w:p>
          <w:tbl>
            <w:tblPr>
              <w:tblStyle w:val="1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620"/>
              <w:gridCol w:w="58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sz w:val="18"/>
                      <w:szCs w:val="18"/>
                      <w:highlight w:val="none"/>
                    </w:rPr>
                  </w:pPr>
                  <w:r>
                    <w:rPr>
                      <w:sz w:val="18"/>
                      <w:szCs w:val="18"/>
                      <w:highlight w:val="none"/>
                    </w:rPr>
                    <w:t>序号</w:t>
                  </w:r>
                </w:p>
              </w:tc>
              <w:tc>
                <w:tcPr>
                  <w:tcW w:w="997" w:type="pct"/>
                  <w:noWrap w:val="0"/>
                  <w:vAlign w:val="center"/>
                </w:tcPr>
                <w:p>
                  <w:pPr>
                    <w:spacing w:before="24" w:beforeLines="10" w:after="24" w:afterLines="10" w:line="320" w:lineRule="exact"/>
                    <w:jc w:val="center"/>
                    <w:rPr>
                      <w:sz w:val="18"/>
                      <w:szCs w:val="18"/>
                      <w:highlight w:val="none"/>
                    </w:rPr>
                  </w:pPr>
                  <w:r>
                    <w:rPr>
                      <w:rFonts w:hint="eastAsia"/>
                      <w:sz w:val="18"/>
                      <w:szCs w:val="18"/>
                      <w:highlight w:val="none"/>
                    </w:rPr>
                    <w:t>项目</w:t>
                  </w:r>
                </w:p>
              </w:tc>
              <w:tc>
                <w:tcPr>
                  <w:tcW w:w="3607" w:type="pct"/>
                  <w:noWrap w:val="0"/>
                  <w:vAlign w:val="center"/>
                </w:tcPr>
                <w:p>
                  <w:pPr>
                    <w:spacing w:before="24" w:beforeLines="10" w:after="24" w:afterLines="10" w:line="320" w:lineRule="exact"/>
                    <w:jc w:val="left"/>
                    <w:rPr>
                      <w:sz w:val="18"/>
                      <w:szCs w:val="18"/>
                      <w:highlight w:val="none"/>
                    </w:rPr>
                  </w:pPr>
                  <w:r>
                    <w:rPr>
                      <w:rFonts w:hint="eastAsia"/>
                      <w:sz w:val="18"/>
                      <w:szCs w:val="18"/>
                      <w:highlight w:val="none"/>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sz w:val="18"/>
                      <w:szCs w:val="18"/>
                      <w:highlight w:val="none"/>
                    </w:rPr>
                  </w:pPr>
                  <w:r>
                    <w:rPr>
                      <w:sz w:val="18"/>
                      <w:szCs w:val="18"/>
                      <w:highlight w:val="none"/>
                    </w:rPr>
                    <w:t>1</w:t>
                  </w:r>
                </w:p>
              </w:tc>
              <w:tc>
                <w:tcPr>
                  <w:tcW w:w="997" w:type="pct"/>
                  <w:noWrap w:val="0"/>
                  <w:vAlign w:val="center"/>
                </w:tcPr>
                <w:p>
                  <w:pPr>
                    <w:spacing w:before="24" w:beforeLines="10" w:after="24" w:afterLines="10" w:line="320" w:lineRule="exact"/>
                    <w:jc w:val="center"/>
                    <w:rPr>
                      <w:sz w:val="18"/>
                      <w:szCs w:val="18"/>
                      <w:highlight w:val="none"/>
                    </w:rPr>
                  </w:pPr>
                  <w:r>
                    <w:rPr>
                      <w:rFonts w:hint="eastAsia"/>
                      <w:sz w:val="18"/>
                      <w:szCs w:val="18"/>
                      <w:highlight w:val="none"/>
                    </w:rPr>
                    <w:t>项目名称</w:t>
                  </w:r>
                </w:p>
              </w:tc>
              <w:tc>
                <w:tcPr>
                  <w:tcW w:w="3607" w:type="pct"/>
                  <w:noWrap w:val="0"/>
                  <w:vAlign w:val="center"/>
                </w:tcPr>
                <w:p>
                  <w:pPr>
                    <w:spacing w:before="24" w:beforeLines="10" w:after="24" w:afterLines="10" w:line="320" w:lineRule="exact"/>
                    <w:jc w:val="left"/>
                    <w:rPr>
                      <w:sz w:val="18"/>
                      <w:szCs w:val="18"/>
                      <w:highlight w:val="none"/>
                    </w:rPr>
                  </w:pPr>
                  <w:r>
                    <w:rPr>
                      <w:rFonts w:hint="default" w:ascii="Times New Roman" w:hAnsi="Times New Roman" w:cs="Times New Roman"/>
                      <w:color w:val="auto"/>
                      <w:sz w:val="18"/>
                      <w:szCs w:val="18"/>
                      <w:highlight w:val="none"/>
                      <w:lang w:val="en-US" w:eastAsia="zh-CN"/>
                    </w:rPr>
                    <w:t>年</w:t>
                  </w:r>
                  <w:r>
                    <w:rPr>
                      <w:rFonts w:hint="default" w:ascii="Times New Roman" w:hAnsi="Times New Roman" w:eastAsia="宋体" w:cs="Times New Roman"/>
                      <w:color w:val="auto"/>
                      <w:sz w:val="18"/>
                      <w:szCs w:val="18"/>
                      <w:highlight w:val="none"/>
                      <w:lang w:val="en-US" w:eastAsia="zh-CN"/>
                    </w:rPr>
                    <w:t>产3亿只锂电池密封圈项目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sz w:val="18"/>
                      <w:szCs w:val="18"/>
                      <w:highlight w:val="none"/>
                    </w:rPr>
                  </w:pPr>
                  <w:r>
                    <w:rPr>
                      <w:sz w:val="18"/>
                      <w:szCs w:val="18"/>
                      <w:highlight w:val="none"/>
                    </w:rPr>
                    <w:t>2</w:t>
                  </w:r>
                </w:p>
              </w:tc>
              <w:tc>
                <w:tcPr>
                  <w:tcW w:w="997" w:type="pct"/>
                  <w:noWrap w:val="0"/>
                  <w:vAlign w:val="center"/>
                </w:tcPr>
                <w:p>
                  <w:pPr>
                    <w:spacing w:before="24" w:beforeLines="10" w:after="24" w:afterLines="10" w:line="320" w:lineRule="exact"/>
                    <w:jc w:val="center"/>
                    <w:rPr>
                      <w:sz w:val="18"/>
                      <w:szCs w:val="18"/>
                      <w:highlight w:val="none"/>
                    </w:rPr>
                  </w:pPr>
                  <w:r>
                    <w:rPr>
                      <w:sz w:val="18"/>
                      <w:szCs w:val="18"/>
                      <w:highlight w:val="none"/>
                    </w:rPr>
                    <w:t>建设单位</w:t>
                  </w:r>
                </w:p>
              </w:tc>
              <w:tc>
                <w:tcPr>
                  <w:tcW w:w="3607" w:type="pct"/>
                  <w:noWrap w:val="0"/>
                  <w:vAlign w:val="center"/>
                </w:tcPr>
                <w:p>
                  <w:pPr>
                    <w:spacing w:before="24" w:beforeLines="10" w:after="24" w:afterLines="10" w:line="320" w:lineRule="exact"/>
                    <w:jc w:val="left"/>
                    <w:rPr>
                      <w:sz w:val="18"/>
                      <w:szCs w:val="18"/>
                      <w:highlight w:val="none"/>
                    </w:rPr>
                  </w:pPr>
                  <w:r>
                    <w:rPr>
                      <w:rFonts w:hint="eastAsia"/>
                      <w:sz w:val="18"/>
                      <w:szCs w:val="18"/>
                      <w:highlight w:val="none"/>
                    </w:rPr>
                    <w:t>新乡市卓越橡塑有限公司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sz w:val="18"/>
                      <w:szCs w:val="18"/>
                      <w:highlight w:val="none"/>
                    </w:rPr>
                  </w:pPr>
                  <w:r>
                    <w:rPr>
                      <w:sz w:val="18"/>
                      <w:szCs w:val="18"/>
                      <w:highlight w:val="none"/>
                    </w:rPr>
                    <w:t>3</w:t>
                  </w:r>
                </w:p>
              </w:tc>
              <w:tc>
                <w:tcPr>
                  <w:tcW w:w="997" w:type="pct"/>
                  <w:noWrap w:val="0"/>
                  <w:vAlign w:val="center"/>
                </w:tcPr>
                <w:p>
                  <w:pPr>
                    <w:spacing w:before="24" w:beforeLines="10" w:after="24" w:afterLines="10" w:line="320" w:lineRule="exact"/>
                    <w:jc w:val="center"/>
                    <w:rPr>
                      <w:sz w:val="18"/>
                      <w:szCs w:val="18"/>
                      <w:highlight w:val="none"/>
                    </w:rPr>
                  </w:pPr>
                  <w:r>
                    <w:rPr>
                      <w:sz w:val="18"/>
                      <w:szCs w:val="18"/>
                      <w:highlight w:val="none"/>
                    </w:rPr>
                    <w:t>建设性质</w:t>
                  </w:r>
                </w:p>
              </w:tc>
              <w:tc>
                <w:tcPr>
                  <w:tcW w:w="3607" w:type="pct"/>
                  <w:noWrap w:val="0"/>
                  <w:vAlign w:val="center"/>
                </w:tcPr>
                <w:p>
                  <w:pPr>
                    <w:spacing w:before="24" w:beforeLines="10" w:after="24" w:afterLines="10" w:line="320" w:lineRule="exact"/>
                    <w:jc w:val="left"/>
                    <w:rPr>
                      <w:sz w:val="18"/>
                      <w:szCs w:val="18"/>
                      <w:highlight w:val="none"/>
                    </w:rPr>
                  </w:pPr>
                  <w:r>
                    <w:rPr>
                      <w:sz w:val="18"/>
                      <w:szCs w:val="18"/>
                      <w:highlight w:val="none"/>
                    </w:rPr>
                    <w:t>扩建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sz w:val="18"/>
                      <w:szCs w:val="18"/>
                      <w:highlight w:val="none"/>
                    </w:rPr>
                  </w:pPr>
                  <w:r>
                    <w:rPr>
                      <w:sz w:val="18"/>
                      <w:szCs w:val="18"/>
                      <w:highlight w:val="none"/>
                    </w:rPr>
                    <w:t>4</w:t>
                  </w:r>
                </w:p>
              </w:tc>
              <w:tc>
                <w:tcPr>
                  <w:tcW w:w="997" w:type="pct"/>
                  <w:noWrap w:val="0"/>
                  <w:vAlign w:val="center"/>
                </w:tcPr>
                <w:p>
                  <w:pPr>
                    <w:spacing w:before="24" w:beforeLines="10" w:after="24" w:afterLines="10" w:line="320" w:lineRule="exact"/>
                    <w:jc w:val="center"/>
                    <w:rPr>
                      <w:sz w:val="18"/>
                      <w:szCs w:val="18"/>
                      <w:highlight w:val="none"/>
                    </w:rPr>
                  </w:pPr>
                  <w:r>
                    <w:rPr>
                      <w:sz w:val="18"/>
                      <w:szCs w:val="18"/>
                      <w:highlight w:val="none"/>
                    </w:rPr>
                    <w:t>产品方案</w:t>
                  </w:r>
                </w:p>
              </w:tc>
              <w:tc>
                <w:tcPr>
                  <w:tcW w:w="3607" w:type="pct"/>
                  <w:noWrap w:val="0"/>
                  <w:vAlign w:val="center"/>
                </w:tcPr>
                <w:p>
                  <w:pPr>
                    <w:spacing w:before="24" w:beforeLines="10" w:after="24" w:afterLines="10" w:line="320" w:lineRule="exact"/>
                    <w:jc w:val="left"/>
                    <w:rPr>
                      <w:sz w:val="18"/>
                      <w:szCs w:val="18"/>
                      <w:highlight w:val="none"/>
                    </w:rPr>
                  </w:pPr>
                  <w:r>
                    <w:rPr>
                      <w:rFonts w:hint="eastAsia"/>
                      <w:sz w:val="18"/>
                      <w:szCs w:val="18"/>
                      <w:highlight w:val="none"/>
                    </w:rPr>
                    <w:t>扩建后新增年生产锂电池密封圈3亿只产能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sz w:val="18"/>
                      <w:szCs w:val="18"/>
                      <w:highlight w:val="none"/>
                    </w:rPr>
                  </w:pPr>
                  <w:r>
                    <w:rPr>
                      <w:sz w:val="18"/>
                      <w:szCs w:val="18"/>
                      <w:highlight w:val="none"/>
                    </w:rPr>
                    <w:t>5</w:t>
                  </w:r>
                </w:p>
              </w:tc>
              <w:tc>
                <w:tcPr>
                  <w:tcW w:w="997" w:type="pct"/>
                  <w:noWrap w:val="0"/>
                  <w:vAlign w:val="center"/>
                </w:tcPr>
                <w:p>
                  <w:pPr>
                    <w:spacing w:before="24" w:beforeLines="10" w:after="24" w:afterLines="10" w:line="320" w:lineRule="exact"/>
                    <w:jc w:val="center"/>
                    <w:rPr>
                      <w:rFonts w:hint="eastAsia"/>
                      <w:sz w:val="18"/>
                      <w:szCs w:val="18"/>
                      <w:highlight w:val="none"/>
                    </w:rPr>
                  </w:pPr>
                  <w:r>
                    <w:rPr>
                      <w:sz w:val="18"/>
                      <w:szCs w:val="18"/>
                      <w:highlight w:val="none"/>
                    </w:rPr>
                    <w:t>建设地点</w:t>
                  </w:r>
                </w:p>
              </w:tc>
              <w:tc>
                <w:tcPr>
                  <w:tcW w:w="3607" w:type="pct"/>
                  <w:noWrap w:val="0"/>
                  <w:vAlign w:val="center"/>
                </w:tcPr>
                <w:p>
                  <w:pPr>
                    <w:spacing w:before="24" w:beforeLines="10" w:after="24" w:afterLines="10" w:line="320" w:lineRule="exact"/>
                    <w:jc w:val="left"/>
                    <w:rPr>
                      <w:sz w:val="18"/>
                      <w:szCs w:val="18"/>
                      <w:highlight w:val="none"/>
                    </w:rPr>
                  </w:pPr>
                  <w:r>
                    <w:rPr>
                      <w:rFonts w:hint="eastAsia"/>
                      <w:sz w:val="18"/>
                      <w:szCs w:val="18"/>
                      <w:highlight w:val="none"/>
                    </w:rPr>
                    <w:t>新乡市凤泉区大块镇小块村西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sz w:val="18"/>
                      <w:szCs w:val="18"/>
                      <w:highlight w:val="none"/>
                    </w:rPr>
                  </w:pPr>
                  <w:r>
                    <w:rPr>
                      <w:sz w:val="18"/>
                      <w:szCs w:val="18"/>
                      <w:highlight w:val="none"/>
                    </w:rPr>
                    <w:t>6</w:t>
                  </w:r>
                </w:p>
              </w:tc>
              <w:tc>
                <w:tcPr>
                  <w:tcW w:w="997" w:type="pct"/>
                  <w:noWrap w:val="0"/>
                  <w:vAlign w:val="center"/>
                </w:tcPr>
                <w:p>
                  <w:pPr>
                    <w:spacing w:before="24" w:beforeLines="10" w:after="24" w:afterLines="10" w:line="320" w:lineRule="exact"/>
                    <w:jc w:val="center"/>
                    <w:rPr>
                      <w:sz w:val="18"/>
                      <w:szCs w:val="18"/>
                      <w:highlight w:val="none"/>
                    </w:rPr>
                  </w:pPr>
                  <w:r>
                    <w:rPr>
                      <w:sz w:val="18"/>
                      <w:szCs w:val="18"/>
                      <w:highlight w:val="none"/>
                    </w:rPr>
                    <w:t>占地面积</w:t>
                  </w:r>
                </w:p>
              </w:tc>
              <w:tc>
                <w:tcPr>
                  <w:tcW w:w="3607" w:type="pct"/>
                  <w:noWrap w:val="0"/>
                  <w:vAlign w:val="center"/>
                </w:tcPr>
                <w:p>
                  <w:pPr>
                    <w:spacing w:before="24" w:beforeLines="10" w:after="24" w:afterLines="10" w:line="320" w:lineRule="exact"/>
                    <w:jc w:val="left"/>
                    <w:rPr>
                      <w:rFonts w:hint="default" w:eastAsia="宋体"/>
                      <w:sz w:val="18"/>
                      <w:szCs w:val="18"/>
                      <w:highlight w:val="none"/>
                      <w:lang w:val="en-US" w:eastAsia="zh-CN"/>
                    </w:rPr>
                  </w:pPr>
                  <w:r>
                    <w:rPr>
                      <w:rFonts w:hint="eastAsia"/>
                      <w:sz w:val="18"/>
                      <w:szCs w:val="18"/>
                      <w:highlight w:val="none"/>
                      <w:lang w:val="en-US" w:eastAsia="zh-CN"/>
                    </w:rPr>
                    <w:t>2000平方米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sz w:val="18"/>
                      <w:szCs w:val="18"/>
                      <w:highlight w:val="none"/>
                    </w:rPr>
                  </w:pPr>
                  <w:r>
                    <w:rPr>
                      <w:sz w:val="18"/>
                      <w:szCs w:val="18"/>
                      <w:highlight w:val="none"/>
                    </w:rPr>
                    <w:t>7</w:t>
                  </w:r>
                </w:p>
              </w:tc>
              <w:tc>
                <w:tcPr>
                  <w:tcW w:w="997" w:type="pct"/>
                  <w:noWrap w:val="0"/>
                  <w:vAlign w:val="center"/>
                </w:tcPr>
                <w:p>
                  <w:pPr>
                    <w:spacing w:before="24" w:beforeLines="10" w:after="24" w:afterLines="10" w:line="320" w:lineRule="exact"/>
                    <w:jc w:val="center"/>
                    <w:rPr>
                      <w:rFonts w:hint="eastAsia"/>
                      <w:sz w:val="18"/>
                      <w:szCs w:val="18"/>
                      <w:highlight w:val="none"/>
                    </w:rPr>
                  </w:pPr>
                  <w:r>
                    <w:rPr>
                      <w:sz w:val="18"/>
                      <w:szCs w:val="18"/>
                      <w:highlight w:val="none"/>
                    </w:rPr>
                    <w:t>总投资</w:t>
                  </w:r>
                </w:p>
              </w:tc>
              <w:tc>
                <w:tcPr>
                  <w:tcW w:w="3607" w:type="pct"/>
                  <w:noWrap w:val="0"/>
                  <w:vAlign w:val="center"/>
                </w:tcPr>
                <w:p>
                  <w:pPr>
                    <w:spacing w:before="24" w:beforeLines="10" w:after="24" w:afterLines="10" w:line="320" w:lineRule="exact"/>
                    <w:jc w:val="left"/>
                    <w:rPr>
                      <w:sz w:val="18"/>
                      <w:szCs w:val="18"/>
                      <w:highlight w:val="none"/>
                    </w:rPr>
                  </w:pPr>
                  <w:r>
                    <w:rPr>
                      <w:rFonts w:hint="eastAsia"/>
                      <w:sz w:val="18"/>
                      <w:szCs w:val="18"/>
                      <w:highlight w:val="none"/>
                      <w:lang w:val="en-US" w:eastAsia="zh-CN"/>
                    </w:rPr>
                    <w:t>800</w:t>
                  </w:r>
                  <w:r>
                    <w:rPr>
                      <w:sz w:val="18"/>
                      <w:szCs w:val="18"/>
                      <w:highlight w:val="none"/>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sz w:val="18"/>
                      <w:szCs w:val="18"/>
                      <w:highlight w:val="none"/>
                    </w:rPr>
                  </w:pPr>
                  <w:r>
                    <w:rPr>
                      <w:rFonts w:hint="eastAsia"/>
                      <w:sz w:val="18"/>
                      <w:szCs w:val="18"/>
                      <w:highlight w:val="none"/>
                    </w:rPr>
                    <w:t>8</w:t>
                  </w:r>
                </w:p>
              </w:tc>
              <w:tc>
                <w:tcPr>
                  <w:tcW w:w="997" w:type="pct"/>
                  <w:noWrap w:val="0"/>
                  <w:vAlign w:val="center"/>
                </w:tcPr>
                <w:p>
                  <w:pPr>
                    <w:spacing w:before="24" w:beforeLines="10" w:after="24" w:afterLines="10" w:line="320" w:lineRule="exact"/>
                    <w:jc w:val="center"/>
                    <w:rPr>
                      <w:sz w:val="18"/>
                      <w:szCs w:val="18"/>
                      <w:highlight w:val="none"/>
                    </w:rPr>
                  </w:pPr>
                  <w:r>
                    <w:rPr>
                      <w:sz w:val="18"/>
                      <w:szCs w:val="18"/>
                      <w:highlight w:val="none"/>
                    </w:rPr>
                    <w:t>生产工艺</w:t>
                  </w:r>
                </w:p>
              </w:tc>
              <w:tc>
                <w:tcPr>
                  <w:tcW w:w="3607" w:type="pct"/>
                  <w:noWrap w:val="0"/>
                  <w:vAlign w:val="center"/>
                </w:tcPr>
                <w:p>
                  <w:pPr>
                    <w:spacing w:before="24" w:beforeLines="10" w:after="24" w:afterLines="10" w:line="320" w:lineRule="exact"/>
                    <w:jc w:val="left"/>
                    <w:rPr>
                      <w:sz w:val="18"/>
                      <w:szCs w:val="18"/>
                      <w:highlight w:val="none"/>
                    </w:rPr>
                  </w:pPr>
                  <w:r>
                    <w:rPr>
                      <w:rFonts w:hint="eastAsia"/>
                      <w:sz w:val="18"/>
                      <w:szCs w:val="18"/>
                      <w:highlight w:val="none"/>
                    </w:rPr>
                    <w:t>上料烘干、加热熔融、注塑成型、间接冷却、检验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rFonts w:hint="eastAsia" w:eastAsia="宋体"/>
                      <w:sz w:val="18"/>
                      <w:szCs w:val="18"/>
                      <w:highlight w:val="none"/>
                      <w:lang w:eastAsia="zh-CN"/>
                    </w:rPr>
                  </w:pPr>
                  <w:r>
                    <w:rPr>
                      <w:rFonts w:hint="eastAsia"/>
                      <w:sz w:val="18"/>
                      <w:szCs w:val="18"/>
                      <w:highlight w:val="none"/>
                      <w:lang w:val="en-US" w:eastAsia="zh-CN"/>
                    </w:rPr>
                    <w:t>9</w:t>
                  </w:r>
                </w:p>
              </w:tc>
              <w:tc>
                <w:tcPr>
                  <w:tcW w:w="997" w:type="pct"/>
                  <w:noWrap w:val="0"/>
                  <w:vAlign w:val="center"/>
                </w:tcPr>
                <w:p>
                  <w:pPr>
                    <w:spacing w:before="24" w:beforeLines="10" w:after="24" w:afterLines="10" w:line="320" w:lineRule="exact"/>
                    <w:jc w:val="center"/>
                    <w:rPr>
                      <w:sz w:val="18"/>
                      <w:szCs w:val="18"/>
                      <w:highlight w:val="none"/>
                    </w:rPr>
                  </w:pPr>
                  <w:r>
                    <w:rPr>
                      <w:sz w:val="18"/>
                      <w:szCs w:val="18"/>
                      <w:highlight w:val="none"/>
                    </w:rPr>
                    <w:t>建设周期</w:t>
                  </w:r>
                </w:p>
              </w:tc>
              <w:tc>
                <w:tcPr>
                  <w:tcW w:w="3607" w:type="pct"/>
                  <w:noWrap w:val="0"/>
                  <w:vAlign w:val="center"/>
                </w:tcPr>
                <w:p>
                  <w:pPr>
                    <w:spacing w:before="24" w:beforeLines="10" w:after="24" w:afterLines="10" w:line="320" w:lineRule="exact"/>
                    <w:jc w:val="left"/>
                    <w:rPr>
                      <w:sz w:val="18"/>
                      <w:szCs w:val="18"/>
                      <w:highlight w:val="none"/>
                    </w:rPr>
                  </w:pPr>
                  <w:r>
                    <w:rPr>
                      <w:sz w:val="18"/>
                      <w:szCs w:val="18"/>
                      <w:highlight w:val="none"/>
                    </w:rPr>
                    <w:t>202</w:t>
                  </w:r>
                  <w:r>
                    <w:rPr>
                      <w:rFonts w:hint="eastAsia"/>
                      <w:sz w:val="18"/>
                      <w:szCs w:val="18"/>
                      <w:highlight w:val="none"/>
                      <w:lang w:val="en-US" w:eastAsia="zh-CN"/>
                    </w:rPr>
                    <w:t>1</w:t>
                  </w:r>
                  <w:r>
                    <w:rPr>
                      <w:rFonts w:hint="eastAsia"/>
                      <w:sz w:val="18"/>
                      <w:szCs w:val="18"/>
                      <w:highlight w:val="none"/>
                    </w:rPr>
                    <w:t>年</w:t>
                  </w:r>
                  <w:r>
                    <w:rPr>
                      <w:rFonts w:hint="eastAsia"/>
                      <w:sz w:val="18"/>
                      <w:szCs w:val="18"/>
                      <w:highlight w:val="none"/>
                      <w:lang w:val="en-US" w:eastAsia="zh-CN"/>
                    </w:rPr>
                    <w:t>5</w:t>
                  </w:r>
                  <w:r>
                    <w:rPr>
                      <w:rFonts w:hint="eastAsia"/>
                      <w:sz w:val="18"/>
                      <w:szCs w:val="18"/>
                      <w:highlight w:val="none"/>
                    </w:rPr>
                    <w:t>月</w:t>
                  </w:r>
                  <w:r>
                    <w:rPr>
                      <w:sz w:val="18"/>
                      <w:szCs w:val="18"/>
                      <w:highlight w:val="none"/>
                    </w:rPr>
                    <w:t>~2021</w:t>
                  </w:r>
                  <w:r>
                    <w:rPr>
                      <w:rFonts w:hint="eastAsia"/>
                      <w:sz w:val="18"/>
                      <w:szCs w:val="18"/>
                      <w:highlight w:val="none"/>
                    </w:rPr>
                    <w:t>年</w:t>
                  </w:r>
                  <w:r>
                    <w:rPr>
                      <w:sz w:val="18"/>
                      <w:szCs w:val="18"/>
                      <w:highlight w:val="none"/>
                    </w:rPr>
                    <w:t>8</w:t>
                  </w:r>
                  <w:r>
                    <w:rPr>
                      <w:rFonts w:hint="eastAsia"/>
                      <w:sz w:val="18"/>
                      <w:szCs w:val="18"/>
                      <w:highlight w:val="none"/>
                    </w:rPr>
                    <w:t>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rFonts w:hint="default" w:eastAsia="宋体"/>
                      <w:sz w:val="18"/>
                      <w:szCs w:val="18"/>
                      <w:highlight w:val="none"/>
                      <w:lang w:val="en-US" w:eastAsia="zh-CN"/>
                    </w:rPr>
                  </w:pPr>
                  <w:r>
                    <w:rPr>
                      <w:rFonts w:hint="eastAsia"/>
                      <w:sz w:val="18"/>
                      <w:szCs w:val="18"/>
                      <w:highlight w:val="none"/>
                      <w:lang w:val="en-US" w:eastAsia="zh-CN"/>
                    </w:rPr>
                    <w:t>10</w:t>
                  </w:r>
                </w:p>
              </w:tc>
              <w:tc>
                <w:tcPr>
                  <w:tcW w:w="997" w:type="pct"/>
                  <w:noWrap w:val="0"/>
                  <w:vAlign w:val="center"/>
                </w:tcPr>
                <w:p>
                  <w:pPr>
                    <w:spacing w:before="24" w:beforeLines="10" w:after="24" w:afterLines="10" w:line="320" w:lineRule="exact"/>
                    <w:jc w:val="center"/>
                    <w:rPr>
                      <w:sz w:val="18"/>
                      <w:szCs w:val="18"/>
                      <w:highlight w:val="none"/>
                    </w:rPr>
                  </w:pPr>
                  <w:r>
                    <w:rPr>
                      <w:sz w:val="18"/>
                      <w:szCs w:val="18"/>
                      <w:highlight w:val="none"/>
                    </w:rPr>
                    <w:t>工作制度</w:t>
                  </w:r>
                </w:p>
              </w:tc>
              <w:tc>
                <w:tcPr>
                  <w:tcW w:w="3607" w:type="pct"/>
                  <w:noWrap w:val="0"/>
                  <w:vAlign w:val="center"/>
                </w:tcPr>
                <w:p>
                  <w:pPr>
                    <w:spacing w:before="24" w:beforeLines="10" w:after="24" w:afterLines="10" w:line="320" w:lineRule="exact"/>
                    <w:jc w:val="left"/>
                    <w:rPr>
                      <w:sz w:val="18"/>
                      <w:szCs w:val="18"/>
                      <w:highlight w:val="none"/>
                    </w:rPr>
                  </w:pPr>
                  <w:r>
                    <w:rPr>
                      <w:rFonts w:hint="eastAsia"/>
                      <w:sz w:val="18"/>
                      <w:szCs w:val="18"/>
                      <w:highlight w:val="none"/>
                    </w:rPr>
                    <w:t>年工作</w:t>
                  </w:r>
                  <w:r>
                    <w:rPr>
                      <w:sz w:val="18"/>
                      <w:szCs w:val="18"/>
                      <w:highlight w:val="none"/>
                    </w:rPr>
                    <w:t xml:space="preserve">300 </w:t>
                  </w:r>
                  <w:r>
                    <w:rPr>
                      <w:rFonts w:hint="eastAsia"/>
                      <w:sz w:val="18"/>
                      <w:szCs w:val="18"/>
                      <w:highlight w:val="none"/>
                    </w:rPr>
                    <w:t>天，</w:t>
                  </w:r>
                  <w:r>
                    <w:rPr>
                      <w:rFonts w:hint="eastAsia"/>
                      <w:sz w:val="18"/>
                      <w:szCs w:val="18"/>
                      <w:highlight w:val="none"/>
                      <w:lang w:eastAsia="zh-CN"/>
                    </w:rPr>
                    <w:t>每天一班</w:t>
                  </w:r>
                  <w:r>
                    <w:rPr>
                      <w:rFonts w:hint="eastAsia"/>
                      <w:sz w:val="18"/>
                      <w:szCs w:val="18"/>
                      <w:highlight w:val="none"/>
                    </w:rPr>
                    <w:t>制，年工作时间</w:t>
                  </w:r>
                  <w:r>
                    <w:rPr>
                      <w:rFonts w:hint="eastAsia"/>
                      <w:sz w:val="18"/>
                      <w:szCs w:val="18"/>
                      <w:highlight w:val="none"/>
                      <w:lang w:val="en-US" w:eastAsia="zh-CN"/>
                    </w:rPr>
                    <w:t>2400</w:t>
                  </w:r>
                  <w:r>
                    <w:rPr>
                      <w:sz w:val="18"/>
                      <w:szCs w:val="18"/>
                      <w:highlight w:val="none"/>
                    </w:rPr>
                    <w: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spacing w:before="24" w:beforeLines="10" w:after="24" w:afterLines="10" w:line="320" w:lineRule="exact"/>
                    <w:jc w:val="center"/>
                    <w:rPr>
                      <w:rFonts w:hint="eastAsia" w:eastAsia="宋体"/>
                      <w:sz w:val="18"/>
                      <w:szCs w:val="18"/>
                      <w:highlight w:val="none"/>
                      <w:lang w:eastAsia="zh-CN"/>
                    </w:rPr>
                  </w:pPr>
                  <w:r>
                    <w:rPr>
                      <w:rFonts w:hint="eastAsia"/>
                      <w:sz w:val="18"/>
                      <w:szCs w:val="18"/>
                      <w:highlight w:val="none"/>
                    </w:rPr>
                    <w:t>1</w:t>
                  </w:r>
                  <w:r>
                    <w:rPr>
                      <w:rFonts w:hint="eastAsia"/>
                      <w:sz w:val="18"/>
                      <w:szCs w:val="18"/>
                      <w:highlight w:val="none"/>
                      <w:lang w:val="en-US" w:eastAsia="zh-CN"/>
                    </w:rPr>
                    <w:t>1</w:t>
                  </w:r>
                </w:p>
              </w:tc>
              <w:tc>
                <w:tcPr>
                  <w:tcW w:w="997" w:type="pct"/>
                  <w:noWrap w:val="0"/>
                  <w:vAlign w:val="center"/>
                </w:tcPr>
                <w:p>
                  <w:pPr>
                    <w:spacing w:before="24" w:beforeLines="10" w:after="24" w:afterLines="10" w:line="320" w:lineRule="exact"/>
                    <w:jc w:val="center"/>
                    <w:rPr>
                      <w:sz w:val="18"/>
                      <w:szCs w:val="18"/>
                      <w:highlight w:val="none"/>
                    </w:rPr>
                  </w:pPr>
                  <w:r>
                    <w:rPr>
                      <w:sz w:val="18"/>
                      <w:szCs w:val="18"/>
                      <w:highlight w:val="none"/>
                    </w:rPr>
                    <w:t>职工人数</w:t>
                  </w:r>
                </w:p>
              </w:tc>
              <w:tc>
                <w:tcPr>
                  <w:tcW w:w="3607" w:type="pct"/>
                  <w:noWrap w:val="0"/>
                  <w:vAlign w:val="center"/>
                </w:tcPr>
                <w:p>
                  <w:pPr>
                    <w:spacing w:before="24" w:beforeLines="10" w:after="24" w:afterLines="10" w:line="320" w:lineRule="exact"/>
                    <w:jc w:val="left"/>
                    <w:rPr>
                      <w:sz w:val="18"/>
                      <w:szCs w:val="18"/>
                      <w:highlight w:val="none"/>
                    </w:rPr>
                  </w:pPr>
                  <w:r>
                    <w:rPr>
                      <w:sz w:val="18"/>
                      <w:szCs w:val="18"/>
                      <w:highlight w:val="none"/>
                    </w:rPr>
                    <w:t>新增劳动定员</w:t>
                  </w:r>
                  <w:r>
                    <w:rPr>
                      <w:rFonts w:hint="eastAsia"/>
                      <w:sz w:val="18"/>
                      <w:szCs w:val="18"/>
                      <w:highlight w:val="none"/>
                      <w:lang w:val="en-US" w:eastAsia="zh-CN"/>
                    </w:rPr>
                    <w:t>5</w:t>
                  </w:r>
                  <w:r>
                    <w:rPr>
                      <w:sz w:val="18"/>
                      <w:szCs w:val="18"/>
                      <w:highlight w:val="none"/>
                    </w:rPr>
                    <w:t>人</w:t>
                  </w:r>
                </w:p>
              </w:tc>
            </w:tr>
          </w:tbl>
          <w:p>
            <w:pPr>
              <w:numPr>
                <w:ilvl w:val="0"/>
                <w:numId w:val="2"/>
              </w:numPr>
              <w:autoSpaceDE w:val="0"/>
              <w:autoSpaceDN w:val="0"/>
              <w:adjustRightInd w:val="0"/>
              <w:snapToGrid w:val="0"/>
              <w:spacing w:line="400" w:lineRule="exact"/>
              <w:rPr>
                <w:rFonts w:cs="宋体"/>
                <w:b/>
                <w:kern w:val="0"/>
                <w:szCs w:val="21"/>
                <w:highlight w:val="none"/>
              </w:rPr>
            </w:pPr>
            <w:r>
              <w:rPr>
                <w:rFonts w:hint="eastAsia" w:cs="宋体"/>
                <w:b/>
                <w:kern w:val="0"/>
                <w:szCs w:val="21"/>
                <w:highlight w:val="none"/>
              </w:rPr>
              <w:t>本项目建设内容</w:t>
            </w:r>
          </w:p>
          <w:p>
            <w:pPr>
              <w:autoSpaceDE w:val="0"/>
              <w:autoSpaceDN w:val="0"/>
              <w:adjustRightInd w:val="0"/>
              <w:snapToGrid w:val="0"/>
              <w:spacing w:line="400" w:lineRule="exact"/>
              <w:ind w:firstLine="420" w:firstLineChars="200"/>
              <w:rPr>
                <w:rFonts w:hint="eastAsia" w:cs="宋体"/>
                <w:bCs/>
                <w:kern w:val="0"/>
                <w:szCs w:val="21"/>
                <w:highlight w:val="none"/>
              </w:rPr>
            </w:pPr>
            <w:r>
              <w:rPr>
                <w:rFonts w:cs="宋体"/>
                <w:bCs/>
                <w:kern w:val="0"/>
                <w:szCs w:val="21"/>
                <w:highlight w:val="none"/>
              </w:rPr>
              <w:t>项目主要由</w:t>
            </w:r>
            <w:r>
              <w:rPr>
                <w:rFonts w:hint="eastAsia" w:cs="宋体"/>
                <w:bCs/>
                <w:kern w:val="0"/>
                <w:szCs w:val="21"/>
                <w:highlight w:val="none"/>
              </w:rPr>
              <w:t>主体</w:t>
            </w:r>
            <w:r>
              <w:rPr>
                <w:rFonts w:cs="宋体"/>
                <w:bCs/>
                <w:kern w:val="0"/>
                <w:szCs w:val="21"/>
                <w:highlight w:val="none"/>
              </w:rPr>
              <w:t>工程、辅助工程、</w:t>
            </w:r>
            <w:r>
              <w:rPr>
                <w:rFonts w:hint="eastAsia" w:cs="宋体"/>
                <w:bCs/>
                <w:kern w:val="0"/>
                <w:szCs w:val="21"/>
                <w:highlight w:val="none"/>
                <w:lang w:eastAsia="zh-CN"/>
              </w:rPr>
              <w:t>共用工程及</w:t>
            </w:r>
            <w:r>
              <w:rPr>
                <w:rFonts w:cs="宋体"/>
                <w:bCs/>
                <w:kern w:val="0"/>
                <w:szCs w:val="21"/>
                <w:highlight w:val="none"/>
              </w:rPr>
              <w:t>环保工程等内容组成。项目主要工程组成见</w:t>
            </w:r>
            <w:r>
              <w:rPr>
                <w:rFonts w:hint="eastAsia" w:cs="宋体"/>
                <w:bCs/>
                <w:kern w:val="0"/>
                <w:szCs w:val="21"/>
                <w:highlight w:val="none"/>
                <w:lang w:eastAsia="zh-CN"/>
              </w:rPr>
              <w:t>下表</w:t>
            </w:r>
            <w:r>
              <w:rPr>
                <w:rFonts w:hint="eastAsia" w:cs="宋体"/>
                <w:bCs/>
                <w:kern w:val="0"/>
                <w:szCs w:val="21"/>
                <w:highlight w:val="none"/>
              </w:rPr>
              <w:t>。</w:t>
            </w:r>
          </w:p>
          <w:p>
            <w:pPr>
              <w:pStyle w:val="2"/>
              <w:rPr>
                <w:rFonts w:hint="eastAsia" w:cs="宋体"/>
                <w:bCs/>
                <w:kern w:val="0"/>
                <w:szCs w:val="21"/>
                <w:highlight w:val="cyan"/>
              </w:rPr>
            </w:pPr>
          </w:p>
          <w:p>
            <w:pPr>
              <w:rPr>
                <w:rFonts w:hint="eastAsia"/>
              </w:rPr>
            </w:pPr>
          </w:p>
          <w:p>
            <w:pPr>
              <w:pStyle w:val="2"/>
              <w:rPr>
                <w:rFonts w:hint="eastAsia"/>
              </w:rPr>
            </w:pP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 xml:space="preserve">   项目主要建设内容一览表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3"/>
              <w:gridCol w:w="972"/>
              <w:gridCol w:w="5167"/>
              <w:gridCol w:w="13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6" w:hRule="atLeast"/>
                <w:jc w:val="center"/>
              </w:trPr>
              <w:tc>
                <w:tcPr>
                  <w:tcW w:w="40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ajorEastAsia"/>
                      <w:snapToGrid w:val="0"/>
                      <w:color w:val="auto"/>
                      <w:kern w:val="0"/>
                      <w:sz w:val="18"/>
                      <w:szCs w:val="18"/>
                      <w:highlight w:val="none"/>
                    </w:rPr>
                  </w:pPr>
                  <w:r>
                    <w:rPr>
                      <w:rFonts w:hint="default" w:ascii="Times New Roman" w:hAnsi="Times New Roman" w:cs="Times New Roman" w:eastAsiaTheme="majorEastAsia"/>
                      <w:snapToGrid w:val="0"/>
                      <w:color w:val="auto"/>
                      <w:kern w:val="0"/>
                      <w:sz w:val="18"/>
                      <w:szCs w:val="18"/>
                      <w:highlight w:val="none"/>
                      <w:lang w:val="zh-CN"/>
                    </w:rPr>
                    <w:t>类别</w:t>
                  </w: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ajorEastAsia"/>
                      <w:snapToGrid w:val="0"/>
                      <w:color w:val="auto"/>
                      <w:kern w:val="0"/>
                      <w:sz w:val="18"/>
                      <w:szCs w:val="18"/>
                      <w:highlight w:val="none"/>
                    </w:rPr>
                  </w:pPr>
                  <w:r>
                    <w:rPr>
                      <w:rFonts w:hint="default" w:ascii="Times New Roman" w:hAnsi="Times New Roman" w:cs="Times New Roman" w:eastAsiaTheme="majorEastAsia"/>
                      <w:snapToGrid w:val="0"/>
                      <w:color w:val="auto"/>
                      <w:kern w:val="0"/>
                      <w:sz w:val="18"/>
                      <w:szCs w:val="18"/>
                      <w:highlight w:val="none"/>
                      <w:lang w:val="zh-CN"/>
                    </w:rPr>
                    <w:t>名称</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ajorEastAsia"/>
                      <w:snapToGrid w:val="0"/>
                      <w:color w:val="auto"/>
                      <w:kern w:val="0"/>
                      <w:sz w:val="18"/>
                      <w:szCs w:val="18"/>
                      <w:highlight w:val="none"/>
                      <w:lang w:val="zh-CN"/>
                    </w:rPr>
                  </w:pPr>
                  <w:r>
                    <w:rPr>
                      <w:rFonts w:hint="default" w:ascii="Times New Roman" w:hAnsi="Times New Roman" w:cs="Times New Roman" w:eastAsiaTheme="majorEastAsia"/>
                      <w:snapToGrid w:val="0"/>
                      <w:color w:val="auto"/>
                      <w:kern w:val="0"/>
                      <w:sz w:val="18"/>
                      <w:szCs w:val="18"/>
                      <w:highlight w:val="none"/>
                      <w:lang w:val="zh-CN"/>
                    </w:rPr>
                    <w:t>建设内容</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ajorEastAsia"/>
                      <w:snapToGrid w:val="0"/>
                      <w:color w:val="auto"/>
                      <w:kern w:val="0"/>
                      <w:sz w:val="18"/>
                      <w:szCs w:val="18"/>
                      <w:highlight w:val="none"/>
                      <w:lang w:val="zh-CN"/>
                    </w:rPr>
                  </w:pPr>
                  <w:r>
                    <w:rPr>
                      <w:rFonts w:hint="default" w:ascii="Times New Roman" w:hAnsi="Times New Roman" w:cs="Times New Roman" w:eastAsiaTheme="majorEastAsia"/>
                      <w:snapToGrid w:val="0"/>
                      <w:color w:val="auto"/>
                      <w:kern w:val="0"/>
                      <w:sz w:val="18"/>
                      <w:szCs w:val="18"/>
                      <w:highlight w:val="none"/>
                      <w:lang w:val="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lang w:val="zh-CN"/>
                    </w:rPr>
                    <w:t>主体工程</w:t>
                  </w: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w:t>
                  </w:r>
                  <w:r>
                    <w:rPr>
                      <w:rFonts w:hint="default" w:ascii="Times New Roman" w:hAnsi="Times New Roman" w:cs="Times New Roman"/>
                      <w:snapToGrid w:val="0"/>
                      <w:color w:val="auto"/>
                      <w:kern w:val="0"/>
                      <w:sz w:val="18"/>
                      <w:szCs w:val="18"/>
                      <w:highlight w:val="none"/>
                      <w:lang w:eastAsia="zh-CN"/>
                    </w:rPr>
                    <w:t>车间</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1F，砖混结构，建筑面积260</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，本次</w:t>
                  </w:r>
                  <w:r>
                    <w:rPr>
                      <w:rFonts w:hint="eastAsia" w:ascii="Times New Roman" w:hAnsi="Times New Roman" w:cs="Times New Roman"/>
                      <w:snapToGrid w:val="0"/>
                      <w:color w:val="auto"/>
                      <w:kern w:val="0"/>
                      <w:sz w:val="18"/>
                      <w:szCs w:val="18"/>
                      <w:highlight w:val="none"/>
                      <w:lang w:val="en-US" w:eastAsia="zh-CN"/>
                    </w:rPr>
                    <w:t>改扩建</w:t>
                  </w:r>
                  <w:r>
                    <w:rPr>
                      <w:rFonts w:hint="default" w:ascii="Times New Roman" w:hAnsi="Times New Roman" w:cs="Times New Roman"/>
                      <w:snapToGrid w:val="0"/>
                      <w:color w:val="auto"/>
                      <w:kern w:val="0"/>
                      <w:sz w:val="18"/>
                      <w:szCs w:val="18"/>
                      <w:highlight w:val="none"/>
                      <w:lang w:val="en-US" w:eastAsia="zh-CN"/>
                    </w:rPr>
                    <w:t>工程将该车间改为原料、成品库使用</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改为原料、成品库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w:t>
                  </w:r>
                  <w:r>
                    <w:rPr>
                      <w:rFonts w:hint="default" w:ascii="Times New Roman" w:hAnsi="Times New Roman" w:cs="Times New Roman"/>
                      <w:snapToGrid w:val="0"/>
                      <w:color w:val="auto"/>
                      <w:kern w:val="0"/>
                      <w:sz w:val="18"/>
                      <w:szCs w:val="18"/>
                      <w:highlight w:val="none"/>
                      <w:lang w:eastAsia="zh-CN"/>
                    </w:rPr>
                    <w:t>车间</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1F，砖混结构，建筑面积480</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，本次工程将1#车间现有4套注塑机及配套设施搬至该2#车间，并同时在车间内扩建</w:t>
                  </w:r>
                  <w:r>
                    <w:rPr>
                      <w:rFonts w:hint="eastAsia" w:ascii="Times New Roman" w:hAnsi="Times New Roman" w:cs="Times New Roman"/>
                      <w:snapToGrid w:val="0"/>
                      <w:color w:val="auto"/>
                      <w:kern w:val="0"/>
                      <w:sz w:val="18"/>
                      <w:szCs w:val="18"/>
                      <w:highlight w:val="none"/>
                      <w:lang w:val="en-US" w:eastAsia="zh-CN"/>
                    </w:rPr>
                    <w:t>15</w:t>
                  </w:r>
                  <w:r>
                    <w:rPr>
                      <w:rFonts w:hint="default" w:ascii="Times New Roman" w:hAnsi="Times New Roman" w:cs="Times New Roman"/>
                      <w:snapToGrid w:val="0"/>
                      <w:color w:val="auto"/>
                      <w:kern w:val="0"/>
                      <w:sz w:val="18"/>
                      <w:szCs w:val="18"/>
                      <w:highlight w:val="none"/>
                      <w:lang w:val="en-US" w:eastAsia="zh-CN"/>
                    </w:rPr>
                    <w:t>套注塑机及配套设施，扩建后共</w:t>
                  </w:r>
                  <w:r>
                    <w:rPr>
                      <w:rFonts w:hint="eastAsia" w:ascii="Times New Roman" w:hAnsi="Times New Roman" w:cs="Times New Roman"/>
                      <w:snapToGrid w:val="0"/>
                      <w:color w:val="auto"/>
                      <w:kern w:val="0"/>
                      <w:sz w:val="18"/>
                      <w:szCs w:val="18"/>
                      <w:highlight w:val="none"/>
                      <w:lang w:val="en-US" w:eastAsia="zh-CN"/>
                    </w:rPr>
                    <w:t>19</w:t>
                  </w:r>
                  <w:r>
                    <w:rPr>
                      <w:rFonts w:hint="default" w:ascii="Times New Roman" w:hAnsi="Times New Roman" w:cs="Times New Roman"/>
                      <w:snapToGrid w:val="0"/>
                      <w:color w:val="auto"/>
                      <w:kern w:val="0"/>
                      <w:sz w:val="18"/>
                      <w:szCs w:val="18"/>
                      <w:highlight w:val="none"/>
                      <w:lang w:val="en-US" w:eastAsia="zh-CN"/>
                    </w:rPr>
                    <w:t>套</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将现有</w:t>
                  </w:r>
                  <w:r>
                    <w:rPr>
                      <w:rFonts w:hint="eastAsia" w:ascii="Times New Roman" w:hAnsi="Times New Roman" w:cs="Times New Roman"/>
                      <w:snapToGrid w:val="0"/>
                      <w:color w:val="auto"/>
                      <w:kern w:val="0"/>
                      <w:sz w:val="18"/>
                      <w:szCs w:val="18"/>
                      <w:highlight w:val="none"/>
                      <w:lang w:val="en-US" w:eastAsia="zh-CN"/>
                    </w:rPr>
                    <w:t>4条</w:t>
                  </w:r>
                  <w:r>
                    <w:rPr>
                      <w:rFonts w:hint="default" w:ascii="Times New Roman" w:hAnsi="Times New Roman" w:cs="Times New Roman"/>
                      <w:snapToGrid w:val="0"/>
                      <w:color w:val="auto"/>
                      <w:kern w:val="0"/>
                      <w:sz w:val="18"/>
                      <w:szCs w:val="18"/>
                      <w:highlight w:val="none"/>
                      <w:lang w:val="en-US" w:eastAsia="zh-CN"/>
                    </w:rPr>
                    <w:t>生产线搬至该车间，同时进行扩建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辅助工程</w:t>
                  </w: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办公用房</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1F，砖混结构，建筑面积165m</w:t>
                  </w:r>
                  <w:r>
                    <w:rPr>
                      <w:rFonts w:hint="default" w:ascii="Times New Roman" w:hAnsi="Times New Roman" w:cs="Times New Roman"/>
                      <w:snapToGrid w:val="0"/>
                      <w:color w:val="auto"/>
                      <w:kern w:val="0"/>
                      <w:sz w:val="18"/>
                      <w:szCs w:val="18"/>
                      <w:highlight w:val="none"/>
                      <w:vertAlign w:val="superscript"/>
                      <w:lang w:val="en-US" w:eastAsia="zh-CN"/>
                    </w:rPr>
                    <w:t>2</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保持不变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zh-CN"/>
                    </w:rPr>
                  </w:pP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门卫室</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1F，砖混结构，建筑面积40m</w:t>
                  </w:r>
                  <w:r>
                    <w:rPr>
                      <w:rFonts w:hint="default" w:ascii="Times New Roman" w:hAnsi="Times New Roman" w:cs="Times New Roman"/>
                      <w:snapToGrid w:val="0"/>
                      <w:color w:val="auto"/>
                      <w:kern w:val="0"/>
                      <w:sz w:val="18"/>
                      <w:szCs w:val="18"/>
                      <w:highlight w:val="none"/>
                      <w:vertAlign w:val="superscript"/>
                      <w:lang w:val="en-US" w:eastAsia="zh-CN"/>
                    </w:rPr>
                    <w:t>2</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zh-CN"/>
                    </w:rPr>
                    <w:t>保持不变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lang w:val="zh-CN"/>
                    </w:rPr>
                    <w:t>公用工程</w:t>
                  </w: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供水工程</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snapToGrid w:val="0"/>
                      <w:color w:val="auto"/>
                      <w:kern w:val="0"/>
                      <w:sz w:val="18"/>
                      <w:szCs w:val="18"/>
                      <w:highlight w:val="none"/>
                      <w:lang w:val="zh-CN" w:eastAsia="zh-CN" w:bidi="ar-SA"/>
                    </w:rPr>
                  </w:pPr>
                  <w:r>
                    <w:rPr>
                      <w:rFonts w:hint="default" w:ascii="Times New Roman" w:hAnsi="Times New Roman" w:cs="Times New Roman"/>
                      <w:snapToGrid w:val="0"/>
                      <w:color w:val="auto"/>
                      <w:kern w:val="0"/>
                      <w:sz w:val="18"/>
                      <w:szCs w:val="18"/>
                      <w:highlight w:val="none"/>
                      <w:lang w:eastAsia="zh-CN"/>
                    </w:rPr>
                    <w:t>厂区自备井</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保持不变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0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排水工程</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snapToGrid w:val="0"/>
                      <w:color w:val="auto"/>
                      <w:kern w:val="0"/>
                      <w:sz w:val="18"/>
                      <w:szCs w:val="18"/>
                      <w:highlight w:val="none"/>
                    </w:rPr>
                    <w:t>生活污水</w:t>
                  </w:r>
                  <w:r>
                    <w:rPr>
                      <w:rFonts w:hint="default" w:ascii="Times New Roman" w:hAnsi="Times New Roman" w:cs="Times New Roman"/>
                      <w:snapToGrid w:val="0"/>
                      <w:color w:val="auto"/>
                      <w:kern w:val="0"/>
                      <w:sz w:val="18"/>
                      <w:szCs w:val="18"/>
                      <w:highlight w:val="none"/>
                      <w:lang w:eastAsia="zh-CN"/>
                    </w:rPr>
                    <w:t>利用改建后</w:t>
                  </w:r>
                  <w:r>
                    <w:rPr>
                      <w:rFonts w:hint="default" w:ascii="Times New Roman" w:hAnsi="Times New Roman" w:eastAsia="宋体" w:cs="Times New Roman"/>
                      <w:snapToGrid w:val="0"/>
                      <w:color w:val="auto"/>
                      <w:kern w:val="0"/>
                      <w:sz w:val="18"/>
                      <w:szCs w:val="18"/>
                      <w:highlight w:val="none"/>
                    </w:rPr>
                    <w:t>化粪池</w:t>
                  </w:r>
                  <w:r>
                    <w:rPr>
                      <w:rFonts w:hint="default" w:ascii="Times New Roman" w:hAnsi="Times New Roman" w:cs="Times New Roman"/>
                      <w:snapToGrid w:val="0"/>
                      <w:color w:val="auto"/>
                      <w:kern w:val="0"/>
                      <w:sz w:val="18"/>
                      <w:szCs w:val="18"/>
                      <w:highlight w:val="none"/>
                      <w:lang w:eastAsia="zh-CN"/>
                    </w:rPr>
                    <w:t>（</w:t>
                  </w:r>
                  <w:r>
                    <w:rPr>
                      <w:rFonts w:hint="default" w:ascii="Times New Roman" w:hAnsi="Times New Roman" w:cs="Times New Roman" w:eastAsiaTheme="minorEastAsia"/>
                      <w:b w:val="0"/>
                      <w:bCs w:val="0"/>
                      <w:color w:val="auto"/>
                      <w:sz w:val="18"/>
                      <w:szCs w:val="18"/>
                      <w:highlight w:val="none"/>
                      <w:lang w:val="en-US" w:eastAsia="zh-CN"/>
                    </w:rPr>
                    <w:t>5m</w:t>
                  </w:r>
                  <w:r>
                    <w:rPr>
                      <w:rFonts w:hint="default" w:ascii="Times New Roman" w:hAnsi="Times New Roman" w:cs="Times New Roman" w:eastAsiaTheme="minorEastAsia"/>
                      <w:b w:val="0"/>
                      <w:bCs w:val="0"/>
                      <w:color w:val="auto"/>
                      <w:sz w:val="18"/>
                      <w:szCs w:val="18"/>
                      <w:highlight w:val="none"/>
                      <w:vertAlign w:val="superscript"/>
                      <w:lang w:val="en-US" w:eastAsia="zh-CN"/>
                    </w:rPr>
                    <w:t>3</w:t>
                  </w:r>
                  <w:r>
                    <w:rPr>
                      <w:rFonts w:hint="default" w:ascii="Times New Roman" w:hAnsi="Times New Roman" w:cs="Times New Roman"/>
                      <w:snapToGrid w:val="0"/>
                      <w:color w:val="auto"/>
                      <w:kern w:val="0"/>
                      <w:sz w:val="18"/>
                      <w:szCs w:val="18"/>
                      <w:highlight w:val="none"/>
                      <w:lang w:eastAsia="zh-CN"/>
                    </w:rPr>
                    <w:t>）</w:t>
                  </w:r>
                  <w:r>
                    <w:rPr>
                      <w:rFonts w:hint="default" w:ascii="Times New Roman" w:hAnsi="Times New Roman" w:eastAsia="宋体" w:cs="Times New Roman"/>
                      <w:snapToGrid w:val="0"/>
                      <w:color w:val="auto"/>
                      <w:kern w:val="0"/>
                      <w:sz w:val="18"/>
                      <w:szCs w:val="18"/>
                      <w:highlight w:val="none"/>
                    </w:rPr>
                    <w:t>处理后</w:t>
                  </w:r>
                  <w:r>
                    <w:rPr>
                      <w:rFonts w:hint="default" w:ascii="Times New Roman" w:hAnsi="Times New Roman" w:cs="Times New Roman"/>
                      <w:snapToGrid w:val="0"/>
                      <w:color w:val="auto"/>
                      <w:kern w:val="0"/>
                      <w:sz w:val="18"/>
                      <w:szCs w:val="18"/>
                      <w:highlight w:val="none"/>
                      <w:lang w:eastAsia="zh-CN"/>
                    </w:rPr>
                    <w:t>，定期清运</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r>
                    <w:rPr>
                      <w:rFonts w:hint="default" w:ascii="Times New Roman" w:hAnsi="Times New Roman" w:eastAsia="宋体" w:cs="Times New Roman"/>
                      <w:snapToGrid w:val="0"/>
                      <w:color w:val="auto"/>
                      <w:kern w:val="0"/>
                      <w:sz w:val="18"/>
                      <w:szCs w:val="18"/>
                      <w:highlight w:val="none"/>
                      <w:lang w:val="zh-CN"/>
                    </w:rPr>
                    <w:t>供电工程</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snapToGrid w:val="0"/>
                      <w:color w:val="auto"/>
                      <w:kern w:val="0"/>
                      <w:sz w:val="18"/>
                      <w:szCs w:val="18"/>
                      <w:highlight w:val="none"/>
                      <w:lang w:val="zh-CN" w:eastAsia="zh-CN" w:bidi="ar-SA"/>
                    </w:rPr>
                  </w:pPr>
                  <w:r>
                    <w:rPr>
                      <w:rFonts w:hint="default" w:ascii="Times New Roman" w:hAnsi="Times New Roman" w:cs="Times New Roman"/>
                      <w:snapToGrid w:val="0"/>
                      <w:color w:val="auto"/>
                      <w:kern w:val="0"/>
                      <w:sz w:val="18"/>
                      <w:szCs w:val="18"/>
                      <w:highlight w:val="none"/>
                      <w:lang w:val="zh-CN"/>
                    </w:rPr>
                    <w:t>市政供电</w:t>
                  </w:r>
                  <w:r>
                    <w:rPr>
                      <w:rFonts w:hint="default" w:ascii="Times New Roman" w:hAnsi="Times New Roman" w:eastAsia="宋体" w:cs="Times New Roman"/>
                      <w:snapToGrid w:val="0"/>
                      <w:color w:val="auto"/>
                      <w:kern w:val="0"/>
                      <w:sz w:val="18"/>
                      <w:szCs w:val="18"/>
                      <w:highlight w:val="none"/>
                      <w:lang w:val="zh-CN"/>
                    </w:rPr>
                    <w:t>电网</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eastAsia="zh-CN"/>
                    </w:rPr>
                    <w:t>保持不变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lang w:val="zh-CN"/>
                    </w:rPr>
                    <w:t>环保工程</w:t>
                  </w: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废气</w:t>
                  </w:r>
                </w:p>
              </w:tc>
              <w:tc>
                <w:tcPr>
                  <w:tcW w:w="3179" w:type="pct"/>
                  <w:shd w:val="clear" w:color="auto" w:fill="auto"/>
                  <w:noWrap w:val="0"/>
                  <w:tcMar>
                    <w:top w:w="85" w:type="dxa"/>
                    <w:bottom w:w="85" w:type="dxa"/>
                  </w:tcMar>
                  <w:vAlign w:val="center"/>
                </w:tcPr>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left"/>
                    <w:textAlignment w:val="auto"/>
                    <w:rPr>
                      <w:rFonts w:hint="default" w:ascii="Times New Roman" w:hAnsi="Times New Roman" w:cs="Times New Roman" w:eastAsiaTheme="minorEastAsia"/>
                      <w:b w:val="0"/>
                      <w:bCs w:val="0"/>
                      <w:snapToGrid w:val="0"/>
                      <w:color w:val="auto"/>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lang w:val="en-US" w:eastAsia="zh-CN"/>
                    </w:rPr>
                    <w:t>将现有工程和本次新增工程设备均放入2#车间，并在车间内设置二次密闭间，通过设置集气罩收集后，通过</w:t>
                  </w:r>
                  <w:r>
                    <w:rPr>
                      <w:rFonts w:hint="default" w:ascii="Times New Roman" w:hAnsi="Times New Roman" w:cs="Times New Roman" w:eastAsiaTheme="minorEastAsia"/>
                      <w:b/>
                      <w:bCs/>
                      <w:color w:val="auto"/>
                      <w:sz w:val="18"/>
                      <w:szCs w:val="18"/>
                      <w:highlight w:val="none"/>
                      <w:u w:val="single"/>
                      <w:lang w:val="en-US" w:eastAsia="zh-CN"/>
                    </w:rPr>
                    <w:t>1套“活性炭吸脱附+催化燃烧”废气处理设施</w:t>
                  </w:r>
                  <w:r>
                    <w:rPr>
                      <w:rFonts w:hint="default" w:ascii="Times New Roman" w:hAnsi="Times New Roman" w:cs="Times New Roman" w:eastAsiaTheme="minorEastAsia"/>
                      <w:b w:val="0"/>
                      <w:bCs w:val="0"/>
                      <w:color w:val="auto"/>
                      <w:sz w:val="18"/>
                      <w:szCs w:val="18"/>
                      <w:highlight w:val="none"/>
                      <w:lang w:val="en-US" w:eastAsia="zh-CN"/>
                    </w:rPr>
                    <w:t>处理后，经1根15m高排气筒（DA001）排放</w:t>
                  </w:r>
                </w:p>
              </w:tc>
              <w:tc>
                <w:tcPr>
                  <w:tcW w:w="813" w:type="pct"/>
                  <w:shd w:val="clear" w:color="auto" w:fill="auto"/>
                  <w:noWrap w:val="0"/>
                  <w:tcMar>
                    <w:top w:w="85" w:type="dxa"/>
                    <w:bottom w:w="85" w:type="dxa"/>
                  </w:tcMar>
                  <w:vAlign w:val="center"/>
                </w:tcPr>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Chars="0"/>
                    <w:jc w:val="center"/>
                    <w:textAlignment w:val="auto"/>
                    <w:rPr>
                      <w:rFonts w:hint="default" w:ascii="Times New Roman" w:hAnsi="Times New Roman" w:cs="Times New Roman" w:eastAsiaTheme="minorEastAsia"/>
                      <w:b w:val="0"/>
                      <w:bCs w:val="0"/>
                      <w:snapToGrid/>
                      <w:color w:val="auto"/>
                      <w:sz w:val="18"/>
                      <w:szCs w:val="18"/>
                      <w:highlight w:val="none"/>
                      <w:lang w:val="en-US" w:eastAsia="zh-CN" w:bidi="ar-SA"/>
                    </w:rPr>
                  </w:pPr>
                  <w:r>
                    <w:rPr>
                      <w:rFonts w:hint="default" w:ascii="Times New Roman" w:hAnsi="Times New Roman" w:cs="Times New Roman" w:eastAsiaTheme="minorEastAsia"/>
                      <w:b w:val="0"/>
                      <w:bCs w:val="0"/>
                      <w:snapToGrid/>
                      <w:color w:val="auto"/>
                      <w:sz w:val="18"/>
                      <w:szCs w:val="18"/>
                      <w:highlight w:val="none"/>
                      <w:lang w:val="en-US" w:eastAsia="zh-CN" w:bidi="ar-SA"/>
                    </w:rPr>
                    <w:t>新建二次密闭间，新建1套</w:t>
                  </w:r>
                  <w:r>
                    <w:rPr>
                      <w:rFonts w:hint="default" w:ascii="Times New Roman" w:hAnsi="Times New Roman" w:cs="Times New Roman" w:eastAsiaTheme="minorEastAsia"/>
                      <w:b/>
                      <w:bCs/>
                      <w:color w:val="auto"/>
                      <w:sz w:val="18"/>
                      <w:szCs w:val="18"/>
                      <w:highlight w:val="none"/>
                      <w:u w:val="single"/>
                      <w:lang w:val="en-US" w:eastAsia="zh-CN"/>
                    </w:rPr>
                    <w:t>“活性炭吸脱附+催化燃烧”废气处理设施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598"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snapToGrid w:val="0"/>
                      <w:color w:val="auto"/>
                      <w:kern w:val="0"/>
                      <w:sz w:val="18"/>
                      <w:szCs w:val="18"/>
                      <w:highlight w:val="none"/>
                    </w:rPr>
                    <w:t>废水</w:t>
                  </w:r>
                </w:p>
              </w:tc>
              <w:tc>
                <w:tcPr>
                  <w:tcW w:w="3179" w:type="pct"/>
                  <w:shd w:val="clear" w:color="auto" w:fill="auto"/>
                  <w:noWrap w:val="0"/>
                  <w:tcMar>
                    <w:top w:w="85" w:type="dxa"/>
                    <w:bottom w:w="85" w:type="dxa"/>
                  </w:tcMar>
                  <w:vAlign w:val="center"/>
                </w:tcPr>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left"/>
                    <w:textAlignment w:val="auto"/>
                    <w:rPr>
                      <w:rFonts w:hint="default" w:ascii="Times New Roman" w:hAnsi="Times New Roman" w:cs="Times New Roman" w:eastAsiaTheme="minorEastAsia"/>
                      <w:b w:val="0"/>
                      <w:bCs w:val="0"/>
                      <w:snapToGrid w:val="0"/>
                      <w:color w:val="auto"/>
                      <w:sz w:val="18"/>
                      <w:szCs w:val="18"/>
                      <w:highlight w:val="none"/>
                      <w:lang w:val="en-US" w:eastAsia="zh-CN" w:bidi="ar-SA"/>
                    </w:rPr>
                  </w:pPr>
                  <w:r>
                    <w:rPr>
                      <w:rFonts w:hint="eastAsia" w:cs="Times New Roman" w:eastAsiaTheme="minorEastAsia"/>
                      <w:b w:val="0"/>
                      <w:bCs w:val="0"/>
                      <w:color w:val="auto"/>
                      <w:sz w:val="18"/>
                      <w:szCs w:val="18"/>
                      <w:highlight w:val="none"/>
                      <w:lang w:val="en-US" w:eastAsia="zh-CN"/>
                    </w:rPr>
                    <w:t>本次工程新建1座</w:t>
                  </w:r>
                  <w:r>
                    <w:rPr>
                      <w:rFonts w:hint="default" w:ascii="Times New Roman" w:hAnsi="Times New Roman" w:cs="Times New Roman" w:eastAsiaTheme="minorEastAsia"/>
                      <w:b w:val="0"/>
                      <w:bCs w:val="0"/>
                      <w:color w:val="auto"/>
                      <w:sz w:val="18"/>
                      <w:szCs w:val="18"/>
                      <w:highlight w:val="none"/>
                      <w:lang w:val="en-US" w:eastAsia="zh-CN"/>
                    </w:rPr>
                    <w:t>5m</w:t>
                  </w:r>
                  <w:r>
                    <w:rPr>
                      <w:rFonts w:hint="default" w:ascii="Times New Roman" w:hAnsi="Times New Roman" w:cs="Times New Roman" w:eastAsiaTheme="minorEastAsia"/>
                      <w:b w:val="0"/>
                      <w:bCs w:val="0"/>
                      <w:color w:val="auto"/>
                      <w:sz w:val="18"/>
                      <w:szCs w:val="18"/>
                      <w:highlight w:val="none"/>
                      <w:vertAlign w:val="superscript"/>
                      <w:lang w:val="en-US" w:eastAsia="zh-CN"/>
                    </w:rPr>
                    <w:t>3</w:t>
                  </w:r>
                  <w:r>
                    <w:rPr>
                      <w:rFonts w:hint="default" w:ascii="Times New Roman" w:hAnsi="Times New Roman" w:cs="Times New Roman" w:eastAsiaTheme="minorEastAsia"/>
                      <w:b w:val="0"/>
                      <w:bCs w:val="0"/>
                      <w:color w:val="auto"/>
                      <w:sz w:val="18"/>
                      <w:szCs w:val="18"/>
                      <w:highlight w:val="none"/>
                      <w:lang w:val="en-US" w:eastAsia="zh-CN"/>
                    </w:rPr>
                    <w:t>化粪池</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59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rPr>
                  </w:pP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snapToGrid w:val="0"/>
                      <w:color w:val="auto"/>
                      <w:kern w:val="0"/>
                      <w:sz w:val="18"/>
                      <w:szCs w:val="18"/>
                      <w:highlight w:val="cyan"/>
                      <w:lang w:val="en-US" w:eastAsia="zh-CN" w:bidi="ar-SA"/>
                    </w:rPr>
                  </w:pPr>
                  <w:r>
                    <w:rPr>
                      <w:rFonts w:hint="default" w:ascii="Times New Roman" w:hAnsi="Times New Roman" w:cs="Times New Roman"/>
                      <w:snapToGrid w:val="0"/>
                      <w:color w:val="auto"/>
                      <w:kern w:val="0"/>
                      <w:sz w:val="18"/>
                      <w:szCs w:val="18"/>
                      <w:highlight w:val="none"/>
                      <w:lang w:eastAsia="zh-CN"/>
                    </w:rPr>
                    <w:t>产品</w:t>
                  </w:r>
                  <w:r>
                    <w:rPr>
                      <w:rFonts w:hint="default" w:ascii="Times New Roman" w:hAnsi="Times New Roman" w:eastAsia="宋体" w:cs="Times New Roman"/>
                      <w:snapToGrid w:val="0"/>
                      <w:color w:val="auto"/>
                      <w:kern w:val="0"/>
                      <w:sz w:val="18"/>
                      <w:szCs w:val="18"/>
                      <w:highlight w:val="none"/>
                    </w:rPr>
                    <w:t>冷却水</w:t>
                  </w:r>
                  <w:r>
                    <w:rPr>
                      <w:rFonts w:hint="default" w:ascii="Times New Roman" w:hAnsi="Times New Roman" w:cs="Times New Roman"/>
                      <w:snapToGrid w:val="0"/>
                      <w:color w:val="auto"/>
                      <w:kern w:val="0"/>
                      <w:sz w:val="18"/>
                      <w:szCs w:val="18"/>
                      <w:highlight w:val="none"/>
                      <w:lang w:eastAsia="zh-CN"/>
                    </w:rPr>
                    <w:t>经设置冷却水罐冷却后</w:t>
                  </w:r>
                  <w:r>
                    <w:rPr>
                      <w:rFonts w:hint="default" w:ascii="Times New Roman" w:hAnsi="Times New Roman" w:eastAsia="宋体" w:cs="Times New Roman"/>
                      <w:snapToGrid w:val="0"/>
                      <w:color w:val="auto"/>
                      <w:kern w:val="0"/>
                      <w:sz w:val="18"/>
                      <w:szCs w:val="18"/>
                      <w:highlight w:val="none"/>
                    </w:rPr>
                    <w:t>循环回用不外排</w:t>
                  </w:r>
                  <w:r>
                    <w:rPr>
                      <w:rFonts w:hint="default" w:ascii="Times New Roman" w:hAnsi="Times New Roman" w:cs="Times New Roman"/>
                      <w:snapToGrid w:val="0"/>
                      <w:color w:val="auto"/>
                      <w:kern w:val="0"/>
                      <w:sz w:val="18"/>
                      <w:szCs w:val="18"/>
                      <w:highlight w:val="none"/>
                      <w:lang w:eastAsia="zh-CN"/>
                    </w:rPr>
                    <w:t>，本次拟淘汰现有循环水罐，更换为容量更大的</w:t>
                  </w:r>
                  <w:r>
                    <w:rPr>
                      <w:rFonts w:hint="default" w:ascii="Times New Roman" w:hAnsi="Times New Roman" w:cs="Times New Roman"/>
                      <w:snapToGrid w:val="0"/>
                      <w:color w:val="auto"/>
                      <w:kern w:val="0"/>
                      <w:sz w:val="18"/>
                      <w:szCs w:val="18"/>
                      <w:highlight w:val="none"/>
                      <w:lang w:val="en-US" w:eastAsia="zh-CN"/>
                    </w:rPr>
                    <w:t>15m</w:t>
                  </w:r>
                  <w:r>
                    <w:rPr>
                      <w:rFonts w:hint="default" w:ascii="Times New Roman" w:hAnsi="Times New Roman" w:cs="Times New Roman"/>
                      <w:snapToGrid w:val="0"/>
                      <w:color w:val="auto"/>
                      <w:kern w:val="0"/>
                      <w:sz w:val="18"/>
                      <w:szCs w:val="18"/>
                      <w:highlight w:val="none"/>
                      <w:vertAlign w:val="superscript"/>
                      <w:lang w:val="en-US" w:eastAsia="zh-CN"/>
                    </w:rPr>
                    <w:t>3</w:t>
                  </w:r>
                  <w:r>
                    <w:rPr>
                      <w:rFonts w:hint="default" w:ascii="Times New Roman" w:hAnsi="Times New Roman" w:cs="Times New Roman"/>
                      <w:snapToGrid w:val="0"/>
                      <w:color w:val="auto"/>
                      <w:kern w:val="0"/>
                      <w:sz w:val="18"/>
                      <w:szCs w:val="18"/>
                      <w:highlight w:val="none"/>
                      <w:lang w:val="en-US" w:eastAsia="zh-CN"/>
                    </w:rPr>
                    <w:t>恒温</w:t>
                  </w:r>
                  <w:r>
                    <w:rPr>
                      <w:rFonts w:hint="default" w:ascii="Times New Roman" w:hAnsi="Times New Roman" w:cs="Times New Roman"/>
                      <w:snapToGrid w:val="0"/>
                      <w:color w:val="auto"/>
                      <w:kern w:val="0"/>
                      <w:sz w:val="18"/>
                      <w:szCs w:val="18"/>
                      <w:highlight w:val="none"/>
                      <w:lang w:eastAsia="zh-CN"/>
                    </w:rPr>
                    <w:t>冷却水罐</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cyan"/>
                      <w:lang w:eastAsia="zh-CN"/>
                    </w:rPr>
                  </w:pPr>
                  <w:r>
                    <w:rPr>
                      <w:rFonts w:hint="default" w:ascii="Times New Roman" w:hAnsi="Times New Roman" w:cs="Times New Roman"/>
                      <w:snapToGrid w:val="0"/>
                      <w:color w:val="auto"/>
                      <w:kern w:val="0"/>
                      <w:sz w:val="18"/>
                      <w:szCs w:val="18"/>
                      <w:highlight w:val="none"/>
                      <w:lang w:val="zh-CN"/>
                    </w:rPr>
                    <w:t>新建，淘汰现有恒温冷却水罐，更换大容量恒温冷却水罐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0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598"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固废</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snapToGrid w:val="0"/>
                      <w:color w:val="auto"/>
                      <w:kern w:val="0"/>
                      <w:sz w:val="18"/>
                      <w:szCs w:val="18"/>
                      <w:highlight w:val="none"/>
                      <w:lang w:val="zh-CN" w:eastAsia="zh-CN" w:bidi="ar-SA"/>
                    </w:rPr>
                  </w:pPr>
                  <w:r>
                    <w:rPr>
                      <w:rFonts w:hint="default" w:ascii="Times New Roman" w:hAnsi="Times New Roman" w:cs="Times New Roman"/>
                      <w:snapToGrid w:val="0"/>
                      <w:color w:val="auto"/>
                      <w:kern w:val="0"/>
                      <w:sz w:val="18"/>
                      <w:szCs w:val="18"/>
                      <w:highlight w:val="none"/>
                      <w:lang w:val="zh-CN"/>
                    </w:rPr>
                    <w:t>一般固废暂存间（</w:t>
                  </w:r>
                  <w:r>
                    <w:rPr>
                      <w:rFonts w:hint="default" w:ascii="Times New Roman" w:hAnsi="Times New Roman" w:cs="Times New Roman"/>
                      <w:snapToGrid w:val="0"/>
                      <w:color w:val="auto"/>
                      <w:kern w:val="0"/>
                      <w:sz w:val="18"/>
                      <w:szCs w:val="18"/>
                      <w:highlight w:val="none"/>
                      <w:lang w:val="en-US" w:eastAsia="zh-CN"/>
                    </w:rPr>
                    <w:t>15m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zh-CN"/>
                    </w:rPr>
                    <w:t>）</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59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ajorEastAsia"/>
                      <w:color w:val="auto"/>
                      <w:sz w:val="18"/>
                      <w:szCs w:val="18"/>
                      <w:highlight w:val="none"/>
                      <w:lang w:val="zh-CN" w:eastAsia="zh-CN" w:bidi="ar-SA"/>
                    </w:rPr>
                  </w:pPr>
                  <w:r>
                    <w:rPr>
                      <w:rFonts w:hint="default" w:ascii="Times New Roman" w:hAnsi="Times New Roman" w:cs="Times New Roman" w:eastAsiaTheme="majorEastAsia"/>
                      <w:color w:val="auto"/>
                      <w:sz w:val="18"/>
                      <w:szCs w:val="18"/>
                      <w:highlight w:val="none"/>
                      <w:lang w:val="zh-CN" w:eastAsia="zh-CN"/>
                    </w:rPr>
                    <w:t>危险固废暂存间（</w:t>
                  </w:r>
                  <w:r>
                    <w:rPr>
                      <w:rFonts w:hint="default" w:ascii="Times New Roman" w:hAnsi="Times New Roman" w:cs="Times New Roman" w:eastAsiaTheme="majorEastAsia"/>
                      <w:color w:val="auto"/>
                      <w:sz w:val="18"/>
                      <w:szCs w:val="18"/>
                      <w:highlight w:val="none"/>
                      <w:lang w:val="en-US" w:eastAsia="zh-CN"/>
                    </w:rPr>
                    <w:t>10m</w:t>
                  </w:r>
                  <w:r>
                    <w:rPr>
                      <w:rFonts w:hint="default" w:ascii="Times New Roman" w:hAnsi="Times New Roman" w:cs="Times New Roman" w:eastAsiaTheme="majorEastAsia"/>
                      <w:color w:val="auto"/>
                      <w:sz w:val="18"/>
                      <w:szCs w:val="18"/>
                      <w:highlight w:val="none"/>
                      <w:vertAlign w:val="superscript"/>
                      <w:lang w:val="en-US" w:eastAsia="zh-CN"/>
                    </w:rPr>
                    <w:t>2</w:t>
                  </w:r>
                  <w:r>
                    <w:rPr>
                      <w:rFonts w:hint="default" w:ascii="Times New Roman" w:hAnsi="Times New Roman" w:cs="Times New Roman" w:eastAsiaTheme="majorEastAsia"/>
                      <w:color w:val="auto"/>
                      <w:sz w:val="18"/>
                      <w:szCs w:val="18"/>
                      <w:highlight w:val="none"/>
                      <w:lang w:val="zh-CN" w:eastAsia="zh-CN"/>
                    </w:rPr>
                    <w:t>）</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ajorEastAsia"/>
                      <w:color w:val="auto"/>
                      <w:sz w:val="18"/>
                      <w:szCs w:val="18"/>
                      <w:highlight w:val="none"/>
                      <w:lang w:val="zh-CN" w:eastAsia="zh-CN"/>
                    </w:rPr>
                  </w:pPr>
                  <w:r>
                    <w:rPr>
                      <w:rFonts w:hint="default" w:ascii="Times New Roman" w:hAnsi="Times New Roman" w:cs="Times New Roman" w:eastAsiaTheme="majorEastAsia"/>
                      <w:color w:val="auto"/>
                      <w:sz w:val="18"/>
                      <w:szCs w:val="18"/>
                      <w:highlight w:val="none"/>
                      <w:lang w:val="zh-CN"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8"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598"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噪声</w:t>
                  </w:r>
                </w:p>
              </w:tc>
              <w:tc>
                <w:tcPr>
                  <w:tcW w:w="3179"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ajorEastAsia"/>
                      <w:color w:val="auto"/>
                      <w:sz w:val="18"/>
                      <w:szCs w:val="18"/>
                      <w:highlight w:val="none"/>
                      <w:lang w:val="zh-CN" w:eastAsia="zh-CN"/>
                    </w:rPr>
                  </w:pPr>
                  <w:r>
                    <w:rPr>
                      <w:rFonts w:hint="default" w:ascii="Times New Roman" w:hAnsi="Times New Roman" w:cs="Times New Roman" w:eastAsiaTheme="majorEastAsia"/>
                      <w:color w:val="auto"/>
                      <w:sz w:val="18"/>
                      <w:szCs w:val="18"/>
                      <w:highlight w:val="none"/>
                      <w:lang w:val="zh-CN" w:eastAsia="zh-CN"/>
                    </w:rPr>
                    <w:t>新增机械噪声：采取室内布置，设置减震基础；</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cs="Times New Roman" w:eastAsiaTheme="majorEastAsia"/>
                      <w:color w:val="auto"/>
                      <w:sz w:val="18"/>
                      <w:szCs w:val="18"/>
                      <w:highlight w:val="none"/>
                      <w:lang w:val="zh-CN" w:eastAsia="zh-CN" w:bidi="ar-SA"/>
                    </w:rPr>
                  </w:pPr>
                  <w:r>
                    <w:rPr>
                      <w:rFonts w:hint="default" w:ascii="Times New Roman" w:hAnsi="Times New Roman" w:cs="Times New Roman" w:eastAsiaTheme="majorEastAsia"/>
                      <w:color w:val="auto"/>
                      <w:sz w:val="18"/>
                      <w:szCs w:val="18"/>
                      <w:highlight w:val="none"/>
                      <w:lang w:val="zh-CN" w:eastAsia="zh-CN"/>
                    </w:rPr>
                    <w:t>新增空气动力噪声：安装隔声罩，采用软管连接。</w:t>
                  </w:r>
                </w:p>
              </w:tc>
              <w:tc>
                <w:tcPr>
                  <w:tcW w:w="813" w:type="pct"/>
                  <w:shd w:val="clear" w:color="auto" w:fill="auto"/>
                  <w:noWrap w:val="0"/>
                  <w:tcMar>
                    <w:top w:w="85" w:type="dxa"/>
                    <w:bottom w:w="8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ajorEastAsia"/>
                      <w:color w:val="auto"/>
                      <w:sz w:val="18"/>
                      <w:szCs w:val="18"/>
                      <w:highlight w:val="none"/>
                      <w:lang w:val="zh-CN" w:eastAsia="zh-CN"/>
                    </w:rPr>
                  </w:pPr>
                  <w:r>
                    <w:rPr>
                      <w:rFonts w:hint="default" w:ascii="Times New Roman" w:hAnsi="Times New Roman" w:cs="Times New Roman" w:eastAsiaTheme="majorEastAsia"/>
                      <w:color w:val="auto"/>
                      <w:sz w:val="18"/>
                      <w:szCs w:val="18"/>
                      <w:highlight w:val="none"/>
                      <w:lang w:val="zh-CN" w:eastAsia="zh-CN"/>
                    </w:rPr>
                    <w:t>新建</w:t>
                  </w:r>
                </w:p>
              </w:tc>
            </w:tr>
          </w:tbl>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textAlignment w:val="auto"/>
              <w:rPr>
                <w:rFonts w:cs="宋体"/>
                <w:b/>
                <w:kern w:val="0"/>
                <w:sz w:val="21"/>
                <w:szCs w:val="21"/>
                <w:highlight w:val="none"/>
              </w:rPr>
            </w:pPr>
            <w:r>
              <w:rPr>
                <w:rFonts w:hint="eastAsia" w:cs="宋体"/>
                <w:b/>
                <w:kern w:val="0"/>
                <w:sz w:val="21"/>
                <w:szCs w:val="21"/>
                <w:highlight w:val="none"/>
              </w:rPr>
              <w:t>本项目主要产品方案及生产规模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黑体" w:cs="Times New Roman"/>
                <w:color w:val="auto"/>
                <w:sz w:val="21"/>
                <w:szCs w:val="21"/>
                <w:highlight w:val="cyan"/>
              </w:rPr>
            </w:pPr>
            <w:r>
              <w:rPr>
                <w:rFonts w:hint="default" w:ascii="Times New Roman" w:hAnsi="Times New Roman" w:cs="Times New Roman"/>
                <w:color w:val="auto"/>
                <w:sz w:val="21"/>
                <w:szCs w:val="21"/>
                <w:highlight w:val="none"/>
                <w:lang w:eastAsia="zh-CN"/>
              </w:rPr>
              <w:t>本次扩建工程产品仍为锂电池密封圈，为锂电子电池中防止电解液泄露的一种密封组件，具体产品</w:t>
            </w:r>
            <w:r>
              <w:rPr>
                <w:rFonts w:hint="default" w:ascii="Times New Roman" w:hAnsi="Times New Roman" w:cs="Times New Roman"/>
                <w:color w:val="auto"/>
                <w:sz w:val="21"/>
                <w:szCs w:val="21"/>
                <w:highlight w:val="none"/>
              </w:rPr>
              <w:t>方案详见</w:t>
            </w:r>
            <w:r>
              <w:rPr>
                <w:rFonts w:hint="default" w:ascii="Times New Roman" w:hAnsi="Times New Roman" w:cs="Times New Roman"/>
                <w:color w:val="auto"/>
                <w:sz w:val="21"/>
                <w:szCs w:val="21"/>
                <w:highlight w:val="none"/>
                <w:lang w:eastAsia="zh-CN"/>
              </w:rPr>
              <w:t>下表</w:t>
            </w:r>
            <w:r>
              <w:rPr>
                <w:rFonts w:hint="default" w:ascii="Times New Roman" w:hAnsi="Times New Roman" w:cs="Times New Roman"/>
                <w:color w:val="auto"/>
                <w:sz w:val="21"/>
                <w:szCs w:val="21"/>
                <w:highlight w:val="none"/>
              </w:rPr>
              <w:t>。</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cs="Times New Roman" w:eastAsiaTheme="minorEastAsia"/>
                <w:b w:val="0"/>
                <w:bCs w:val="0"/>
                <w:color w:val="auto"/>
                <w:sz w:val="21"/>
                <w:szCs w:val="21"/>
                <w:highlight w:val="none"/>
                <w:lang w:val="en-US" w:eastAsia="zh-CN"/>
              </w:rPr>
            </w:pPr>
            <w:r>
              <w:rPr>
                <w:rFonts w:hint="default" w:cs="Times New Roman" w:eastAsiaTheme="minorEastAsia"/>
                <w:b w:val="0"/>
                <w:bCs w:val="0"/>
                <w:color w:val="auto"/>
                <w:sz w:val="21"/>
                <w:szCs w:val="21"/>
                <w:highlight w:val="none"/>
                <w:lang w:val="en-US" w:eastAsia="zh-CN"/>
              </w:rPr>
              <w:t xml:space="preserve">   项目产品方案一览表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26"/>
              <w:gridCol w:w="1691"/>
              <w:gridCol w:w="1055"/>
              <w:gridCol w:w="1055"/>
              <w:gridCol w:w="1198"/>
              <w:gridCol w:w="18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产品名称</w:t>
                  </w:r>
                </w:p>
              </w:tc>
              <w:tc>
                <w:tcPr>
                  <w:tcW w:w="104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规格型号</w:t>
                  </w:r>
                </w:p>
              </w:tc>
              <w:tc>
                <w:tcPr>
                  <w:tcW w:w="2035"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年生产规模（亿只</w:t>
                  </w:r>
                  <w:r>
                    <w:rPr>
                      <w:rFonts w:hint="default" w:ascii="Times New Roman" w:hAnsi="Times New Roman" w:cs="Times New Roman"/>
                      <w:color w:val="auto"/>
                      <w:sz w:val="18"/>
                      <w:szCs w:val="18"/>
                      <w:highlight w:val="none"/>
                      <w:lang w:val="en-US" w:eastAsia="zh-CN"/>
                    </w:rPr>
                    <w:t>/年</w:t>
                  </w:r>
                  <w:r>
                    <w:rPr>
                      <w:rFonts w:hint="default" w:ascii="Times New Roman" w:hAnsi="Times New Roman" w:cs="Times New Roman"/>
                      <w:color w:val="auto"/>
                      <w:sz w:val="18"/>
                      <w:szCs w:val="18"/>
                      <w:highlight w:val="none"/>
                      <w:lang w:eastAsia="zh-CN"/>
                    </w:rPr>
                    <w:t>）</w:t>
                  </w:r>
                </w:p>
              </w:tc>
              <w:tc>
                <w:tcPr>
                  <w:tcW w:w="116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val="en-US" w:eastAsia="zh-CN"/>
                    </w:rPr>
                  </w:pPr>
                </w:p>
              </w:tc>
              <w:tc>
                <w:tcPr>
                  <w:tcW w:w="104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val="en-US" w:eastAsia="zh-CN"/>
                    </w:rPr>
                  </w:pPr>
                </w:p>
              </w:tc>
              <w:tc>
                <w:tcPr>
                  <w:tcW w:w="6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现有工程</w:t>
                  </w:r>
                </w:p>
              </w:tc>
              <w:tc>
                <w:tcPr>
                  <w:tcW w:w="6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扩建工程</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扩建后全厂</w:t>
                  </w:r>
                </w:p>
              </w:tc>
              <w:tc>
                <w:tcPr>
                  <w:tcW w:w="11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锂电池密封圈</w:t>
                  </w:r>
                </w:p>
              </w:tc>
              <w:tc>
                <w:tcPr>
                  <w:tcW w:w="10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直径10mm，公差0.19mm</w:t>
                  </w:r>
                </w:p>
              </w:tc>
              <w:tc>
                <w:tcPr>
                  <w:tcW w:w="6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6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7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c>
                <w:tcPr>
                  <w:tcW w:w="11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《动力锂电池用橡胶密封件》GB/T-37996-2019</w:t>
                  </w:r>
                </w:p>
              </w:tc>
            </w:tr>
          </w:tbl>
          <w:p>
            <w:pPr>
              <w:numPr>
                <w:ilvl w:val="0"/>
                <w:numId w:val="2"/>
              </w:numPr>
              <w:autoSpaceDE w:val="0"/>
              <w:autoSpaceDN w:val="0"/>
              <w:adjustRightInd w:val="0"/>
              <w:snapToGrid w:val="0"/>
              <w:spacing w:line="400" w:lineRule="exact"/>
              <w:rPr>
                <w:rFonts w:cs="宋体"/>
                <w:b/>
                <w:kern w:val="0"/>
                <w:szCs w:val="21"/>
                <w:highlight w:val="none"/>
              </w:rPr>
            </w:pPr>
            <w:r>
              <w:rPr>
                <w:rFonts w:cs="宋体"/>
                <w:b/>
                <w:kern w:val="0"/>
                <w:szCs w:val="21"/>
                <w:highlight w:val="none"/>
              </w:rPr>
              <w:t>主要原辅材料</w:t>
            </w:r>
          </w:p>
          <w:p>
            <w:pPr>
              <w:pStyle w:val="17"/>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本项目扩建工程原料仍为PA66尼龙，辅料包括包装袋、液压油等，主要原辅材料及能耗用量见下表。</w:t>
            </w:r>
          </w:p>
          <w:p>
            <w:pPr>
              <w:keepNext w:val="0"/>
              <w:keepLines w:val="0"/>
              <w:pageBreakBefore w:val="0"/>
              <w:numPr>
                <w:ilvl w:val="0"/>
                <w:numId w:val="1"/>
              </w:numPr>
              <w:kinsoku/>
              <w:overflowPunct/>
              <w:topLinePunct w:val="0"/>
              <w:autoSpaceDE/>
              <w:autoSpaceDN/>
              <w:bidi w:val="0"/>
              <w:adjustRightInd/>
              <w:snapToGrid/>
              <w:spacing w:line="360" w:lineRule="auto"/>
              <w:ind w:left="0" w:leftChars="0" w:right="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    项目原辅材料及能耗用量</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095"/>
              <w:gridCol w:w="754"/>
              <w:gridCol w:w="1030"/>
              <w:gridCol w:w="1195"/>
              <w:gridCol w:w="1108"/>
              <w:gridCol w:w="20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类别</w:t>
                  </w:r>
                </w:p>
              </w:tc>
              <w:tc>
                <w:tcPr>
                  <w:tcW w:w="67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名称</w:t>
                  </w:r>
                </w:p>
              </w:tc>
              <w:tc>
                <w:tcPr>
                  <w:tcW w:w="46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单位</w:t>
                  </w:r>
                </w:p>
              </w:tc>
              <w:tc>
                <w:tcPr>
                  <w:tcW w:w="2051" w:type="pct"/>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年用</w:t>
                  </w:r>
                  <w:r>
                    <w:rPr>
                      <w:rFonts w:hint="default" w:ascii="Times New Roman" w:hAnsi="Times New Roman" w:cs="Times New Roman" w:eastAsiaTheme="majorEastAsia"/>
                      <w:color w:val="auto"/>
                      <w:sz w:val="18"/>
                      <w:szCs w:val="18"/>
                      <w:highlight w:val="none"/>
                    </w:rPr>
                    <w:t>量</w:t>
                  </w:r>
                </w:p>
              </w:tc>
              <w:tc>
                <w:tcPr>
                  <w:tcW w:w="1271"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3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rPr>
                  </w:pPr>
                </w:p>
              </w:tc>
              <w:tc>
                <w:tcPr>
                  <w:tcW w:w="67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inorEastAsia"/>
                      <w:color w:val="auto"/>
                      <w:sz w:val="18"/>
                      <w:szCs w:val="18"/>
                      <w:highlight w:val="none"/>
                    </w:rPr>
                  </w:pPr>
                </w:p>
              </w:tc>
              <w:tc>
                <w:tcPr>
                  <w:tcW w:w="46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rPr>
                  </w:pP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snapToGrid w:val="0"/>
                      <w:color w:val="auto"/>
                      <w:kern w:val="0"/>
                      <w:sz w:val="18"/>
                      <w:szCs w:val="18"/>
                      <w:highlight w:val="none"/>
                      <w:lang w:val="zh-CN"/>
                    </w:rPr>
                    <w:t>现有工程</w:t>
                  </w:r>
                </w:p>
              </w:tc>
              <w:tc>
                <w:tcPr>
                  <w:tcW w:w="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Times New Roman" w:hAnsi="Times New Roman" w:cs="Times New Roman" w:eastAsiaTheme="majorEastAsia"/>
                      <w:color w:val="auto"/>
                      <w:sz w:val="18"/>
                      <w:szCs w:val="18"/>
                      <w:highlight w:val="none"/>
                      <w:lang w:eastAsia="zh-CN"/>
                    </w:rPr>
                  </w:pPr>
                  <w:r>
                    <w:rPr>
                      <w:rFonts w:hint="eastAsia" w:ascii="Times New Roman" w:hAnsi="Times New Roman" w:cs="Times New Roman" w:eastAsiaTheme="majorEastAsia"/>
                      <w:color w:val="auto"/>
                      <w:sz w:val="18"/>
                      <w:szCs w:val="18"/>
                      <w:highlight w:val="none"/>
                      <w:lang w:eastAsia="zh-CN"/>
                    </w:rPr>
                    <w:t>改</w:t>
                  </w:r>
                  <w:r>
                    <w:rPr>
                      <w:rFonts w:hint="default" w:ascii="Times New Roman" w:hAnsi="Times New Roman" w:cs="Times New Roman" w:eastAsiaTheme="majorEastAsia"/>
                      <w:color w:val="auto"/>
                      <w:sz w:val="18"/>
                      <w:szCs w:val="18"/>
                      <w:highlight w:val="none"/>
                      <w:lang w:eastAsia="zh-CN"/>
                    </w:rPr>
                    <w:t>扩建工程</w:t>
                  </w:r>
                </w:p>
              </w:tc>
              <w:tc>
                <w:tcPr>
                  <w:tcW w:w="6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Times New Roman" w:hAnsi="Times New Roman" w:cs="Times New Roman" w:eastAsiaTheme="majorEastAsia"/>
                      <w:snapToGrid w:val="0"/>
                      <w:color w:val="auto"/>
                      <w:kern w:val="0"/>
                      <w:sz w:val="18"/>
                      <w:szCs w:val="18"/>
                      <w:highlight w:val="none"/>
                      <w:lang w:val="zh-CN"/>
                    </w:rPr>
                  </w:pPr>
                  <w:r>
                    <w:rPr>
                      <w:rFonts w:hint="eastAsia" w:ascii="Times New Roman" w:hAnsi="Times New Roman" w:cs="Times New Roman" w:eastAsiaTheme="majorEastAsia"/>
                      <w:snapToGrid w:val="0"/>
                      <w:color w:val="auto"/>
                      <w:kern w:val="0"/>
                      <w:sz w:val="18"/>
                      <w:szCs w:val="18"/>
                      <w:highlight w:val="none"/>
                      <w:lang w:val="zh-CN"/>
                    </w:rPr>
                    <w:t>改</w:t>
                  </w:r>
                  <w:r>
                    <w:rPr>
                      <w:rFonts w:hint="default" w:ascii="Times New Roman" w:hAnsi="Times New Roman" w:cs="Times New Roman" w:eastAsiaTheme="majorEastAsia"/>
                      <w:snapToGrid w:val="0"/>
                      <w:color w:val="auto"/>
                      <w:kern w:val="0"/>
                      <w:sz w:val="18"/>
                      <w:szCs w:val="18"/>
                      <w:highlight w:val="none"/>
                      <w:lang w:val="zh-CN"/>
                    </w:rPr>
                    <w:t>扩建完成后全厂</w:t>
                  </w:r>
                </w:p>
              </w:tc>
              <w:tc>
                <w:tcPr>
                  <w:tcW w:w="1271"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53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原料</w:t>
                  </w:r>
                </w:p>
              </w:tc>
              <w:tc>
                <w:tcPr>
                  <w:tcW w:w="67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rPr>
                    <w:t>PA66尼龙</w:t>
                  </w:r>
                </w:p>
              </w:tc>
              <w:tc>
                <w:tcPr>
                  <w:tcW w:w="46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lang w:val="en-US" w:eastAsia="zh-CN"/>
                    </w:rPr>
                    <w:t>t/a</w:t>
                  </w:r>
                </w:p>
              </w:tc>
              <w:tc>
                <w:tcPr>
                  <w:tcW w:w="63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bidi="ar-SA"/>
                    </w:rPr>
                  </w:pPr>
                  <w:r>
                    <w:rPr>
                      <w:rFonts w:hint="default" w:ascii="Times New Roman" w:hAnsi="Times New Roman" w:cs="Times New Roman" w:eastAsiaTheme="majorEastAsia"/>
                      <w:color w:val="auto"/>
                      <w:sz w:val="18"/>
                      <w:szCs w:val="18"/>
                      <w:highlight w:val="none"/>
                      <w:lang w:val="en-US" w:eastAsia="zh-CN" w:bidi="ar-SA"/>
                    </w:rPr>
                    <w:t>12</w:t>
                  </w:r>
                </w:p>
              </w:tc>
              <w:tc>
                <w:tcPr>
                  <w:tcW w:w="73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36</w:t>
                  </w:r>
                </w:p>
              </w:tc>
              <w:tc>
                <w:tcPr>
                  <w:tcW w:w="68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bidi="ar-SA"/>
                    </w:rPr>
                  </w:pPr>
                  <w:r>
                    <w:rPr>
                      <w:rFonts w:hint="default" w:ascii="Times New Roman" w:hAnsi="Times New Roman" w:cs="Times New Roman" w:eastAsiaTheme="majorEastAsia"/>
                      <w:color w:val="auto"/>
                      <w:sz w:val="18"/>
                      <w:szCs w:val="18"/>
                      <w:highlight w:val="none"/>
                      <w:lang w:val="en-US" w:eastAsia="zh-CN"/>
                    </w:rPr>
                    <w:t>48</w:t>
                  </w:r>
                </w:p>
              </w:tc>
              <w:tc>
                <w:tcPr>
                  <w:tcW w:w="127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颗粒状，外购，袋装；50kg/袋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3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辅料</w:t>
                  </w:r>
                </w:p>
              </w:tc>
              <w:tc>
                <w:tcPr>
                  <w:tcW w:w="67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包装袋</w:t>
                  </w:r>
                </w:p>
              </w:tc>
              <w:tc>
                <w:tcPr>
                  <w:tcW w:w="46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rPr>
                  </w:pPr>
                  <w:r>
                    <w:rPr>
                      <w:rFonts w:hint="default" w:ascii="Times New Roman" w:hAnsi="Times New Roman" w:cs="Times New Roman" w:eastAsiaTheme="majorEastAsia"/>
                      <w:color w:val="auto"/>
                      <w:sz w:val="18"/>
                      <w:szCs w:val="18"/>
                      <w:highlight w:val="none"/>
                      <w:lang w:val="en-US" w:eastAsia="zh-CN"/>
                    </w:rPr>
                    <w:t>个/a</w:t>
                  </w:r>
                </w:p>
              </w:tc>
              <w:tc>
                <w:tcPr>
                  <w:tcW w:w="63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color w:val="auto"/>
                      <w:sz w:val="18"/>
                      <w:szCs w:val="18"/>
                      <w:highlight w:val="none"/>
                    </w:rPr>
                    <w:t>1500</w:t>
                  </w:r>
                </w:p>
              </w:tc>
              <w:tc>
                <w:tcPr>
                  <w:tcW w:w="73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4500</w:t>
                  </w:r>
                </w:p>
              </w:tc>
              <w:tc>
                <w:tcPr>
                  <w:tcW w:w="68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bidi="ar-SA"/>
                    </w:rPr>
                  </w:pPr>
                  <w:r>
                    <w:rPr>
                      <w:rFonts w:hint="default" w:ascii="Times New Roman" w:hAnsi="Times New Roman" w:cs="Times New Roman" w:eastAsiaTheme="majorEastAsia"/>
                      <w:color w:val="auto"/>
                      <w:sz w:val="18"/>
                      <w:szCs w:val="18"/>
                      <w:highlight w:val="none"/>
                      <w:lang w:val="en-US" w:eastAsia="zh-CN"/>
                    </w:rPr>
                    <w:t>6000</w:t>
                  </w:r>
                </w:p>
              </w:tc>
              <w:tc>
                <w:tcPr>
                  <w:tcW w:w="127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color w:val="auto"/>
                      <w:sz w:val="18"/>
                      <w:szCs w:val="18"/>
                      <w:highlight w:val="none"/>
                    </w:rPr>
                    <w:t>8kg/袋；用于产品包装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3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rPr>
                  </w:pPr>
                </w:p>
              </w:tc>
              <w:tc>
                <w:tcPr>
                  <w:tcW w:w="67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液压油</w:t>
                  </w:r>
                </w:p>
              </w:tc>
              <w:tc>
                <w:tcPr>
                  <w:tcW w:w="46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t/a</w:t>
                  </w:r>
                </w:p>
              </w:tc>
              <w:tc>
                <w:tcPr>
                  <w:tcW w:w="63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0.02</w:t>
                  </w:r>
                </w:p>
              </w:tc>
              <w:tc>
                <w:tcPr>
                  <w:tcW w:w="73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0.06</w:t>
                  </w:r>
                </w:p>
              </w:tc>
              <w:tc>
                <w:tcPr>
                  <w:tcW w:w="68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0.08</w:t>
                  </w:r>
                </w:p>
              </w:tc>
              <w:tc>
                <w:tcPr>
                  <w:tcW w:w="127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能源</w:t>
                  </w:r>
                </w:p>
              </w:tc>
              <w:tc>
                <w:tcPr>
                  <w:tcW w:w="67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水</w:t>
                  </w:r>
                </w:p>
              </w:tc>
              <w:tc>
                <w:tcPr>
                  <w:tcW w:w="46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m</w:t>
                  </w:r>
                  <w:r>
                    <w:rPr>
                      <w:rFonts w:hint="default" w:ascii="Times New Roman" w:hAnsi="Times New Roman" w:cs="Times New Roman" w:eastAsiaTheme="majorEastAsia"/>
                      <w:color w:val="auto"/>
                      <w:sz w:val="18"/>
                      <w:szCs w:val="18"/>
                      <w:highlight w:val="none"/>
                      <w:vertAlign w:val="superscript"/>
                      <w:lang w:val="en-US" w:eastAsia="zh-CN"/>
                    </w:rPr>
                    <w:t>3</w:t>
                  </w:r>
                  <w:r>
                    <w:rPr>
                      <w:rFonts w:hint="default" w:ascii="Times New Roman" w:hAnsi="Times New Roman" w:cs="Times New Roman" w:eastAsiaTheme="majorEastAsia"/>
                      <w:color w:val="auto"/>
                      <w:sz w:val="18"/>
                      <w:szCs w:val="18"/>
                      <w:highlight w:val="none"/>
                      <w:lang w:val="en-US" w:eastAsia="zh-CN"/>
                    </w:rPr>
                    <w:t>/a</w:t>
                  </w:r>
                </w:p>
              </w:tc>
              <w:tc>
                <w:tcPr>
                  <w:tcW w:w="63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75</w:t>
                  </w:r>
                </w:p>
              </w:tc>
              <w:tc>
                <w:tcPr>
                  <w:tcW w:w="73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105</w:t>
                  </w:r>
                </w:p>
              </w:tc>
              <w:tc>
                <w:tcPr>
                  <w:tcW w:w="68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180</w:t>
                  </w:r>
                </w:p>
              </w:tc>
              <w:tc>
                <w:tcPr>
                  <w:tcW w:w="127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自备水井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rPr>
                  </w:pPr>
                </w:p>
              </w:tc>
              <w:tc>
                <w:tcPr>
                  <w:tcW w:w="67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电</w:t>
                  </w:r>
                </w:p>
              </w:tc>
              <w:tc>
                <w:tcPr>
                  <w:tcW w:w="46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万kWh/a</w:t>
                  </w:r>
                </w:p>
              </w:tc>
              <w:tc>
                <w:tcPr>
                  <w:tcW w:w="63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9</w:t>
                  </w:r>
                </w:p>
              </w:tc>
              <w:tc>
                <w:tcPr>
                  <w:tcW w:w="73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16</w:t>
                  </w:r>
                </w:p>
              </w:tc>
              <w:tc>
                <w:tcPr>
                  <w:tcW w:w="68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jc w:val="center"/>
                    <w:textAlignment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25</w:t>
                  </w:r>
                </w:p>
              </w:tc>
              <w:tc>
                <w:tcPr>
                  <w:tcW w:w="127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right="0"/>
                    <w:jc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当时电网</w:t>
                  </w:r>
                </w:p>
              </w:tc>
            </w:tr>
          </w:tbl>
          <w:p>
            <w:pPr>
              <w:keepNext w:val="0"/>
              <w:keepLines w:val="0"/>
              <w:pageBreakBefore w:val="0"/>
              <w:numPr>
                <w:ilvl w:val="0"/>
                <w:numId w:val="1"/>
              </w:numPr>
              <w:kinsoku/>
              <w:overflowPunct/>
              <w:topLinePunct w:val="0"/>
              <w:autoSpaceDE/>
              <w:autoSpaceDN/>
              <w:bidi w:val="0"/>
              <w:adjustRightInd/>
              <w:snapToGrid/>
              <w:spacing w:line="360" w:lineRule="auto"/>
              <w:ind w:left="0" w:leftChars="0" w:right="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     主要原辅材料理化性质一览表</w:t>
            </w:r>
          </w:p>
          <w:tbl>
            <w:tblPr>
              <w:tblStyle w:val="1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856"/>
              <w:gridCol w:w="53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名称</w:t>
                  </w:r>
                </w:p>
              </w:tc>
              <w:tc>
                <w:tcPr>
                  <w:tcW w:w="114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成分</w:t>
                  </w:r>
                </w:p>
              </w:tc>
              <w:tc>
                <w:tcPr>
                  <w:tcW w:w="332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物化毒理性质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PA66</w:t>
                  </w:r>
                </w:p>
                <w:p>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rPr>
                    <w:t>尼龙</w:t>
                  </w:r>
                </w:p>
              </w:tc>
              <w:tc>
                <w:tcPr>
                  <w:tcW w:w="1142" w:type="pct"/>
                  <w:shd w:val="clear" w:color="auto" w:fill="auto"/>
                  <w:noWrap w:val="0"/>
                  <w:vAlign w:val="center"/>
                </w:tcPr>
                <w:p>
                  <w:pPr>
                    <w:keepNext w:val="0"/>
                    <w:keepLines w:val="0"/>
                    <w:pageBreakBefore w:val="0"/>
                    <w:widowControl w:val="0"/>
                    <w:kinsoku/>
                    <w:wordWrap w:val="0"/>
                    <w:overflowPunct/>
                    <w:topLinePunct w:val="0"/>
                    <w:autoSpaceDE/>
                    <w:autoSpaceDN/>
                    <w:bidi w:val="0"/>
                    <w:adjustRightInd/>
                    <w:snapToGrid/>
                    <w:spacing w:line="320" w:lineRule="exact"/>
                    <w:ind w:right="0" w:firstLine="0"/>
                    <w:textAlignment w:val="auto"/>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聚己二</w:t>
                  </w:r>
                  <w:r>
                    <w:rPr>
                      <w:rFonts w:hint="default" w:ascii="Times New Roman" w:hAnsi="Times New Roman" w:cs="Times New Roman" w:eastAsiaTheme="majorEastAsia"/>
                      <w:color w:val="auto"/>
                      <w:sz w:val="18"/>
                      <w:szCs w:val="18"/>
                      <w:highlight w:val="none"/>
                      <w:lang w:eastAsia="zh-CN"/>
                    </w:rPr>
                    <w:t>酰</w:t>
                  </w:r>
                  <w:r>
                    <w:rPr>
                      <w:rFonts w:hint="default" w:ascii="Times New Roman" w:hAnsi="Times New Roman" w:cs="Times New Roman" w:eastAsiaTheme="majorEastAsia"/>
                      <w:color w:val="auto"/>
                      <w:sz w:val="18"/>
                      <w:szCs w:val="18"/>
                      <w:highlight w:val="none"/>
                    </w:rPr>
                    <w:t>己二胺（[-NH（CH</w:t>
                  </w:r>
                  <w:r>
                    <w:rPr>
                      <w:rFonts w:hint="default" w:ascii="Times New Roman" w:hAnsi="Times New Roman" w:cs="Times New Roman" w:eastAsiaTheme="majorEastAsia"/>
                      <w:color w:val="auto"/>
                      <w:sz w:val="18"/>
                      <w:szCs w:val="18"/>
                      <w:highlight w:val="none"/>
                      <w:vertAlign w:val="subscript"/>
                    </w:rPr>
                    <w:t>2</w:t>
                  </w:r>
                  <w:r>
                    <w:rPr>
                      <w:rFonts w:hint="default" w:ascii="Times New Roman" w:hAnsi="Times New Roman" w:cs="Times New Roman" w:eastAsiaTheme="majorEastAsia"/>
                      <w:color w:val="auto"/>
                      <w:sz w:val="18"/>
                      <w:szCs w:val="18"/>
                      <w:highlight w:val="none"/>
                    </w:rPr>
                    <w:t>）</w:t>
                  </w:r>
                  <w:r>
                    <w:rPr>
                      <w:rFonts w:hint="default" w:ascii="Times New Roman" w:hAnsi="Times New Roman" w:cs="Times New Roman" w:eastAsiaTheme="majorEastAsia"/>
                      <w:color w:val="auto"/>
                      <w:sz w:val="18"/>
                      <w:szCs w:val="18"/>
                      <w:highlight w:val="none"/>
                      <w:vertAlign w:val="superscript"/>
                    </w:rPr>
                    <w:t>6－</w:t>
                  </w:r>
                  <w:r>
                    <w:rPr>
                      <w:rFonts w:hint="default" w:ascii="Times New Roman" w:hAnsi="Times New Roman" w:cs="Times New Roman" w:eastAsiaTheme="majorEastAsia"/>
                      <w:color w:val="auto"/>
                      <w:sz w:val="18"/>
                      <w:szCs w:val="18"/>
                      <w:highlight w:val="none"/>
                    </w:rPr>
                    <w:t>NHCO(CH</w:t>
                  </w:r>
                  <w:r>
                    <w:rPr>
                      <w:rFonts w:hint="default" w:ascii="Times New Roman" w:hAnsi="Times New Roman" w:cs="Times New Roman" w:eastAsiaTheme="majorEastAsia"/>
                      <w:color w:val="auto"/>
                      <w:sz w:val="18"/>
                      <w:szCs w:val="18"/>
                      <w:highlight w:val="none"/>
                      <w:vertAlign w:val="subscript"/>
                    </w:rPr>
                    <w:t>2</w:t>
                  </w:r>
                  <w:r>
                    <w:rPr>
                      <w:rFonts w:hint="default" w:ascii="Times New Roman" w:hAnsi="Times New Roman" w:cs="Times New Roman" w:eastAsiaTheme="majorEastAsia"/>
                      <w:color w:val="auto"/>
                      <w:sz w:val="18"/>
                      <w:szCs w:val="18"/>
                      <w:highlight w:val="none"/>
                    </w:rPr>
                    <w:t>)</w:t>
                  </w:r>
                  <w:r>
                    <w:rPr>
                      <w:rFonts w:hint="default" w:ascii="Times New Roman" w:hAnsi="Times New Roman" w:cs="Times New Roman" w:eastAsiaTheme="majorEastAsia"/>
                      <w:color w:val="auto"/>
                      <w:sz w:val="18"/>
                      <w:szCs w:val="18"/>
                      <w:highlight w:val="none"/>
                      <w:vertAlign w:val="subscript"/>
                    </w:rPr>
                    <w:t>4</w:t>
                  </w:r>
                  <w:r>
                    <w:rPr>
                      <w:rFonts w:hint="default" w:ascii="Times New Roman" w:hAnsi="Times New Roman" w:cs="Times New Roman" w:eastAsiaTheme="majorEastAsia"/>
                      <w:color w:val="auto"/>
                      <w:sz w:val="18"/>
                      <w:szCs w:val="18"/>
                      <w:highlight w:val="none"/>
                    </w:rPr>
                    <w:t>CO]</w:t>
                  </w:r>
                  <w:r>
                    <w:rPr>
                      <w:rFonts w:hint="default" w:ascii="Times New Roman" w:hAnsi="Times New Roman" w:cs="Times New Roman" w:eastAsiaTheme="majorEastAsia"/>
                      <w:color w:val="auto"/>
                      <w:sz w:val="18"/>
                      <w:szCs w:val="18"/>
                      <w:highlight w:val="none"/>
                      <w:vertAlign w:val="superscript"/>
                    </w:rPr>
                    <w:t>n－</w:t>
                  </w:r>
                  <w:r>
                    <w:rPr>
                      <w:rFonts w:hint="default" w:ascii="Times New Roman" w:hAnsi="Times New Roman" w:cs="Times New Roman" w:eastAsiaTheme="majorEastAsia"/>
                      <w:color w:val="auto"/>
                      <w:sz w:val="18"/>
                      <w:szCs w:val="18"/>
                      <w:highlight w:val="none"/>
                    </w:rPr>
                    <w:t>）</w:t>
                  </w:r>
                </w:p>
              </w:tc>
              <w:tc>
                <w:tcPr>
                  <w:tcW w:w="332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firstLine="0"/>
                    <w:textAlignment w:val="auto"/>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b/>
                      <w:bCs/>
                      <w:color w:val="auto"/>
                      <w:sz w:val="18"/>
                      <w:szCs w:val="18"/>
                      <w:highlight w:val="none"/>
                    </w:rPr>
                    <w:t>物化性质：</w:t>
                  </w:r>
                  <w:r>
                    <w:rPr>
                      <w:rFonts w:hint="default" w:ascii="Times New Roman" w:hAnsi="Times New Roman" w:cs="Times New Roman" w:eastAsiaTheme="majorEastAsia"/>
                      <w:color w:val="auto"/>
                      <w:sz w:val="18"/>
                      <w:szCs w:val="18"/>
                      <w:highlight w:val="none"/>
                    </w:rPr>
                    <w:t>PA66尼龙塑胶原料为半透明或不透明乳白包或带黄色颗粒状结晶形聚合物PA66环保加纤料，具有</w:t>
                  </w:r>
                  <w:r>
                    <w:rPr>
                      <w:rFonts w:hint="default" w:ascii="Times New Roman" w:hAnsi="Times New Roman" w:cs="Times New Roman" w:eastAsiaTheme="majorEastAsia"/>
                      <w:color w:val="auto"/>
                      <w:sz w:val="18"/>
                      <w:szCs w:val="18"/>
                      <w:highlight w:val="none"/>
                    </w:rPr>
                    <w:fldChar w:fldCharType="begin"/>
                  </w:r>
                  <w:r>
                    <w:rPr>
                      <w:rFonts w:hint="default" w:ascii="Times New Roman" w:hAnsi="Times New Roman" w:cs="Times New Roman" w:eastAsiaTheme="majorEastAsia"/>
                      <w:color w:val="auto"/>
                      <w:sz w:val="18"/>
                      <w:szCs w:val="18"/>
                      <w:highlight w:val="none"/>
                    </w:rPr>
                    <w:instrText xml:space="preserve"> HYPERLINK "http://baike.baidu.com/view/210453.htm" \t "http://baike.baidu.com/_blank" </w:instrText>
                  </w:r>
                  <w:r>
                    <w:rPr>
                      <w:rFonts w:hint="default" w:ascii="Times New Roman" w:hAnsi="Times New Roman" w:cs="Times New Roman" w:eastAsiaTheme="majorEastAsia"/>
                      <w:color w:val="auto"/>
                      <w:sz w:val="18"/>
                      <w:szCs w:val="18"/>
                      <w:highlight w:val="none"/>
                    </w:rPr>
                    <w:fldChar w:fldCharType="separate"/>
                  </w:r>
                  <w:r>
                    <w:rPr>
                      <w:rFonts w:hint="default" w:ascii="Times New Roman" w:hAnsi="Times New Roman" w:cs="Times New Roman" w:eastAsiaTheme="majorEastAsia"/>
                      <w:color w:val="auto"/>
                      <w:sz w:val="18"/>
                      <w:szCs w:val="18"/>
                      <w:highlight w:val="none"/>
                    </w:rPr>
                    <w:t>可塑性</w:t>
                  </w:r>
                  <w:r>
                    <w:rPr>
                      <w:rFonts w:hint="default" w:ascii="Times New Roman" w:hAnsi="Times New Roman" w:cs="Times New Roman" w:eastAsiaTheme="majorEastAsia"/>
                      <w:color w:val="auto"/>
                      <w:sz w:val="18"/>
                      <w:szCs w:val="18"/>
                      <w:highlight w:val="none"/>
                    </w:rPr>
                    <w:fldChar w:fldCharType="end"/>
                  </w:r>
                  <w:r>
                    <w:rPr>
                      <w:rFonts w:hint="default" w:ascii="Times New Roman" w:hAnsi="Times New Roman" w:cs="Times New Roman" w:eastAsiaTheme="majorEastAsia"/>
                      <w:color w:val="auto"/>
                      <w:sz w:val="18"/>
                      <w:szCs w:val="18"/>
                      <w:highlight w:val="none"/>
                    </w:rPr>
                    <w:t>。密度（g/cm</w:t>
                  </w:r>
                  <w:r>
                    <w:rPr>
                      <w:rFonts w:hint="default" w:ascii="Times New Roman" w:hAnsi="Times New Roman" w:cs="Times New Roman" w:eastAsiaTheme="majorEastAsia"/>
                      <w:color w:val="auto"/>
                      <w:sz w:val="18"/>
                      <w:szCs w:val="18"/>
                      <w:highlight w:val="none"/>
                      <w:vertAlign w:val="superscript"/>
                    </w:rPr>
                    <w:t>3</w:t>
                  </w:r>
                  <w:r>
                    <w:rPr>
                      <w:rFonts w:hint="default" w:ascii="Times New Roman" w:hAnsi="Times New Roman" w:cs="Times New Roman" w:eastAsiaTheme="majorEastAsia"/>
                      <w:color w:val="auto"/>
                      <w:sz w:val="18"/>
                      <w:szCs w:val="18"/>
                      <w:highlight w:val="none"/>
                    </w:rPr>
                    <w:t>）1.10-1.14；</w:t>
                  </w:r>
                  <w:r>
                    <w:rPr>
                      <w:rFonts w:hint="default" w:ascii="Times New Roman" w:hAnsi="Times New Roman" w:cs="Times New Roman" w:eastAsiaTheme="majorEastAsia"/>
                      <w:color w:val="auto"/>
                      <w:sz w:val="18"/>
                      <w:szCs w:val="18"/>
                      <w:highlight w:val="none"/>
                    </w:rPr>
                    <w:fldChar w:fldCharType="begin"/>
                  </w:r>
                  <w:r>
                    <w:rPr>
                      <w:rFonts w:hint="default" w:ascii="Times New Roman" w:hAnsi="Times New Roman" w:cs="Times New Roman" w:eastAsiaTheme="majorEastAsia"/>
                      <w:color w:val="auto"/>
                      <w:sz w:val="18"/>
                      <w:szCs w:val="18"/>
                      <w:highlight w:val="none"/>
                    </w:rPr>
                    <w:instrText xml:space="preserve"> HYPERLINK "http://baike.baidu.com/view/542577.htm" \t "http://baike.baidu.com/_blank" </w:instrText>
                  </w:r>
                  <w:r>
                    <w:rPr>
                      <w:rFonts w:hint="default" w:ascii="Times New Roman" w:hAnsi="Times New Roman" w:cs="Times New Roman" w:eastAsiaTheme="majorEastAsia"/>
                      <w:color w:val="auto"/>
                      <w:sz w:val="18"/>
                      <w:szCs w:val="18"/>
                      <w:highlight w:val="none"/>
                    </w:rPr>
                    <w:fldChar w:fldCharType="separate"/>
                  </w:r>
                  <w:r>
                    <w:rPr>
                      <w:rFonts w:hint="default" w:ascii="Times New Roman" w:hAnsi="Times New Roman" w:cs="Times New Roman" w:eastAsiaTheme="majorEastAsia"/>
                      <w:color w:val="auto"/>
                      <w:sz w:val="18"/>
                      <w:szCs w:val="18"/>
                      <w:highlight w:val="none"/>
                    </w:rPr>
                    <w:t>拉伸强度</w:t>
                  </w:r>
                  <w:r>
                    <w:rPr>
                      <w:rFonts w:hint="default" w:ascii="Times New Roman" w:hAnsi="Times New Roman" w:cs="Times New Roman" w:eastAsiaTheme="majorEastAsia"/>
                      <w:color w:val="auto"/>
                      <w:sz w:val="18"/>
                      <w:szCs w:val="18"/>
                      <w:highlight w:val="none"/>
                    </w:rPr>
                    <w:fldChar w:fldCharType="end"/>
                  </w:r>
                  <w:r>
                    <w:rPr>
                      <w:rFonts w:hint="default" w:ascii="Times New Roman" w:hAnsi="Times New Roman" w:cs="Times New Roman" w:eastAsiaTheme="majorEastAsia"/>
                      <w:color w:val="auto"/>
                      <w:sz w:val="18"/>
                      <w:szCs w:val="18"/>
                      <w:highlight w:val="none"/>
                    </w:rPr>
                    <w:t>(MPa) 60.0-80.0；</w:t>
                  </w:r>
                  <w:r>
                    <w:rPr>
                      <w:rFonts w:hint="default" w:ascii="Times New Roman" w:hAnsi="Times New Roman" w:cs="Times New Roman" w:eastAsiaTheme="majorEastAsia"/>
                      <w:color w:val="auto"/>
                      <w:sz w:val="18"/>
                      <w:szCs w:val="18"/>
                      <w:highlight w:val="none"/>
                    </w:rPr>
                    <w:fldChar w:fldCharType="begin"/>
                  </w:r>
                  <w:r>
                    <w:rPr>
                      <w:rFonts w:hint="default" w:ascii="Times New Roman" w:hAnsi="Times New Roman" w:cs="Times New Roman" w:eastAsiaTheme="majorEastAsia"/>
                      <w:color w:val="auto"/>
                      <w:sz w:val="18"/>
                      <w:szCs w:val="18"/>
                      <w:highlight w:val="none"/>
                    </w:rPr>
                    <w:instrText xml:space="preserve"> HYPERLINK "http://baike.baidu.com/view/204900.htm" \t "http://baike.baidu.com/_blank" </w:instrText>
                  </w:r>
                  <w:r>
                    <w:rPr>
                      <w:rFonts w:hint="default" w:ascii="Times New Roman" w:hAnsi="Times New Roman" w:cs="Times New Roman" w:eastAsiaTheme="majorEastAsia"/>
                      <w:color w:val="auto"/>
                      <w:sz w:val="18"/>
                      <w:szCs w:val="18"/>
                      <w:highlight w:val="none"/>
                    </w:rPr>
                    <w:fldChar w:fldCharType="separate"/>
                  </w:r>
                  <w:r>
                    <w:rPr>
                      <w:rFonts w:hint="default" w:ascii="Times New Roman" w:hAnsi="Times New Roman" w:cs="Times New Roman" w:eastAsiaTheme="majorEastAsia"/>
                      <w:color w:val="auto"/>
                      <w:sz w:val="18"/>
                      <w:szCs w:val="18"/>
                      <w:highlight w:val="none"/>
                    </w:rPr>
                    <w:t>洛氏硬度</w:t>
                  </w:r>
                  <w:r>
                    <w:rPr>
                      <w:rFonts w:hint="default" w:ascii="Times New Roman" w:hAnsi="Times New Roman" w:cs="Times New Roman" w:eastAsiaTheme="majorEastAsia"/>
                      <w:color w:val="auto"/>
                      <w:sz w:val="18"/>
                      <w:szCs w:val="18"/>
                      <w:highlight w:val="none"/>
                    </w:rPr>
                    <w:fldChar w:fldCharType="end"/>
                  </w:r>
                  <w:r>
                    <w:rPr>
                      <w:rFonts w:hint="default" w:ascii="Times New Roman" w:hAnsi="Times New Roman" w:cs="Times New Roman" w:eastAsiaTheme="majorEastAsia"/>
                      <w:color w:val="auto"/>
                      <w:sz w:val="18"/>
                      <w:szCs w:val="18"/>
                      <w:highlight w:val="none"/>
                    </w:rPr>
                    <w:t>118；熔点252℃；脆化温度-30℃；热分解温度大于350℃；连续耐热80-120℃；</w:t>
                  </w:r>
                  <w:r>
                    <w:rPr>
                      <w:rFonts w:hint="default" w:ascii="Times New Roman" w:hAnsi="Times New Roman" w:cs="Times New Roman" w:eastAsiaTheme="majorEastAsia"/>
                      <w:color w:val="auto"/>
                      <w:sz w:val="18"/>
                      <w:szCs w:val="18"/>
                      <w:highlight w:val="none"/>
                    </w:rPr>
                    <w:fldChar w:fldCharType="begin"/>
                  </w:r>
                  <w:r>
                    <w:rPr>
                      <w:rFonts w:hint="default" w:ascii="Times New Roman" w:hAnsi="Times New Roman" w:cs="Times New Roman" w:eastAsiaTheme="majorEastAsia"/>
                      <w:color w:val="auto"/>
                      <w:sz w:val="18"/>
                      <w:szCs w:val="18"/>
                      <w:highlight w:val="none"/>
                    </w:rPr>
                    <w:instrText xml:space="preserve"> HYPERLINK "http://baike.baidu.com/view/628985.htm" \t "http://baike.baidu.com/_blank" </w:instrText>
                  </w:r>
                  <w:r>
                    <w:rPr>
                      <w:rFonts w:hint="default" w:ascii="Times New Roman" w:hAnsi="Times New Roman" w:cs="Times New Roman" w:eastAsiaTheme="majorEastAsia"/>
                      <w:color w:val="auto"/>
                      <w:sz w:val="18"/>
                      <w:szCs w:val="18"/>
                      <w:highlight w:val="none"/>
                    </w:rPr>
                    <w:fldChar w:fldCharType="separate"/>
                  </w:r>
                  <w:r>
                    <w:rPr>
                      <w:rFonts w:hint="default" w:ascii="Times New Roman" w:hAnsi="Times New Roman" w:cs="Times New Roman" w:eastAsiaTheme="majorEastAsia"/>
                      <w:color w:val="auto"/>
                      <w:sz w:val="18"/>
                      <w:szCs w:val="18"/>
                      <w:highlight w:val="none"/>
                    </w:rPr>
                    <w:t>冲击强度</w:t>
                  </w:r>
                  <w:r>
                    <w:rPr>
                      <w:rFonts w:hint="default" w:ascii="Times New Roman" w:hAnsi="Times New Roman" w:cs="Times New Roman" w:eastAsiaTheme="majorEastAsia"/>
                      <w:color w:val="auto"/>
                      <w:sz w:val="18"/>
                      <w:szCs w:val="18"/>
                      <w:highlight w:val="none"/>
                    </w:rPr>
                    <w:fldChar w:fldCharType="end"/>
                  </w:r>
                  <w:r>
                    <w:rPr>
                      <w:rFonts w:hint="default" w:ascii="Times New Roman" w:hAnsi="Times New Roman" w:cs="Times New Roman" w:eastAsiaTheme="majorEastAsia"/>
                      <w:color w:val="auto"/>
                      <w:sz w:val="18"/>
                      <w:szCs w:val="18"/>
                      <w:highlight w:val="none"/>
                    </w:rPr>
                    <w:t>（kJ/m2）60-100；静</w:t>
                  </w:r>
                  <w:r>
                    <w:rPr>
                      <w:rFonts w:hint="default" w:ascii="Times New Roman" w:hAnsi="Times New Roman" w:cs="Times New Roman" w:eastAsiaTheme="majorEastAsia"/>
                      <w:color w:val="auto"/>
                      <w:sz w:val="18"/>
                      <w:szCs w:val="18"/>
                      <w:highlight w:val="none"/>
                    </w:rPr>
                    <w:fldChar w:fldCharType="begin"/>
                  </w:r>
                  <w:r>
                    <w:rPr>
                      <w:rFonts w:hint="default" w:ascii="Times New Roman" w:hAnsi="Times New Roman" w:cs="Times New Roman" w:eastAsiaTheme="majorEastAsia"/>
                      <w:color w:val="auto"/>
                      <w:sz w:val="18"/>
                      <w:szCs w:val="18"/>
                      <w:highlight w:val="none"/>
                    </w:rPr>
                    <w:instrText xml:space="preserve"> HYPERLINK "http://baike.baidu.com/view/647996.htm" \t "http://baike.baidu.com/_blank" </w:instrText>
                  </w:r>
                  <w:r>
                    <w:rPr>
                      <w:rFonts w:hint="default" w:ascii="Times New Roman" w:hAnsi="Times New Roman" w:cs="Times New Roman" w:eastAsiaTheme="majorEastAsia"/>
                      <w:color w:val="auto"/>
                      <w:sz w:val="18"/>
                      <w:szCs w:val="18"/>
                      <w:highlight w:val="none"/>
                    </w:rPr>
                    <w:fldChar w:fldCharType="separate"/>
                  </w:r>
                  <w:r>
                    <w:rPr>
                      <w:rFonts w:hint="default" w:ascii="Times New Roman" w:hAnsi="Times New Roman" w:cs="Times New Roman" w:eastAsiaTheme="majorEastAsia"/>
                      <w:color w:val="auto"/>
                      <w:sz w:val="18"/>
                      <w:szCs w:val="18"/>
                      <w:highlight w:val="none"/>
                    </w:rPr>
                    <w:t>弯曲强度</w:t>
                  </w:r>
                  <w:r>
                    <w:rPr>
                      <w:rFonts w:hint="default" w:ascii="Times New Roman" w:hAnsi="Times New Roman" w:cs="Times New Roman" w:eastAsiaTheme="majorEastAsia"/>
                      <w:color w:val="auto"/>
                      <w:sz w:val="18"/>
                      <w:szCs w:val="18"/>
                      <w:highlight w:val="none"/>
                    </w:rPr>
                    <w:fldChar w:fldCharType="end"/>
                  </w:r>
                  <w:r>
                    <w:rPr>
                      <w:rFonts w:hint="default" w:ascii="Times New Roman" w:hAnsi="Times New Roman" w:cs="Times New Roman" w:eastAsiaTheme="majorEastAsia"/>
                      <w:color w:val="auto"/>
                      <w:sz w:val="18"/>
                      <w:szCs w:val="18"/>
                      <w:highlight w:val="none"/>
                    </w:rPr>
                    <w:t>(MPa) 100-120；</w:t>
                  </w:r>
                  <w:r>
                    <w:rPr>
                      <w:rFonts w:hint="default" w:ascii="Times New Roman" w:hAnsi="Times New Roman" w:cs="Times New Roman" w:eastAsiaTheme="majorEastAsia"/>
                      <w:color w:val="auto"/>
                      <w:sz w:val="18"/>
                      <w:szCs w:val="18"/>
                      <w:highlight w:val="none"/>
                    </w:rPr>
                    <w:fldChar w:fldCharType="begin"/>
                  </w:r>
                  <w:r>
                    <w:rPr>
                      <w:rFonts w:hint="default" w:ascii="Times New Roman" w:hAnsi="Times New Roman" w:cs="Times New Roman" w:eastAsiaTheme="majorEastAsia"/>
                      <w:color w:val="auto"/>
                      <w:sz w:val="18"/>
                      <w:szCs w:val="18"/>
                      <w:highlight w:val="none"/>
                    </w:rPr>
                    <w:instrText xml:space="preserve"> HYPERLINK "http://baike.baidu.com/view/2409634.htm" \t "http://baike.baidu.com/_blank" </w:instrText>
                  </w:r>
                  <w:r>
                    <w:rPr>
                      <w:rFonts w:hint="default" w:ascii="Times New Roman" w:hAnsi="Times New Roman" w:cs="Times New Roman" w:eastAsiaTheme="majorEastAsia"/>
                      <w:color w:val="auto"/>
                      <w:sz w:val="18"/>
                      <w:szCs w:val="18"/>
                      <w:highlight w:val="none"/>
                    </w:rPr>
                    <w:fldChar w:fldCharType="separate"/>
                  </w:r>
                  <w:r>
                    <w:rPr>
                      <w:rFonts w:hint="default" w:ascii="Times New Roman" w:hAnsi="Times New Roman" w:cs="Times New Roman" w:eastAsiaTheme="majorEastAsia"/>
                      <w:color w:val="auto"/>
                      <w:sz w:val="18"/>
                      <w:szCs w:val="18"/>
                      <w:highlight w:val="none"/>
                    </w:rPr>
                    <w:t>马丁耐热</w:t>
                  </w:r>
                  <w:r>
                    <w:rPr>
                      <w:rFonts w:hint="default" w:ascii="Times New Roman" w:hAnsi="Times New Roman" w:cs="Times New Roman" w:eastAsiaTheme="majorEastAsia"/>
                      <w:color w:val="auto"/>
                      <w:sz w:val="18"/>
                      <w:szCs w:val="18"/>
                      <w:highlight w:val="none"/>
                    </w:rPr>
                    <w:fldChar w:fldCharType="end"/>
                  </w:r>
                  <w:r>
                    <w:rPr>
                      <w:rFonts w:hint="default" w:ascii="Times New Roman" w:hAnsi="Times New Roman" w:cs="Times New Roman" w:eastAsiaTheme="majorEastAsia"/>
                      <w:color w:val="auto"/>
                      <w:sz w:val="18"/>
                      <w:szCs w:val="18"/>
                      <w:highlight w:val="none"/>
                    </w:rPr>
                    <w:t>(℃) 50-60；弯曲弹性模量 (MPa) 2000～3000；体积电阻率（Ωcm）1.83×1015；平衡吸水率2.5%；介电常数1.63。能耐酸、碱、大多数无机盐水溶液、卤代烷、烃类、酯类、酮类等腐蚀。</w:t>
                  </w:r>
                </w:p>
                <w:p>
                  <w:pPr>
                    <w:keepNext w:val="0"/>
                    <w:keepLines w:val="0"/>
                    <w:pageBreakBefore w:val="0"/>
                    <w:widowControl w:val="0"/>
                    <w:kinsoku/>
                    <w:wordWrap/>
                    <w:overflowPunct/>
                    <w:topLinePunct w:val="0"/>
                    <w:autoSpaceDE/>
                    <w:autoSpaceDN/>
                    <w:bidi w:val="0"/>
                    <w:adjustRightInd/>
                    <w:snapToGrid/>
                    <w:spacing w:line="320" w:lineRule="exact"/>
                    <w:ind w:right="0" w:firstLine="0"/>
                    <w:textAlignment w:val="auto"/>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b/>
                      <w:bCs/>
                      <w:color w:val="auto"/>
                      <w:sz w:val="18"/>
                      <w:szCs w:val="18"/>
                      <w:highlight w:val="none"/>
                    </w:rPr>
                    <w:t>用途及特点：</w:t>
                  </w:r>
                  <w:r>
                    <w:rPr>
                      <w:rFonts w:hint="default" w:ascii="Times New Roman" w:hAnsi="Times New Roman" w:cs="Times New Roman" w:eastAsiaTheme="majorEastAsia"/>
                      <w:color w:val="auto"/>
                      <w:sz w:val="18"/>
                      <w:szCs w:val="18"/>
                      <w:highlight w:val="none"/>
                    </w:rPr>
                    <w:t>广泛应用于机械、仪器仪表、汽车部件、电子电气、铁路、家电、通讯、纺机、体育休闲用品、油管、油箱及一些精密工程制品。</w:t>
                  </w:r>
                </w:p>
                <w:p>
                  <w:pPr>
                    <w:keepNext w:val="0"/>
                    <w:keepLines w:val="0"/>
                    <w:pageBreakBefore w:val="0"/>
                    <w:widowControl w:val="0"/>
                    <w:kinsoku/>
                    <w:wordWrap/>
                    <w:overflowPunct/>
                    <w:topLinePunct w:val="0"/>
                    <w:autoSpaceDE/>
                    <w:autoSpaceDN/>
                    <w:bidi w:val="0"/>
                    <w:adjustRightInd/>
                    <w:snapToGrid/>
                    <w:spacing w:line="320" w:lineRule="exact"/>
                    <w:ind w:right="0" w:firstLine="0"/>
                    <w:textAlignment w:val="auto"/>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b/>
                      <w:bCs/>
                      <w:color w:val="auto"/>
                      <w:sz w:val="18"/>
                      <w:szCs w:val="18"/>
                      <w:highlight w:val="none"/>
                    </w:rPr>
                    <w:t>毒性及防护：</w:t>
                  </w:r>
                  <w:r>
                    <w:rPr>
                      <w:rFonts w:hint="default" w:ascii="Times New Roman" w:hAnsi="Times New Roman" w:cs="Times New Roman" w:eastAsiaTheme="majorEastAsia"/>
                      <w:b w:val="0"/>
                      <w:bCs w:val="0"/>
                      <w:color w:val="auto"/>
                      <w:sz w:val="18"/>
                      <w:szCs w:val="18"/>
                      <w:highlight w:val="none"/>
                      <w:lang w:eastAsia="zh-CN"/>
                    </w:rPr>
                    <w:t>固体成品无毒，高温分解下会产生有毒气体</w:t>
                  </w:r>
                  <w:r>
                    <w:rPr>
                      <w:rFonts w:hint="default" w:ascii="Times New Roman" w:hAnsi="Times New Roman" w:cs="Times New Roman" w:eastAsiaTheme="majorEastAsia"/>
                      <w:color w:val="auto"/>
                      <w:sz w:val="18"/>
                      <w:szCs w:val="18"/>
                      <w:highlight w:val="none"/>
                    </w:rPr>
                    <w:t>。</w:t>
                  </w:r>
                </w:p>
              </w:tc>
            </w:tr>
          </w:tbl>
          <w:p>
            <w:pPr>
              <w:numPr>
                <w:ilvl w:val="0"/>
                <w:numId w:val="2"/>
              </w:numPr>
              <w:autoSpaceDE w:val="0"/>
              <w:autoSpaceDN w:val="0"/>
              <w:adjustRightInd w:val="0"/>
              <w:snapToGrid w:val="0"/>
              <w:spacing w:line="400" w:lineRule="exact"/>
              <w:rPr>
                <w:rFonts w:cs="宋体"/>
                <w:b/>
                <w:kern w:val="0"/>
                <w:szCs w:val="21"/>
                <w:highlight w:val="none"/>
              </w:rPr>
            </w:pPr>
            <w:r>
              <w:rPr>
                <w:rFonts w:cs="宋体"/>
                <w:b/>
                <w:kern w:val="0"/>
                <w:szCs w:val="21"/>
                <w:highlight w:val="none"/>
              </w:rPr>
              <w:t>主要设备和装置</w:t>
            </w:r>
          </w:p>
          <w:p>
            <w:pPr>
              <w:autoSpaceDE w:val="0"/>
              <w:autoSpaceDN w:val="0"/>
              <w:adjustRightInd w:val="0"/>
              <w:snapToGrid w:val="0"/>
              <w:spacing w:line="400" w:lineRule="exact"/>
              <w:ind w:firstLine="420" w:firstLineChars="200"/>
              <w:rPr>
                <w:rFonts w:cs="宋体"/>
                <w:bCs/>
                <w:kern w:val="0"/>
                <w:szCs w:val="21"/>
                <w:highlight w:val="none"/>
              </w:rPr>
            </w:pPr>
            <w:r>
              <w:rPr>
                <w:rFonts w:hint="eastAsia" w:cs="宋体"/>
                <w:bCs/>
                <w:kern w:val="0"/>
                <w:szCs w:val="21"/>
                <w:highlight w:val="none"/>
                <w:lang w:eastAsia="zh-CN"/>
              </w:rPr>
              <w:t>本次扩建工程主要新增注塑机及配套设施，</w:t>
            </w:r>
            <w:r>
              <w:rPr>
                <w:rFonts w:cs="宋体"/>
                <w:bCs/>
                <w:kern w:val="0"/>
                <w:szCs w:val="21"/>
                <w:highlight w:val="none"/>
              </w:rPr>
              <w:t>主要生产工艺设备情况见</w:t>
            </w:r>
            <w:r>
              <w:rPr>
                <w:rFonts w:hint="eastAsia" w:cs="宋体"/>
                <w:bCs/>
                <w:kern w:val="0"/>
                <w:szCs w:val="21"/>
                <w:highlight w:val="none"/>
                <w:lang w:eastAsia="zh-CN"/>
              </w:rPr>
              <w:t>下表</w:t>
            </w:r>
            <w:r>
              <w:rPr>
                <w:rFonts w:cs="宋体"/>
                <w:bCs/>
                <w:kern w:val="0"/>
                <w:szCs w:val="21"/>
                <w:highlight w:val="none"/>
              </w:rPr>
              <w:t>。</w:t>
            </w:r>
          </w:p>
          <w:p>
            <w:pPr>
              <w:pStyle w:val="2"/>
              <w:rPr>
                <w:rFonts w:cs="宋体"/>
                <w:bCs/>
                <w:kern w:val="0"/>
                <w:szCs w:val="21"/>
                <w:highlight w:val="cyan"/>
              </w:rPr>
            </w:pPr>
          </w:p>
          <w:p>
            <w:pPr>
              <w:rPr>
                <w:rFonts w:hint="eastAsia"/>
              </w:rPr>
            </w:pPr>
          </w:p>
          <w:p>
            <w:pPr>
              <w:pStyle w:val="2"/>
              <w:rPr>
                <w:rFonts w:hint="eastAsia"/>
              </w:rPr>
            </w:pPr>
          </w:p>
          <w:p>
            <w:pPr>
              <w:keepNext w:val="0"/>
              <w:keepLines w:val="0"/>
              <w:pageBreakBefore w:val="0"/>
              <w:numPr>
                <w:ilvl w:val="0"/>
                <w:numId w:val="1"/>
              </w:numPr>
              <w:kinsoku/>
              <w:overflowPunct/>
              <w:topLinePunct w:val="0"/>
              <w:autoSpaceDE/>
              <w:autoSpaceDN/>
              <w:bidi w:val="0"/>
              <w:adjustRightInd/>
              <w:snapToGrid/>
              <w:spacing w:line="360" w:lineRule="auto"/>
              <w:ind w:left="0" w:leftChars="0" w:right="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 xml:space="preserve">   </w:t>
            </w:r>
            <w:r>
              <w:rPr>
                <w:rFonts w:hint="default" w:ascii="Times New Roman" w:hAnsi="Times New Roman" w:cs="Times New Roman" w:eastAsiaTheme="minorEastAsia"/>
                <w:color w:val="auto"/>
                <w:sz w:val="21"/>
                <w:szCs w:val="21"/>
                <w:highlight w:val="none"/>
                <w:lang w:val="en-US" w:eastAsia="zh-CN"/>
              </w:rPr>
              <w:t>拟建工程工艺设备一览表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20"/>
              <w:gridCol w:w="1019"/>
              <w:gridCol w:w="998"/>
              <w:gridCol w:w="998"/>
              <w:gridCol w:w="1001"/>
              <w:gridCol w:w="22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5" w:type="pct"/>
                  <w:vMerge w:val="restar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序号</w:t>
                  </w:r>
                </w:p>
              </w:tc>
              <w:tc>
                <w:tcPr>
                  <w:tcW w:w="689" w:type="pct"/>
                  <w:vMerge w:val="restar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设备名称</w:t>
                  </w:r>
                </w:p>
              </w:tc>
              <w:tc>
                <w:tcPr>
                  <w:tcW w:w="627" w:type="pct"/>
                  <w:vMerge w:val="restar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inorEastAsia"/>
                      <w:b w:val="0"/>
                      <w:bCs/>
                      <w:color w:val="auto"/>
                      <w:sz w:val="18"/>
                      <w:szCs w:val="18"/>
                      <w:highlight w:val="none"/>
                    </w:rPr>
                    <w:t>规格型号</w:t>
                  </w:r>
                </w:p>
              </w:tc>
              <w:tc>
                <w:tcPr>
                  <w:tcW w:w="1844" w:type="pct"/>
                  <w:gridSpan w:val="3"/>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rPr>
                    <w:t>数量</w:t>
                  </w:r>
                </w:p>
              </w:tc>
              <w:tc>
                <w:tcPr>
                  <w:tcW w:w="1382" w:type="pct"/>
                  <w:vMerge w:val="restart"/>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5"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p>
              </w:tc>
              <w:tc>
                <w:tcPr>
                  <w:tcW w:w="689"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p>
              </w:tc>
              <w:tc>
                <w:tcPr>
                  <w:tcW w:w="627"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rPr>
                  </w:pPr>
                </w:p>
              </w:tc>
              <w:tc>
                <w:tcPr>
                  <w:tcW w:w="614" w:type="pct"/>
                  <w:tcBorders>
                    <w:top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eastAsiaTheme="majorEastAsia"/>
                      <w:snapToGrid w:val="0"/>
                      <w:color w:val="auto"/>
                      <w:kern w:val="0"/>
                      <w:sz w:val="18"/>
                      <w:szCs w:val="18"/>
                      <w:highlight w:val="none"/>
                      <w:lang w:val="zh-CN"/>
                    </w:rPr>
                    <w:t>现有工程</w:t>
                  </w:r>
                </w:p>
              </w:tc>
              <w:tc>
                <w:tcPr>
                  <w:tcW w:w="614" w:type="pct"/>
                  <w:tcBorders>
                    <w:top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eastAsia" w:ascii="Times New Roman" w:hAnsi="Times New Roman" w:cs="Times New Roman" w:eastAsiaTheme="minorEastAsia"/>
                      <w:b w:val="0"/>
                      <w:bCs/>
                      <w:color w:val="auto"/>
                      <w:sz w:val="18"/>
                      <w:szCs w:val="18"/>
                      <w:highlight w:val="none"/>
                      <w:lang w:eastAsia="zh-CN"/>
                    </w:rPr>
                    <w:t>本次改扩建工程</w:t>
                  </w:r>
                </w:p>
              </w:tc>
              <w:tc>
                <w:tcPr>
                  <w:tcW w:w="615" w:type="pct"/>
                  <w:tcBorders>
                    <w:top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eastAsiaTheme="minorEastAsia"/>
                      <w:b w:val="0"/>
                      <w:bCs/>
                      <w:color w:val="auto"/>
                      <w:sz w:val="18"/>
                      <w:szCs w:val="18"/>
                      <w:highlight w:val="none"/>
                      <w:lang w:val="zh-CN" w:eastAsia="zh-CN" w:bidi="ar-SA"/>
                    </w:rPr>
                  </w:pPr>
                  <w:r>
                    <w:rPr>
                      <w:rFonts w:hint="eastAsia" w:cs="Times New Roman" w:eastAsiaTheme="majorEastAsia"/>
                      <w:snapToGrid w:val="0"/>
                      <w:color w:val="auto"/>
                      <w:kern w:val="0"/>
                      <w:sz w:val="18"/>
                      <w:szCs w:val="18"/>
                      <w:highlight w:val="none"/>
                      <w:lang w:val="zh-CN"/>
                    </w:rPr>
                    <w:t>改</w:t>
                  </w:r>
                  <w:r>
                    <w:rPr>
                      <w:rFonts w:hint="default" w:ascii="Times New Roman" w:hAnsi="Times New Roman" w:cs="Times New Roman" w:eastAsiaTheme="majorEastAsia"/>
                      <w:snapToGrid w:val="0"/>
                      <w:color w:val="auto"/>
                      <w:kern w:val="0"/>
                      <w:sz w:val="18"/>
                      <w:szCs w:val="18"/>
                      <w:highlight w:val="none"/>
                      <w:lang w:val="zh-CN"/>
                    </w:rPr>
                    <w:t>扩建完成后全厂</w:t>
                  </w:r>
                </w:p>
              </w:tc>
              <w:tc>
                <w:tcPr>
                  <w:tcW w:w="138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sz w:val="18"/>
                      <w:szCs w:val="18"/>
                      <w:highlight w:val="none"/>
                      <w:lang w:val="en-US" w:eastAsia="zh-CN" w:bidi="ar-SA"/>
                    </w:rPr>
                  </w:pPr>
                  <w:r>
                    <w:rPr>
                      <w:rFonts w:hint="default" w:ascii="Times New Roman" w:hAnsi="Times New Roman" w:cs="Times New Roman" w:eastAsiaTheme="minorEastAsia"/>
                      <w:b w:val="0"/>
                      <w:bCs/>
                      <w:color w:val="auto"/>
                      <w:sz w:val="18"/>
                      <w:szCs w:val="18"/>
                      <w:highlight w:val="none"/>
                      <w:lang w:val="en-US" w:eastAsia="zh-CN" w:bidi="ar-SA"/>
                    </w:rPr>
                    <w:t>1</w:t>
                  </w:r>
                </w:p>
              </w:tc>
              <w:tc>
                <w:tcPr>
                  <w:tcW w:w="689" w:type="pct"/>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color w:val="auto"/>
                      <w:sz w:val="18"/>
                      <w:szCs w:val="18"/>
                      <w:highlight w:val="none"/>
                    </w:rPr>
                    <w:t>注塑机</w:t>
                  </w:r>
                </w:p>
              </w:tc>
              <w:tc>
                <w:tcPr>
                  <w:tcW w:w="627" w:type="pct"/>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cs="Times New Roman"/>
                      <w:color w:val="auto"/>
                      <w:sz w:val="18"/>
                      <w:szCs w:val="18"/>
                      <w:highlight w:val="none"/>
                    </w:rPr>
                    <w:t>MA900ǁ</w:t>
                  </w:r>
                </w:p>
              </w:tc>
              <w:tc>
                <w:tcPr>
                  <w:tcW w:w="61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4台</w:t>
                  </w:r>
                </w:p>
              </w:tc>
              <w:tc>
                <w:tcPr>
                  <w:tcW w:w="61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cs="Times New Roman" w:eastAsiaTheme="minorEastAsia"/>
                      <w:b w:val="0"/>
                      <w:bCs/>
                      <w:color w:val="auto"/>
                      <w:sz w:val="18"/>
                      <w:szCs w:val="18"/>
                      <w:highlight w:val="none"/>
                      <w:lang w:val="en-US" w:eastAsia="zh-CN"/>
                    </w:rPr>
                    <w:t>15台</w:t>
                  </w:r>
                </w:p>
              </w:tc>
              <w:tc>
                <w:tcPr>
                  <w:tcW w:w="61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cs="Times New Roman" w:eastAsiaTheme="minorEastAsia"/>
                      <w:b w:val="0"/>
                      <w:bCs/>
                      <w:color w:val="auto"/>
                      <w:sz w:val="18"/>
                      <w:szCs w:val="18"/>
                      <w:highlight w:val="none"/>
                      <w:lang w:val="en-US" w:eastAsia="zh-CN" w:bidi="ar-SA"/>
                    </w:rPr>
                  </w:pPr>
                  <w:r>
                    <w:rPr>
                      <w:rFonts w:hint="eastAsia" w:ascii="Times New Roman" w:hAnsi="Times New Roman" w:cs="Times New Roman" w:eastAsiaTheme="minorEastAsia"/>
                      <w:b w:val="0"/>
                      <w:bCs/>
                      <w:color w:val="auto"/>
                      <w:sz w:val="18"/>
                      <w:szCs w:val="18"/>
                      <w:highlight w:val="none"/>
                      <w:lang w:val="en-US" w:eastAsia="zh-CN"/>
                    </w:rPr>
                    <w:t>19</w:t>
                  </w:r>
                  <w:r>
                    <w:rPr>
                      <w:rFonts w:hint="default" w:ascii="Times New Roman" w:hAnsi="Times New Roman" w:cs="Times New Roman" w:eastAsiaTheme="minorEastAsia"/>
                      <w:b w:val="0"/>
                      <w:bCs/>
                      <w:color w:val="auto"/>
                      <w:sz w:val="18"/>
                      <w:szCs w:val="18"/>
                      <w:highlight w:val="none"/>
                      <w:lang w:val="en-US" w:eastAsia="zh-CN"/>
                    </w:rPr>
                    <w:t>台</w:t>
                  </w:r>
                </w:p>
              </w:tc>
              <w:tc>
                <w:tcPr>
                  <w:tcW w:w="138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主要生产设备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sz w:val="18"/>
                      <w:szCs w:val="18"/>
                      <w:highlight w:val="none"/>
                      <w:lang w:val="en-US" w:eastAsia="zh-CN" w:bidi="ar-SA"/>
                    </w:rPr>
                  </w:pPr>
                  <w:r>
                    <w:rPr>
                      <w:rFonts w:hint="default" w:ascii="Times New Roman" w:hAnsi="Times New Roman" w:cs="Times New Roman" w:eastAsiaTheme="minorEastAsia"/>
                      <w:b w:val="0"/>
                      <w:bCs/>
                      <w:color w:val="auto"/>
                      <w:sz w:val="18"/>
                      <w:szCs w:val="18"/>
                      <w:highlight w:val="none"/>
                      <w:lang w:val="en-US" w:eastAsia="zh-CN" w:bidi="ar-SA"/>
                    </w:rPr>
                    <w:t>2</w:t>
                  </w:r>
                </w:p>
              </w:tc>
              <w:tc>
                <w:tcPr>
                  <w:tcW w:w="68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破碎机</w:t>
                  </w:r>
                </w:p>
              </w:tc>
              <w:tc>
                <w:tcPr>
                  <w:tcW w:w="62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w:t>
                  </w:r>
                </w:p>
              </w:tc>
              <w:tc>
                <w:tcPr>
                  <w:tcW w:w="61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w:t>
                  </w:r>
                </w:p>
              </w:tc>
              <w:tc>
                <w:tcPr>
                  <w:tcW w:w="61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cs="Times New Roman" w:eastAsiaTheme="minorEastAsia"/>
                      <w:b w:val="0"/>
                      <w:bCs/>
                      <w:color w:val="auto"/>
                      <w:sz w:val="18"/>
                      <w:szCs w:val="18"/>
                      <w:highlight w:val="none"/>
                      <w:lang w:val="en-US" w:eastAsia="zh-CN"/>
                    </w:rPr>
                    <w:t>19台</w:t>
                  </w:r>
                </w:p>
              </w:tc>
              <w:tc>
                <w:tcPr>
                  <w:tcW w:w="61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cs="Times New Roman" w:eastAsiaTheme="minorEastAsia"/>
                      <w:b w:val="0"/>
                      <w:bCs/>
                      <w:color w:val="auto"/>
                      <w:sz w:val="18"/>
                      <w:szCs w:val="18"/>
                      <w:highlight w:val="none"/>
                      <w:lang w:val="en-US" w:eastAsia="zh-CN" w:bidi="ar-SA"/>
                    </w:rPr>
                  </w:pPr>
                  <w:r>
                    <w:rPr>
                      <w:rFonts w:hint="eastAsia" w:ascii="Times New Roman" w:hAnsi="Times New Roman" w:cs="Times New Roman" w:eastAsiaTheme="minorEastAsia"/>
                      <w:b w:val="0"/>
                      <w:bCs/>
                      <w:color w:val="auto"/>
                      <w:sz w:val="18"/>
                      <w:szCs w:val="18"/>
                      <w:highlight w:val="none"/>
                      <w:lang w:val="en-US" w:eastAsia="zh-CN"/>
                    </w:rPr>
                    <w:t>19</w:t>
                  </w:r>
                  <w:r>
                    <w:rPr>
                      <w:rFonts w:hint="default" w:ascii="Times New Roman" w:hAnsi="Times New Roman" w:cs="Times New Roman" w:eastAsiaTheme="minorEastAsia"/>
                      <w:b w:val="0"/>
                      <w:bCs/>
                      <w:color w:val="auto"/>
                      <w:sz w:val="18"/>
                      <w:szCs w:val="18"/>
                      <w:highlight w:val="none"/>
                      <w:lang w:val="en-US" w:eastAsia="zh-CN"/>
                    </w:rPr>
                    <w:t>台</w:t>
                  </w:r>
                </w:p>
              </w:tc>
              <w:tc>
                <w:tcPr>
                  <w:tcW w:w="138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每台注塑机单独配置的小型破碎设备，用于不合格品破碎设备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3</w:t>
                  </w:r>
                </w:p>
              </w:tc>
              <w:tc>
                <w:tcPr>
                  <w:tcW w:w="68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上料机</w:t>
                  </w:r>
                </w:p>
              </w:tc>
              <w:tc>
                <w:tcPr>
                  <w:tcW w:w="62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w:t>
                  </w:r>
                </w:p>
              </w:tc>
              <w:tc>
                <w:tcPr>
                  <w:tcW w:w="61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w:t>
                  </w:r>
                </w:p>
              </w:tc>
              <w:tc>
                <w:tcPr>
                  <w:tcW w:w="61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cs="Times New Roman" w:eastAsiaTheme="minorEastAsia"/>
                      <w:b w:val="0"/>
                      <w:bCs/>
                      <w:color w:val="auto"/>
                      <w:sz w:val="18"/>
                      <w:szCs w:val="18"/>
                      <w:highlight w:val="none"/>
                      <w:lang w:val="en-US" w:eastAsia="zh-CN"/>
                    </w:rPr>
                    <w:t>19台</w:t>
                  </w:r>
                </w:p>
              </w:tc>
              <w:tc>
                <w:tcPr>
                  <w:tcW w:w="61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cs="Times New Roman" w:eastAsiaTheme="minorEastAsia"/>
                      <w:b w:val="0"/>
                      <w:bCs/>
                      <w:color w:val="auto"/>
                      <w:sz w:val="18"/>
                      <w:szCs w:val="18"/>
                      <w:highlight w:val="none"/>
                      <w:lang w:val="en-US" w:eastAsia="zh-CN" w:bidi="ar-SA"/>
                    </w:rPr>
                  </w:pPr>
                  <w:r>
                    <w:rPr>
                      <w:rFonts w:hint="eastAsia" w:ascii="Times New Roman" w:hAnsi="Times New Roman" w:cs="Times New Roman" w:eastAsiaTheme="minorEastAsia"/>
                      <w:b w:val="0"/>
                      <w:bCs/>
                      <w:color w:val="auto"/>
                      <w:sz w:val="18"/>
                      <w:szCs w:val="18"/>
                      <w:highlight w:val="none"/>
                      <w:lang w:val="en-US" w:eastAsia="zh-CN"/>
                    </w:rPr>
                    <w:t>19</w:t>
                  </w:r>
                  <w:r>
                    <w:rPr>
                      <w:rFonts w:hint="default" w:ascii="Times New Roman" w:hAnsi="Times New Roman" w:cs="Times New Roman" w:eastAsiaTheme="minorEastAsia"/>
                      <w:b w:val="0"/>
                      <w:bCs/>
                      <w:color w:val="auto"/>
                      <w:sz w:val="18"/>
                      <w:szCs w:val="18"/>
                      <w:highlight w:val="none"/>
                      <w:lang w:val="en-US" w:eastAsia="zh-CN"/>
                    </w:rPr>
                    <w:t>台</w:t>
                  </w:r>
                </w:p>
              </w:tc>
              <w:tc>
                <w:tcPr>
                  <w:tcW w:w="138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原料上料设备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4</w:t>
                  </w:r>
                </w:p>
              </w:tc>
              <w:tc>
                <w:tcPr>
                  <w:tcW w:w="68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风机</w:t>
                  </w:r>
                </w:p>
              </w:tc>
              <w:tc>
                <w:tcPr>
                  <w:tcW w:w="62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w:t>
                  </w:r>
                </w:p>
              </w:tc>
              <w:tc>
                <w:tcPr>
                  <w:tcW w:w="61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1台</w:t>
                  </w:r>
                </w:p>
              </w:tc>
              <w:tc>
                <w:tcPr>
                  <w:tcW w:w="61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cs="Times New Roman" w:eastAsiaTheme="minorEastAsia"/>
                      <w:b w:val="0"/>
                      <w:bCs/>
                      <w:color w:val="auto"/>
                      <w:sz w:val="18"/>
                      <w:szCs w:val="18"/>
                      <w:highlight w:val="none"/>
                      <w:lang w:val="en-US" w:eastAsia="zh-CN"/>
                    </w:rPr>
                    <w:t>1台</w:t>
                  </w:r>
                </w:p>
              </w:tc>
              <w:tc>
                <w:tcPr>
                  <w:tcW w:w="61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eastAsiaTheme="minorEastAsia"/>
                      <w:b w:val="0"/>
                      <w:bCs/>
                      <w:color w:val="auto"/>
                      <w:sz w:val="18"/>
                      <w:szCs w:val="18"/>
                      <w:highlight w:val="none"/>
                      <w:lang w:val="en-US" w:eastAsia="zh-CN" w:bidi="ar-SA"/>
                    </w:rPr>
                  </w:pPr>
                  <w:r>
                    <w:rPr>
                      <w:rFonts w:hint="default" w:ascii="Times New Roman" w:hAnsi="Times New Roman" w:cs="Times New Roman" w:eastAsiaTheme="minorEastAsia"/>
                      <w:b w:val="0"/>
                      <w:bCs/>
                      <w:color w:val="auto"/>
                      <w:sz w:val="18"/>
                      <w:szCs w:val="18"/>
                      <w:highlight w:val="none"/>
                      <w:lang w:val="en-US" w:eastAsia="zh-CN"/>
                    </w:rPr>
                    <w:t>2台</w:t>
                  </w:r>
                </w:p>
              </w:tc>
              <w:tc>
                <w:tcPr>
                  <w:tcW w:w="138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eastAsiaTheme="minorEastAsia"/>
                      <w:b w:val="0"/>
                      <w:bCs/>
                      <w:color w:val="auto"/>
                      <w:sz w:val="18"/>
                      <w:szCs w:val="18"/>
                      <w:highlight w:val="none"/>
                      <w:lang w:eastAsia="zh-CN"/>
                    </w:rPr>
                  </w:pPr>
                  <w:r>
                    <w:rPr>
                      <w:rFonts w:hint="eastAsia" w:ascii="Times New Roman" w:hAnsi="Times New Roman" w:cs="Times New Roman" w:eastAsiaTheme="minorEastAsia"/>
                      <w:b w:val="0"/>
                      <w:bCs/>
                      <w:color w:val="auto"/>
                      <w:sz w:val="18"/>
                      <w:szCs w:val="18"/>
                      <w:highlight w:val="none"/>
                      <w:lang w:val="en-US" w:eastAsia="zh-CN"/>
                    </w:rPr>
                    <w:t>/</w:t>
                  </w:r>
                </w:p>
              </w:tc>
            </w:tr>
          </w:tbl>
          <w:p>
            <w:pPr>
              <w:numPr>
                <w:ilvl w:val="0"/>
                <w:numId w:val="2"/>
              </w:numPr>
              <w:autoSpaceDE w:val="0"/>
              <w:autoSpaceDN w:val="0"/>
              <w:adjustRightInd w:val="0"/>
              <w:snapToGrid w:val="0"/>
              <w:spacing w:line="400" w:lineRule="exact"/>
              <w:rPr>
                <w:rFonts w:cs="宋体"/>
                <w:b/>
                <w:kern w:val="0"/>
                <w:szCs w:val="21"/>
                <w:highlight w:val="none"/>
              </w:rPr>
            </w:pPr>
            <w:r>
              <w:rPr>
                <w:rFonts w:cs="宋体"/>
                <w:b/>
                <w:kern w:val="0"/>
                <w:szCs w:val="21"/>
                <w:highlight w:val="none"/>
              </w:rPr>
              <w:t>厂区平面布置</w:t>
            </w:r>
          </w:p>
          <w:p>
            <w:pPr>
              <w:autoSpaceDE w:val="0"/>
              <w:autoSpaceDN w:val="0"/>
              <w:adjustRightInd w:val="0"/>
              <w:snapToGrid w:val="0"/>
              <w:spacing w:line="400" w:lineRule="exact"/>
              <w:ind w:firstLine="420" w:firstLineChars="200"/>
              <w:rPr>
                <w:rFonts w:hint="eastAsia" w:cs="宋体"/>
                <w:bCs/>
                <w:kern w:val="0"/>
                <w:szCs w:val="21"/>
                <w:highlight w:val="none"/>
              </w:rPr>
            </w:pPr>
            <w:r>
              <w:rPr>
                <w:rFonts w:hint="eastAsia" w:cs="宋体"/>
                <w:bCs/>
                <w:kern w:val="0"/>
                <w:szCs w:val="21"/>
                <w:highlight w:val="none"/>
              </w:rPr>
              <w:t>工程占地</w:t>
            </w:r>
            <w:r>
              <w:rPr>
                <w:rFonts w:hint="eastAsia" w:cs="宋体"/>
                <w:bCs/>
                <w:kern w:val="0"/>
                <w:szCs w:val="21"/>
                <w:highlight w:val="none"/>
                <w:lang w:val="en-US" w:eastAsia="zh-CN"/>
              </w:rPr>
              <w:t>2000平方米</w:t>
            </w:r>
            <w:r>
              <w:rPr>
                <w:rFonts w:hint="eastAsia" w:cs="宋体"/>
                <w:bCs/>
                <w:kern w:val="0"/>
                <w:szCs w:val="21"/>
                <w:highlight w:val="none"/>
              </w:rPr>
              <w:t>，本次扩建用地</w:t>
            </w:r>
            <w:r>
              <w:rPr>
                <w:rFonts w:hint="eastAsia" w:cs="宋体"/>
                <w:bCs/>
                <w:kern w:val="0"/>
                <w:szCs w:val="21"/>
                <w:highlight w:val="none"/>
                <w:lang w:eastAsia="zh-CN"/>
              </w:rPr>
              <w:t>主要将1#车间现有生产线搬至2#车间，并同时在车间内其余预留区域进行扩建</w:t>
            </w:r>
            <w:r>
              <w:rPr>
                <w:rFonts w:hint="eastAsia" w:cs="宋体"/>
                <w:bCs/>
                <w:kern w:val="0"/>
                <w:szCs w:val="21"/>
                <w:highlight w:val="none"/>
              </w:rPr>
              <w:t>，其他公辅设施主要依托现有工程。</w:t>
            </w:r>
            <w:r>
              <w:rPr>
                <w:rFonts w:cs="宋体"/>
                <w:bCs/>
                <w:kern w:val="0"/>
                <w:szCs w:val="21"/>
                <w:highlight w:val="none"/>
              </w:rPr>
              <w:t>厂区总平面布置见附图</w:t>
            </w:r>
            <w:r>
              <w:rPr>
                <w:rFonts w:hint="eastAsia" w:cs="宋体"/>
                <w:bCs/>
                <w:kern w:val="0"/>
                <w:szCs w:val="21"/>
                <w:highlight w:val="none"/>
                <w:lang w:eastAsia="zh-CN"/>
              </w:rPr>
              <w:t>四</w:t>
            </w:r>
            <w:r>
              <w:rPr>
                <w:rFonts w:hint="eastAsia" w:cs="宋体"/>
                <w:bCs/>
                <w:kern w:val="0"/>
                <w:szCs w:val="21"/>
                <w:highlight w:val="none"/>
              </w:rPr>
              <w:t>。</w:t>
            </w:r>
          </w:p>
          <w:p>
            <w:pPr>
              <w:autoSpaceDE w:val="0"/>
              <w:autoSpaceDN w:val="0"/>
              <w:adjustRightInd w:val="0"/>
              <w:snapToGrid w:val="0"/>
              <w:spacing w:line="400" w:lineRule="exact"/>
              <w:ind w:firstLine="420" w:firstLineChars="200"/>
              <w:rPr>
                <w:rFonts w:cs="宋体"/>
                <w:bCs/>
                <w:kern w:val="0"/>
                <w:szCs w:val="21"/>
                <w:highlight w:val="none"/>
              </w:rPr>
            </w:pPr>
            <w:r>
              <w:rPr>
                <w:rFonts w:cs="宋体"/>
                <w:bCs/>
                <w:kern w:val="0"/>
                <w:szCs w:val="21"/>
                <w:highlight w:val="none"/>
              </w:rPr>
              <w:t>全厂工艺流程顺畅，总体布置合理紧凑，并采用联合建筑，建筑布局紧凑，交通、管线顺畅短捷，人流与物流分开，建筑间距满足消防要求，保证生产运营安全。功能分区之间有绿化隔离，这样能保证各功能分区之间既相互独立，又联系紧密，充分展示现代工业建筑总平面布置的特点，营造舒适优美的生产、办公环境。</w:t>
            </w:r>
          </w:p>
          <w:p>
            <w:pPr>
              <w:numPr>
                <w:ilvl w:val="0"/>
                <w:numId w:val="2"/>
              </w:numPr>
              <w:autoSpaceDE w:val="0"/>
              <w:autoSpaceDN w:val="0"/>
              <w:adjustRightInd w:val="0"/>
              <w:snapToGrid w:val="0"/>
              <w:spacing w:line="400" w:lineRule="exact"/>
              <w:rPr>
                <w:rFonts w:cs="宋体"/>
                <w:b/>
                <w:kern w:val="0"/>
                <w:szCs w:val="21"/>
                <w:highlight w:val="none"/>
              </w:rPr>
            </w:pPr>
            <w:r>
              <w:rPr>
                <w:rFonts w:cs="宋体"/>
                <w:b/>
                <w:kern w:val="0"/>
                <w:szCs w:val="21"/>
                <w:highlight w:val="none"/>
              </w:rPr>
              <w:t>主要公辅设施</w:t>
            </w:r>
          </w:p>
          <w:p>
            <w:pPr>
              <w:autoSpaceDE w:val="0"/>
              <w:autoSpaceDN w:val="0"/>
              <w:adjustRightInd w:val="0"/>
              <w:snapToGrid w:val="0"/>
              <w:spacing w:line="400" w:lineRule="exact"/>
              <w:ind w:firstLine="422" w:firstLineChars="200"/>
              <w:rPr>
                <w:rFonts w:cs="宋体"/>
                <w:b/>
                <w:bCs/>
                <w:kern w:val="0"/>
                <w:szCs w:val="21"/>
                <w:highlight w:val="none"/>
              </w:rPr>
            </w:pPr>
            <w:r>
              <w:rPr>
                <w:rFonts w:hint="eastAsia" w:cs="宋体"/>
                <w:b/>
                <w:bCs/>
                <w:kern w:val="0"/>
                <w:szCs w:val="21"/>
                <w:highlight w:val="none"/>
              </w:rPr>
              <w:t>（1）</w:t>
            </w:r>
            <w:r>
              <w:rPr>
                <w:rFonts w:cs="宋体"/>
                <w:b/>
                <w:bCs/>
                <w:kern w:val="0"/>
                <w:szCs w:val="21"/>
                <w:highlight w:val="none"/>
              </w:rPr>
              <w:t>给水系统</w:t>
            </w:r>
          </w:p>
          <w:p>
            <w:pPr>
              <w:autoSpaceDE w:val="0"/>
              <w:autoSpaceDN w:val="0"/>
              <w:adjustRightInd w:val="0"/>
              <w:snapToGrid w:val="0"/>
              <w:spacing w:line="400" w:lineRule="exact"/>
              <w:ind w:firstLine="420" w:firstLineChars="200"/>
              <w:rPr>
                <w:rFonts w:cs="宋体"/>
                <w:bCs/>
                <w:kern w:val="0"/>
                <w:szCs w:val="21"/>
                <w:highlight w:val="none"/>
              </w:rPr>
            </w:pPr>
            <w:r>
              <w:rPr>
                <w:rFonts w:cs="宋体"/>
                <w:bCs/>
                <w:kern w:val="0"/>
                <w:szCs w:val="21"/>
                <w:highlight w:val="none"/>
              </w:rPr>
              <w:fldChar w:fldCharType="begin"/>
            </w:r>
            <w:r>
              <w:rPr>
                <w:rFonts w:cs="宋体"/>
                <w:bCs/>
                <w:kern w:val="0"/>
                <w:szCs w:val="21"/>
                <w:highlight w:val="none"/>
              </w:rPr>
              <w:instrText xml:space="preserve"> </w:instrText>
            </w:r>
            <w:r>
              <w:rPr>
                <w:rFonts w:hint="eastAsia" w:cs="宋体"/>
                <w:bCs/>
                <w:kern w:val="0"/>
                <w:szCs w:val="21"/>
                <w:highlight w:val="none"/>
              </w:rPr>
              <w:instrText xml:space="preserve">= 1 \* GB3</w:instrText>
            </w:r>
            <w:r>
              <w:rPr>
                <w:rFonts w:cs="宋体"/>
                <w:bCs/>
                <w:kern w:val="0"/>
                <w:szCs w:val="21"/>
                <w:highlight w:val="none"/>
              </w:rPr>
              <w:instrText xml:space="preserve"> </w:instrText>
            </w:r>
            <w:r>
              <w:rPr>
                <w:rFonts w:cs="宋体"/>
                <w:bCs/>
                <w:kern w:val="0"/>
                <w:szCs w:val="21"/>
                <w:highlight w:val="none"/>
              </w:rPr>
              <w:fldChar w:fldCharType="separate"/>
            </w:r>
            <w:r>
              <w:rPr>
                <w:rFonts w:hint="eastAsia" w:cs="宋体"/>
                <w:bCs/>
                <w:kern w:val="0"/>
                <w:szCs w:val="21"/>
                <w:highlight w:val="none"/>
              </w:rPr>
              <w:t>①</w:t>
            </w:r>
            <w:r>
              <w:rPr>
                <w:rFonts w:cs="宋体"/>
                <w:bCs/>
                <w:kern w:val="0"/>
                <w:szCs w:val="21"/>
                <w:highlight w:val="none"/>
              </w:rPr>
              <w:fldChar w:fldCharType="end"/>
            </w:r>
            <w:r>
              <w:rPr>
                <w:rFonts w:cs="宋体"/>
                <w:bCs/>
                <w:kern w:val="0"/>
                <w:szCs w:val="21"/>
                <w:highlight w:val="none"/>
              </w:rPr>
              <w:t>供水</w:t>
            </w:r>
            <w:r>
              <w:rPr>
                <w:rFonts w:hint="eastAsia" w:cs="宋体"/>
                <w:bCs/>
                <w:kern w:val="0"/>
                <w:szCs w:val="21"/>
                <w:highlight w:val="none"/>
              </w:rPr>
              <w:t>系统</w:t>
            </w:r>
          </w:p>
          <w:p>
            <w:pPr>
              <w:autoSpaceDE w:val="0"/>
              <w:autoSpaceDN w:val="0"/>
              <w:adjustRightInd w:val="0"/>
              <w:snapToGrid w:val="0"/>
              <w:spacing w:line="400" w:lineRule="exact"/>
              <w:ind w:firstLine="420" w:firstLineChars="200"/>
              <w:rPr>
                <w:rFonts w:hint="eastAsia" w:cs="宋体"/>
                <w:bCs/>
                <w:kern w:val="0"/>
                <w:szCs w:val="21"/>
                <w:highlight w:val="none"/>
              </w:rPr>
            </w:pPr>
            <w:r>
              <w:rPr>
                <w:rFonts w:hint="eastAsia" w:cs="宋体"/>
                <w:bCs/>
                <w:kern w:val="0"/>
                <w:szCs w:val="21"/>
                <w:highlight w:val="none"/>
                <w:lang w:eastAsia="zh-CN"/>
              </w:rPr>
              <w:t>拟建工程</w:t>
            </w:r>
            <w:r>
              <w:rPr>
                <w:rFonts w:hint="eastAsia" w:cs="宋体"/>
                <w:bCs/>
                <w:kern w:val="0"/>
                <w:szCs w:val="21"/>
                <w:highlight w:val="none"/>
              </w:rPr>
              <w:t>生产用水、循环冷却水分别依托现有厂区的</w:t>
            </w:r>
            <w:r>
              <w:rPr>
                <w:rFonts w:hint="eastAsia" w:cs="宋体"/>
                <w:bCs/>
                <w:kern w:val="0"/>
                <w:szCs w:val="21"/>
                <w:highlight w:val="none"/>
                <w:lang w:eastAsia="zh-CN"/>
              </w:rPr>
              <w:t>自备水井提供。现有工程用水量为</w:t>
            </w:r>
            <w:r>
              <w:rPr>
                <w:rFonts w:hint="eastAsia" w:cs="宋体"/>
                <w:bCs/>
                <w:kern w:val="0"/>
                <w:szCs w:val="21"/>
                <w:highlight w:val="none"/>
                <w:lang w:val="en-US" w:eastAsia="zh-CN"/>
              </w:rPr>
              <w:t>75m</w:t>
            </w:r>
            <w:r>
              <w:rPr>
                <w:rFonts w:hint="eastAsia" w:cs="宋体"/>
                <w:bCs/>
                <w:kern w:val="0"/>
                <w:szCs w:val="21"/>
                <w:highlight w:val="none"/>
                <w:vertAlign w:val="superscript"/>
                <w:lang w:val="en-US" w:eastAsia="zh-CN"/>
              </w:rPr>
              <w:t>3</w:t>
            </w:r>
            <w:r>
              <w:rPr>
                <w:rFonts w:hint="eastAsia" w:cs="宋体"/>
                <w:bCs/>
                <w:kern w:val="0"/>
                <w:szCs w:val="21"/>
                <w:highlight w:val="none"/>
                <w:lang w:val="en-US" w:eastAsia="zh-CN"/>
              </w:rPr>
              <w:t>/a</w:t>
            </w:r>
            <w:r>
              <w:rPr>
                <w:rFonts w:hint="eastAsia" w:cs="宋体"/>
                <w:bCs/>
                <w:kern w:val="0"/>
                <w:szCs w:val="21"/>
                <w:highlight w:val="none"/>
                <w:lang w:eastAsia="zh-CN"/>
              </w:rPr>
              <w:t>，拟建工程</w:t>
            </w:r>
            <w:r>
              <w:rPr>
                <w:rFonts w:hint="eastAsia" w:cs="宋体"/>
                <w:bCs/>
                <w:kern w:val="0"/>
                <w:szCs w:val="21"/>
                <w:highlight w:val="none"/>
                <w:lang w:val="en-US" w:eastAsia="zh-CN"/>
              </w:rPr>
              <w:t>新增用水量为105m</w:t>
            </w:r>
            <w:r>
              <w:rPr>
                <w:rFonts w:hint="eastAsia" w:cs="宋体"/>
                <w:bCs/>
                <w:kern w:val="0"/>
                <w:szCs w:val="21"/>
                <w:highlight w:val="none"/>
                <w:vertAlign w:val="superscript"/>
                <w:lang w:val="en-US" w:eastAsia="zh-CN"/>
              </w:rPr>
              <w:t>3</w:t>
            </w:r>
            <w:r>
              <w:rPr>
                <w:rFonts w:hint="eastAsia" w:cs="宋体"/>
                <w:bCs/>
                <w:kern w:val="0"/>
                <w:szCs w:val="21"/>
                <w:highlight w:val="none"/>
                <w:lang w:val="en-US" w:eastAsia="zh-CN"/>
              </w:rPr>
              <w:t>/a，建成后全厂用水量为180m</w:t>
            </w:r>
            <w:r>
              <w:rPr>
                <w:rFonts w:hint="eastAsia" w:cs="宋体"/>
                <w:bCs/>
                <w:kern w:val="0"/>
                <w:szCs w:val="21"/>
                <w:highlight w:val="none"/>
                <w:vertAlign w:val="superscript"/>
                <w:lang w:val="en-US" w:eastAsia="zh-CN"/>
              </w:rPr>
              <w:t>3</w:t>
            </w:r>
            <w:r>
              <w:rPr>
                <w:rFonts w:hint="eastAsia" w:cs="宋体"/>
                <w:bCs/>
                <w:kern w:val="0"/>
                <w:szCs w:val="21"/>
                <w:highlight w:val="none"/>
                <w:lang w:val="en-US" w:eastAsia="zh-CN"/>
              </w:rPr>
              <w:t>/a</w:t>
            </w:r>
            <w:r>
              <w:rPr>
                <w:rFonts w:hint="eastAsia" w:cs="宋体"/>
                <w:bCs/>
                <w:kern w:val="0"/>
                <w:szCs w:val="21"/>
                <w:highlight w:val="none"/>
                <w:lang w:eastAsia="zh-CN"/>
              </w:rPr>
              <w:t>。</w:t>
            </w:r>
          </w:p>
          <w:p>
            <w:pPr>
              <w:autoSpaceDE w:val="0"/>
              <w:autoSpaceDN w:val="0"/>
              <w:adjustRightInd w:val="0"/>
              <w:snapToGrid w:val="0"/>
              <w:spacing w:line="400" w:lineRule="exact"/>
              <w:ind w:firstLine="422" w:firstLineChars="200"/>
              <w:rPr>
                <w:rFonts w:cs="宋体"/>
                <w:b/>
                <w:bCs/>
                <w:kern w:val="0"/>
                <w:szCs w:val="21"/>
                <w:highlight w:val="none"/>
              </w:rPr>
            </w:pPr>
            <w:r>
              <w:rPr>
                <w:rFonts w:hint="eastAsia" w:cs="宋体"/>
                <w:b/>
                <w:bCs/>
                <w:kern w:val="0"/>
                <w:szCs w:val="21"/>
                <w:highlight w:val="none"/>
              </w:rPr>
              <w:t>（2）</w:t>
            </w:r>
            <w:r>
              <w:rPr>
                <w:rFonts w:cs="宋体"/>
                <w:b/>
                <w:bCs/>
                <w:kern w:val="0"/>
                <w:szCs w:val="21"/>
                <w:highlight w:val="none"/>
              </w:rPr>
              <w:t>排水系统</w:t>
            </w:r>
          </w:p>
          <w:p>
            <w:pPr>
              <w:autoSpaceDE w:val="0"/>
              <w:autoSpaceDN w:val="0"/>
              <w:adjustRightInd w:val="0"/>
              <w:snapToGrid w:val="0"/>
              <w:spacing w:line="400" w:lineRule="exact"/>
              <w:ind w:firstLine="420" w:firstLineChars="200"/>
              <w:rPr>
                <w:rFonts w:cs="宋体"/>
                <w:bCs/>
                <w:kern w:val="0"/>
                <w:szCs w:val="21"/>
                <w:highlight w:val="none"/>
              </w:rPr>
            </w:pPr>
            <w:r>
              <w:rPr>
                <w:rFonts w:cs="宋体"/>
                <w:bCs/>
                <w:kern w:val="0"/>
                <w:szCs w:val="21"/>
                <w:highlight w:val="none"/>
              </w:rPr>
              <w:t>厂区排水采用雨污分流制排放系统。</w:t>
            </w:r>
          </w:p>
          <w:p>
            <w:pPr>
              <w:autoSpaceDE w:val="0"/>
              <w:autoSpaceDN w:val="0"/>
              <w:adjustRightInd w:val="0"/>
              <w:snapToGrid w:val="0"/>
              <w:spacing w:line="400" w:lineRule="exact"/>
              <w:ind w:firstLine="420" w:firstLineChars="200"/>
              <w:rPr>
                <w:rFonts w:cs="宋体"/>
                <w:bCs/>
                <w:kern w:val="0"/>
                <w:szCs w:val="21"/>
                <w:highlight w:val="none"/>
              </w:rPr>
            </w:pPr>
            <w:r>
              <w:rPr>
                <w:rFonts w:hint="eastAsia" w:cs="宋体"/>
                <w:bCs/>
                <w:kern w:val="0"/>
                <w:szCs w:val="21"/>
                <w:highlight w:val="none"/>
              </w:rPr>
              <w:t>拟建工程外排废水主要为生活污水</w:t>
            </w:r>
            <w:r>
              <w:rPr>
                <w:rFonts w:hint="eastAsia" w:cs="宋体"/>
                <w:bCs/>
                <w:kern w:val="0"/>
                <w:szCs w:val="21"/>
                <w:highlight w:val="none"/>
                <w:lang w:eastAsia="zh-CN"/>
              </w:rPr>
              <w:t>，经</w:t>
            </w:r>
            <w:r>
              <w:rPr>
                <w:rFonts w:hint="eastAsia" w:cs="宋体"/>
                <w:bCs/>
                <w:kern w:val="0"/>
                <w:szCs w:val="21"/>
                <w:highlight w:val="none"/>
              </w:rPr>
              <w:t>化粪池处理后，</w:t>
            </w:r>
            <w:r>
              <w:rPr>
                <w:rFonts w:hint="eastAsia" w:cs="宋体"/>
                <w:bCs/>
                <w:kern w:val="0"/>
                <w:szCs w:val="21"/>
                <w:highlight w:val="none"/>
                <w:lang w:eastAsia="zh-CN"/>
              </w:rPr>
              <w:t>定期清运；拟建工程冷却废水</w:t>
            </w:r>
            <w:r>
              <w:rPr>
                <w:rFonts w:hint="default" w:cs="宋体"/>
                <w:bCs/>
                <w:kern w:val="0"/>
                <w:szCs w:val="21"/>
                <w:highlight w:val="none"/>
                <w:lang w:eastAsia="zh-CN"/>
              </w:rPr>
              <w:t>淘</w:t>
            </w:r>
            <w:r>
              <w:rPr>
                <w:rFonts w:hint="eastAsia" w:cs="宋体"/>
                <w:bCs/>
                <w:kern w:val="0"/>
                <w:szCs w:val="21"/>
                <w:highlight w:val="none"/>
                <w:lang w:eastAsia="zh-CN"/>
              </w:rPr>
              <w:t>经更替后的</w:t>
            </w:r>
            <w:r>
              <w:rPr>
                <w:rFonts w:hint="default" w:cs="宋体"/>
                <w:bCs/>
                <w:kern w:val="0"/>
                <w:szCs w:val="21"/>
                <w:highlight w:val="none"/>
                <w:lang w:val="en-US" w:eastAsia="zh-CN"/>
              </w:rPr>
              <w:t>恒温</w:t>
            </w:r>
            <w:r>
              <w:rPr>
                <w:rFonts w:hint="default" w:cs="宋体"/>
                <w:bCs/>
                <w:kern w:val="0"/>
                <w:szCs w:val="21"/>
                <w:highlight w:val="none"/>
                <w:lang w:eastAsia="zh-CN"/>
              </w:rPr>
              <w:t>冷却水罐</w:t>
            </w:r>
            <w:r>
              <w:rPr>
                <w:rFonts w:hint="eastAsia" w:cs="宋体"/>
                <w:bCs/>
                <w:kern w:val="0"/>
                <w:szCs w:val="21"/>
                <w:highlight w:val="none"/>
                <w:lang w:eastAsia="zh-CN"/>
              </w:rPr>
              <w:t>冷却后循环使用，不外排。</w:t>
            </w:r>
          </w:p>
          <w:p>
            <w:pPr>
              <w:autoSpaceDE w:val="0"/>
              <w:autoSpaceDN w:val="0"/>
              <w:adjustRightInd w:val="0"/>
              <w:snapToGrid w:val="0"/>
              <w:spacing w:line="400" w:lineRule="exact"/>
              <w:ind w:firstLine="422" w:firstLineChars="200"/>
              <w:rPr>
                <w:rFonts w:cs="宋体"/>
                <w:b/>
                <w:bCs/>
                <w:kern w:val="0"/>
                <w:szCs w:val="21"/>
                <w:highlight w:val="none"/>
              </w:rPr>
            </w:pPr>
            <w:r>
              <w:rPr>
                <w:rFonts w:hint="eastAsia" w:cs="宋体"/>
                <w:b/>
                <w:bCs/>
                <w:kern w:val="0"/>
                <w:szCs w:val="21"/>
                <w:highlight w:val="none"/>
              </w:rPr>
              <w:t>（3）</w:t>
            </w:r>
            <w:r>
              <w:rPr>
                <w:rFonts w:cs="宋体"/>
                <w:b/>
                <w:bCs/>
                <w:kern w:val="0"/>
                <w:szCs w:val="21"/>
                <w:highlight w:val="none"/>
              </w:rPr>
              <w:t>输供电</w:t>
            </w:r>
          </w:p>
          <w:p>
            <w:pPr>
              <w:autoSpaceDE w:val="0"/>
              <w:autoSpaceDN w:val="0"/>
              <w:adjustRightInd w:val="0"/>
              <w:snapToGrid w:val="0"/>
              <w:spacing w:line="400" w:lineRule="exact"/>
              <w:ind w:firstLine="420" w:firstLineChars="200"/>
              <w:rPr>
                <w:rFonts w:hint="eastAsia" w:cs="宋体"/>
                <w:bCs/>
                <w:szCs w:val="21"/>
                <w:highlight w:val="cyan"/>
              </w:rPr>
            </w:pPr>
            <w:r>
              <w:rPr>
                <w:rFonts w:hint="eastAsia" w:cs="宋体"/>
                <w:bCs/>
                <w:kern w:val="0"/>
                <w:szCs w:val="21"/>
                <w:highlight w:val="none"/>
              </w:rPr>
              <w:t>拟建工程所需的动力电源</w:t>
            </w:r>
            <w:r>
              <w:rPr>
                <w:rFonts w:hint="eastAsia" w:cs="宋体"/>
                <w:bCs/>
                <w:kern w:val="0"/>
                <w:szCs w:val="21"/>
                <w:highlight w:val="none"/>
                <w:lang w:eastAsia="zh-CN"/>
              </w:rPr>
              <w:t>由当地市政供电管网供给，能够满足日常生产所需</w:t>
            </w:r>
            <w:r>
              <w:rPr>
                <w:rFonts w:hint="eastAsia" w:cs="宋体"/>
                <w:bCs/>
                <w:kern w:val="0"/>
                <w:szCs w:val="21"/>
                <w:highlight w:val="none"/>
              </w:rPr>
              <w:t>。</w:t>
            </w:r>
            <w:r>
              <w:rPr>
                <w:rFonts w:hint="eastAsia" w:cs="宋体"/>
                <w:bCs/>
                <w:kern w:val="0"/>
                <w:szCs w:val="21"/>
                <w:highlight w:val="none"/>
              </w:rPr>
              <w:br w:type="textWrapping"/>
            </w:r>
            <w:r>
              <w:rPr>
                <w:rFonts w:hint="eastAsia" w:cs="宋体"/>
                <w:bCs/>
                <w:kern w:val="0"/>
                <w:szCs w:val="21"/>
                <w:highlight w:val="none"/>
              </w:rPr>
              <w:br w:type="textWrapping"/>
            </w:r>
            <w:r>
              <w:rPr>
                <w:rFonts w:hint="eastAsia" w:cs="宋体"/>
                <w:bCs/>
                <w:kern w:val="0"/>
                <w:szCs w:val="21"/>
                <w:highlight w:val="none"/>
              </w:rPr>
              <w:br w:type="textWrapping"/>
            </w:r>
            <w:r>
              <w:rPr>
                <w:rFonts w:hint="eastAsia" w:cs="宋体"/>
                <w:bCs/>
                <w:kern w:val="0"/>
                <w:szCs w:val="21"/>
                <w:highlight w:val="none"/>
              </w:rPr>
              <w:br w:type="textWrapping"/>
            </w:r>
            <w:r>
              <w:rPr>
                <w:rFonts w:hint="eastAsia" w:cs="宋体"/>
                <w:bCs/>
                <w:kern w:val="0"/>
                <w:szCs w:val="21"/>
                <w:highlight w:val="none"/>
              </w:rPr>
              <w:br w:type="textWrapping"/>
            </w:r>
            <w:r>
              <w:rPr>
                <w:rFonts w:hint="eastAsia" w:cs="宋体"/>
                <w:bCs/>
                <w:kern w:val="0"/>
                <w:szCs w:val="21"/>
                <w:highlight w:val="cyan"/>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18" w:type="dxa"/>
            <w:noWrap w:val="0"/>
            <w:vAlign w:val="center"/>
          </w:tcPr>
          <w:p>
            <w:pPr>
              <w:pStyle w:val="15"/>
              <w:adjustRightInd w:val="0"/>
              <w:snapToGrid w:val="0"/>
              <w:spacing w:before="0" w:beforeAutospacing="0" w:after="0" w:afterAutospacing="0"/>
              <w:jc w:val="center"/>
              <w:rPr>
                <w:rFonts w:ascii="Times New Roman" w:hAnsi="Times New Roman" w:cs="宋体"/>
                <w:sz w:val="21"/>
                <w:szCs w:val="21"/>
                <w:highlight w:val="cyan"/>
              </w:rPr>
            </w:pPr>
            <w:r>
              <w:rPr>
                <w:rFonts w:hint="eastAsia" w:ascii="Times New Roman" w:hAnsi="Times New Roman" w:cs="宋体"/>
                <w:sz w:val="21"/>
                <w:szCs w:val="21"/>
                <w:highlight w:val="none"/>
              </w:rPr>
              <w:t>工艺流程和产排污环节</w:t>
            </w:r>
          </w:p>
        </w:tc>
        <w:tc>
          <w:tcPr>
            <w:tcW w:w="8342" w:type="dxa"/>
            <w:noWrap w:val="0"/>
            <w:vAlign w:val="top"/>
          </w:tcPr>
          <w:p>
            <w:pPr>
              <w:numPr>
                <w:ilvl w:val="0"/>
                <w:numId w:val="3"/>
              </w:numPr>
              <w:autoSpaceDE w:val="0"/>
              <w:autoSpaceDN w:val="0"/>
              <w:adjustRightInd w:val="0"/>
              <w:snapToGrid w:val="0"/>
              <w:spacing w:line="400" w:lineRule="exact"/>
              <w:rPr>
                <w:rFonts w:cs="宋体"/>
                <w:b/>
                <w:kern w:val="0"/>
                <w:szCs w:val="21"/>
                <w:highlight w:val="none"/>
              </w:rPr>
            </w:pPr>
            <w:r>
              <w:rPr>
                <w:rFonts w:cs="宋体"/>
                <w:b/>
                <w:kern w:val="0"/>
                <w:szCs w:val="21"/>
                <w:highlight w:val="none"/>
              </w:rPr>
              <w:t>拟建工程</w:t>
            </w:r>
            <w:r>
              <w:rPr>
                <w:rFonts w:hint="eastAsia" w:cs="宋体"/>
                <w:b/>
                <w:kern w:val="0"/>
                <w:szCs w:val="21"/>
                <w:highlight w:val="none"/>
              </w:rPr>
              <w:t>工艺流程及产污环节</w:t>
            </w:r>
          </w:p>
          <w:p>
            <w:pPr>
              <w:autoSpaceDE w:val="0"/>
              <w:autoSpaceDN w:val="0"/>
              <w:adjustRightInd w:val="0"/>
              <w:snapToGrid w:val="0"/>
              <w:spacing w:line="400" w:lineRule="exact"/>
              <w:ind w:firstLine="420" w:firstLineChars="200"/>
              <w:rPr>
                <w:rFonts w:hint="eastAsia" w:cs="宋体"/>
                <w:bCs/>
                <w:kern w:val="0"/>
                <w:szCs w:val="21"/>
                <w:highlight w:val="none"/>
              </w:rPr>
            </w:pPr>
            <w:r>
              <w:rPr>
                <w:rFonts w:hint="eastAsia" w:cs="宋体"/>
                <w:bCs/>
                <w:kern w:val="0"/>
                <w:szCs w:val="21"/>
                <w:highlight w:val="none"/>
                <w:lang w:eastAsia="zh-CN"/>
              </w:rPr>
              <w:t>扩建工程产品仍为锂电池密封圈，生产工艺同现有工程相同，包括上料、加热熔融、注塑成型、间接冷却、检验等</w:t>
            </w:r>
            <w:r>
              <w:rPr>
                <w:rFonts w:cs="宋体"/>
                <w:bCs/>
                <w:kern w:val="0"/>
                <w:szCs w:val="21"/>
                <w:highlight w:val="none"/>
              </w:rPr>
              <w:t>。拟建工程主要工艺流程见图</w:t>
            </w:r>
            <w:r>
              <w:rPr>
                <w:rFonts w:hint="eastAsia" w:cs="宋体"/>
                <w:bCs/>
                <w:kern w:val="0"/>
                <w:szCs w:val="21"/>
                <w:highlight w:val="none"/>
                <w:lang w:val="en-US" w:eastAsia="zh-CN"/>
              </w:rPr>
              <w:t>3</w:t>
            </w:r>
            <w:r>
              <w:rPr>
                <w:rFonts w:hint="eastAsia" w:cs="宋体"/>
                <w:bCs/>
                <w:kern w:val="0"/>
                <w:szCs w:val="21"/>
                <w:highlight w:val="none"/>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r>
              <w:rPr>
                <w:rFonts w:hint="default" w:ascii="Times New Roman" w:hAnsi="Times New Roman" w:cs="Times New Roman" w:eastAsiaTheme="majorEastAsia"/>
                <w:color w:val="auto"/>
                <w:sz w:val="24"/>
                <w:szCs w:val="24"/>
                <w:highlight w:val="none"/>
                <w:lang w:val="en-US" w:eastAsia="zh-CN"/>
              </w:rPr>
              <w:pict>
                <v:shape id="_x0000_s1041" o:spid="_x0000_s1041" o:spt="75" type="#_x0000_t75" style="position:absolute;left:0pt;margin-left:63.5pt;margin-top:10.15pt;height:248.1pt;width:260.65pt;z-index:251659264;mso-width-relative:page;mso-height-relative:page;" o:ole="t" filled="f" o:preferrelative="t" stroked="f" coordsize="21600,21600">
                  <v:path/>
                  <v:fill on="f" focussize="0,0"/>
                  <v:stroke on="f"/>
                  <v:imagedata r:id="rId15" croptop="7061f" o:title=""/>
                  <o:lock v:ext="edit" aspectratio="t"/>
                </v:shape>
                <o:OLEObject Type="Embed" ProgID="Visio.Drawing.15" ShapeID="_x0000_s1041" DrawAspect="Content" ObjectID="_1468075725" r:id="rId14">
                  <o:LockedField>false</o:LockedField>
                </o:OLEObject>
              </w:pic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right="0" w:firstLine="480" w:firstLineChars="200"/>
              <w:textAlignment w:val="auto"/>
              <w:rPr>
                <w:rFonts w:hint="default" w:ascii="Times New Roman" w:hAnsi="Times New Roman" w:cs="Times New Roman" w:eastAsiaTheme="majorEastAsia"/>
                <w:color w:val="auto"/>
                <w:sz w:val="24"/>
                <w:szCs w:val="24"/>
                <w:highlight w:val="none"/>
                <w:lang w:val="en-US" w:eastAsia="zh-CN"/>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Chars="0" w:right="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图</w:t>
            </w:r>
            <w:r>
              <w:rPr>
                <w:rFonts w:hint="eastAsia" w:ascii="Times New Roman" w:hAnsi="Times New Roman" w:eastAsia="黑体" w:cs="Times New Roman"/>
                <w:color w:val="auto"/>
                <w:sz w:val="21"/>
                <w:szCs w:val="21"/>
                <w:highlight w:val="none"/>
                <w:lang w:val="en-US" w:eastAsia="zh-CN"/>
              </w:rPr>
              <w:t>3</w:t>
            </w:r>
            <w:r>
              <w:rPr>
                <w:rFonts w:hint="default" w:ascii="Times New Roman" w:hAnsi="Times New Roman" w:eastAsia="黑体" w:cs="Times New Roman"/>
                <w:color w:val="auto"/>
                <w:sz w:val="21"/>
                <w:szCs w:val="21"/>
                <w:highlight w:val="none"/>
                <w:lang w:val="en-US" w:eastAsia="zh-CN"/>
              </w:rPr>
              <w:t xml:space="preserve">   锂电池密封圈生产工艺流程及产污环节图</w:t>
            </w:r>
          </w:p>
          <w:p>
            <w:pPr>
              <w:keepNext w:val="0"/>
              <w:keepLines w:val="0"/>
              <w:pageBreakBefore w:val="0"/>
              <w:widowControl w:val="0"/>
              <w:numPr>
                <w:ilvl w:val="0"/>
                <w:numId w:val="0"/>
              </w:numPr>
              <w:tabs>
                <w:tab w:val="center" w:pos="4772"/>
              </w:tabs>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1 \* GB3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lang w:eastAsia="zh-CN"/>
              </w:rPr>
              <w:t>上料</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通过上料机将</w:t>
            </w:r>
            <w:r>
              <w:rPr>
                <w:rFonts w:hint="default" w:ascii="Times New Roman" w:hAnsi="Times New Roman" w:cs="Times New Roman"/>
                <w:color w:val="auto"/>
                <w:sz w:val="21"/>
                <w:szCs w:val="21"/>
                <w:highlight w:val="none"/>
                <w:lang w:val="en-US" w:eastAsia="zh-CN"/>
              </w:rPr>
              <w:t>PA66尼龙颗粒</w:t>
            </w:r>
            <w:r>
              <w:rPr>
                <w:rFonts w:hint="default" w:ascii="Times New Roman" w:hAnsi="Times New Roman" w:cs="Times New Roman"/>
                <w:color w:val="auto"/>
                <w:sz w:val="21"/>
                <w:szCs w:val="21"/>
                <w:highlight w:val="none"/>
                <w:lang w:eastAsia="zh-CN"/>
              </w:rPr>
              <w:t>加入注塑机配套上料筒内，上料机上料方式采用螺旋上料，项目原料均为直径</w:t>
            </w:r>
            <w:r>
              <w:rPr>
                <w:rFonts w:hint="default" w:ascii="Times New Roman" w:hAnsi="Times New Roman" w:cs="Times New Roman"/>
                <w:color w:val="auto"/>
                <w:sz w:val="21"/>
                <w:szCs w:val="21"/>
                <w:highlight w:val="none"/>
                <w:lang w:val="en-US" w:eastAsia="zh-CN"/>
              </w:rPr>
              <w:t>3mm~4mm</w:t>
            </w:r>
            <w:r>
              <w:rPr>
                <w:rFonts w:hint="default" w:ascii="Times New Roman" w:hAnsi="Times New Roman" w:cs="Times New Roman"/>
                <w:color w:val="auto"/>
                <w:sz w:val="21"/>
                <w:szCs w:val="21"/>
                <w:highlight w:val="none"/>
                <w:lang w:eastAsia="zh-CN"/>
              </w:rPr>
              <w:t>的</w:t>
            </w:r>
            <w:r>
              <w:rPr>
                <w:rFonts w:hint="default" w:ascii="Times New Roman" w:hAnsi="Times New Roman" w:cs="Times New Roman"/>
                <w:color w:val="auto"/>
                <w:sz w:val="21"/>
                <w:szCs w:val="21"/>
                <w:highlight w:val="none"/>
                <w:lang w:val="en-US" w:eastAsia="zh-CN"/>
              </w:rPr>
              <w:t>PA66尼龙塑料</w:t>
            </w:r>
            <w:r>
              <w:rPr>
                <w:rFonts w:hint="default" w:ascii="Times New Roman" w:hAnsi="Times New Roman" w:cs="Times New Roman"/>
                <w:color w:val="auto"/>
                <w:sz w:val="21"/>
                <w:szCs w:val="21"/>
                <w:highlight w:val="none"/>
                <w:lang w:eastAsia="zh-CN"/>
              </w:rPr>
              <w:t>颗粒状物料，所用</w:t>
            </w:r>
            <w:r>
              <w:rPr>
                <w:rFonts w:hint="default" w:ascii="Times New Roman" w:hAnsi="Times New Roman" w:cs="Times New Roman"/>
                <w:color w:val="auto"/>
                <w:sz w:val="21"/>
                <w:szCs w:val="21"/>
                <w:highlight w:val="none"/>
                <w:lang w:val="en-US" w:eastAsia="zh-CN"/>
              </w:rPr>
              <w:t>PA66尼龙颗粒均为改性塑料颗粒</w:t>
            </w:r>
            <w:r>
              <w:rPr>
                <w:rFonts w:hint="default" w:ascii="Times New Roman" w:hAnsi="Times New Roman" w:cs="Times New Roman"/>
                <w:color w:val="auto"/>
                <w:sz w:val="21"/>
                <w:szCs w:val="21"/>
                <w:highlight w:val="none"/>
                <w:lang w:eastAsia="zh-CN"/>
              </w:rPr>
              <w:t>，使用过程中无需额外添加其他辅助原料，因此本项目生产过程不使用粉状原料，在上料过程不会有粉尘产生</w:t>
            </w:r>
            <w:r>
              <w:rPr>
                <w:rFonts w:hint="default" w:ascii="Times New Roman" w:hAnsi="Times New Roman" w:cs="Times New Roman"/>
                <w:color w:val="auto"/>
                <w:sz w:val="21"/>
                <w:szCs w:val="21"/>
                <w:highlight w:val="none"/>
              </w:rPr>
              <w:t>。</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0" w:firstLineChars="200"/>
              <w:textAlignment w:val="auto"/>
              <w:rPr>
                <w:rFonts w:hint="default" w:ascii="Times New Roman" w:hAnsi="Times New Roman" w:eastAsia="宋体" w:cs="Times New Roman"/>
                <w:color w:val="auto"/>
                <w:sz w:val="21"/>
                <w:szCs w:val="21"/>
                <w:highlight w:val="cyan"/>
                <w:lang w:eastAsia="zh-CN"/>
              </w:rPr>
            </w:pPr>
            <w:r>
              <w:rPr>
                <w:rFonts w:hint="default" w:ascii="Times New Roman" w:hAnsi="Times New Roman" w:cs="Times New Roman"/>
                <w:color w:val="auto"/>
                <w:sz w:val="21"/>
                <w:szCs w:val="21"/>
                <w:highlight w:val="none"/>
                <w:lang w:eastAsia="zh-CN"/>
              </w:rPr>
              <w:t>该工艺污染环节：上料机工作产生的噪声</w:t>
            </w:r>
            <w:r>
              <w:rPr>
                <w:rFonts w:hint="default" w:ascii="Times New Roman" w:hAnsi="Times New Roman" w:cs="Times New Roman"/>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2 \* GB3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rPr>
              <w:t>②</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lang w:eastAsia="zh-CN"/>
              </w:rPr>
              <w:t>加热熔融、注塑成型</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加热熔融</w:t>
            </w:r>
            <w:r>
              <w:rPr>
                <w:rFonts w:hint="default" w:ascii="Times New Roman" w:hAnsi="Times New Roman" w:cs="Times New Roman"/>
                <w:b w:val="0"/>
                <w:bCs w:val="0"/>
                <w:color w:val="auto"/>
                <w:sz w:val="21"/>
                <w:szCs w:val="21"/>
                <w:highlight w:val="none"/>
                <w:u w:val="none"/>
              </w:rPr>
              <w:t>过程</w:t>
            </w:r>
            <w:r>
              <w:rPr>
                <w:rFonts w:hint="default" w:ascii="Times New Roman" w:hAnsi="Times New Roman" w:cs="Times New Roman"/>
                <w:b w:val="0"/>
                <w:bCs w:val="0"/>
                <w:color w:val="auto"/>
                <w:sz w:val="21"/>
                <w:szCs w:val="21"/>
                <w:highlight w:val="none"/>
                <w:u w:val="none"/>
                <w:lang w:eastAsia="zh-CN"/>
              </w:rPr>
              <w:t>（即</w:t>
            </w:r>
            <w:r>
              <w:rPr>
                <w:rFonts w:hint="default" w:ascii="Times New Roman" w:hAnsi="Times New Roman" w:cs="Times New Roman"/>
                <w:b w:val="0"/>
                <w:bCs w:val="0"/>
                <w:color w:val="auto"/>
                <w:sz w:val="21"/>
                <w:szCs w:val="21"/>
                <w:highlight w:val="none"/>
                <w:u w:val="none"/>
              </w:rPr>
              <w:t>塑化</w:t>
            </w:r>
            <w:r>
              <w:rPr>
                <w:rFonts w:hint="default" w:ascii="Times New Roman" w:hAnsi="Times New Roman" w:cs="Times New Roman"/>
                <w:b w:val="0"/>
                <w:bCs w:val="0"/>
                <w:color w:val="auto"/>
                <w:sz w:val="21"/>
                <w:szCs w:val="21"/>
                <w:highlight w:val="none"/>
                <w:u w:val="none"/>
                <w:lang w:eastAsia="zh-CN"/>
              </w:rPr>
              <w:t>）</w:t>
            </w:r>
            <w:r>
              <w:rPr>
                <w:rFonts w:hint="default" w:ascii="Times New Roman" w:hAnsi="Times New Roman" w:cs="Times New Roman"/>
                <w:b w:val="0"/>
                <w:bCs w:val="0"/>
                <w:color w:val="auto"/>
                <w:sz w:val="21"/>
                <w:szCs w:val="21"/>
                <w:highlight w:val="none"/>
                <w:u w:val="none"/>
              </w:rPr>
              <w:t>通过注塑机炮筒中的加热圈对炮筒内层料腔进行加热，使料腔内物料受热融化，同时料腔中物料在旋转螺杆的作用下不断被推挤向前并压实，物料在加热和螺杆剪切的双重作用下逐渐塑化、熔融和均化，塑化好的物料推开止逆环进入到炮筒端头部分进行注塑</w:t>
            </w:r>
            <w:r>
              <w:rPr>
                <w:rFonts w:hint="default" w:ascii="Times New Roman" w:hAnsi="Times New Roman" w:cs="Times New Roman"/>
                <w:b w:val="0"/>
                <w:bCs w:val="0"/>
                <w:color w:val="auto"/>
                <w:sz w:val="21"/>
                <w:szCs w:val="21"/>
                <w:highlight w:val="none"/>
                <w:u w:val="none"/>
                <w:lang w:eastAsia="zh-CN"/>
              </w:rPr>
              <w:t>，</w:t>
            </w:r>
            <w:r>
              <w:rPr>
                <w:rFonts w:hint="default" w:ascii="Times New Roman" w:hAnsi="Times New Roman" w:cs="Times New Roman"/>
                <w:b w:val="0"/>
                <w:bCs w:val="0"/>
                <w:color w:val="auto"/>
                <w:sz w:val="21"/>
                <w:szCs w:val="21"/>
                <w:highlight w:val="none"/>
                <w:u w:val="none"/>
              </w:rPr>
              <w:t>注塑时首先将模具进行闭合，之后炮筒内熔融塑化后的浆状物料在螺杆的挤压推动下通过喷嘴快速注入闭合模具中。工程塑化工段加热温度为200℃~240℃，在此加热温度范围内固态</w:t>
            </w:r>
            <w:r>
              <w:rPr>
                <w:rFonts w:hint="default" w:ascii="Times New Roman" w:hAnsi="Times New Roman" w:cs="Times New Roman"/>
                <w:b w:val="0"/>
                <w:bCs w:val="0"/>
                <w:color w:val="auto"/>
                <w:sz w:val="21"/>
                <w:szCs w:val="21"/>
                <w:highlight w:val="none"/>
                <w:u w:val="none"/>
                <w:lang w:val="en-US" w:eastAsia="zh-CN"/>
              </w:rPr>
              <w:t>PA66尼龙</w:t>
            </w:r>
            <w:r>
              <w:rPr>
                <w:rFonts w:hint="default" w:ascii="Times New Roman" w:hAnsi="Times New Roman" w:cs="Times New Roman"/>
                <w:b w:val="0"/>
                <w:bCs w:val="0"/>
                <w:color w:val="auto"/>
                <w:sz w:val="21"/>
                <w:szCs w:val="21"/>
                <w:highlight w:val="none"/>
                <w:u w:val="none"/>
              </w:rPr>
              <w:t>原料呈熔融状态，未达到其裂解温度（</w:t>
            </w:r>
            <w:r>
              <w:rPr>
                <w:rFonts w:hint="default" w:ascii="Times New Roman" w:hAnsi="Times New Roman" w:cs="Times New Roman"/>
                <w:b w:val="0"/>
                <w:bCs w:val="0"/>
                <w:color w:val="auto"/>
                <w:sz w:val="21"/>
                <w:szCs w:val="21"/>
                <w:highlight w:val="none"/>
                <w:u w:val="none"/>
                <w:lang w:val="en-US" w:eastAsia="zh-CN"/>
              </w:rPr>
              <w:t>PA66尼龙颗粒</w:t>
            </w:r>
            <w:r>
              <w:rPr>
                <w:rFonts w:hint="default" w:ascii="Times New Roman" w:hAnsi="Times New Roman" w:cs="Times New Roman"/>
                <w:b w:val="0"/>
                <w:bCs w:val="0"/>
                <w:color w:val="auto"/>
                <w:sz w:val="21"/>
                <w:szCs w:val="21"/>
                <w:highlight w:val="none"/>
                <w:u w:val="none"/>
              </w:rPr>
              <w:t>热分解温度为</w:t>
            </w:r>
            <w:r>
              <w:rPr>
                <w:rFonts w:hint="default" w:ascii="Times New Roman" w:hAnsi="Times New Roman" w:cs="Times New Roman"/>
                <w:b w:val="0"/>
                <w:bCs w:val="0"/>
                <w:color w:val="auto"/>
                <w:sz w:val="21"/>
                <w:szCs w:val="21"/>
                <w:highlight w:val="none"/>
                <w:u w:val="none"/>
                <w:shd w:val="clear" w:color="auto" w:fill="FFFFFF"/>
              </w:rPr>
              <w:t>350℃</w:t>
            </w:r>
            <w:r>
              <w:rPr>
                <w:rFonts w:hint="default" w:ascii="Times New Roman" w:hAnsi="Times New Roman" w:cs="Times New Roman"/>
                <w:b w:val="0"/>
                <w:bCs w:val="0"/>
                <w:color w:val="auto"/>
                <w:sz w:val="21"/>
                <w:szCs w:val="21"/>
                <w:highlight w:val="none"/>
                <w:u w:val="none"/>
              </w:rPr>
              <w:t>）</w:t>
            </w:r>
            <w:r>
              <w:rPr>
                <w:rFonts w:hint="default" w:ascii="Times New Roman" w:hAnsi="Times New Roman" w:cs="Times New Roman"/>
                <w:b w:val="0"/>
                <w:bCs w:val="0"/>
                <w:color w:val="auto"/>
                <w:sz w:val="21"/>
                <w:szCs w:val="21"/>
                <w:highlight w:val="none"/>
                <w:u w:val="none"/>
                <w:lang w:eastAsia="zh-CN"/>
              </w:rPr>
              <w:t>，工程拟二次密闭间</w:t>
            </w:r>
            <w:r>
              <w:rPr>
                <w:rFonts w:hint="default" w:ascii="Times New Roman" w:hAnsi="Times New Roman" w:cs="Times New Roman"/>
                <w:b w:val="0"/>
                <w:bCs w:val="0"/>
                <w:color w:val="auto"/>
                <w:sz w:val="21"/>
                <w:szCs w:val="21"/>
                <w:highlight w:val="none"/>
                <w:u w:val="none"/>
                <w:lang w:val="en-US" w:eastAsia="zh-CN"/>
              </w:rPr>
              <w:t>+负压集气装置</w:t>
            </w:r>
            <w:r>
              <w:rPr>
                <w:rFonts w:hint="default" w:ascii="Times New Roman" w:hAnsi="Times New Roman" w:cs="Times New Roman"/>
                <w:b w:val="0"/>
                <w:bCs w:val="0"/>
                <w:color w:val="auto"/>
                <w:sz w:val="21"/>
                <w:szCs w:val="21"/>
                <w:highlight w:val="none"/>
                <w:u w:val="none"/>
                <w:lang w:eastAsia="zh-CN"/>
              </w:rPr>
              <w:t>对该工序废气进行收集后，通过新建</w:t>
            </w:r>
            <w:r>
              <w:rPr>
                <w:rFonts w:hint="default" w:ascii="Times New Roman" w:hAnsi="Times New Roman" w:cs="Times New Roman"/>
                <w:b w:val="0"/>
                <w:bCs w:val="0"/>
                <w:color w:val="auto"/>
                <w:sz w:val="21"/>
                <w:szCs w:val="21"/>
                <w:highlight w:val="none"/>
                <w:u w:val="none"/>
                <w:lang w:val="en-US" w:eastAsia="zh-CN"/>
              </w:rPr>
              <w:t>1套“活性炭吸脱附+催化燃烧”废气净化装置处理后，经1根15m高排气筒（DA001）排放</w:t>
            </w:r>
            <w:r>
              <w:rPr>
                <w:rFonts w:hint="default" w:ascii="Times New Roman" w:hAnsi="Times New Roman" w:cs="Times New Roman"/>
                <w:b w:val="0"/>
                <w:bCs w:val="0"/>
                <w:color w:val="auto"/>
                <w:sz w:val="21"/>
                <w:szCs w:val="21"/>
                <w:highlight w:val="none"/>
                <w:u w:val="none"/>
              </w:rPr>
              <w:t>。</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0" w:firstLineChars="200"/>
              <w:textAlignment w:val="auto"/>
              <w:rPr>
                <w:rFonts w:hint="default" w:ascii="Times New Roman" w:hAnsi="Times New Roman" w:cs="Times New Roman" w:eastAsiaTheme="majorEastAsia"/>
                <w:bCs/>
                <w:color w:val="auto"/>
                <w:sz w:val="21"/>
                <w:szCs w:val="21"/>
                <w:highlight w:val="none"/>
                <w:lang w:val="en-US" w:eastAsia="zh-CN"/>
              </w:rPr>
            </w:pPr>
            <w:r>
              <w:rPr>
                <w:rFonts w:hint="default" w:ascii="Times New Roman" w:hAnsi="Times New Roman" w:cs="Times New Roman" w:eastAsiaTheme="majorEastAsia"/>
                <w:bCs/>
                <w:color w:val="auto"/>
                <w:sz w:val="21"/>
                <w:szCs w:val="21"/>
                <w:highlight w:val="none"/>
                <w:lang w:val="en-US" w:eastAsia="zh-CN"/>
              </w:rPr>
              <w:t>该工艺产污环节：注塑过程产生的有机废气，注塑机工作产生的噪声。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3 \* GB3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rPr>
              <w:t>③</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lang w:eastAsia="zh-CN"/>
              </w:rPr>
              <w:t>间接冷却</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熔融</w:t>
            </w:r>
            <w:r>
              <w:rPr>
                <w:rFonts w:hint="default" w:ascii="Times New Roman" w:hAnsi="Times New Roman" w:cs="Times New Roman"/>
                <w:b w:val="0"/>
                <w:bCs w:val="0"/>
                <w:color w:val="auto"/>
                <w:sz w:val="21"/>
                <w:szCs w:val="21"/>
                <w:u w:val="none"/>
                <w:lang w:eastAsia="zh-CN"/>
              </w:rPr>
              <w:t>物料注入</w:t>
            </w:r>
            <w:r>
              <w:rPr>
                <w:rFonts w:hint="default" w:ascii="Times New Roman" w:hAnsi="Times New Roman" w:cs="Times New Roman"/>
                <w:b w:val="0"/>
                <w:bCs w:val="0"/>
                <w:color w:val="auto"/>
                <w:sz w:val="21"/>
                <w:szCs w:val="21"/>
                <w:u w:val="none"/>
              </w:rPr>
              <w:t>模具</w:t>
            </w:r>
            <w:r>
              <w:rPr>
                <w:rFonts w:hint="default" w:ascii="Times New Roman" w:hAnsi="Times New Roman" w:cs="Times New Roman"/>
                <w:b w:val="0"/>
                <w:bCs w:val="0"/>
                <w:color w:val="auto"/>
                <w:sz w:val="21"/>
                <w:szCs w:val="21"/>
                <w:u w:val="none"/>
                <w:lang w:eastAsia="zh-CN"/>
              </w:rPr>
              <w:t>后，在</w:t>
            </w:r>
            <w:r>
              <w:rPr>
                <w:rFonts w:hint="default" w:ascii="Times New Roman" w:hAnsi="Times New Roman" w:cs="Times New Roman"/>
                <w:b w:val="0"/>
                <w:bCs w:val="0"/>
                <w:color w:val="auto"/>
                <w:sz w:val="21"/>
                <w:szCs w:val="21"/>
                <w:u w:val="none"/>
              </w:rPr>
              <w:t>模具夹套内接冷却水冷却作用下快速进定型，</w:t>
            </w:r>
            <w:r>
              <w:rPr>
                <w:rFonts w:hint="default" w:ascii="Times New Roman" w:hAnsi="Times New Roman" w:cs="Times New Roman"/>
                <w:b w:val="0"/>
                <w:bCs w:val="0"/>
                <w:color w:val="auto"/>
                <w:sz w:val="21"/>
                <w:szCs w:val="21"/>
                <w:u w:val="none"/>
                <w:lang w:val="en-US" w:eastAsia="zh-CN"/>
              </w:rPr>
              <w:t>产品</w:t>
            </w:r>
            <w:r>
              <w:rPr>
                <w:rFonts w:hint="default" w:ascii="Times New Roman" w:hAnsi="Times New Roman" w:cs="Times New Roman"/>
                <w:b w:val="0"/>
                <w:bCs w:val="0"/>
                <w:color w:val="auto"/>
                <w:sz w:val="21"/>
                <w:szCs w:val="21"/>
                <w:u w:val="none"/>
              </w:rPr>
              <w:t>经冷却定型后的模具自动打开，产品直接落入产品槽内</w:t>
            </w:r>
            <w:r>
              <w:rPr>
                <w:rFonts w:hint="default" w:ascii="Times New Roman" w:hAnsi="Times New Roman" w:cs="Times New Roman"/>
                <w:b w:val="0"/>
                <w:bCs w:val="0"/>
                <w:color w:val="auto"/>
                <w:sz w:val="21"/>
                <w:szCs w:val="21"/>
                <w:u w:val="none"/>
                <w:lang w:eastAsia="zh-CN"/>
              </w:rPr>
              <w:t>，冷却过程由于产品特性不易急速冷却，因此冷却所用冷却水为</w:t>
            </w:r>
            <w:r>
              <w:rPr>
                <w:rFonts w:hint="default" w:ascii="Times New Roman" w:hAnsi="Times New Roman" w:cs="Times New Roman"/>
                <w:b w:val="0"/>
                <w:bCs w:val="0"/>
                <w:color w:val="auto"/>
                <w:sz w:val="21"/>
                <w:szCs w:val="21"/>
                <w:u w:val="none"/>
                <w:lang w:val="en-US" w:eastAsia="zh-CN"/>
              </w:rPr>
              <w:t>40</w:t>
            </w:r>
            <w:r>
              <w:rPr>
                <w:rFonts w:hint="default" w:ascii="Times New Roman" w:hAnsi="Times New Roman" w:eastAsia="宋体" w:cs="Times New Roman"/>
                <w:b w:val="0"/>
                <w:bCs w:val="0"/>
                <w:color w:val="auto"/>
                <w:sz w:val="21"/>
                <w:szCs w:val="21"/>
                <w:u w:val="none"/>
                <w:lang w:val="en-US" w:eastAsia="zh-CN"/>
              </w:rPr>
              <w:t>℃</w:t>
            </w:r>
            <w:r>
              <w:rPr>
                <w:rFonts w:hint="default" w:ascii="Times New Roman" w:hAnsi="Times New Roman" w:cs="Times New Roman"/>
                <w:b w:val="0"/>
                <w:bCs w:val="0"/>
                <w:color w:val="auto"/>
                <w:sz w:val="21"/>
                <w:szCs w:val="21"/>
                <w:u w:val="none"/>
                <w:lang w:val="en-US" w:eastAsia="zh-CN"/>
              </w:rPr>
              <w:t>的恒温冷却水，冷却后废水均</w:t>
            </w:r>
            <w:r>
              <w:rPr>
                <w:rFonts w:hint="default" w:ascii="Times New Roman" w:hAnsi="Times New Roman" w:cs="Times New Roman"/>
                <w:b w:val="0"/>
                <w:bCs w:val="0"/>
                <w:color w:val="auto"/>
                <w:sz w:val="21"/>
                <w:szCs w:val="21"/>
                <w:u w:val="none"/>
                <w:lang w:eastAsia="zh-CN"/>
              </w:rPr>
              <w:t>经企业设置的恒温冷却水罐将温度冷却至约</w:t>
            </w:r>
            <w:r>
              <w:rPr>
                <w:rFonts w:hint="default" w:ascii="Times New Roman" w:hAnsi="Times New Roman" w:cs="Times New Roman"/>
                <w:b w:val="0"/>
                <w:bCs w:val="0"/>
                <w:color w:val="auto"/>
                <w:sz w:val="21"/>
                <w:szCs w:val="21"/>
                <w:u w:val="none"/>
                <w:lang w:val="en-US" w:eastAsia="zh-CN"/>
              </w:rPr>
              <w:t>40</w:t>
            </w:r>
            <w:r>
              <w:rPr>
                <w:rFonts w:hint="default" w:ascii="Times New Roman" w:hAnsi="Times New Roman" w:eastAsia="宋体" w:cs="Times New Roman"/>
                <w:b w:val="0"/>
                <w:bCs w:val="0"/>
                <w:color w:val="auto"/>
                <w:sz w:val="21"/>
                <w:szCs w:val="21"/>
                <w:u w:val="none"/>
                <w:lang w:val="en-US" w:eastAsia="zh-CN"/>
              </w:rPr>
              <w:t>℃</w:t>
            </w:r>
            <w:r>
              <w:rPr>
                <w:rFonts w:hint="default" w:ascii="Times New Roman" w:hAnsi="Times New Roman" w:cs="Times New Roman"/>
                <w:b w:val="0"/>
                <w:bCs w:val="0"/>
                <w:color w:val="auto"/>
                <w:sz w:val="21"/>
                <w:szCs w:val="21"/>
                <w:u w:val="none"/>
                <w:lang w:val="en-US" w:eastAsia="zh-CN"/>
              </w:rPr>
              <w:t>左右后</w:t>
            </w:r>
            <w:r>
              <w:rPr>
                <w:rFonts w:hint="default" w:ascii="Times New Roman" w:hAnsi="Times New Roman" w:cs="Times New Roman"/>
                <w:b w:val="0"/>
                <w:bCs w:val="0"/>
                <w:color w:val="auto"/>
                <w:sz w:val="21"/>
                <w:szCs w:val="21"/>
                <w:u w:val="none"/>
                <w:lang w:eastAsia="zh-CN"/>
              </w:rPr>
              <w:t>循环使用，仅定期补充新鲜水即可，恒温冷却水罐采用电加热方式进行保温。改工序废气通过企业拟设置的</w:t>
            </w:r>
            <w:r>
              <w:rPr>
                <w:rFonts w:hint="default" w:ascii="Times New Roman" w:hAnsi="Times New Roman" w:cs="Times New Roman"/>
                <w:b w:val="0"/>
                <w:bCs w:val="0"/>
                <w:color w:val="auto"/>
                <w:sz w:val="21"/>
                <w:szCs w:val="21"/>
                <w:highlight w:val="none"/>
                <w:u w:val="none"/>
                <w:lang w:eastAsia="zh-CN"/>
              </w:rPr>
              <w:t>二次密闭间</w:t>
            </w:r>
            <w:r>
              <w:rPr>
                <w:rFonts w:hint="default" w:ascii="Times New Roman" w:hAnsi="Times New Roman" w:cs="Times New Roman"/>
                <w:b w:val="0"/>
                <w:bCs w:val="0"/>
                <w:color w:val="auto"/>
                <w:sz w:val="21"/>
                <w:szCs w:val="21"/>
                <w:highlight w:val="none"/>
                <w:u w:val="none"/>
                <w:lang w:val="en-US" w:eastAsia="zh-CN"/>
              </w:rPr>
              <w:t>+负压集气装置</w:t>
            </w:r>
            <w:r>
              <w:rPr>
                <w:rFonts w:hint="default" w:ascii="Times New Roman" w:hAnsi="Times New Roman" w:cs="Times New Roman"/>
                <w:b w:val="0"/>
                <w:bCs w:val="0"/>
                <w:color w:val="auto"/>
                <w:sz w:val="21"/>
                <w:szCs w:val="21"/>
                <w:highlight w:val="none"/>
                <w:u w:val="none"/>
                <w:lang w:eastAsia="zh-CN"/>
              </w:rPr>
              <w:t>进行收集后，通过新建</w:t>
            </w:r>
            <w:r>
              <w:rPr>
                <w:rFonts w:hint="default" w:ascii="Times New Roman" w:hAnsi="Times New Roman" w:cs="Times New Roman"/>
                <w:b w:val="0"/>
                <w:bCs w:val="0"/>
                <w:color w:val="auto"/>
                <w:sz w:val="21"/>
                <w:szCs w:val="21"/>
                <w:highlight w:val="none"/>
                <w:u w:val="none"/>
                <w:lang w:val="en-US" w:eastAsia="zh-CN"/>
              </w:rPr>
              <w:t>1套“活性炭吸脱附+催化燃烧”废气净化装置处理后，经1根15m高排气筒（DA001）排放</w:t>
            </w:r>
            <w:r>
              <w:rPr>
                <w:rFonts w:hint="default" w:ascii="Times New Roman" w:hAnsi="Times New Roman" w:cs="Times New Roman"/>
                <w:b w:val="0"/>
                <w:bCs w:val="0"/>
                <w:color w:val="auto"/>
                <w:sz w:val="21"/>
                <w:szCs w:val="21"/>
                <w:highlight w:val="none"/>
                <w:u w:val="none"/>
              </w:rPr>
              <w:t>。</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0" w:firstLineChars="200"/>
              <w:textAlignment w:val="auto"/>
              <w:rPr>
                <w:rFonts w:hint="default" w:ascii="Times New Roman" w:hAnsi="Times New Roman" w:cs="Times New Roman" w:eastAsiaTheme="majorEastAsia"/>
                <w:bCs/>
                <w:color w:val="auto"/>
                <w:sz w:val="21"/>
                <w:szCs w:val="21"/>
                <w:highlight w:val="none"/>
                <w:lang w:val="en-US" w:eastAsia="zh-CN"/>
              </w:rPr>
            </w:pPr>
            <w:r>
              <w:rPr>
                <w:rFonts w:hint="default" w:ascii="Times New Roman" w:hAnsi="Times New Roman" w:cs="Times New Roman" w:eastAsiaTheme="majorEastAsia"/>
                <w:bCs/>
                <w:color w:val="auto"/>
                <w:sz w:val="21"/>
                <w:szCs w:val="21"/>
                <w:highlight w:val="none"/>
                <w:lang w:val="en-US" w:eastAsia="zh-CN"/>
              </w:rPr>
              <w:t>该工艺产污环节：冷却脱模过程产生的有机废气，冷却过程产生的冷却废水。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4 \* GB3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rPr>
              <w:t>④</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lang w:eastAsia="zh-CN"/>
              </w:rPr>
              <w:t>检验、破碎：冷却后产品需通过人工进行检验，合格品人工包装后放置于成品区待售，不合格品则通过破碎机进行破碎后作为原料重新使用。工程破碎过程所用破碎机为双辊式破碎机，该种破碎机是利用两组单独传动的辊轴，相对旋转产生的挤轧力和磨剪力来破碎物料的机械设备。当物料进入机器的破碎腔以后，物料受到转动辊轴的啮力作用，使物料被逼通过两辊之间，同时受到辊轴的挤轧和剪磨，物料即开始碎裂，碎裂后的物料沿着辊子旋转的切线，通过两辊轴的间隙，向机器下方抛出，超过间隙的大粒径物料则继续进行破碎，破碎后物料均为</w:t>
            </w:r>
            <w:r>
              <w:rPr>
                <w:rFonts w:hint="default" w:ascii="Times New Roman" w:hAnsi="Times New Roman" w:cs="Times New Roman"/>
                <w:color w:val="auto"/>
                <w:sz w:val="21"/>
                <w:szCs w:val="21"/>
                <w:highlight w:val="none"/>
                <w:lang w:val="en-US" w:eastAsia="zh-CN"/>
              </w:rPr>
              <w:t>5mm左右的片状物料</w:t>
            </w:r>
            <w:r>
              <w:rPr>
                <w:rFonts w:hint="default" w:ascii="Times New Roman" w:hAnsi="Times New Roman" w:cs="Times New Roman"/>
                <w:color w:val="auto"/>
                <w:sz w:val="21"/>
                <w:szCs w:val="21"/>
                <w:highlight w:val="none"/>
                <w:lang w:eastAsia="zh-CN"/>
              </w:rPr>
              <w:t>，该种破碎机破碎过程辊轴转速较为缓慢，且破碎后物料为大颗粒物料，因此在破碎过程中不会有粉尘产生。</w:t>
            </w:r>
          </w:p>
          <w:p>
            <w:pPr>
              <w:pStyle w:val="8"/>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line="360" w:lineRule="auto"/>
              <w:ind w:leftChars="0" w:right="0" w:rightChars="0"/>
              <w:textAlignment w:val="auto"/>
              <w:rPr>
                <w:rFonts w:hint="default" w:ascii="Times New Roman" w:hAnsi="Times New Roman" w:cs="Times New Roman" w:eastAsiaTheme="majorEastAsia"/>
                <w:bCs/>
                <w:color w:val="auto"/>
                <w:sz w:val="21"/>
                <w:szCs w:val="21"/>
                <w:highlight w:val="none"/>
                <w:lang w:val="en-US" w:eastAsia="zh-CN"/>
              </w:rPr>
            </w:pPr>
            <w:r>
              <w:rPr>
                <w:rFonts w:hint="default" w:ascii="Times New Roman" w:hAnsi="Times New Roman" w:cs="Times New Roman" w:eastAsiaTheme="majorEastAsia"/>
                <w:bCs/>
                <w:color w:val="auto"/>
                <w:sz w:val="21"/>
                <w:szCs w:val="21"/>
                <w:highlight w:val="none"/>
                <w:lang w:val="en-US" w:eastAsia="zh-CN"/>
              </w:rPr>
              <w:t>该工艺产污环节：破碎机工作产生的噪声。</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Chars="0"/>
              <w:textAlignment w:val="auto"/>
              <w:rPr>
                <w:rFonts w:hint="eastAsia" w:cs="宋体"/>
                <w:b/>
                <w:kern w:val="0"/>
                <w:szCs w:val="21"/>
                <w:highlight w:val="none"/>
              </w:rPr>
            </w:pPr>
            <w:r>
              <w:rPr>
                <w:rFonts w:cs="宋体"/>
                <w:b/>
                <w:kern w:val="0"/>
                <w:szCs w:val="21"/>
                <w:highlight w:val="none"/>
              </w:rPr>
              <w:t>水平衡</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eastAsiaTheme="majorEastAsia"/>
                <w:bCs/>
                <w:color w:val="auto"/>
                <w:sz w:val="21"/>
                <w:szCs w:val="21"/>
                <w:highlight w:val="none"/>
                <w:lang w:eastAsia="zh-CN"/>
              </w:rPr>
            </w:pPr>
            <w:r>
              <w:rPr>
                <w:rFonts w:hint="default" w:ascii="Times New Roman" w:hAnsi="Times New Roman" w:cs="Times New Roman" w:eastAsiaTheme="majorEastAsia"/>
                <w:bCs/>
                <w:color w:val="auto"/>
                <w:sz w:val="21"/>
                <w:szCs w:val="21"/>
                <w:highlight w:val="none"/>
                <w:lang w:eastAsia="zh-CN"/>
              </w:rPr>
              <w:t>（</w:t>
            </w:r>
            <w:r>
              <w:rPr>
                <w:rFonts w:hint="default" w:ascii="Times New Roman" w:hAnsi="Times New Roman" w:cs="Times New Roman" w:eastAsiaTheme="majorEastAsia"/>
                <w:bCs/>
                <w:color w:val="auto"/>
                <w:sz w:val="21"/>
                <w:szCs w:val="21"/>
                <w:highlight w:val="none"/>
                <w:lang w:val="en-US" w:eastAsia="zh-CN"/>
              </w:rPr>
              <w:t>1</w:t>
            </w:r>
            <w:r>
              <w:rPr>
                <w:rFonts w:hint="default" w:ascii="Times New Roman" w:hAnsi="Times New Roman" w:cs="Times New Roman" w:eastAsiaTheme="majorEastAsia"/>
                <w:bCs/>
                <w:color w:val="auto"/>
                <w:sz w:val="21"/>
                <w:szCs w:val="21"/>
                <w:highlight w:val="none"/>
                <w:lang w:eastAsia="zh-CN"/>
              </w:rPr>
              <w:t>）本次扩建工程</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eastAsiaTheme="majorEastAsia"/>
                <w:bCs/>
                <w:color w:val="auto"/>
                <w:sz w:val="21"/>
                <w:szCs w:val="21"/>
                <w:highlight w:val="none"/>
                <w:lang w:eastAsia="zh-CN"/>
              </w:rPr>
            </w:pPr>
            <w:r>
              <w:rPr>
                <w:rFonts w:hint="default" w:ascii="Times New Roman" w:hAnsi="Times New Roman" w:cs="Times New Roman" w:eastAsiaTheme="majorEastAsia"/>
                <w:bCs/>
                <w:color w:val="auto"/>
                <w:sz w:val="21"/>
                <w:szCs w:val="21"/>
                <w:highlight w:val="none"/>
                <w:lang w:eastAsia="zh-CN"/>
              </w:rPr>
              <w:t>本次扩建工程新增用水主要为生活用水和产品冷却用水，总新鲜用水量为</w:t>
            </w:r>
            <w:r>
              <w:rPr>
                <w:rFonts w:hint="default" w:ascii="Times New Roman" w:hAnsi="Times New Roman" w:cs="Times New Roman" w:eastAsiaTheme="majorEastAsia"/>
                <w:bCs/>
                <w:color w:val="auto"/>
                <w:sz w:val="21"/>
                <w:szCs w:val="21"/>
                <w:highlight w:val="none"/>
                <w:lang w:val="en-US" w:eastAsia="zh-CN"/>
              </w:rPr>
              <w:t>0.35m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val="en-US" w:eastAsia="zh-CN"/>
              </w:rPr>
              <w:t>/d（105m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val="en-US" w:eastAsia="zh-CN"/>
              </w:rPr>
              <w:t>/a）</w:t>
            </w:r>
            <w:r>
              <w:rPr>
                <w:rFonts w:hint="default" w:ascii="Times New Roman" w:hAnsi="Times New Roman" w:cs="Times New Roman" w:eastAsiaTheme="majorEastAsia"/>
                <w:bCs/>
                <w:color w:val="auto"/>
                <w:sz w:val="21"/>
                <w:szCs w:val="21"/>
                <w:highlight w:val="none"/>
                <w:lang w:eastAsia="zh-CN"/>
              </w:rPr>
              <w:t>，均由厂区自备水井提供，用水情况介绍及具体水平衡图如下：</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eastAsiaTheme="majorEastAsia"/>
                <w:bCs/>
                <w:color w:val="auto"/>
                <w:sz w:val="21"/>
                <w:szCs w:val="21"/>
                <w:highlight w:val="none"/>
                <w:lang w:eastAsia="zh-CN"/>
              </w:rPr>
            </w:pPr>
            <w:r>
              <w:rPr>
                <w:rFonts w:hint="default" w:ascii="Times New Roman" w:hAnsi="Times New Roman" w:cs="Times New Roman" w:eastAsiaTheme="majorEastAsia"/>
                <w:bCs/>
                <w:color w:val="auto"/>
                <w:sz w:val="21"/>
                <w:szCs w:val="21"/>
                <w:highlight w:val="none"/>
                <w:lang w:eastAsia="zh-CN"/>
              </w:rPr>
              <w:fldChar w:fldCharType="begin"/>
            </w:r>
            <w:r>
              <w:rPr>
                <w:rFonts w:hint="default" w:ascii="Times New Roman" w:hAnsi="Times New Roman" w:cs="Times New Roman" w:eastAsiaTheme="majorEastAsia"/>
                <w:bCs/>
                <w:color w:val="auto"/>
                <w:sz w:val="21"/>
                <w:szCs w:val="21"/>
                <w:highlight w:val="none"/>
                <w:lang w:eastAsia="zh-CN"/>
              </w:rPr>
              <w:instrText xml:space="preserve"> = 1 \* GB3 \* MERGEFORMAT </w:instrText>
            </w:r>
            <w:r>
              <w:rPr>
                <w:rFonts w:hint="default" w:ascii="Times New Roman" w:hAnsi="Times New Roman" w:cs="Times New Roman" w:eastAsiaTheme="majorEastAsia"/>
                <w:bCs/>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eastAsiaTheme="majorEastAsia"/>
                <w:bCs/>
                <w:color w:val="auto"/>
                <w:sz w:val="21"/>
                <w:szCs w:val="21"/>
                <w:highlight w:val="none"/>
                <w:lang w:eastAsia="zh-CN"/>
              </w:rPr>
              <w:fldChar w:fldCharType="end"/>
            </w:r>
            <w:r>
              <w:rPr>
                <w:rFonts w:hint="default" w:ascii="Times New Roman" w:hAnsi="Times New Roman" w:cs="Times New Roman" w:eastAsiaTheme="majorEastAsia"/>
                <w:bCs/>
                <w:color w:val="auto"/>
                <w:sz w:val="21"/>
                <w:szCs w:val="21"/>
                <w:highlight w:val="none"/>
                <w:lang w:eastAsia="zh-CN"/>
              </w:rPr>
              <w:t>生活用水：本次扩建工程新增员工</w:t>
            </w:r>
            <w:r>
              <w:rPr>
                <w:rFonts w:hint="default" w:ascii="Times New Roman" w:hAnsi="Times New Roman" w:cs="Times New Roman" w:eastAsiaTheme="majorEastAsia"/>
                <w:bCs/>
                <w:color w:val="auto"/>
                <w:sz w:val="21"/>
                <w:szCs w:val="21"/>
                <w:highlight w:val="none"/>
                <w:lang w:val="en-US" w:eastAsia="zh-CN"/>
              </w:rPr>
              <w:t>5人</w:t>
            </w:r>
            <w:r>
              <w:rPr>
                <w:rFonts w:hint="default" w:ascii="Times New Roman" w:hAnsi="Times New Roman" w:cs="Times New Roman" w:eastAsiaTheme="majorEastAsia"/>
                <w:bCs/>
                <w:color w:val="auto"/>
                <w:sz w:val="21"/>
                <w:szCs w:val="21"/>
                <w:highlight w:val="none"/>
                <w:lang w:eastAsia="zh-CN"/>
              </w:rPr>
              <w:t>，均不在厂区内食宿，</w:t>
            </w:r>
            <w:r>
              <w:rPr>
                <w:rFonts w:hint="default" w:ascii="Times New Roman" w:hAnsi="Times New Roman" w:cs="Times New Roman"/>
                <w:bCs/>
                <w:color w:val="auto"/>
                <w:sz w:val="21"/>
                <w:szCs w:val="21"/>
                <w:highlight w:val="none"/>
                <w:lang w:val="en-US" w:eastAsia="zh-CN"/>
              </w:rPr>
              <w:t>用水定额按30</w:t>
            </w:r>
            <w:r>
              <w:rPr>
                <w:rFonts w:hint="default" w:ascii="Times New Roman" w:hAnsi="Times New Roman" w:cs="Times New Roman"/>
                <w:bCs/>
                <w:color w:val="auto"/>
                <w:sz w:val="21"/>
                <w:szCs w:val="21"/>
                <w:highlight w:val="none"/>
              </w:rPr>
              <w:t>L</w:t>
            </w:r>
            <w:r>
              <w:rPr>
                <w:rFonts w:hint="default" w:ascii="Times New Roman" w:hAnsi="Times New Roman" w:cs="Times New Roman"/>
                <w:bCs/>
                <w:color w:val="auto"/>
                <w:sz w:val="21"/>
                <w:szCs w:val="21"/>
                <w:highlight w:val="none"/>
                <w:lang w:val="en-US" w:eastAsia="zh-CN"/>
              </w:rPr>
              <w:t>/（人d）</w:t>
            </w:r>
            <w:r>
              <w:rPr>
                <w:rFonts w:hint="default" w:ascii="Times New Roman" w:hAnsi="Times New Roman" w:cs="Times New Roman"/>
                <w:bCs/>
                <w:color w:val="auto"/>
                <w:sz w:val="21"/>
                <w:szCs w:val="21"/>
                <w:highlight w:val="none"/>
              </w:rPr>
              <w:t>计</w:t>
            </w:r>
            <w:r>
              <w:rPr>
                <w:rFonts w:hint="default" w:ascii="Times New Roman" w:hAnsi="Times New Roman" w:cs="Times New Roman" w:eastAsiaTheme="majorEastAsia"/>
                <w:bCs/>
                <w:color w:val="auto"/>
                <w:sz w:val="21"/>
                <w:szCs w:val="21"/>
                <w:highlight w:val="none"/>
                <w:lang w:eastAsia="zh-CN"/>
              </w:rPr>
              <w:t>，年工作时间按300d计算，</w:t>
            </w:r>
            <w:r>
              <w:rPr>
                <w:rFonts w:hint="default" w:ascii="Times New Roman" w:hAnsi="Times New Roman" w:cs="Times New Roman"/>
                <w:bCs/>
                <w:color w:val="auto"/>
                <w:sz w:val="21"/>
                <w:szCs w:val="21"/>
                <w:highlight w:val="none"/>
              </w:rPr>
              <w:t>则用水量为</w:t>
            </w:r>
            <w:r>
              <w:rPr>
                <w:rFonts w:hint="default" w:ascii="Times New Roman" w:hAnsi="Times New Roman" w:cs="Times New Roman"/>
                <w:bCs/>
                <w:color w:val="auto"/>
                <w:sz w:val="21"/>
                <w:szCs w:val="21"/>
                <w:highlight w:val="none"/>
                <w:lang w:val="en-US" w:eastAsia="zh-CN"/>
              </w:rPr>
              <w:t>0.15</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/d（</w:t>
            </w:r>
            <w:r>
              <w:rPr>
                <w:rFonts w:hint="default" w:ascii="Times New Roman" w:hAnsi="Times New Roman" w:cs="Times New Roman"/>
                <w:bCs/>
                <w:color w:val="auto"/>
                <w:sz w:val="21"/>
                <w:szCs w:val="21"/>
                <w:highlight w:val="none"/>
                <w:lang w:val="en-US" w:eastAsia="zh-CN"/>
              </w:rPr>
              <w:t>45</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/a），污水产生系数取0.8，则生活污水产生量为</w:t>
            </w:r>
            <w:r>
              <w:rPr>
                <w:rFonts w:hint="default" w:ascii="Times New Roman" w:hAnsi="Times New Roman" w:cs="Times New Roman"/>
                <w:bCs/>
                <w:color w:val="auto"/>
                <w:sz w:val="21"/>
                <w:szCs w:val="21"/>
                <w:highlight w:val="none"/>
                <w:lang w:val="en-US" w:eastAsia="zh-CN"/>
              </w:rPr>
              <w:t>0.12</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/d（</w:t>
            </w:r>
            <w:r>
              <w:rPr>
                <w:rFonts w:hint="default" w:ascii="Times New Roman" w:hAnsi="Times New Roman" w:cs="Times New Roman"/>
                <w:bCs/>
                <w:color w:val="auto"/>
                <w:sz w:val="21"/>
                <w:szCs w:val="21"/>
                <w:highlight w:val="none"/>
                <w:lang w:val="en-US" w:eastAsia="zh-CN"/>
              </w:rPr>
              <w:t>36</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/a）</w:t>
            </w:r>
            <w:r>
              <w:rPr>
                <w:rFonts w:hint="default" w:ascii="Times New Roman" w:hAnsi="Times New Roman" w:cs="Times New Roman" w:eastAsiaTheme="majorEastAsia"/>
                <w:bCs/>
                <w:color w:val="auto"/>
                <w:sz w:val="21"/>
                <w:szCs w:val="21"/>
                <w:highlight w:val="none"/>
                <w:lang w:eastAsia="zh-CN"/>
              </w:rPr>
              <w:t>，生活污水均经厂区化粪池处理后，定期清运。</w:t>
            </w:r>
          </w:p>
          <w:p>
            <w:pPr>
              <w:pStyle w:val="45"/>
              <w:keepNext w:val="0"/>
              <w:keepLines w:val="0"/>
              <w:pageBreakBefore w:val="0"/>
              <w:widowControl w:val="0"/>
              <w:numPr>
                <w:ilvl w:val="0"/>
                <w:numId w:val="0"/>
              </w:numPr>
              <w:tabs>
                <w:tab w:val="left" w:pos="0"/>
              </w:tabs>
              <w:kinsoku/>
              <w:wordWrap/>
              <w:overflowPunct/>
              <w:topLinePunct w:val="0"/>
              <w:autoSpaceDE w:val="0"/>
              <w:autoSpaceDN/>
              <w:bidi w:val="0"/>
              <w:adjustRightInd/>
              <w:snapToGrid/>
              <w:spacing w:line="360" w:lineRule="auto"/>
              <w:ind w:leftChars="0"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eastAsiaTheme="majorEastAsia"/>
                <w:bCs/>
                <w:color w:val="auto"/>
                <w:sz w:val="21"/>
                <w:szCs w:val="21"/>
                <w:highlight w:val="none"/>
                <w:lang w:eastAsia="zh-CN"/>
              </w:rPr>
              <w:fldChar w:fldCharType="begin"/>
            </w:r>
            <w:r>
              <w:rPr>
                <w:rFonts w:hint="default" w:ascii="Times New Roman" w:hAnsi="Times New Roman" w:cs="Times New Roman" w:eastAsiaTheme="majorEastAsia"/>
                <w:bCs/>
                <w:color w:val="auto"/>
                <w:sz w:val="21"/>
                <w:szCs w:val="21"/>
                <w:highlight w:val="none"/>
                <w:lang w:eastAsia="zh-CN"/>
              </w:rPr>
              <w:instrText xml:space="preserve"> = 2 \* GB3 \* MERGEFORMAT </w:instrText>
            </w:r>
            <w:r>
              <w:rPr>
                <w:rFonts w:hint="default" w:ascii="Times New Roman" w:hAnsi="Times New Roman" w:cs="Times New Roman" w:eastAsiaTheme="majorEastAsia"/>
                <w:bCs/>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eastAsiaTheme="majorEastAsia"/>
                <w:bCs/>
                <w:color w:val="auto"/>
                <w:sz w:val="21"/>
                <w:szCs w:val="21"/>
                <w:highlight w:val="none"/>
                <w:lang w:eastAsia="zh-CN"/>
              </w:rPr>
              <w:fldChar w:fldCharType="end"/>
            </w:r>
            <w:r>
              <w:rPr>
                <w:rFonts w:hint="default" w:ascii="Times New Roman" w:hAnsi="Times New Roman" w:cs="Times New Roman" w:eastAsiaTheme="majorEastAsia"/>
                <w:bCs/>
                <w:color w:val="auto"/>
                <w:sz w:val="21"/>
                <w:szCs w:val="21"/>
                <w:highlight w:val="none"/>
                <w:lang w:eastAsia="zh-CN"/>
              </w:rPr>
              <w:t>产品冷却用水：本次扩建工程注塑产品在模具内需通过恒温（约</w:t>
            </w:r>
            <w:r>
              <w:rPr>
                <w:rFonts w:hint="default" w:ascii="Times New Roman" w:hAnsi="Times New Roman" w:cs="Times New Roman" w:eastAsiaTheme="majorEastAsia"/>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cs="Times New Roman" w:eastAsiaTheme="majorEastAsia"/>
                <w:bCs/>
                <w:color w:val="auto"/>
                <w:sz w:val="21"/>
                <w:szCs w:val="21"/>
                <w:highlight w:val="none"/>
                <w:lang w:eastAsia="zh-CN"/>
              </w:rPr>
              <w:t>）间接冷却水进行冷却，本次工程拟淘汰现有</w:t>
            </w:r>
            <w:r>
              <w:rPr>
                <w:rFonts w:hint="default" w:ascii="Times New Roman" w:hAnsi="Times New Roman" w:cs="Times New Roman" w:eastAsiaTheme="majorEastAsia"/>
                <w:bCs/>
                <w:color w:val="auto"/>
                <w:sz w:val="21"/>
                <w:szCs w:val="21"/>
                <w:highlight w:val="none"/>
                <w:lang w:val="en-US" w:eastAsia="zh-CN"/>
              </w:rPr>
              <w:t>5m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eastAsia="zh-CN"/>
              </w:rPr>
              <w:t>冷却水罐，更换为</w:t>
            </w:r>
            <w:r>
              <w:rPr>
                <w:rFonts w:hint="default" w:ascii="Times New Roman" w:hAnsi="Times New Roman" w:cs="Times New Roman" w:eastAsiaTheme="majorEastAsia"/>
                <w:bCs/>
                <w:color w:val="auto"/>
                <w:sz w:val="21"/>
                <w:szCs w:val="21"/>
                <w:highlight w:val="none"/>
                <w:lang w:val="en-US" w:eastAsia="zh-CN"/>
              </w:rPr>
              <w:t>1个15m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val="en-US" w:eastAsia="zh-CN"/>
              </w:rPr>
              <w:t>恒温冷却水罐，冷却废水均经冷却水罐冷却后循环使用，由于冷却过程冷却水不与项目注塑产品直接接触，且对冷却水水质要求不高，因此所用的循环冷却水均不外排，定期根据损耗补充新鲜水即可，</w:t>
            </w:r>
            <w:r>
              <w:rPr>
                <w:rFonts w:hint="default" w:ascii="Times New Roman" w:hAnsi="Times New Roman" w:cs="Times New Roman" w:eastAsiaTheme="majorEastAsia"/>
                <w:bCs/>
                <w:color w:val="auto"/>
                <w:sz w:val="21"/>
                <w:szCs w:val="21"/>
                <w:highlight w:val="none"/>
                <w:lang w:eastAsia="zh-CN"/>
              </w:rPr>
              <w:t>根据企业提供资料，</w:t>
            </w:r>
            <w:r>
              <w:rPr>
                <w:rFonts w:hint="default" w:ascii="Times New Roman" w:hAnsi="Times New Roman" w:cs="Times New Roman" w:eastAsiaTheme="minorEastAsia"/>
                <w:color w:val="auto"/>
                <w:sz w:val="21"/>
                <w:szCs w:val="21"/>
                <w:highlight w:val="none"/>
                <w:lang w:eastAsia="zh-CN"/>
              </w:rPr>
              <w:t>冷却水罐每月根据损耗补充一次新鲜水，补充量约为冷却水罐总水量的</w:t>
            </w:r>
            <w:r>
              <w:rPr>
                <w:rFonts w:hint="default" w:ascii="Times New Roman" w:hAnsi="Times New Roman" w:cs="Times New Roman" w:eastAsiaTheme="minorEastAsia"/>
                <w:color w:val="auto"/>
                <w:sz w:val="21"/>
                <w:szCs w:val="21"/>
                <w:highlight w:val="none"/>
                <w:lang w:val="en-US" w:eastAsia="zh-CN"/>
              </w:rPr>
              <w:t>50%</w:t>
            </w:r>
            <w:r>
              <w:rPr>
                <w:rFonts w:hint="default" w:ascii="Times New Roman" w:hAnsi="Times New Roman" w:cs="Times New Roman" w:eastAsiaTheme="minorEastAsia"/>
                <w:color w:val="auto"/>
                <w:sz w:val="21"/>
                <w:szCs w:val="21"/>
                <w:highlight w:val="none"/>
                <w:lang w:eastAsia="zh-CN"/>
              </w:rPr>
              <w:t>，经计算项目新鲜水</w:t>
            </w:r>
            <w:r>
              <w:rPr>
                <w:rFonts w:hint="default" w:ascii="Times New Roman" w:hAnsi="Times New Roman" w:cs="Times New Roman" w:eastAsiaTheme="minorEastAsia"/>
                <w:bCs/>
                <w:color w:val="auto"/>
                <w:sz w:val="21"/>
                <w:szCs w:val="21"/>
                <w:highlight w:val="none"/>
              </w:rPr>
              <w:t>补充量为</w:t>
            </w:r>
            <w:r>
              <w:rPr>
                <w:rFonts w:hint="default" w:ascii="Times New Roman" w:hAnsi="Times New Roman" w:cs="Times New Roman" w:eastAsiaTheme="minorEastAsia"/>
                <w:bCs/>
                <w:color w:val="auto"/>
                <w:sz w:val="21"/>
                <w:szCs w:val="21"/>
                <w:highlight w:val="none"/>
                <w:lang w:val="en-US" w:eastAsia="zh-CN"/>
              </w:rPr>
              <w:t>90</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/a</w:t>
            </w:r>
            <w:r>
              <w:rPr>
                <w:rFonts w:hint="default" w:ascii="Times New Roman" w:hAnsi="Times New Roman" w:cs="Times New Roman" w:eastAsiaTheme="minorEastAsia"/>
                <w:color w:val="auto"/>
                <w:sz w:val="21"/>
                <w:szCs w:val="21"/>
                <w:highlight w:val="none"/>
                <w:lang w:eastAsia="zh-CN"/>
              </w:rPr>
              <w:t>（折合约为</w:t>
            </w:r>
            <w:r>
              <w:rPr>
                <w:rFonts w:hint="default" w:ascii="Times New Roman" w:hAnsi="Times New Roman" w:cs="Times New Roman" w:eastAsiaTheme="minorEastAsia"/>
                <w:color w:val="auto"/>
                <w:sz w:val="21"/>
                <w:szCs w:val="21"/>
                <w:highlight w:val="none"/>
                <w:lang w:val="en-US" w:eastAsia="zh-CN"/>
              </w:rPr>
              <w:t>0.3</w:t>
            </w:r>
            <w:r>
              <w:rPr>
                <w:rFonts w:hint="default" w:ascii="Times New Roman" w:hAnsi="Times New Roman" w:cs="Times New Roman" w:eastAsiaTheme="majorEastAsia"/>
                <w:bCs/>
                <w:color w:val="auto"/>
                <w:sz w:val="21"/>
                <w:szCs w:val="21"/>
                <w:highlight w:val="none"/>
                <w:lang w:val="en-US" w:eastAsia="zh-CN"/>
              </w:rPr>
              <w:t>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val="en-US" w:eastAsia="zh-CN"/>
              </w:rPr>
              <w:t>/d</w:t>
            </w:r>
            <w:r>
              <w:rPr>
                <w:rFonts w:hint="default" w:ascii="Times New Roman" w:hAnsi="Times New Roman" w:cs="Times New Roman" w:eastAsiaTheme="minorEastAsia"/>
                <w:color w:val="auto"/>
                <w:sz w:val="21"/>
                <w:szCs w:val="21"/>
                <w:highlight w:val="none"/>
                <w:lang w:eastAsia="zh-CN"/>
              </w:rPr>
              <w:t>），经折算本次扩建工程用水量为</w:t>
            </w:r>
            <w:r>
              <w:rPr>
                <w:rFonts w:hint="default" w:ascii="Times New Roman" w:hAnsi="Times New Roman" w:cs="Times New Roman" w:eastAsiaTheme="minorEastAsia"/>
                <w:bCs/>
                <w:color w:val="auto"/>
                <w:sz w:val="21"/>
                <w:szCs w:val="21"/>
                <w:highlight w:val="none"/>
                <w:lang w:val="en-US" w:eastAsia="zh-CN"/>
              </w:rPr>
              <w:t>60</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/a</w:t>
            </w:r>
            <w:r>
              <w:rPr>
                <w:rFonts w:hint="default" w:ascii="Times New Roman" w:hAnsi="Times New Roman" w:cs="Times New Roman" w:eastAsiaTheme="minorEastAsia"/>
                <w:color w:val="auto"/>
                <w:sz w:val="21"/>
                <w:szCs w:val="21"/>
                <w:highlight w:val="none"/>
                <w:lang w:eastAsia="zh-CN"/>
              </w:rPr>
              <w:t>（折合约为</w:t>
            </w:r>
            <w:r>
              <w:rPr>
                <w:rFonts w:hint="default" w:ascii="Times New Roman" w:hAnsi="Times New Roman" w:cs="Times New Roman" w:eastAsiaTheme="minorEastAsia"/>
                <w:color w:val="auto"/>
                <w:sz w:val="21"/>
                <w:szCs w:val="21"/>
                <w:highlight w:val="none"/>
                <w:lang w:val="en-US" w:eastAsia="zh-CN"/>
              </w:rPr>
              <w:t>0.2</w:t>
            </w:r>
            <w:r>
              <w:rPr>
                <w:rFonts w:hint="default" w:ascii="Times New Roman" w:hAnsi="Times New Roman" w:cs="Times New Roman" w:eastAsiaTheme="majorEastAsia"/>
                <w:bCs/>
                <w:color w:val="auto"/>
                <w:sz w:val="21"/>
                <w:szCs w:val="21"/>
                <w:highlight w:val="none"/>
                <w:lang w:val="en-US" w:eastAsia="zh-CN"/>
              </w:rPr>
              <w:t>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val="en-US" w:eastAsia="zh-CN"/>
              </w:rPr>
              <w:t>/d</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w:t>
            </w:r>
          </w:p>
          <w:p>
            <w:pPr>
              <w:pStyle w:val="2"/>
              <w:ind w:left="0" w:leftChars="0" w:firstLine="0" w:firstLineChars="0"/>
              <w:rPr>
                <w:rFonts w:hint="default" w:ascii="Times New Roman" w:hAnsi="Times New Roman" w:eastAsia="黑体" w:cs="Times New Roman"/>
                <w:color w:val="auto"/>
                <w:sz w:val="24"/>
                <w:szCs w:val="24"/>
                <w:highlight w:val="none"/>
                <w:lang w:eastAsia="zh-CN"/>
              </w:rPr>
            </w:pPr>
          </w:p>
          <w:p>
            <w:pPr>
              <w:pStyle w:val="2"/>
              <w:rPr>
                <w:rFonts w:hint="default" w:ascii="Times New Roman" w:hAnsi="Times New Roman" w:eastAsia="黑体" w:cs="Times New Roman"/>
                <w:color w:val="auto"/>
                <w:sz w:val="24"/>
                <w:szCs w:val="24"/>
                <w:highlight w:val="none"/>
                <w:lang w:eastAsia="zh-CN"/>
              </w:rPr>
            </w:pPr>
          </w:p>
          <w:p>
            <w:pPr>
              <w:rPr>
                <w:rFonts w:hint="default" w:ascii="Times New Roman" w:hAnsi="Times New Roman" w:eastAsia="黑体" w:cs="Times New Roman"/>
                <w:color w:val="auto"/>
                <w:sz w:val="24"/>
                <w:szCs w:val="24"/>
                <w:highlight w:val="none"/>
                <w:lang w:eastAsia="zh-CN"/>
              </w:rPr>
            </w:pPr>
          </w:p>
          <w:p>
            <w:pPr>
              <w:pStyle w:val="2"/>
              <w:rPr>
                <w:rFonts w:hint="default" w:ascii="Times New Roman" w:hAnsi="Times New Roman" w:eastAsia="黑体" w:cs="Times New Roman"/>
                <w:color w:val="auto"/>
                <w:sz w:val="24"/>
                <w:szCs w:val="24"/>
                <w:highlight w:val="none"/>
                <w:lang w:eastAsia="zh-CN"/>
              </w:rPr>
            </w:pPr>
          </w:p>
          <w:p>
            <w:pPr>
              <w:rPr>
                <w:rFonts w:hint="default"/>
                <w:lang w:eastAsia="zh-CN"/>
              </w:rPr>
            </w:pPr>
            <w:r>
              <w:rPr>
                <w:rFonts w:hint="default" w:ascii="Times New Roman" w:hAnsi="Times New Roman" w:cs="Times New Roman" w:eastAsiaTheme="majorEastAsia"/>
                <w:bCs/>
                <w:color w:val="auto"/>
                <w:sz w:val="21"/>
                <w:szCs w:val="21"/>
                <w:highlight w:val="none"/>
                <w:lang w:eastAsia="zh-CN"/>
              </w:rPr>
              <w:pict>
                <v:shape id="_x0000_s1042" o:spid="_x0000_s1042" o:spt="75" type="#_x0000_t75" style="position:absolute;left:0pt;margin-left:38.8pt;margin-top:9.35pt;height:146.8pt;width:303.75pt;z-index:251660288;mso-width-relative:page;mso-height-relative:page;" o:ole="t" filled="f" o:preferrelative="t" stroked="f" coordsize="21600,21600">
                  <v:path/>
                  <v:fill on="f" focussize="0,0"/>
                  <v:stroke on="f"/>
                  <v:imagedata r:id="rId17" cropleft="2573f" croptop="4908f" cropright="5599f" cropbottom="7462f" o:title=""/>
                  <o:lock v:ext="edit" aspectratio="t"/>
                </v:shape>
                <o:OLEObject Type="Embed" ProgID="Visio.Drawing.15" ShapeID="_x0000_s1042" DrawAspect="Content" ObjectID="_1468075726" r:id="rId16">
                  <o:LockedField>false</o:LockedField>
                </o:OLEObject>
              </w:pict>
            </w:r>
          </w:p>
          <w:p>
            <w:pPr>
              <w:pStyle w:val="2"/>
              <w:rPr>
                <w:rFonts w:hint="default" w:ascii="Times New Roman" w:hAnsi="Times New Roman" w:eastAsia="黑体" w:cs="Times New Roman"/>
                <w:color w:val="auto"/>
                <w:sz w:val="24"/>
                <w:szCs w:val="24"/>
                <w:highlight w:val="none"/>
                <w:lang w:eastAsia="zh-CN"/>
              </w:rPr>
            </w:pPr>
          </w:p>
          <w:p>
            <w:pPr>
              <w:rPr>
                <w:rFonts w:hint="default" w:ascii="Times New Roman" w:hAnsi="Times New Roman" w:eastAsia="黑体" w:cs="Times New Roman"/>
                <w:color w:val="auto"/>
                <w:sz w:val="24"/>
                <w:szCs w:val="24"/>
                <w:highlight w:val="none"/>
                <w:lang w:eastAsia="zh-CN"/>
              </w:rPr>
            </w:pPr>
          </w:p>
          <w:p>
            <w:pPr>
              <w:pStyle w:val="2"/>
              <w:rPr>
                <w:rFonts w:hint="default" w:ascii="Times New Roman" w:hAnsi="Times New Roman" w:eastAsia="黑体" w:cs="Times New Roman"/>
                <w:color w:val="auto"/>
                <w:sz w:val="24"/>
                <w:szCs w:val="24"/>
                <w:highlight w:val="none"/>
                <w:lang w:eastAsia="zh-CN"/>
              </w:rPr>
            </w:pPr>
          </w:p>
          <w:p>
            <w:pPr>
              <w:rPr>
                <w:rFonts w:hint="default" w:ascii="Times New Roman" w:hAnsi="Times New Roman" w:eastAsia="黑体" w:cs="Times New Roman"/>
                <w:color w:val="auto"/>
                <w:sz w:val="24"/>
                <w:szCs w:val="24"/>
                <w:highlight w:val="none"/>
                <w:lang w:eastAsia="zh-CN"/>
              </w:rPr>
            </w:pPr>
          </w:p>
          <w:p>
            <w:pPr>
              <w:pStyle w:val="2"/>
              <w:rPr>
                <w:rFonts w:hint="default" w:ascii="Times New Roman" w:hAnsi="Times New Roman" w:eastAsia="黑体" w:cs="Times New Roman"/>
                <w:color w:val="auto"/>
                <w:sz w:val="24"/>
                <w:szCs w:val="24"/>
                <w:highlight w:val="none"/>
                <w:lang w:eastAsia="zh-CN"/>
              </w:rPr>
            </w:pPr>
          </w:p>
          <w:p>
            <w:pPr>
              <w:rPr>
                <w:rFonts w:hint="default" w:ascii="Times New Roman" w:hAnsi="Times New Roman" w:eastAsia="黑体" w:cs="Times New Roman"/>
                <w:color w:val="auto"/>
                <w:sz w:val="24"/>
                <w:szCs w:val="24"/>
                <w:highlight w:val="none"/>
                <w:lang w:eastAsia="zh-CN"/>
              </w:rPr>
            </w:pPr>
          </w:p>
          <w:p>
            <w:pPr>
              <w:pStyle w:val="2"/>
              <w:rPr>
                <w:rFonts w:hint="default" w:ascii="Times New Roman" w:hAnsi="Times New Roman" w:eastAsia="黑体" w:cs="Times New Roman"/>
                <w:color w:val="auto"/>
                <w:sz w:val="24"/>
                <w:szCs w:val="24"/>
                <w:highlight w:val="none"/>
                <w:lang w:eastAsia="zh-CN"/>
              </w:rPr>
            </w:pPr>
          </w:p>
          <w:p>
            <w:pPr>
              <w:rPr>
                <w:rFonts w:hint="default" w:ascii="Times New Roman" w:hAnsi="Times New Roman" w:eastAsia="黑体" w:cs="Times New Roman"/>
                <w:color w:val="auto"/>
                <w:sz w:val="24"/>
                <w:szCs w:val="24"/>
                <w:highlight w:val="none"/>
                <w:lang w:eastAsia="zh-CN"/>
              </w:rPr>
            </w:pPr>
          </w:p>
          <w:p>
            <w:pPr>
              <w:pStyle w:val="2"/>
              <w:rPr>
                <w:rFonts w:hint="default" w:ascii="Times New Roman" w:hAnsi="Times New Roman" w:eastAsia="黑体" w:cs="Times New Roman"/>
                <w:color w:val="auto"/>
                <w:sz w:val="24"/>
                <w:szCs w:val="24"/>
                <w:highlight w:val="none"/>
                <w:lang w:eastAsia="zh-CN"/>
              </w:rPr>
            </w:pPr>
          </w:p>
          <w:p>
            <w:pPr>
              <w:rPr>
                <w:rFonts w:hint="default" w:ascii="Times New Roman" w:hAnsi="Times New Roman" w:eastAsia="黑体" w:cs="Times New Roman"/>
                <w:color w:val="auto"/>
                <w:sz w:val="24"/>
                <w:szCs w:val="24"/>
                <w:highlight w:val="none"/>
                <w:lang w:eastAsia="zh-CN"/>
              </w:rPr>
            </w:pPr>
          </w:p>
          <w:p>
            <w:pPr>
              <w:pStyle w:val="2"/>
              <w:rPr>
                <w:rFonts w:hint="default"/>
                <w:lang w:eastAsia="zh-CN"/>
              </w:rPr>
            </w:pPr>
          </w:p>
          <w:p>
            <w:pPr>
              <w:rPr>
                <w:rFonts w:hint="default" w:ascii="Times New Roman" w:hAnsi="Times New Roman" w:eastAsia="黑体" w:cs="Times New Roman"/>
                <w:color w:val="auto"/>
                <w:sz w:val="24"/>
                <w:szCs w:val="24"/>
                <w:highlight w:val="none"/>
                <w:lang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ajorEastAsia"/>
                <w:bCs/>
                <w:color w:val="auto"/>
                <w:sz w:val="21"/>
                <w:szCs w:val="21"/>
                <w:highlight w:val="none"/>
                <w:lang w:eastAsia="zh-CN"/>
              </w:rPr>
              <w:pict>
                <v:shape id="_x0000_s1043" o:spid="_x0000_s1043" o:spt="75" type="#_x0000_t75" style="position:absolute;left:0pt;margin-left:36.05pt;margin-top:8.3pt;height:154.05pt;width:318.6pt;z-index:251661312;mso-width-relative:page;mso-height-relative:page;" o:ole="t" filled="f" o:preferrelative="t" stroked="f" coordsize="21600,21600">
                  <v:path/>
                  <v:fill on="f" focussize="0,0"/>
                  <v:stroke on="f"/>
                  <v:imagedata r:id="rId19" cropleft="2573f" croptop="4908f" cropright="5599f" cropbottom="7462f" o:title=""/>
                  <o:lock v:ext="edit" aspectratio="t"/>
                </v:shape>
                <o:OLEObject Type="Embed" ProgID="Visio.Drawing.15" ShapeID="_x0000_s1043" DrawAspect="Content" ObjectID="_1468075727" r:id="rId18">
                  <o:LockedField>false</o:LockedField>
                </o:OLEObject>
              </w:pict>
            </w:r>
            <w:r>
              <w:rPr>
                <w:rFonts w:hint="default" w:ascii="Times New Roman" w:hAnsi="Times New Roman" w:eastAsia="黑体" w:cs="Times New Roman"/>
                <w:color w:val="auto"/>
                <w:sz w:val="21"/>
                <w:szCs w:val="21"/>
                <w:highlight w:val="none"/>
                <w:lang w:eastAsia="zh-CN"/>
              </w:rPr>
              <w:t>图</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黑体"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 xml:space="preserve"> 本次扩建工程</w:t>
            </w:r>
            <w:r>
              <w:rPr>
                <w:rFonts w:hint="default" w:ascii="Times New Roman" w:hAnsi="Times New Roman" w:eastAsia="黑体" w:cs="Times New Roman"/>
                <w:color w:val="auto"/>
                <w:sz w:val="21"/>
                <w:szCs w:val="21"/>
                <w:highlight w:val="none"/>
                <w:lang w:val="en-US" w:eastAsia="zh-CN"/>
              </w:rPr>
              <w:t>水平衡图</w:t>
            </w:r>
            <w:r>
              <w:rPr>
                <w:rFonts w:hint="default" w:ascii="Times New Roman" w:hAnsi="Times New Roman" w:cs="Times New Roman"/>
                <w:color w:val="auto"/>
                <w:sz w:val="21"/>
                <w:szCs w:val="21"/>
                <w:highlight w:val="none"/>
                <w:lang w:val="en-US" w:eastAsia="zh-CN"/>
              </w:rPr>
              <w:t xml:space="preserve">     单位t/a</w:t>
            </w: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sz w:val="21"/>
                <w:szCs w:val="21"/>
                <w:highlight w:val="none"/>
                <w:lang w:val="en-US"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sz w:val="21"/>
                <w:szCs w:val="21"/>
                <w:highlight w:val="none"/>
                <w:lang w:val="en-US"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sz w:val="21"/>
                <w:szCs w:val="21"/>
                <w:highlight w:val="none"/>
                <w:lang w:val="en-US"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sz w:val="21"/>
                <w:szCs w:val="21"/>
                <w:highlight w:val="none"/>
                <w:lang w:val="en-US"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sz w:val="21"/>
                <w:szCs w:val="21"/>
                <w:highlight w:val="none"/>
                <w:lang w:val="en-US"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sz w:val="21"/>
                <w:szCs w:val="21"/>
                <w:highlight w:val="none"/>
                <w:lang w:val="en-US"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sz w:val="21"/>
                <w:szCs w:val="21"/>
                <w:highlight w:val="none"/>
                <w:lang w:val="en-US"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color w:val="auto"/>
                <w:sz w:val="21"/>
                <w:szCs w:val="21"/>
                <w:highlight w:val="none"/>
                <w:lang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cs="宋体"/>
                <w:bCs/>
                <w:kern w:val="0"/>
                <w:szCs w:val="21"/>
                <w:highlight w:val="cyan"/>
              </w:rPr>
            </w:pPr>
            <w:r>
              <w:rPr>
                <w:rFonts w:hint="default" w:ascii="Times New Roman" w:hAnsi="Times New Roman" w:eastAsia="黑体" w:cs="Times New Roman"/>
                <w:color w:val="auto"/>
                <w:sz w:val="21"/>
                <w:szCs w:val="21"/>
                <w:highlight w:val="none"/>
                <w:lang w:eastAsia="zh-CN"/>
              </w:rPr>
              <w:t>图</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黑体"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 xml:space="preserve"> 改扩建后全厂</w:t>
            </w:r>
            <w:r>
              <w:rPr>
                <w:rFonts w:hint="default" w:ascii="Times New Roman" w:hAnsi="Times New Roman" w:eastAsia="黑体" w:cs="Times New Roman"/>
                <w:color w:val="auto"/>
                <w:sz w:val="21"/>
                <w:szCs w:val="21"/>
                <w:highlight w:val="none"/>
                <w:lang w:val="en-US" w:eastAsia="zh-CN"/>
              </w:rPr>
              <w:t>水平衡图</w:t>
            </w:r>
            <w:r>
              <w:rPr>
                <w:rFonts w:hint="default" w:ascii="Times New Roman" w:hAnsi="Times New Roman" w:cs="Times New Roman"/>
                <w:color w:val="auto"/>
                <w:sz w:val="21"/>
                <w:szCs w:val="21"/>
                <w:highlight w:val="none"/>
                <w:lang w:val="en-US" w:eastAsia="zh-CN"/>
              </w:rPr>
              <w:t xml:space="preserve">     单位t/a</w:t>
            </w:r>
          </w:p>
          <w:p>
            <w:pPr>
              <w:numPr>
                <w:ilvl w:val="0"/>
                <w:numId w:val="3"/>
              </w:numPr>
              <w:autoSpaceDE w:val="0"/>
              <w:autoSpaceDN w:val="0"/>
              <w:adjustRightInd w:val="0"/>
              <w:snapToGrid w:val="0"/>
              <w:spacing w:line="400" w:lineRule="exact"/>
              <w:rPr>
                <w:rFonts w:hint="eastAsia" w:cs="宋体"/>
                <w:b/>
                <w:kern w:val="0"/>
                <w:szCs w:val="21"/>
                <w:highlight w:val="none"/>
              </w:rPr>
            </w:pPr>
            <w:r>
              <w:rPr>
                <w:rFonts w:hint="eastAsia" w:cs="宋体"/>
                <w:b/>
                <w:kern w:val="0"/>
                <w:szCs w:val="21"/>
                <w:highlight w:val="none"/>
              </w:rPr>
              <w:t>本项目产污</w:t>
            </w:r>
            <w:r>
              <w:rPr>
                <w:rFonts w:cs="宋体"/>
                <w:b/>
                <w:kern w:val="0"/>
                <w:szCs w:val="21"/>
                <w:highlight w:val="none"/>
              </w:rPr>
              <w:t>环节分析</w:t>
            </w:r>
          </w:p>
          <w:p>
            <w:pPr>
              <w:autoSpaceDE w:val="0"/>
              <w:autoSpaceDN w:val="0"/>
              <w:adjustRightInd w:val="0"/>
              <w:snapToGrid w:val="0"/>
              <w:spacing w:line="400" w:lineRule="exact"/>
              <w:ind w:firstLine="420" w:firstLineChars="200"/>
              <w:rPr>
                <w:rFonts w:hint="eastAsia" w:cs="宋体"/>
                <w:bCs/>
                <w:kern w:val="0"/>
                <w:szCs w:val="21"/>
                <w:highlight w:val="none"/>
              </w:rPr>
            </w:pPr>
            <w:r>
              <w:rPr>
                <w:rFonts w:cs="宋体"/>
                <w:bCs/>
                <w:kern w:val="0"/>
                <w:szCs w:val="21"/>
                <w:highlight w:val="none"/>
              </w:rPr>
              <w:t>根据上述工艺分析，拟建工程生产过程中产污环节分析详见</w:t>
            </w:r>
            <w:r>
              <w:rPr>
                <w:rFonts w:hint="eastAsia" w:cs="宋体"/>
                <w:bCs/>
                <w:kern w:val="0"/>
                <w:szCs w:val="21"/>
                <w:highlight w:val="none"/>
                <w:lang w:eastAsia="zh-CN"/>
              </w:rPr>
              <w:t>下表</w:t>
            </w:r>
            <w:r>
              <w:rPr>
                <w:rFonts w:hint="eastAsia" w:cs="宋体"/>
                <w:bCs/>
                <w:kern w:val="0"/>
                <w:szCs w:val="21"/>
                <w:highlight w:val="none"/>
              </w:rPr>
              <w:t>。</w:t>
            </w:r>
          </w:p>
          <w:p>
            <w:pPr>
              <w:keepNext w:val="0"/>
              <w:keepLines w:val="0"/>
              <w:numPr>
                <w:ilvl w:val="0"/>
                <w:numId w:val="1"/>
              </w:numPr>
              <w:suppressLineNumbers w:val="0"/>
              <w:spacing w:before="0" w:beforeAutospacing="0" w:after="0" w:afterAutospacing="0" w:line="460" w:lineRule="exact"/>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 xml:space="preserve">   </w:t>
            </w:r>
            <w:r>
              <w:rPr>
                <w:rFonts w:hint="default" w:ascii="Times New Roman" w:hAnsi="Times New Roman" w:cs="Times New Roman" w:eastAsiaTheme="minorEastAsia"/>
                <w:b w:val="0"/>
                <w:bCs w:val="0"/>
                <w:color w:val="auto"/>
                <w:sz w:val="21"/>
                <w:szCs w:val="21"/>
                <w:highlight w:val="none"/>
                <w:lang w:val="en-US" w:eastAsia="zh-CN"/>
              </w:rPr>
              <w:t>项目产污节点一览表</w:t>
            </w:r>
          </w:p>
          <w:tbl>
            <w:tblPr>
              <w:tblStyle w:val="18"/>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1964"/>
              <w:gridCol w:w="2668"/>
              <w:gridCol w:w="2754"/>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类别</w:t>
                  </w: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污染源名称</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污染因子</w:t>
                  </w:r>
                </w:p>
              </w:tc>
              <w:tc>
                <w:tcPr>
                  <w:tcW w:w="1694"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治理措施</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4"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废气</w:t>
                  </w: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注塑过程</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非甲烷总烃</w:t>
                  </w:r>
                </w:p>
              </w:tc>
              <w:tc>
                <w:tcPr>
                  <w:tcW w:w="1694"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b/>
                      <w:bCs/>
                      <w:color w:val="auto"/>
                      <w:sz w:val="18"/>
                      <w:szCs w:val="18"/>
                      <w:highlight w:val="none"/>
                      <w:u w:val="single"/>
                      <w:lang w:val="en-US" w:eastAsia="zh-CN"/>
                    </w:rPr>
                    <w:t>密闭间+集气装置+</w:t>
                  </w:r>
                  <w:r>
                    <w:rPr>
                      <w:rFonts w:hint="default" w:ascii="Times New Roman" w:hAnsi="Times New Roman" w:cs="Times New Roman"/>
                      <w:b/>
                      <w:bCs/>
                      <w:color w:val="auto"/>
                      <w:sz w:val="18"/>
                      <w:szCs w:val="18"/>
                      <w:highlight w:val="none"/>
                      <w:u w:val="single"/>
                      <w:lang w:val="en-US" w:eastAsia="zh-CN"/>
                    </w:rPr>
                    <w:t>“活性炭吸脱附+催化燃烧”</w:t>
                  </w:r>
                  <w:r>
                    <w:rPr>
                      <w:rFonts w:hint="default" w:ascii="Times New Roman" w:hAnsi="Times New Roman" w:cs="Times New Roman" w:eastAsiaTheme="minorEastAsia"/>
                      <w:b/>
                      <w:bCs/>
                      <w:color w:val="auto"/>
                      <w:sz w:val="18"/>
                      <w:szCs w:val="18"/>
                      <w:highlight w:val="none"/>
                      <w:u w:val="single"/>
                      <w:lang w:val="en-US" w:eastAsia="zh-CN"/>
                    </w:rPr>
                    <w:t>+15m高排气筒</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vMerge w:val="restar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废水</w:t>
                  </w: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生活污水</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COD、SS、NH</w:t>
                  </w:r>
                  <w:r>
                    <w:rPr>
                      <w:rFonts w:hint="default" w:ascii="Times New Roman" w:hAnsi="Times New Roman" w:cs="Times New Roman" w:eastAsiaTheme="minorEastAsia"/>
                      <w:color w:val="auto"/>
                      <w:sz w:val="18"/>
                      <w:szCs w:val="18"/>
                      <w:highlight w:val="none"/>
                      <w:vertAlign w:val="subscript"/>
                      <w:lang w:val="en-US" w:eastAsia="zh-CN"/>
                    </w:rPr>
                    <w:t>3</w:t>
                  </w:r>
                  <w:r>
                    <w:rPr>
                      <w:rFonts w:hint="default" w:ascii="Times New Roman" w:hAnsi="Times New Roman" w:cs="Times New Roman" w:eastAsiaTheme="minorEastAsia"/>
                      <w:color w:val="auto"/>
                      <w:sz w:val="18"/>
                      <w:szCs w:val="18"/>
                      <w:highlight w:val="none"/>
                      <w:lang w:val="en-US" w:eastAsia="zh-CN"/>
                    </w:rPr>
                    <w:t>-N、TP</w:t>
                  </w:r>
                </w:p>
              </w:tc>
              <w:tc>
                <w:tcPr>
                  <w:tcW w:w="1694"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化粪池处理后定情清运</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vMerge w:val="continue"/>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间接冷却废水</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COD、SS</w:t>
                  </w:r>
                </w:p>
              </w:tc>
              <w:tc>
                <w:tcPr>
                  <w:tcW w:w="1694"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恒温水罐储存后循环使用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vMerge w:val="restar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固废</w:t>
                  </w: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废包装袋</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废包装袋</w:t>
                  </w:r>
                </w:p>
              </w:tc>
              <w:tc>
                <w:tcPr>
                  <w:tcW w:w="1694"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一般固废暂存间暂存后，定期外售于废品回收单位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vMerge w:val="continue"/>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注塑过程</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废边角料</w:t>
                  </w:r>
                </w:p>
              </w:tc>
              <w:tc>
                <w:tcPr>
                  <w:tcW w:w="1694" w:type="pct"/>
                  <w:vMerge w:val="restar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每台注塑机单独配套小型破碎机破碎后直接回用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vMerge w:val="continue"/>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eastAsia="zh-CN"/>
                    </w:rPr>
                    <w:t>检验过程</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eastAsia="zh-CN"/>
                    </w:rPr>
                    <w:t>不合格品</w:t>
                  </w:r>
                </w:p>
              </w:tc>
              <w:tc>
                <w:tcPr>
                  <w:tcW w:w="1694" w:type="pct"/>
                  <w:vMerge w:val="continue"/>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vMerge w:val="continue"/>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“活性炭吸脱附</w:t>
                  </w:r>
                  <w:r>
                    <w:rPr>
                      <w:rFonts w:hint="default" w:ascii="Times New Roman" w:hAnsi="Times New Roman" w:cs="Times New Roman" w:eastAsiaTheme="minorEastAsia"/>
                      <w:color w:val="auto"/>
                      <w:sz w:val="18"/>
                      <w:szCs w:val="18"/>
                      <w:highlight w:val="none"/>
                      <w:lang w:val="en-US" w:eastAsia="zh-CN"/>
                    </w:rPr>
                    <w:t>+催化燃烧</w:t>
                  </w:r>
                  <w:r>
                    <w:rPr>
                      <w:rFonts w:hint="default" w:ascii="Times New Roman" w:hAnsi="Times New Roman" w:cs="Times New Roman" w:eastAsiaTheme="minorEastAsia"/>
                      <w:color w:val="auto"/>
                      <w:sz w:val="18"/>
                      <w:szCs w:val="18"/>
                      <w:highlight w:val="none"/>
                      <w:lang w:eastAsia="zh-CN"/>
                    </w:rPr>
                    <w:t>”废气净化装置维护过程</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废活性炭</w:t>
                  </w:r>
                </w:p>
              </w:tc>
              <w:tc>
                <w:tcPr>
                  <w:tcW w:w="1694" w:type="pct"/>
                  <w:vMerge w:val="restar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危险固废暂存间暂存后，定期委托有资质的危废单位回收处理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vMerge w:val="continue"/>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注塑机等设备液压系统维护过程</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E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废液压油</w:t>
                  </w:r>
                </w:p>
              </w:tc>
              <w:tc>
                <w:tcPr>
                  <w:tcW w:w="1694" w:type="pct"/>
                  <w:vMerge w:val="continue"/>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vMerge w:val="restar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噪声</w:t>
                  </w: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注塑机、破碎机、循环水泵等</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机械噪声</w:t>
                  </w:r>
                </w:p>
              </w:tc>
              <w:tc>
                <w:tcPr>
                  <w:tcW w:w="1694"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室内布置，设置减振基础</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54" w:type="pct"/>
                  <w:vMerge w:val="continue"/>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N/>
                    <w:bidi w:val="0"/>
                    <w:adjustRightInd w:val="0"/>
                    <w:snapToGrid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风机</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空气动力噪声</w:t>
                  </w:r>
                </w:p>
              </w:tc>
              <w:tc>
                <w:tcPr>
                  <w:tcW w:w="1694" w:type="pct"/>
                  <w:tcBorders>
                    <w:tl2br w:val="nil"/>
                    <w:tr2bl w:val="nil"/>
                  </w:tcBorders>
                  <w:noWrap w:val="0"/>
                  <w:vAlign w:val="center"/>
                </w:tcPr>
                <w:p>
                  <w:pPr>
                    <w:keepNext w:val="0"/>
                    <w:keepLines w:val="0"/>
                    <w:pageBreakBefore w:val="0"/>
                    <w:widowControl w:val="0"/>
                    <w:kinsoku/>
                    <w:wordWrap/>
                    <w:overflowPunct/>
                    <w:topLinePunct w:val="0"/>
                    <w:autoSpaceDN/>
                    <w:bidi w:val="0"/>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软管连接，安装隔声装置</w:t>
                  </w:r>
                </w:p>
              </w:tc>
            </w:tr>
          </w:tbl>
          <w:p>
            <w:pPr>
              <w:adjustRightInd w:val="0"/>
              <w:snapToGrid w:val="0"/>
              <w:rPr>
                <w:rFonts w:hint="eastAsia"/>
                <w:bCs/>
                <w:szCs w:val="21"/>
                <w:highlight w:val="cy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6" w:hRule="atLeast"/>
          <w:jc w:val="center"/>
        </w:trPr>
        <w:tc>
          <w:tcPr>
            <w:tcW w:w="718" w:type="dxa"/>
            <w:noWrap w:val="0"/>
            <w:vAlign w:val="center"/>
          </w:tcPr>
          <w:p>
            <w:pPr>
              <w:pStyle w:val="15"/>
              <w:adjustRightInd w:val="0"/>
              <w:snapToGrid w:val="0"/>
              <w:spacing w:before="0" w:beforeAutospacing="0" w:after="0" w:afterAutospacing="0"/>
              <w:jc w:val="center"/>
              <w:rPr>
                <w:rFonts w:ascii="Times New Roman" w:hAnsi="Times New Roman" w:cs="宋体"/>
                <w:sz w:val="21"/>
                <w:szCs w:val="21"/>
                <w:highlight w:val="cyan"/>
              </w:rPr>
            </w:pPr>
            <w:r>
              <w:rPr>
                <w:rFonts w:hint="eastAsia" w:ascii="Times New Roman" w:hAnsi="Times New Roman" w:cs="宋体"/>
                <w:bCs/>
                <w:kern w:val="2"/>
                <w:sz w:val="21"/>
                <w:szCs w:val="21"/>
                <w:highlight w:val="none"/>
              </w:rPr>
              <w:t>与项目有关的原有环境污染问题</w:t>
            </w:r>
          </w:p>
        </w:tc>
        <w:tc>
          <w:tcPr>
            <w:tcW w:w="8342" w:type="dxa"/>
            <w:noWrap w:val="0"/>
            <w:vAlign w:val="top"/>
          </w:tcPr>
          <w:p>
            <w:pPr>
              <w:pStyle w:val="45"/>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1、现有工程环保履行情况</w:t>
            </w:r>
          </w:p>
          <w:p>
            <w:pPr>
              <w:pStyle w:val="45"/>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新乡市卓越橡塑有限公司2015年12月16日，公司现有“年产1亿只锂电池密封圈项目”位于新乡市凤泉区大块镇小块村西，该项目于2015年11月12日以“凤环审（2015）029号”通过新乡市凤泉区环保局审批，并于2018年6月29日完成自主验收，目前公司</w:t>
            </w:r>
            <w:r>
              <w:rPr>
                <w:rFonts w:hint="default" w:ascii="Times New Roman" w:hAnsi="Times New Roman" w:cs="Times New Roman" w:eastAsiaTheme="minorEastAsia"/>
                <w:b w:val="0"/>
                <w:bCs w:val="0"/>
                <w:color w:val="auto"/>
                <w:sz w:val="21"/>
                <w:szCs w:val="21"/>
                <w:highlight w:val="none"/>
                <w:lang w:eastAsia="zh-CN"/>
              </w:rPr>
              <w:t>现有</w:t>
            </w:r>
            <w:r>
              <w:rPr>
                <w:rFonts w:hint="default" w:ascii="Times New Roman" w:hAnsi="Times New Roman" w:cs="Times New Roman" w:eastAsiaTheme="minorEastAsia"/>
                <w:color w:val="auto"/>
                <w:sz w:val="21"/>
                <w:szCs w:val="21"/>
                <w:highlight w:val="none"/>
                <w:lang w:eastAsia="zh-CN"/>
              </w:rPr>
              <w:t>工程环保履行情况如下：</w:t>
            </w:r>
          </w:p>
          <w:p>
            <w:pPr>
              <w:keepNext w:val="0"/>
              <w:keepLines w:val="0"/>
              <w:numPr>
                <w:ilvl w:val="0"/>
                <w:numId w:val="1"/>
              </w:numPr>
              <w:suppressLineNumbers w:val="0"/>
              <w:spacing w:before="0" w:beforeAutospacing="0" w:after="0" w:afterAutospacing="0" w:line="460" w:lineRule="exact"/>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现有环保履行承诺情况一览表</w:t>
            </w:r>
          </w:p>
          <w:tbl>
            <w:tblPr>
              <w:tblStyle w:val="1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64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highlight w:val="none"/>
                      <w:vertAlign w:val="baseline"/>
                      <w:lang w:val="en-US" w:eastAsia="zh-CN"/>
                    </w:rPr>
                    <w:t>项目名称</w:t>
                  </w:r>
                </w:p>
              </w:tc>
              <w:tc>
                <w:tcPr>
                  <w:tcW w:w="3995"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highlight w:val="none"/>
                      <w:vertAlign w:val="baseline"/>
                      <w:lang w:val="en-US" w:eastAsia="zh-CN"/>
                    </w:rPr>
                    <w:t>年产1亿只锂电池密封圈项目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vertAlign w:val="baseline"/>
                      <w:lang w:val="en-US" w:eastAsia="zh-CN"/>
                    </w:rPr>
                  </w:pPr>
                  <w:r>
                    <w:rPr>
                      <w:rFonts w:hint="default" w:ascii="Times New Roman" w:hAnsi="Times New Roman" w:cs="Times New Roman" w:eastAsiaTheme="minorEastAsia"/>
                      <w:color w:val="auto"/>
                      <w:sz w:val="18"/>
                      <w:szCs w:val="18"/>
                      <w:highlight w:val="none"/>
                      <w:vertAlign w:val="baseline"/>
                      <w:lang w:val="en-US" w:eastAsia="zh-CN"/>
                    </w:rPr>
                    <w:t>建设单位</w:t>
                  </w:r>
                </w:p>
              </w:tc>
              <w:tc>
                <w:tcPr>
                  <w:tcW w:w="3995"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highlight w:val="none"/>
                      <w:vertAlign w:val="baseline"/>
                      <w:lang w:val="en-US" w:eastAsia="zh-CN"/>
                    </w:rPr>
                    <w:t>新乡市卓越橡塑有限公司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highlight w:val="none"/>
                      <w:vertAlign w:val="baseline"/>
                      <w:lang w:val="en-US" w:eastAsia="zh-CN"/>
                    </w:rPr>
                    <w:t>批复文号</w:t>
                  </w:r>
                </w:p>
              </w:tc>
              <w:tc>
                <w:tcPr>
                  <w:tcW w:w="3995"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highlight w:val="none"/>
                      <w:vertAlign w:val="baseline"/>
                      <w:lang w:val="en-US" w:eastAsia="zh-CN"/>
                    </w:rPr>
                    <w:t>2015年11月12日以“凤环审（2015）029号”通过新乡市凤泉区环保局审批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highlight w:val="none"/>
                      <w:vertAlign w:val="baseline"/>
                      <w:lang w:val="en-US" w:eastAsia="zh-CN"/>
                    </w:rPr>
                    <w:t>验收文号</w:t>
                  </w:r>
                </w:p>
              </w:tc>
              <w:tc>
                <w:tcPr>
                  <w:tcW w:w="3995"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highlight w:val="none"/>
                      <w:vertAlign w:val="baseline"/>
                      <w:lang w:val="en-US" w:eastAsia="zh-CN"/>
                    </w:rPr>
                    <w:t>2018年6月29日完成自主验收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highlight w:val="none"/>
                      <w:vertAlign w:val="baseline"/>
                      <w:lang w:val="en-US" w:eastAsia="zh-CN"/>
                    </w:rPr>
                    <w:t>实际验收情况</w:t>
                  </w:r>
                </w:p>
              </w:tc>
              <w:tc>
                <w:tcPr>
                  <w:tcW w:w="3995"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highlight w:val="none"/>
                      <w:lang w:val="en-US" w:eastAsia="zh-CN"/>
                    </w:rPr>
                    <w:t>年产锂电池密封圈1亿只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vertAlign w:val="baseline"/>
                      <w:lang w:val="en-US" w:eastAsia="zh-CN"/>
                    </w:rPr>
                    <w:t>产品及规模</w:t>
                  </w:r>
                </w:p>
              </w:tc>
              <w:tc>
                <w:tcPr>
                  <w:tcW w:w="3995"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cs="Times New Roman" w:eastAsiaTheme="minorEastAsia"/>
                      <w:color w:val="auto"/>
                      <w:sz w:val="18"/>
                      <w:szCs w:val="18"/>
                      <w:vertAlign w:val="baseline"/>
                      <w:lang w:val="en-US" w:eastAsia="zh-CN"/>
                    </w:rPr>
                    <w:t>产品：</w:t>
                  </w:r>
                  <w:r>
                    <w:rPr>
                      <w:rFonts w:hint="default" w:ascii="Times New Roman" w:hAnsi="Times New Roman" w:cs="Times New Roman" w:eastAsiaTheme="minorEastAsia"/>
                      <w:color w:val="auto"/>
                      <w:sz w:val="18"/>
                      <w:szCs w:val="18"/>
                      <w:highlight w:val="none"/>
                      <w:lang w:val="en-US" w:eastAsia="zh-CN"/>
                    </w:rPr>
                    <w:t>锂电池密封圈，生产规模：年产1亿只</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本次评价</w:t>
            </w:r>
            <w:r>
              <w:rPr>
                <w:rFonts w:hint="default" w:ascii="Times New Roman" w:hAnsi="Times New Roman" w:cs="Times New Roman"/>
                <w:color w:val="auto"/>
                <w:sz w:val="21"/>
                <w:szCs w:val="21"/>
                <w:lang w:eastAsia="zh-CN"/>
              </w:rPr>
              <w:t>参考上述环评、竣工验收和批复</w:t>
            </w:r>
            <w:r>
              <w:rPr>
                <w:rFonts w:hint="default" w:ascii="Times New Roman" w:hAnsi="Times New Roman" w:cs="Times New Roman"/>
                <w:color w:val="auto"/>
                <w:sz w:val="21"/>
                <w:szCs w:val="21"/>
              </w:rPr>
              <w:t>内容，并结合厂区建设实际情况进行评价。对本项目有关的现有工程介绍如下：</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ind w:left="0" w:leftChars="0" w:firstLine="422" w:firstLineChars="20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、现有工程基本情况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现有工程基本情况见</w:t>
            </w:r>
            <w:r>
              <w:rPr>
                <w:rFonts w:hint="default" w:ascii="Times New Roman" w:hAnsi="Times New Roman" w:cs="Times New Roman"/>
                <w:color w:val="auto"/>
                <w:sz w:val="21"/>
                <w:szCs w:val="21"/>
                <w:lang w:eastAsia="zh-CN"/>
              </w:rPr>
              <w:t>下表：</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现有工程基本情况表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42"/>
              <w:gridCol w:w="1370"/>
              <w:gridCol w:w="54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jc w:val="center"/>
              </w:trPr>
              <w:tc>
                <w:tcPr>
                  <w:tcW w:w="1669" w:type="pct"/>
                  <w:gridSpan w:val="2"/>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cs="Times New Roman" w:eastAsiaTheme="majorEastAsia"/>
                      <w:snapToGrid w:val="0"/>
                      <w:color w:val="auto"/>
                      <w:kern w:val="0"/>
                      <w:sz w:val="18"/>
                      <w:szCs w:val="18"/>
                      <w:highlight w:val="none"/>
                    </w:rPr>
                  </w:pPr>
                  <w:r>
                    <w:rPr>
                      <w:rFonts w:hint="default" w:ascii="Times New Roman" w:hAnsi="Times New Roman" w:cs="Times New Roman" w:eastAsiaTheme="majorEastAsia"/>
                      <w:snapToGrid w:val="0"/>
                      <w:color w:val="auto"/>
                      <w:kern w:val="0"/>
                      <w:sz w:val="18"/>
                      <w:szCs w:val="18"/>
                      <w:highlight w:val="none"/>
                      <w:lang w:val="zh-CN"/>
                    </w:rPr>
                    <w:t>类别</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cs="Times New Roman" w:eastAsiaTheme="majorEastAsia"/>
                      <w:snapToGrid w:val="0"/>
                      <w:color w:val="auto"/>
                      <w:kern w:val="0"/>
                      <w:sz w:val="18"/>
                      <w:szCs w:val="18"/>
                      <w:highlight w:val="none"/>
                    </w:rPr>
                  </w:pPr>
                  <w:r>
                    <w:rPr>
                      <w:rFonts w:hint="default" w:ascii="Times New Roman" w:hAnsi="Times New Roman" w:cs="Times New Roman" w:eastAsiaTheme="majorEastAsia"/>
                      <w:snapToGrid w:val="0"/>
                      <w:color w:val="auto"/>
                      <w:kern w:val="0"/>
                      <w:sz w:val="18"/>
                      <w:szCs w:val="18"/>
                      <w:highlight w:val="none"/>
                      <w:lang w:val="zh-CN"/>
                    </w:rPr>
                    <w:t>建设内容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69" w:type="pct"/>
                  <w:gridSpan w:val="2"/>
                  <w:shd w:val="clear" w:color="auto" w:fill="auto"/>
                  <w:noWrap w:val="0"/>
                  <w:tcMar>
                    <w:top w:w="85" w:type="dxa"/>
                    <w:bottom w:w="85" w:type="dxa"/>
                  </w:tcMar>
                  <w:vAlign w:val="center"/>
                </w:tcPr>
                <w:p>
                  <w:pPr>
                    <w:keepNext w:val="0"/>
                    <w:keepLines w:val="0"/>
                    <w:pageBreakBefore w:val="0"/>
                    <w:widowControl w:val="0"/>
                    <w:tabs>
                      <w:tab w:val="left" w:pos="540"/>
                    </w:tabs>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vertAlign w:val="baseline"/>
                      <w:lang w:val="zh-CN" w:eastAsia="zh-CN" w:bidi="ar-SA"/>
                    </w:rPr>
                  </w:pPr>
                  <w:r>
                    <w:rPr>
                      <w:rFonts w:hint="default" w:ascii="Times New Roman" w:hAnsi="Times New Roman" w:cs="Times New Roman"/>
                      <w:color w:val="auto"/>
                      <w:sz w:val="18"/>
                      <w:szCs w:val="18"/>
                      <w:vertAlign w:val="baseline"/>
                      <w:lang w:eastAsia="zh-CN"/>
                    </w:rPr>
                    <w:t>项目名称</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cs="Times New Roman" w:eastAsiaTheme="majorEastAsia"/>
                      <w:snapToGrid w:val="0"/>
                      <w:color w:val="auto"/>
                      <w:kern w:val="0"/>
                      <w:sz w:val="18"/>
                      <w:szCs w:val="18"/>
                      <w:highlight w:val="none"/>
                      <w:lang w:val="zh-CN"/>
                    </w:rPr>
                  </w:pPr>
                  <w:r>
                    <w:rPr>
                      <w:rFonts w:hint="default" w:ascii="Times New Roman" w:hAnsi="Times New Roman" w:cs="Times New Roman" w:eastAsiaTheme="minorEastAsia"/>
                      <w:color w:val="auto"/>
                      <w:sz w:val="18"/>
                      <w:szCs w:val="18"/>
                      <w:highlight w:val="none"/>
                      <w:vertAlign w:val="baseline"/>
                      <w:lang w:val="en-US" w:eastAsia="zh-CN"/>
                    </w:rPr>
                    <w:t>年产1亿只锂电池密封圈项目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69" w:type="pct"/>
                  <w:gridSpan w:val="2"/>
                  <w:shd w:val="clear" w:color="auto" w:fill="auto"/>
                  <w:noWrap w:val="0"/>
                  <w:tcMar>
                    <w:top w:w="85" w:type="dxa"/>
                    <w:bottom w:w="85" w:type="dxa"/>
                  </w:tcMar>
                  <w:vAlign w:val="center"/>
                </w:tcPr>
                <w:p>
                  <w:pPr>
                    <w:keepNext w:val="0"/>
                    <w:keepLines w:val="0"/>
                    <w:pageBreakBefore w:val="0"/>
                    <w:widowControl w:val="0"/>
                    <w:tabs>
                      <w:tab w:val="left" w:pos="540"/>
                    </w:tabs>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vertAlign w:val="baseline"/>
                      <w:lang w:val="zh-CN" w:eastAsia="zh-CN" w:bidi="ar-SA"/>
                    </w:rPr>
                  </w:pPr>
                  <w:r>
                    <w:rPr>
                      <w:rFonts w:hint="default" w:ascii="Times New Roman" w:hAnsi="Times New Roman" w:cs="Times New Roman"/>
                      <w:color w:val="auto"/>
                      <w:sz w:val="18"/>
                      <w:szCs w:val="18"/>
                      <w:vertAlign w:val="baseline"/>
                      <w:lang w:eastAsia="zh-CN"/>
                    </w:rPr>
                    <w:t>建设单位</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cs="Times New Roman" w:eastAsiaTheme="majorEastAsia"/>
                      <w:snapToGrid w:val="0"/>
                      <w:color w:val="auto"/>
                      <w:kern w:val="0"/>
                      <w:sz w:val="18"/>
                      <w:szCs w:val="18"/>
                      <w:highlight w:val="none"/>
                      <w:lang w:val="zh-CN"/>
                    </w:rPr>
                  </w:pPr>
                  <w:r>
                    <w:rPr>
                      <w:rFonts w:hint="default" w:ascii="Times New Roman" w:hAnsi="Times New Roman" w:cs="Times New Roman" w:eastAsiaTheme="majorEastAsia"/>
                      <w:snapToGrid w:val="0"/>
                      <w:color w:val="auto"/>
                      <w:kern w:val="0"/>
                      <w:sz w:val="18"/>
                      <w:szCs w:val="18"/>
                      <w:highlight w:val="none"/>
                      <w:lang w:val="zh-CN"/>
                    </w:rPr>
                    <w:t>新乡市卓越橡塑有限公司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69" w:type="pct"/>
                  <w:gridSpan w:val="2"/>
                  <w:shd w:val="clear" w:color="auto" w:fill="auto"/>
                  <w:noWrap w:val="0"/>
                  <w:tcMar>
                    <w:top w:w="85" w:type="dxa"/>
                    <w:bottom w:w="85" w:type="dxa"/>
                  </w:tcMar>
                  <w:vAlign w:val="center"/>
                </w:tcPr>
                <w:p>
                  <w:pPr>
                    <w:keepNext w:val="0"/>
                    <w:keepLines w:val="0"/>
                    <w:pageBreakBefore w:val="0"/>
                    <w:widowControl w:val="0"/>
                    <w:tabs>
                      <w:tab w:val="left" w:pos="540"/>
                    </w:tabs>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vertAlign w:val="baseline"/>
                      <w:lang w:val="zh-CN" w:eastAsia="zh-CN" w:bidi="ar-SA"/>
                    </w:rPr>
                  </w:pPr>
                  <w:r>
                    <w:rPr>
                      <w:rFonts w:hint="default" w:ascii="Times New Roman" w:hAnsi="Times New Roman" w:cs="Times New Roman"/>
                      <w:color w:val="auto"/>
                      <w:sz w:val="18"/>
                      <w:szCs w:val="18"/>
                      <w:vertAlign w:val="baseline"/>
                      <w:lang w:eastAsia="zh-CN"/>
                    </w:rPr>
                    <w:t>总投资</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cs="Times New Roman" w:eastAsiaTheme="majorEastAsia"/>
                      <w:snapToGrid w:val="0"/>
                      <w:color w:val="auto"/>
                      <w:kern w:val="0"/>
                      <w:sz w:val="18"/>
                      <w:szCs w:val="18"/>
                      <w:highlight w:val="none"/>
                      <w:lang w:val="en-US" w:eastAsia="zh-CN"/>
                    </w:rPr>
                  </w:pPr>
                  <w:r>
                    <w:rPr>
                      <w:rFonts w:hint="default" w:ascii="Times New Roman" w:hAnsi="Times New Roman" w:cs="Times New Roman" w:eastAsiaTheme="majorEastAsia"/>
                      <w:snapToGrid w:val="0"/>
                      <w:color w:val="auto"/>
                      <w:kern w:val="0"/>
                      <w:sz w:val="18"/>
                      <w:szCs w:val="18"/>
                      <w:highlight w:val="none"/>
                      <w:lang w:val="en-US" w:eastAsia="zh-CN"/>
                    </w:rPr>
                    <w:t>100万元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69" w:type="pct"/>
                  <w:gridSpan w:val="2"/>
                  <w:shd w:val="clear" w:color="auto" w:fill="auto"/>
                  <w:noWrap w:val="0"/>
                  <w:tcMar>
                    <w:top w:w="85" w:type="dxa"/>
                    <w:bottom w:w="85" w:type="dxa"/>
                  </w:tcMar>
                  <w:vAlign w:val="center"/>
                </w:tcPr>
                <w:p>
                  <w:pPr>
                    <w:keepNext w:val="0"/>
                    <w:keepLines w:val="0"/>
                    <w:pageBreakBefore w:val="0"/>
                    <w:widowControl w:val="0"/>
                    <w:tabs>
                      <w:tab w:val="left" w:pos="540"/>
                    </w:tabs>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vertAlign w:val="baseline"/>
                      <w:lang w:val="zh-CN" w:eastAsia="zh-CN" w:bidi="ar-SA"/>
                    </w:rPr>
                  </w:pPr>
                  <w:r>
                    <w:rPr>
                      <w:rFonts w:hint="default" w:ascii="Times New Roman" w:hAnsi="Times New Roman" w:cs="Times New Roman"/>
                      <w:color w:val="auto"/>
                      <w:sz w:val="18"/>
                      <w:szCs w:val="18"/>
                      <w:vertAlign w:val="baseline"/>
                      <w:lang w:eastAsia="zh-CN"/>
                    </w:rPr>
                    <w:t>环保投资</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cs="Times New Roman" w:eastAsiaTheme="majorEastAsia"/>
                      <w:snapToGrid w:val="0"/>
                      <w:color w:val="auto"/>
                      <w:kern w:val="0"/>
                      <w:sz w:val="18"/>
                      <w:szCs w:val="18"/>
                      <w:highlight w:val="none"/>
                      <w:lang w:val="en-US" w:eastAsia="zh-CN"/>
                    </w:rPr>
                  </w:pPr>
                  <w:r>
                    <w:rPr>
                      <w:rFonts w:hint="default" w:ascii="Times New Roman" w:hAnsi="Times New Roman" w:cs="Times New Roman" w:eastAsiaTheme="majorEastAsia"/>
                      <w:snapToGrid w:val="0"/>
                      <w:color w:val="auto"/>
                      <w:kern w:val="0"/>
                      <w:sz w:val="18"/>
                      <w:szCs w:val="18"/>
                      <w:highlight w:val="none"/>
                      <w:lang w:val="en-US" w:eastAsia="zh-CN"/>
                    </w:rPr>
                    <w:t>3万元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69" w:type="pct"/>
                  <w:gridSpan w:val="2"/>
                  <w:shd w:val="clear" w:color="auto" w:fill="auto"/>
                  <w:noWrap w:val="0"/>
                  <w:tcMar>
                    <w:top w:w="85" w:type="dxa"/>
                    <w:bottom w:w="85" w:type="dxa"/>
                  </w:tcMar>
                  <w:vAlign w:val="center"/>
                </w:tcPr>
                <w:p>
                  <w:pPr>
                    <w:keepNext w:val="0"/>
                    <w:keepLines w:val="0"/>
                    <w:pageBreakBefore w:val="0"/>
                    <w:widowControl w:val="0"/>
                    <w:tabs>
                      <w:tab w:val="left" w:pos="540"/>
                    </w:tabs>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vertAlign w:val="baseline"/>
                      <w:lang w:val="zh-CN" w:eastAsia="zh-CN" w:bidi="ar-SA"/>
                    </w:rPr>
                  </w:pPr>
                  <w:r>
                    <w:rPr>
                      <w:rFonts w:hint="default" w:ascii="Times New Roman" w:hAnsi="Times New Roman" w:cs="Times New Roman"/>
                      <w:color w:val="auto"/>
                      <w:sz w:val="18"/>
                      <w:szCs w:val="18"/>
                      <w:vertAlign w:val="baseline"/>
                      <w:lang w:eastAsia="zh-CN"/>
                    </w:rPr>
                    <w:t>厂址位置</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cs="Times New Roman" w:eastAsiaTheme="majorEastAsia"/>
                      <w:snapToGrid w:val="0"/>
                      <w:color w:val="auto"/>
                      <w:kern w:val="0"/>
                      <w:sz w:val="18"/>
                      <w:szCs w:val="18"/>
                      <w:highlight w:val="none"/>
                      <w:lang w:val="zh-CN"/>
                    </w:rPr>
                  </w:pPr>
                  <w:r>
                    <w:rPr>
                      <w:rFonts w:hint="default" w:ascii="Times New Roman" w:hAnsi="Times New Roman" w:cs="Times New Roman" w:eastAsiaTheme="majorEastAsia"/>
                      <w:snapToGrid w:val="0"/>
                      <w:color w:val="auto"/>
                      <w:kern w:val="0"/>
                      <w:sz w:val="18"/>
                      <w:szCs w:val="18"/>
                      <w:highlight w:val="none"/>
                      <w:lang w:val="zh-CN"/>
                    </w:rPr>
                    <w:t>新乡市凤泉区大块镇小块村西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69" w:type="pct"/>
                  <w:gridSpan w:val="2"/>
                  <w:shd w:val="clear" w:color="auto" w:fill="auto"/>
                  <w:noWrap w:val="0"/>
                  <w:tcMar>
                    <w:top w:w="85" w:type="dxa"/>
                    <w:bottom w:w="85" w:type="dxa"/>
                  </w:tcMar>
                  <w:vAlign w:val="center"/>
                </w:tcPr>
                <w:p>
                  <w:pPr>
                    <w:keepNext w:val="0"/>
                    <w:keepLines w:val="0"/>
                    <w:pageBreakBefore w:val="0"/>
                    <w:widowControl w:val="0"/>
                    <w:tabs>
                      <w:tab w:val="left" w:pos="540"/>
                    </w:tabs>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vertAlign w:val="baseline"/>
                      <w:lang w:val="zh-CN" w:eastAsia="zh-CN" w:bidi="ar-SA"/>
                    </w:rPr>
                  </w:pPr>
                  <w:r>
                    <w:rPr>
                      <w:rFonts w:hint="default" w:ascii="Times New Roman" w:hAnsi="Times New Roman" w:cs="Times New Roman"/>
                      <w:color w:val="auto"/>
                      <w:sz w:val="18"/>
                      <w:szCs w:val="18"/>
                      <w:vertAlign w:val="baseline"/>
                      <w:lang w:eastAsia="zh-CN"/>
                    </w:rPr>
                    <w:t>占地面积</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cs="Times New Roman" w:eastAsiaTheme="majorEastAsia"/>
                      <w:snapToGrid w:val="0"/>
                      <w:color w:val="auto"/>
                      <w:kern w:val="0"/>
                      <w:sz w:val="18"/>
                      <w:szCs w:val="18"/>
                      <w:highlight w:val="none"/>
                      <w:lang w:val="en-US" w:eastAsia="zh-CN"/>
                    </w:rPr>
                  </w:pPr>
                  <w:r>
                    <w:rPr>
                      <w:rFonts w:hint="default" w:ascii="Times New Roman" w:hAnsi="Times New Roman" w:cs="Times New Roman" w:eastAsiaTheme="majorEastAsia"/>
                      <w:snapToGrid w:val="0"/>
                      <w:color w:val="auto"/>
                      <w:kern w:val="0"/>
                      <w:sz w:val="18"/>
                      <w:szCs w:val="18"/>
                      <w:highlight w:val="none"/>
                      <w:lang w:val="en-US" w:eastAsia="zh-CN"/>
                    </w:rPr>
                    <w:t>2000平方米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69" w:type="pct"/>
                  <w:gridSpan w:val="2"/>
                  <w:shd w:val="clear" w:color="auto" w:fill="auto"/>
                  <w:noWrap w:val="0"/>
                  <w:tcMar>
                    <w:top w:w="85" w:type="dxa"/>
                    <w:bottom w:w="85" w:type="dxa"/>
                  </w:tcMar>
                  <w:vAlign w:val="center"/>
                </w:tcPr>
                <w:p>
                  <w:pPr>
                    <w:keepNext w:val="0"/>
                    <w:keepLines w:val="0"/>
                    <w:pageBreakBefore w:val="0"/>
                    <w:widowControl w:val="0"/>
                    <w:tabs>
                      <w:tab w:val="left" w:pos="540"/>
                    </w:tabs>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vertAlign w:val="baseline"/>
                      <w:lang w:val="zh-CN" w:eastAsia="zh-CN" w:bidi="ar-SA"/>
                    </w:rPr>
                  </w:pPr>
                  <w:r>
                    <w:rPr>
                      <w:rFonts w:hint="default" w:ascii="Times New Roman" w:hAnsi="Times New Roman" w:cs="Times New Roman"/>
                      <w:color w:val="auto"/>
                      <w:sz w:val="18"/>
                      <w:szCs w:val="18"/>
                      <w:vertAlign w:val="baseline"/>
                      <w:lang w:eastAsia="zh-CN"/>
                    </w:rPr>
                    <w:t>建设规模</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cs="Times New Roman" w:eastAsiaTheme="majorEastAsia"/>
                      <w:snapToGrid w:val="0"/>
                      <w:color w:val="auto"/>
                      <w:kern w:val="0"/>
                      <w:sz w:val="18"/>
                      <w:szCs w:val="18"/>
                      <w:highlight w:val="none"/>
                      <w:lang w:val="zh-CN"/>
                    </w:rPr>
                  </w:pPr>
                  <w:r>
                    <w:rPr>
                      <w:rFonts w:hint="default" w:ascii="Times New Roman" w:hAnsi="Times New Roman" w:cs="Times New Roman" w:eastAsiaTheme="minorEastAsia"/>
                      <w:color w:val="auto"/>
                      <w:sz w:val="18"/>
                      <w:szCs w:val="18"/>
                      <w:highlight w:val="none"/>
                      <w:lang w:val="en-US" w:eastAsia="zh-CN"/>
                    </w:rPr>
                    <w:t>年产锂电池密封圈1亿只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tblHeader/>
                <w:jc w:val="center"/>
              </w:trPr>
              <w:tc>
                <w:tcPr>
                  <w:tcW w:w="826"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lang w:val="zh-CN"/>
                    </w:rPr>
                    <w:t>主体工程</w:t>
                  </w: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cs="Times New Roman" w:eastAsiaTheme="majorEastAsia"/>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en-US" w:eastAsia="zh-CN"/>
                    </w:rPr>
                    <w:t>1#</w:t>
                  </w:r>
                  <w:r>
                    <w:rPr>
                      <w:rFonts w:hint="default" w:ascii="Times New Roman" w:hAnsi="Times New Roman" w:cs="Times New Roman"/>
                      <w:snapToGrid w:val="0"/>
                      <w:color w:val="auto"/>
                      <w:kern w:val="0"/>
                      <w:sz w:val="18"/>
                      <w:szCs w:val="18"/>
                      <w:highlight w:val="none"/>
                      <w:lang w:eastAsia="zh-CN"/>
                    </w:rPr>
                    <w:t>车间</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cs="Times New Roman" w:eastAsiaTheme="majorEastAsia"/>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1F，砖混结构，建筑面积260</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，主要建设4条电池密封圈生产线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rPr>
                  </w:pP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2#</w:t>
                  </w:r>
                  <w:r>
                    <w:rPr>
                      <w:rFonts w:hint="default" w:ascii="Times New Roman" w:hAnsi="Times New Roman" w:cs="Times New Roman"/>
                      <w:snapToGrid w:val="0"/>
                      <w:color w:val="auto"/>
                      <w:kern w:val="0"/>
                      <w:sz w:val="18"/>
                      <w:szCs w:val="18"/>
                      <w:highlight w:val="none"/>
                      <w:lang w:eastAsia="zh-CN"/>
                    </w:rPr>
                    <w:t>车间</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1F，砖混结构，建筑面积480</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，预留车间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辅助工程</w:t>
                  </w: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办公楼</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1F，砖混结构，建筑面积165m</w:t>
                  </w:r>
                  <w:r>
                    <w:rPr>
                      <w:rFonts w:hint="default" w:ascii="Times New Roman" w:hAnsi="Times New Roman" w:cs="Times New Roman"/>
                      <w:snapToGrid w:val="0"/>
                      <w:color w:val="auto"/>
                      <w:kern w:val="0"/>
                      <w:sz w:val="18"/>
                      <w:szCs w:val="18"/>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cs="Times New Roman"/>
                      <w:snapToGrid w:val="0"/>
                      <w:color w:val="auto"/>
                      <w:kern w:val="0"/>
                      <w:sz w:val="18"/>
                      <w:szCs w:val="18"/>
                      <w:highlight w:val="none"/>
                      <w:lang w:val="zh-CN"/>
                    </w:rPr>
                  </w:pP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门卫室</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1F，砖混结构，建筑面积40m</w:t>
                  </w:r>
                  <w:r>
                    <w:rPr>
                      <w:rFonts w:hint="default" w:ascii="Times New Roman" w:hAnsi="Times New Roman" w:cs="Times New Roman"/>
                      <w:snapToGrid w:val="0"/>
                      <w:color w:val="auto"/>
                      <w:kern w:val="0"/>
                      <w:sz w:val="18"/>
                      <w:szCs w:val="18"/>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lang w:val="zh-CN"/>
                    </w:rPr>
                    <w:t>公用工程</w:t>
                  </w: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供水工程</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t>厂区自备井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排水工程</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snapToGrid w:val="0"/>
                      <w:color w:val="auto"/>
                      <w:kern w:val="0"/>
                      <w:sz w:val="18"/>
                      <w:szCs w:val="18"/>
                      <w:highlight w:val="none"/>
                    </w:rPr>
                    <w:t>生活污水采用化粪池处理后</w:t>
                  </w:r>
                  <w:r>
                    <w:rPr>
                      <w:rFonts w:hint="default" w:ascii="Times New Roman" w:hAnsi="Times New Roman" w:cs="Times New Roman"/>
                      <w:snapToGrid w:val="0"/>
                      <w:color w:val="auto"/>
                      <w:kern w:val="0"/>
                      <w:sz w:val="18"/>
                      <w:szCs w:val="18"/>
                      <w:highlight w:val="none"/>
                      <w:lang w:eastAsia="zh-CN"/>
                    </w:rPr>
                    <w:t>，定期清运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val="zh-CN"/>
                    </w:rPr>
                  </w:pPr>
                  <w:r>
                    <w:rPr>
                      <w:rFonts w:hint="default" w:ascii="Times New Roman" w:hAnsi="Times New Roman" w:eastAsia="宋体" w:cs="Times New Roman"/>
                      <w:snapToGrid w:val="0"/>
                      <w:color w:val="auto"/>
                      <w:kern w:val="0"/>
                      <w:sz w:val="18"/>
                      <w:szCs w:val="18"/>
                      <w:highlight w:val="none"/>
                      <w:lang w:val="zh-CN"/>
                    </w:rPr>
                    <w:t>供电工程</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zh-CN" w:eastAsia="zh-CN" w:bidi="ar-SA"/>
                    </w:rPr>
                  </w:pPr>
                  <w:r>
                    <w:rPr>
                      <w:rFonts w:hint="default" w:ascii="Times New Roman" w:hAnsi="Times New Roman" w:cs="Times New Roman"/>
                      <w:snapToGrid w:val="0"/>
                      <w:color w:val="auto"/>
                      <w:kern w:val="0"/>
                      <w:sz w:val="18"/>
                      <w:szCs w:val="18"/>
                      <w:highlight w:val="none"/>
                      <w:lang w:val="zh-CN"/>
                    </w:rPr>
                    <w:t>当地供电</w:t>
                  </w:r>
                  <w:r>
                    <w:rPr>
                      <w:rFonts w:hint="default" w:ascii="Times New Roman" w:hAnsi="Times New Roman" w:eastAsia="宋体" w:cs="Times New Roman"/>
                      <w:snapToGrid w:val="0"/>
                      <w:color w:val="auto"/>
                      <w:kern w:val="0"/>
                      <w:sz w:val="18"/>
                      <w:szCs w:val="18"/>
                      <w:highlight w:val="none"/>
                      <w:lang w:val="zh-CN"/>
                    </w:rPr>
                    <w:t>电网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lang w:val="zh-CN"/>
                    </w:rPr>
                    <w:t>环保工程</w:t>
                  </w: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废气</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注塑工序废气：集气罩+UV光催化氧化+</w:t>
                  </w:r>
                  <w:r>
                    <w:rPr>
                      <w:rFonts w:hint="eastAsia" w:ascii="Times New Roman" w:hAnsi="Times New Roman" w:cs="Times New Roman"/>
                      <w:snapToGrid w:val="0"/>
                      <w:color w:val="auto"/>
                      <w:kern w:val="0"/>
                      <w:sz w:val="18"/>
                      <w:szCs w:val="18"/>
                      <w:highlight w:val="none"/>
                      <w:lang w:val="en-US" w:eastAsia="zh-CN" w:bidi="ar-SA"/>
                    </w:rPr>
                    <w:t>低温等离子</w:t>
                  </w:r>
                  <w:r>
                    <w:rPr>
                      <w:rFonts w:hint="default" w:ascii="Times New Roman" w:hAnsi="Times New Roman" w:cs="Times New Roman"/>
                      <w:snapToGrid w:val="0"/>
                      <w:color w:val="auto"/>
                      <w:kern w:val="0"/>
                      <w:sz w:val="18"/>
                      <w:szCs w:val="18"/>
                      <w:highlight w:val="none"/>
                      <w:lang w:val="en-US" w:eastAsia="zh-CN" w:bidi="ar-SA"/>
                    </w:rPr>
                    <w:t>+15m高排气筒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842" w:type="pct"/>
                  <w:vMerge w:val="restar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废水</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生活污水经厂区内2m</w:t>
                  </w:r>
                  <w:r>
                    <w:rPr>
                      <w:rFonts w:hint="default" w:ascii="Times New Roman" w:hAnsi="Times New Roman" w:cs="Times New Roman"/>
                      <w:snapToGrid w:val="0"/>
                      <w:color w:val="auto"/>
                      <w:kern w:val="0"/>
                      <w:sz w:val="18"/>
                      <w:szCs w:val="18"/>
                      <w:highlight w:val="none"/>
                      <w:vertAlign w:val="superscript"/>
                      <w:lang w:val="en-US" w:eastAsia="zh-CN" w:bidi="ar-SA"/>
                    </w:rPr>
                    <w:t>3</w:t>
                  </w:r>
                  <w:r>
                    <w:rPr>
                      <w:rFonts w:hint="default" w:ascii="Times New Roman" w:hAnsi="Times New Roman" w:cs="Times New Roman"/>
                      <w:snapToGrid w:val="0"/>
                      <w:color w:val="auto"/>
                      <w:kern w:val="0"/>
                      <w:sz w:val="18"/>
                      <w:szCs w:val="18"/>
                      <w:highlight w:val="none"/>
                      <w:lang w:val="en-US" w:eastAsia="zh-CN" w:bidi="ar-SA"/>
                    </w:rPr>
                    <w:t>化粪池处理后，定期清运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842"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rPr>
                  </w:pP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产品间接冷却废水经设置恒温水罐储存后，循环使用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val="zh-CN"/>
                    </w:rPr>
                  </w:pP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固废</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生产过程废料和检验过程不合格品经配套破碎机破碎后直接回用于生产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6" w:type="pct"/>
                  <w:vMerge w:val="continue"/>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cyan"/>
                      <w:lang w:val="zh-CN"/>
                    </w:rPr>
                  </w:pPr>
                </w:p>
              </w:tc>
              <w:tc>
                <w:tcPr>
                  <w:tcW w:w="842"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噪声</w:t>
                  </w:r>
                </w:p>
              </w:tc>
              <w:tc>
                <w:tcPr>
                  <w:tcW w:w="3330" w:type="pct"/>
                  <w:shd w:val="clear" w:color="auto" w:fill="auto"/>
                  <w:noWrap w:val="0"/>
                  <w:tcMar>
                    <w:top w:w="85" w:type="dxa"/>
                    <w:bottom w:w="85" w:type="dxa"/>
                  </w:tcMar>
                  <w:vAlign w:val="center"/>
                </w:tcPr>
                <w:p>
                  <w:pPr>
                    <w:keepNext w:val="0"/>
                    <w:keepLines w:val="0"/>
                    <w:pageBreakBefore w:val="0"/>
                    <w:widowControl w:val="0"/>
                    <w:kinsoku/>
                    <w:wordWrap/>
                    <w:overflowPunct/>
                    <w:topLinePunct/>
                    <w:autoSpaceDE/>
                    <w:autoSpaceDN/>
                    <w:bidi w:val="0"/>
                    <w:adjustRightInd/>
                    <w:snapToGrid/>
                    <w:spacing w:line="240" w:lineRule="exact"/>
                    <w:jc w:val="left"/>
                    <w:textAlignment w:val="auto"/>
                    <w:rPr>
                      <w:rFonts w:hint="default" w:ascii="Times New Roman" w:hAnsi="Times New Roman" w:eastAsia="宋体" w:cs="Times New Roman"/>
                      <w:snapToGrid w:val="0"/>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val="zh-CN"/>
                    </w:rPr>
                    <w:t>设备噪声</w:t>
                  </w:r>
                  <w:r>
                    <w:rPr>
                      <w:rFonts w:hint="default" w:ascii="Times New Roman" w:hAnsi="Times New Roman" w:eastAsia="宋体" w:cs="Times New Roman"/>
                      <w:snapToGrid w:val="0"/>
                      <w:color w:val="auto"/>
                      <w:kern w:val="0"/>
                      <w:sz w:val="18"/>
                      <w:szCs w:val="18"/>
                      <w:highlight w:val="none"/>
                      <w:lang w:val="zh-CN"/>
                    </w:rPr>
                    <w:t>采取室内布置、减振基础等措施</w:t>
                  </w:r>
                </w:p>
              </w:tc>
            </w:tr>
          </w:tbl>
          <w:p>
            <w:pPr>
              <w:keepNext w:val="0"/>
              <w:keepLines w:val="0"/>
              <w:pageBreakBefore w:val="0"/>
              <w:widowControl w:val="0"/>
              <w:tabs>
                <w:tab w:val="left" w:pos="540"/>
              </w:tabs>
              <w:kinsoku/>
              <w:wordWrap/>
              <w:overflowPunct/>
              <w:topLinePunct w:val="0"/>
              <w:autoSpaceDE/>
              <w:autoSpaceDN/>
              <w:bidi w:val="0"/>
              <w:adjustRightInd/>
              <w:snapToGrid/>
              <w:spacing w:line="360" w:lineRule="auto"/>
              <w:ind w:left="0" w:leftChars="0" w:firstLine="422" w:firstLineChars="20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、现有工程产品方案、原辅料及</w:t>
            </w:r>
            <w:r>
              <w:rPr>
                <w:rFonts w:hint="default" w:ascii="Times New Roman" w:hAnsi="Times New Roman" w:cs="Times New Roman"/>
                <w:b/>
                <w:bCs/>
                <w:color w:val="auto"/>
                <w:sz w:val="21"/>
                <w:szCs w:val="21"/>
                <w:lang w:eastAsia="zh-CN"/>
              </w:rPr>
              <w:t>能源</w:t>
            </w:r>
            <w:r>
              <w:rPr>
                <w:rFonts w:hint="default" w:ascii="Times New Roman" w:hAnsi="Times New Roman" w:cs="Times New Roman"/>
                <w:b/>
                <w:bCs/>
                <w:color w:val="auto"/>
                <w:sz w:val="21"/>
                <w:szCs w:val="21"/>
              </w:rPr>
              <w:t>消耗情况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现有工程产品方案见表</w:t>
            </w:r>
            <w:r>
              <w:rPr>
                <w:rFonts w:hint="eastAsia" w:cs="Times New Roman"/>
                <w:color w:val="auto"/>
                <w:sz w:val="21"/>
                <w:szCs w:val="21"/>
                <w:lang w:val="en-US" w:eastAsia="zh-CN"/>
              </w:rPr>
              <w:t>20</w:t>
            </w:r>
            <w:r>
              <w:rPr>
                <w:rFonts w:hint="default" w:ascii="Times New Roman" w:hAnsi="Times New Roman" w:cs="Times New Roman"/>
                <w:color w:val="auto"/>
                <w:sz w:val="21"/>
                <w:szCs w:val="21"/>
              </w:rPr>
              <w:t>，原辅材料及</w:t>
            </w:r>
            <w:r>
              <w:rPr>
                <w:rFonts w:hint="default" w:ascii="Times New Roman" w:hAnsi="Times New Roman" w:cs="Times New Roman"/>
                <w:color w:val="auto"/>
                <w:sz w:val="21"/>
                <w:szCs w:val="21"/>
                <w:lang w:eastAsia="zh-CN"/>
              </w:rPr>
              <w:t>能源</w:t>
            </w:r>
            <w:r>
              <w:rPr>
                <w:rFonts w:hint="default" w:ascii="Times New Roman" w:hAnsi="Times New Roman" w:cs="Times New Roman"/>
                <w:color w:val="auto"/>
                <w:sz w:val="21"/>
                <w:szCs w:val="21"/>
              </w:rPr>
              <w:t>消耗情况见表</w:t>
            </w:r>
            <w:r>
              <w:rPr>
                <w:rFonts w:hint="eastAsia" w:cs="Times New Roman"/>
                <w:color w:val="auto"/>
                <w:sz w:val="21"/>
                <w:szCs w:val="21"/>
                <w:lang w:val="en-US" w:eastAsia="zh-CN"/>
              </w:rPr>
              <w:t>21</w:t>
            </w:r>
            <w:r>
              <w:rPr>
                <w:rFonts w:hint="default" w:ascii="Times New Roman" w:hAnsi="Times New Roman" w:cs="Times New Roman"/>
                <w:color w:val="auto"/>
                <w:sz w:val="21"/>
                <w:szCs w:val="21"/>
              </w:rPr>
              <w:t>。</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现有工程产品方案</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495"/>
              <w:gridCol w:w="2049"/>
              <w:gridCol w:w="34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序号</w:t>
                  </w:r>
                </w:p>
              </w:tc>
              <w:tc>
                <w:tcPr>
                  <w:tcW w:w="92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产品名称</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rPr>
                    <w:t>年</w:t>
                  </w:r>
                  <w:r>
                    <w:rPr>
                      <w:rFonts w:hint="default" w:ascii="Times New Roman" w:hAnsi="Times New Roman" w:cs="Times New Roman" w:eastAsiaTheme="majorEastAsia"/>
                      <w:color w:val="auto"/>
                      <w:sz w:val="18"/>
                      <w:szCs w:val="18"/>
                      <w:highlight w:val="none"/>
                      <w:lang w:eastAsia="zh-CN"/>
                    </w:rPr>
                    <w:t>生产规模（亿只</w:t>
                  </w:r>
                  <w:r>
                    <w:rPr>
                      <w:rFonts w:hint="default" w:ascii="Times New Roman" w:hAnsi="Times New Roman" w:cs="Times New Roman" w:eastAsiaTheme="majorEastAsia"/>
                      <w:color w:val="auto"/>
                      <w:sz w:val="18"/>
                      <w:szCs w:val="18"/>
                      <w:highlight w:val="none"/>
                      <w:lang w:val="en-US" w:eastAsia="zh-CN"/>
                    </w:rPr>
                    <w:t>/年</w:t>
                  </w:r>
                  <w:r>
                    <w:rPr>
                      <w:rFonts w:hint="default" w:ascii="Times New Roman" w:hAnsi="Times New Roman" w:cs="Times New Roman" w:eastAsiaTheme="majorEastAsia"/>
                      <w:color w:val="auto"/>
                      <w:sz w:val="18"/>
                      <w:szCs w:val="18"/>
                      <w:highlight w:val="none"/>
                      <w:lang w:eastAsia="zh-CN"/>
                    </w:rPr>
                    <w:t>）</w:t>
                  </w:r>
                </w:p>
              </w:tc>
              <w:tc>
                <w:tcPr>
                  <w:tcW w:w="21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w:t>
                  </w:r>
                </w:p>
              </w:tc>
              <w:tc>
                <w:tcPr>
                  <w:tcW w:w="920"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val="en-US" w:eastAsia="zh-CN" w:bidi="ar-SA"/>
                    </w:rPr>
                    <w:t>锂电池密封圈</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w:t>
                  </w:r>
                </w:p>
              </w:tc>
              <w:tc>
                <w:tcPr>
                  <w:tcW w:w="214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对电池起到密封作用；约为0.1~0.12g/个</w:t>
                  </w:r>
                </w:p>
              </w:tc>
            </w:tr>
          </w:tbl>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现有工程原辅材料及能耗情况一览表单位</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1214"/>
              <w:gridCol w:w="1414"/>
              <w:gridCol w:w="991"/>
              <w:gridCol w:w="34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72"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序号</w:t>
                  </w:r>
                </w:p>
              </w:tc>
              <w:tc>
                <w:tcPr>
                  <w:tcW w:w="747"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名称</w:t>
                  </w:r>
                </w:p>
              </w:tc>
              <w:tc>
                <w:tcPr>
                  <w:tcW w:w="870"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单位</w:t>
                  </w:r>
                </w:p>
              </w:tc>
              <w:tc>
                <w:tcPr>
                  <w:tcW w:w="610"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数量</w:t>
                  </w:r>
                </w:p>
              </w:tc>
              <w:tc>
                <w:tcPr>
                  <w:tcW w:w="2100"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w:t>
                  </w:r>
                </w:p>
              </w:tc>
              <w:tc>
                <w:tcPr>
                  <w:tcW w:w="1302"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rPr>
                    <w:t>PA66尼龙</w:t>
                  </w:r>
                </w:p>
              </w:tc>
              <w:tc>
                <w:tcPr>
                  <w:tcW w:w="1516"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t/a</w:t>
                  </w:r>
                </w:p>
              </w:tc>
              <w:tc>
                <w:tcPr>
                  <w:tcW w:w="1063"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12</w:t>
                  </w:r>
                </w:p>
              </w:tc>
              <w:tc>
                <w:tcPr>
                  <w:tcW w:w="3660"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颗粒状，外购，袋装；50kg/袋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2</w:t>
                  </w:r>
                </w:p>
              </w:tc>
              <w:tc>
                <w:tcPr>
                  <w:tcW w:w="1302"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rPr>
                    <w:t>包装袋</w:t>
                  </w:r>
                </w:p>
              </w:tc>
              <w:tc>
                <w:tcPr>
                  <w:tcW w:w="1516"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个/年</w:t>
                  </w:r>
                </w:p>
              </w:tc>
              <w:tc>
                <w:tcPr>
                  <w:tcW w:w="1063"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1500</w:t>
                  </w:r>
                </w:p>
              </w:tc>
              <w:tc>
                <w:tcPr>
                  <w:tcW w:w="3660"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8kg/袋；用于产品包装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3</w:t>
                  </w:r>
                </w:p>
              </w:tc>
              <w:tc>
                <w:tcPr>
                  <w:tcW w:w="1302"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rPr>
                    <w:t>液压油</w:t>
                  </w:r>
                </w:p>
              </w:tc>
              <w:tc>
                <w:tcPr>
                  <w:tcW w:w="1516"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t/a</w:t>
                  </w:r>
                </w:p>
              </w:tc>
              <w:tc>
                <w:tcPr>
                  <w:tcW w:w="1063"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0.02</w:t>
                  </w:r>
                </w:p>
              </w:tc>
              <w:tc>
                <w:tcPr>
                  <w:tcW w:w="3660"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rPr>
                    <w:t>根据需要1~2年添加一次，无需更换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3</w:t>
                  </w:r>
                </w:p>
              </w:tc>
              <w:tc>
                <w:tcPr>
                  <w:tcW w:w="747"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水</w:t>
                  </w:r>
                </w:p>
              </w:tc>
              <w:tc>
                <w:tcPr>
                  <w:tcW w:w="870"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m</w:t>
                  </w:r>
                  <w:r>
                    <w:rPr>
                      <w:rFonts w:hint="default" w:ascii="Times New Roman" w:hAnsi="Times New Roman" w:cs="Times New Roman" w:eastAsiaTheme="minorEastAsia"/>
                      <w:color w:val="auto"/>
                      <w:sz w:val="18"/>
                      <w:szCs w:val="18"/>
                      <w:highlight w:val="none"/>
                      <w:vertAlign w:val="superscript"/>
                      <w:lang w:val="en-US" w:eastAsia="zh-CN"/>
                    </w:rPr>
                    <w:t>3</w:t>
                  </w:r>
                  <w:r>
                    <w:rPr>
                      <w:rFonts w:hint="default" w:ascii="Times New Roman" w:hAnsi="Times New Roman" w:cs="Times New Roman" w:eastAsiaTheme="minorEastAsia"/>
                      <w:color w:val="auto"/>
                      <w:sz w:val="18"/>
                      <w:szCs w:val="18"/>
                      <w:highlight w:val="none"/>
                      <w:lang w:val="en-US" w:eastAsia="zh-CN"/>
                    </w:rPr>
                    <w:t>/a</w:t>
                  </w:r>
                </w:p>
              </w:tc>
              <w:tc>
                <w:tcPr>
                  <w:tcW w:w="610"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45</w:t>
                  </w:r>
                </w:p>
              </w:tc>
              <w:tc>
                <w:tcPr>
                  <w:tcW w:w="3660"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bidi="ar-SA"/>
                    </w:rPr>
                  </w:pPr>
                  <w:r>
                    <w:rPr>
                      <w:rFonts w:hint="default" w:ascii="Times New Roman" w:hAnsi="Times New Roman" w:cs="Times New Roman"/>
                      <w:color w:val="auto"/>
                      <w:sz w:val="18"/>
                      <w:szCs w:val="18"/>
                      <w:highlight w:val="none"/>
                    </w:rPr>
                    <w:t>厂区自备井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4</w:t>
                  </w:r>
                </w:p>
              </w:tc>
              <w:tc>
                <w:tcPr>
                  <w:tcW w:w="747"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电</w:t>
                  </w:r>
                </w:p>
              </w:tc>
              <w:tc>
                <w:tcPr>
                  <w:tcW w:w="870"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万kWh</w:t>
                  </w:r>
                </w:p>
              </w:tc>
              <w:tc>
                <w:tcPr>
                  <w:tcW w:w="610" w:type="pct"/>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9</w:t>
                  </w:r>
                </w:p>
              </w:tc>
              <w:tc>
                <w:tcPr>
                  <w:tcW w:w="3660" w:type="dxa"/>
                  <w:vAlign w:val="center"/>
                </w:tcPr>
                <w:p>
                  <w:pPr>
                    <w:spacing w:line="240" w:lineRule="exact"/>
                    <w:jc w:val="center"/>
                    <w:rPr>
                      <w:rFonts w:hint="default" w:ascii="Times New Roman" w:hAnsi="Times New Roman" w:cs="Times New Roman" w:eastAsiaTheme="minorEastAsia"/>
                      <w:color w:val="auto"/>
                      <w:sz w:val="18"/>
                      <w:szCs w:val="18"/>
                      <w:highlight w:val="none"/>
                      <w:lang w:val="en-US" w:eastAsia="zh-CN" w:bidi="ar-SA"/>
                    </w:rPr>
                  </w:pPr>
                  <w:r>
                    <w:rPr>
                      <w:rFonts w:hint="default" w:ascii="Times New Roman" w:hAnsi="Times New Roman" w:cs="Times New Roman"/>
                      <w:color w:val="auto"/>
                      <w:sz w:val="18"/>
                      <w:szCs w:val="18"/>
                      <w:highlight w:val="none"/>
                    </w:rPr>
                    <w:t>当地电网</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现有工程主要设备及设施</w:t>
            </w:r>
          </w:p>
          <w:p>
            <w:pPr>
              <w:pStyle w:val="5"/>
              <w:keepNext w:val="0"/>
              <w:keepLines w:val="0"/>
              <w:pageBreakBefore w:val="0"/>
              <w:widowControl w:val="0"/>
              <w:numPr>
                <w:ilvl w:val="3"/>
                <w:numId w:val="0"/>
              </w:numPr>
              <w:kinsoku/>
              <w:wordWrap/>
              <w:overflowPunct/>
              <w:topLinePunct w:val="0"/>
              <w:autoSpaceDE/>
              <w:autoSpaceDN/>
              <w:bidi w:val="0"/>
              <w:adjustRightInd/>
              <w:snapToGrid/>
              <w:spacing w:before="0" w:after="0" w:line="360" w:lineRule="auto"/>
              <w:ind w:leftChars="0" w:firstLine="420" w:firstLineChars="20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现有工程主要生产设备见</w:t>
            </w:r>
            <w:r>
              <w:rPr>
                <w:rFonts w:hint="default" w:ascii="Times New Roman" w:hAnsi="Times New Roman" w:cs="Times New Roman"/>
                <w:b w:val="0"/>
                <w:bCs w:val="0"/>
                <w:color w:val="auto"/>
                <w:sz w:val="21"/>
                <w:szCs w:val="21"/>
                <w:lang w:eastAsia="zh-CN"/>
              </w:rPr>
              <w:t>下表：</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现有工程设备情况一览表</w:t>
            </w:r>
          </w:p>
          <w:tbl>
            <w:tblPr>
              <w:tblStyle w:val="1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931"/>
              <w:gridCol w:w="1495"/>
              <w:gridCol w:w="1840"/>
              <w:gridCol w:w="17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87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设备名称</w:t>
                  </w:r>
                </w:p>
              </w:tc>
              <w:tc>
                <w:tcPr>
                  <w:tcW w:w="9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型号</w:t>
                  </w:r>
                </w:p>
              </w:tc>
              <w:tc>
                <w:tcPr>
                  <w:tcW w:w="11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cyan"/>
                    </w:rPr>
                  </w:pPr>
                  <w:r>
                    <w:rPr>
                      <w:rFonts w:hint="default" w:ascii="Times New Roman" w:hAnsi="Times New Roman" w:cs="Times New Roman" w:eastAsiaTheme="majorEastAsia"/>
                      <w:color w:val="auto"/>
                      <w:sz w:val="18"/>
                      <w:szCs w:val="18"/>
                      <w:highlight w:val="none"/>
                    </w:rPr>
                    <w:t>数量</w:t>
                  </w:r>
                </w:p>
              </w:tc>
              <w:tc>
                <w:tcPr>
                  <w:tcW w:w="10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eastAsiaTheme="majorEastAsia"/>
                      <w:color w:val="auto"/>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8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现有工程</w:t>
                  </w:r>
                </w:p>
              </w:tc>
              <w:tc>
                <w:tcPr>
                  <w:tcW w:w="1188" w:type="pct"/>
                  <w:tcBorders>
                    <w:tl2br w:val="nil"/>
                    <w:tr2bl w:val="nil"/>
                  </w:tcBorders>
                  <w:vAlign w:val="center"/>
                </w:tcPr>
                <w:p>
                  <w:pPr>
                    <w:spacing w:line="240" w:lineRule="exact"/>
                    <w:jc w:val="center"/>
                    <w:rPr>
                      <w:rFonts w:hint="default" w:ascii="Times New Roman" w:hAnsi="Times New Roman" w:cs="Times New Roman" w:eastAsiaTheme="majorEastAsia"/>
                      <w:color w:val="auto"/>
                      <w:sz w:val="18"/>
                      <w:szCs w:val="18"/>
                      <w:highlight w:val="none"/>
                      <w:lang w:eastAsia="zh-CN"/>
                    </w:rPr>
                  </w:pPr>
                  <w:r>
                    <w:rPr>
                      <w:rFonts w:hint="default" w:ascii="Times New Roman" w:hAnsi="Times New Roman" w:cs="Times New Roman"/>
                      <w:color w:val="auto"/>
                      <w:sz w:val="18"/>
                      <w:szCs w:val="18"/>
                    </w:rPr>
                    <w:t>注塑机</w:t>
                  </w:r>
                </w:p>
              </w:tc>
              <w:tc>
                <w:tcPr>
                  <w:tcW w:w="920" w:type="pct"/>
                  <w:tcBorders>
                    <w:tl2br w:val="nil"/>
                    <w:tr2bl w:val="nil"/>
                  </w:tcBorders>
                  <w:vAlign w:val="center"/>
                </w:tcPr>
                <w:p>
                  <w:pPr>
                    <w:spacing w:line="240" w:lineRule="exact"/>
                    <w:jc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color w:val="auto"/>
                      <w:sz w:val="18"/>
                      <w:szCs w:val="18"/>
                    </w:rPr>
                    <w:t>MA900ǁ</w:t>
                  </w:r>
                </w:p>
              </w:tc>
              <w:tc>
                <w:tcPr>
                  <w:tcW w:w="11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4</w:t>
                  </w:r>
                </w:p>
              </w:tc>
              <w:tc>
                <w:tcPr>
                  <w:tcW w:w="1069" w:type="pct"/>
                  <w:tcBorders>
                    <w:tl2br w:val="nil"/>
                    <w:tr2bl w:val="nil"/>
                  </w:tcBorders>
                  <w:vAlign w:val="center"/>
                </w:tcPr>
                <w:p>
                  <w:pPr>
                    <w:spacing w:line="240" w:lineRule="exact"/>
                    <w:jc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color w:val="auto"/>
                      <w:sz w:val="18"/>
                      <w:szCs w:val="18"/>
                    </w:rPr>
                    <w:t>生产产品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rPr>
                  </w:pPr>
                </w:p>
              </w:tc>
              <w:tc>
                <w:tcPr>
                  <w:tcW w:w="1188" w:type="pct"/>
                  <w:tcBorders>
                    <w:tl2br w:val="nil"/>
                    <w:tr2bl w:val="nil"/>
                  </w:tcBorders>
                  <w:vAlign w:val="center"/>
                </w:tcPr>
                <w:p>
                  <w:pPr>
                    <w:spacing w:line="240" w:lineRule="exact"/>
                    <w:jc w:val="center"/>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color w:val="auto"/>
                      <w:sz w:val="18"/>
                      <w:szCs w:val="18"/>
                    </w:rPr>
                    <w:t>塑料筐</w:t>
                  </w:r>
                </w:p>
              </w:tc>
              <w:tc>
                <w:tcPr>
                  <w:tcW w:w="920" w:type="pct"/>
                  <w:tcBorders>
                    <w:tl2br w:val="nil"/>
                    <w:tr2bl w:val="nil"/>
                  </w:tcBorders>
                  <w:vAlign w:val="center"/>
                </w:tcPr>
                <w:p>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rPr>
                    <w:t>50</w:t>
                  </w:r>
                  <w:r>
                    <w:rPr>
                      <w:rFonts w:hint="default" w:ascii="Times New Roman" w:hAnsi="Times New Roman" w:cs="Times New Roman"/>
                      <w:color w:val="auto"/>
                      <w:sz w:val="18"/>
                      <w:szCs w:val="18"/>
                      <w:lang w:val="en-US" w:eastAsia="zh-CN"/>
                    </w:rPr>
                    <w:t>cm</w:t>
                  </w:r>
                  <w:r>
                    <w:rPr>
                      <w:rFonts w:hint="default" w:ascii="Times New Roman" w:hAnsi="Times New Roman" w:cs="Times New Roman"/>
                      <w:color w:val="auto"/>
                      <w:sz w:val="18"/>
                      <w:szCs w:val="18"/>
                    </w:rPr>
                    <w:t>×50</w:t>
                  </w:r>
                  <w:r>
                    <w:rPr>
                      <w:rFonts w:hint="default" w:ascii="Times New Roman" w:hAnsi="Times New Roman" w:cs="Times New Roman"/>
                      <w:color w:val="auto"/>
                      <w:sz w:val="18"/>
                      <w:szCs w:val="18"/>
                      <w:lang w:val="en-US" w:eastAsia="zh-CN"/>
                    </w:rPr>
                    <w:t>cm</w:t>
                  </w:r>
                </w:p>
              </w:tc>
              <w:tc>
                <w:tcPr>
                  <w:tcW w:w="11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eastAsiaTheme="majorEastAsia"/>
                      <w:color w:val="auto"/>
                      <w:sz w:val="18"/>
                      <w:szCs w:val="18"/>
                      <w:highlight w:val="none"/>
                      <w:lang w:val="en-US" w:eastAsia="zh-CN"/>
                    </w:rPr>
                    <w:t>4</w:t>
                  </w:r>
                </w:p>
              </w:tc>
              <w:tc>
                <w:tcPr>
                  <w:tcW w:w="1069" w:type="pct"/>
                  <w:tcBorders>
                    <w:tl2br w:val="nil"/>
                    <w:tr2bl w:val="nil"/>
                  </w:tcBorders>
                  <w:vAlign w:val="center"/>
                </w:tcPr>
                <w:p>
                  <w:pPr>
                    <w:spacing w:line="240" w:lineRule="exact"/>
                    <w:jc w:val="center"/>
                    <w:rPr>
                      <w:rFonts w:hint="default" w:ascii="Times New Roman" w:hAnsi="Times New Roman" w:cs="Times New Roman" w:eastAsiaTheme="majorEastAsia"/>
                      <w:color w:val="auto"/>
                      <w:sz w:val="18"/>
                      <w:szCs w:val="18"/>
                      <w:highlight w:val="none"/>
                      <w:lang w:val="en-US" w:eastAsia="zh-CN"/>
                    </w:rPr>
                  </w:pPr>
                  <w:r>
                    <w:rPr>
                      <w:rFonts w:hint="default" w:ascii="Times New Roman" w:hAnsi="Times New Roman" w:cs="Times New Roman"/>
                      <w:color w:val="auto"/>
                      <w:sz w:val="18"/>
                      <w:szCs w:val="18"/>
                    </w:rPr>
                    <w:t>盛装注塑机机械手吊出的废料</w:t>
                  </w:r>
                </w:p>
              </w:tc>
            </w:tr>
          </w:tbl>
          <w:p>
            <w:pPr>
              <w:keepNext w:val="0"/>
              <w:keepLines w:val="0"/>
              <w:pageBreakBefore w:val="0"/>
              <w:widowControl w:val="0"/>
              <w:numPr>
                <w:ilvl w:val="0"/>
                <w:numId w:val="0"/>
              </w:numPr>
              <w:kinsoku/>
              <w:wordWrap/>
              <w:topLinePunct w:val="0"/>
              <w:bidi w:val="0"/>
              <w:adjustRightInd/>
              <w:snapToGrid/>
              <w:spacing w:line="360" w:lineRule="auto"/>
              <w:ind w:leftChars="200"/>
              <w:jc w:val="left"/>
              <w:rPr>
                <w:rFonts w:hint="default" w:ascii="Times New Roman" w:hAnsi="Times New Roman" w:cs="Times New Roman"/>
                <w:b/>
                <w:bCs/>
                <w:color w:val="auto"/>
                <w:sz w:val="21"/>
                <w:szCs w:val="21"/>
                <w:lang w:val="en-US" w:eastAsia="zh-CN"/>
              </w:rPr>
            </w:pPr>
          </w:p>
          <w:p>
            <w:pPr>
              <w:pStyle w:val="2"/>
              <w:rPr>
                <w:rFonts w:hint="default" w:ascii="Times New Roman" w:hAnsi="Times New Roman" w:cs="Times New Roman"/>
                <w:b/>
                <w:bCs/>
                <w:color w:val="auto"/>
                <w:sz w:val="21"/>
                <w:szCs w:val="21"/>
                <w:lang w:val="en-US" w:eastAsia="zh-CN"/>
              </w:rPr>
            </w:pPr>
          </w:p>
          <w:p>
            <w:pPr>
              <w:rPr>
                <w:rFonts w:hint="default"/>
                <w:lang w:val="en-US" w:eastAsia="zh-CN"/>
              </w:rPr>
            </w:pPr>
          </w:p>
          <w:p>
            <w:pPr>
              <w:rPr>
                <w:rFonts w:hint="default" w:ascii="Times New Roman" w:hAnsi="Times New Roman" w:cs="Times New Roman"/>
                <w:b/>
                <w:bCs/>
                <w:color w:val="auto"/>
                <w:sz w:val="21"/>
                <w:szCs w:val="21"/>
                <w:lang w:val="en-US" w:eastAsia="zh-CN"/>
              </w:rPr>
            </w:pPr>
          </w:p>
          <w:p>
            <w:pPr>
              <w:pStyle w:val="2"/>
              <w:rPr>
                <w:rFonts w:hint="default" w:ascii="Times New Roman" w:hAnsi="Times New Roman" w:cs="Times New Roman"/>
                <w:b/>
                <w:bCs/>
                <w:color w:val="auto"/>
                <w:sz w:val="21"/>
                <w:szCs w:val="21"/>
                <w:lang w:val="en-US" w:eastAsia="zh-CN"/>
              </w:rPr>
            </w:pPr>
          </w:p>
          <w:p>
            <w:pPr>
              <w:rPr>
                <w:rFonts w:hint="default" w:ascii="Times New Roman" w:hAnsi="Times New Roman" w:cs="Times New Roman"/>
                <w:b/>
                <w:bCs/>
                <w:color w:val="auto"/>
                <w:sz w:val="21"/>
                <w:szCs w:val="21"/>
                <w:lang w:val="en-US" w:eastAsia="zh-CN"/>
              </w:rPr>
            </w:pPr>
          </w:p>
          <w:p>
            <w:pPr>
              <w:pStyle w:val="2"/>
              <w:rPr>
                <w:rFonts w:hint="default" w:ascii="Times New Roman" w:hAnsi="Times New Roman" w:cs="Times New Roman"/>
                <w:b/>
                <w:bCs/>
                <w:color w:val="auto"/>
                <w:sz w:val="21"/>
                <w:szCs w:val="21"/>
                <w:lang w:val="en-US" w:eastAsia="zh-CN"/>
              </w:rPr>
            </w:pPr>
          </w:p>
          <w:p>
            <w:pPr>
              <w:rPr>
                <w:rFonts w:hint="default" w:ascii="Times New Roman" w:hAnsi="Times New Roman" w:cs="Times New Roman"/>
                <w:b/>
                <w:bCs/>
                <w:color w:val="auto"/>
                <w:sz w:val="21"/>
                <w:szCs w:val="21"/>
                <w:lang w:val="en-US" w:eastAsia="zh-CN"/>
              </w:rPr>
            </w:pPr>
          </w:p>
          <w:p>
            <w:pPr>
              <w:pStyle w:val="2"/>
              <w:rPr>
                <w:rFonts w:hint="default"/>
                <w:lang w:val="en-US" w:eastAsia="zh-CN"/>
              </w:rPr>
            </w:pPr>
          </w:p>
          <w:p>
            <w:pPr>
              <w:pStyle w:val="2"/>
              <w:rPr>
                <w:rFonts w:hint="default" w:ascii="Times New Roman" w:hAnsi="Times New Roman" w:cs="Times New Roman"/>
                <w:b/>
                <w:bCs/>
                <w:color w:val="auto"/>
                <w:sz w:val="21"/>
                <w:szCs w:val="21"/>
                <w:lang w:val="en-US" w:eastAsia="zh-CN"/>
              </w:rPr>
            </w:pPr>
          </w:p>
          <w:p>
            <w:pPr>
              <w:rPr>
                <w:rFonts w:hint="default"/>
                <w:lang w:val="en-US" w:eastAsia="zh-CN"/>
              </w:rPr>
            </w:pPr>
          </w:p>
          <w:p>
            <w:pPr>
              <w:keepNext w:val="0"/>
              <w:keepLines w:val="0"/>
              <w:pageBreakBefore w:val="0"/>
              <w:widowControl w:val="0"/>
              <w:numPr>
                <w:ilvl w:val="0"/>
                <w:numId w:val="0"/>
              </w:numPr>
              <w:kinsoku/>
              <w:wordWrap/>
              <w:topLinePunct w:val="0"/>
              <w:bidi w:val="0"/>
              <w:adjustRightInd/>
              <w:snapToGrid/>
              <w:spacing w:line="360" w:lineRule="auto"/>
              <w:ind w:leftChars="200"/>
              <w:jc w:val="left"/>
              <w:rPr>
                <w:rFonts w:hint="default" w:ascii="Times New Roman" w:hAnsi="Times New Roman" w:cs="Times New Roman"/>
                <w:b/>
                <w:bCs/>
                <w:color w:val="auto"/>
                <w:sz w:val="21"/>
                <w:szCs w:val="21"/>
              </w:rPr>
            </w:pPr>
            <w:r>
              <w:rPr>
                <w:rFonts w:hint="default" w:ascii="Times New Roman" w:hAnsi="Times New Roman" w:cs="Times New Roman" w:eastAsiaTheme="majorEastAsia"/>
                <w:color w:val="auto"/>
                <w:sz w:val="21"/>
                <w:szCs w:val="21"/>
                <w:highlight w:val="none"/>
                <w:lang w:val="en-US" w:eastAsia="zh-CN"/>
              </w:rPr>
              <w:pict>
                <v:shape id="_x0000_s1044" o:spid="_x0000_s1044" o:spt="75" type="#_x0000_t75" style="position:absolute;left:0pt;margin-left:81pt;margin-top:18.2pt;height:231.35pt;width:243.05pt;z-index:251662336;mso-width-relative:page;mso-height-relative:page;" o:ole="t" filled="f" o:preferrelative="t" stroked="f" coordsize="21600,21600">
                  <v:path/>
                  <v:fill on="f" focussize="0,0"/>
                  <v:stroke on="f"/>
                  <v:imagedata r:id="rId15" croptop="7061f" o:title=""/>
                  <o:lock v:ext="edit" aspectratio="t"/>
                </v:shape>
                <o:OLEObject Type="Embed" ProgID="Visio.Drawing.15" ShapeID="_x0000_s1044" DrawAspect="Content" ObjectID="_1468075728" r:id="rId20">
                  <o:LockedField>false</o:LockedField>
                </o:OLEObject>
              </w:pict>
            </w:r>
            <w:r>
              <w:rPr>
                <w:rFonts w:hint="default"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现有工程生产工艺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color w:val="auto"/>
                <w:sz w:val="21"/>
                <w:szCs w:val="21"/>
                <w:highlight w:val="cyan"/>
                <w:lang w:eastAsia="zh-CN"/>
              </w:rPr>
            </w:pPr>
            <w:r>
              <w:rPr>
                <w:rFonts w:hint="default" w:ascii="Times New Roman" w:hAnsi="Times New Roman" w:eastAsia="宋体" w:cs="Times New Roman"/>
                <w:color w:val="auto"/>
                <w:sz w:val="21"/>
                <w:szCs w:val="21"/>
                <w:highlight w:val="cyan"/>
                <w:lang w:eastAsia="zh-CN"/>
              </w:rPr>
              <w:br w:type="textWrapping"/>
            </w:r>
            <w:r>
              <w:rPr>
                <w:rFonts w:hint="default" w:ascii="Times New Roman" w:hAnsi="Times New Roman" w:eastAsia="宋体" w:cs="Times New Roman"/>
                <w:color w:val="auto"/>
                <w:sz w:val="21"/>
                <w:szCs w:val="21"/>
                <w:highlight w:val="cyan"/>
                <w:lang w:eastAsia="zh-CN"/>
              </w:rPr>
              <w:br w:type="textWrapping"/>
            </w:r>
            <w:r>
              <w:rPr>
                <w:rFonts w:hint="default" w:ascii="Times New Roman" w:hAnsi="Times New Roman" w:eastAsia="宋体" w:cs="Times New Roman"/>
                <w:color w:val="auto"/>
                <w:sz w:val="21"/>
                <w:szCs w:val="21"/>
                <w:highlight w:val="cyan"/>
                <w:lang w:eastAsia="zh-CN"/>
              </w:rPr>
              <w:br w:type="textWrapping"/>
            </w:r>
            <w:r>
              <w:rPr>
                <w:rFonts w:hint="default" w:ascii="Times New Roman" w:hAnsi="Times New Roman" w:eastAsia="宋体" w:cs="Times New Roman"/>
                <w:color w:val="auto"/>
                <w:sz w:val="21"/>
                <w:szCs w:val="21"/>
                <w:highlight w:val="cyan"/>
                <w:lang w:eastAsia="zh-CN"/>
              </w:rPr>
              <w:br w:type="textWrapping"/>
            </w:r>
            <w:r>
              <w:rPr>
                <w:rFonts w:hint="default" w:ascii="Times New Roman" w:hAnsi="Times New Roman" w:eastAsia="宋体" w:cs="Times New Roman"/>
                <w:color w:val="auto"/>
                <w:sz w:val="21"/>
                <w:szCs w:val="21"/>
                <w:highlight w:val="cyan"/>
                <w:lang w:eastAsia="zh-CN"/>
              </w:rPr>
              <w:br w:type="textWrapping"/>
            </w:r>
            <w:r>
              <w:rPr>
                <w:rFonts w:hint="default" w:ascii="Times New Roman" w:hAnsi="Times New Roman" w:eastAsia="宋体" w:cs="Times New Roman"/>
                <w:color w:val="auto"/>
                <w:sz w:val="21"/>
                <w:szCs w:val="21"/>
                <w:highlight w:val="cyan"/>
                <w:lang w:eastAsia="zh-CN"/>
              </w:rPr>
              <w:br w:type="textWrapp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color w:val="auto"/>
                <w:sz w:val="21"/>
                <w:szCs w:val="21"/>
                <w:highlight w:val="cyan"/>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color w:val="auto"/>
                <w:sz w:val="21"/>
                <w:szCs w:val="21"/>
                <w:highlight w:val="cyan"/>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cyan"/>
                <w:lang w:eastAsia="zh-CN"/>
              </w:rPr>
              <w:br w:type="textWrapping"/>
            </w:r>
            <w:r>
              <w:rPr>
                <w:rFonts w:hint="default" w:ascii="Times New Roman" w:hAnsi="Times New Roman" w:eastAsia="宋体" w:cs="Times New Roman"/>
                <w:color w:val="auto"/>
                <w:sz w:val="21"/>
                <w:szCs w:val="21"/>
                <w:highlight w:val="cyan"/>
                <w:lang w:eastAsia="zh-CN"/>
              </w:rPr>
              <w:br w:type="textWrapping"/>
            </w:r>
            <w:r>
              <w:rPr>
                <w:rFonts w:hint="default" w:ascii="Times New Roman" w:hAnsi="Times New Roman" w:eastAsia="宋体" w:cs="Times New Roman"/>
                <w:color w:val="auto"/>
                <w:sz w:val="21"/>
                <w:szCs w:val="21"/>
                <w:highlight w:val="cyan"/>
                <w:lang w:eastAsia="zh-CN"/>
              </w:rPr>
              <w:br w:type="textWrapping"/>
            </w:r>
            <w:r>
              <w:rPr>
                <w:rFonts w:hint="default" w:ascii="Times New Roman" w:hAnsi="Times New Roman" w:eastAsia="宋体" w:cs="Times New Roman"/>
                <w:color w:val="auto"/>
                <w:sz w:val="21"/>
                <w:szCs w:val="21"/>
                <w:highlight w:val="cyan"/>
                <w:lang w:eastAsia="zh-CN"/>
              </w:rPr>
              <w:br w:type="textWrapping"/>
            </w:r>
            <w:r>
              <w:rPr>
                <w:rFonts w:hint="default" w:ascii="Times New Roman" w:hAnsi="Times New Roman" w:eastAsia="黑体" w:cs="Times New Roman"/>
                <w:color w:val="auto"/>
                <w:sz w:val="21"/>
                <w:szCs w:val="21"/>
                <w:highlight w:val="none"/>
                <w:lang w:eastAsia="zh-CN"/>
              </w:rPr>
              <w:t>图</w:t>
            </w:r>
            <w:r>
              <w:rPr>
                <w:rFonts w:hint="default" w:ascii="Times New Roman" w:hAnsi="Times New Roman" w:eastAsia="黑体" w:cs="Times New Roman"/>
                <w:color w:val="auto"/>
                <w:sz w:val="21"/>
                <w:szCs w:val="21"/>
                <w:highlight w:val="none"/>
                <w:lang w:val="en-US" w:eastAsia="zh-CN"/>
              </w:rPr>
              <w:t>1   现有工程生产工艺及产污环节图</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项目以PA66尼龙颗粒为原料生产锂电池密封圈，主要生产工艺包括上料、加热熔融、注塑成型、</w:t>
            </w:r>
            <w:r>
              <w:rPr>
                <w:rFonts w:hint="default" w:ascii="Times New Roman" w:hAnsi="Times New Roman" w:cs="Times New Roman"/>
                <w:bCs/>
                <w:color w:val="auto"/>
                <w:sz w:val="21"/>
                <w:szCs w:val="21"/>
                <w:lang w:eastAsia="zh-CN"/>
              </w:rPr>
              <w:t>间接冷却</w:t>
            </w:r>
            <w:r>
              <w:rPr>
                <w:rFonts w:hint="default" w:ascii="Times New Roman" w:hAnsi="Times New Roman" w:cs="Times New Roman"/>
                <w:bCs/>
                <w:color w:val="auto"/>
                <w:sz w:val="21"/>
                <w:szCs w:val="21"/>
              </w:rPr>
              <w:t>、检验等工序。</w:t>
            </w:r>
          </w:p>
          <w:p>
            <w:pPr>
              <w:keepNext w:val="0"/>
              <w:keepLines w:val="0"/>
              <w:pageBreakBefore w:val="0"/>
              <w:widowControl w:val="0"/>
              <w:numPr>
                <w:ilvl w:val="0"/>
                <w:numId w:val="4"/>
              </w:numPr>
              <w:tabs>
                <w:tab w:val="center" w:pos="4772"/>
              </w:tabs>
              <w:kinsoku/>
              <w:wordWrap/>
              <w:overflowPunct/>
              <w:topLinePunct w:val="0"/>
              <w:bidi w:val="0"/>
              <w:adjustRightInd/>
              <w:snapToGrid/>
              <w:spacing w:line="360" w:lineRule="auto"/>
              <w:ind w:leftChars="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上料</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通过上料机将</w:t>
            </w:r>
            <w:r>
              <w:rPr>
                <w:rFonts w:hint="default" w:ascii="Times New Roman" w:hAnsi="Times New Roman" w:cs="Times New Roman"/>
                <w:color w:val="auto"/>
                <w:sz w:val="21"/>
                <w:szCs w:val="21"/>
                <w:highlight w:val="none"/>
                <w:lang w:val="en-US" w:eastAsia="zh-CN"/>
              </w:rPr>
              <w:t>PA66尼龙颗粒</w:t>
            </w:r>
            <w:r>
              <w:rPr>
                <w:rFonts w:hint="default" w:ascii="Times New Roman" w:hAnsi="Times New Roman" w:cs="Times New Roman"/>
                <w:color w:val="auto"/>
                <w:sz w:val="21"/>
                <w:szCs w:val="21"/>
                <w:highlight w:val="none"/>
                <w:lang w:eastAsia="zh-CN"/>
              </w:rPr>
              <w:t>加入注塑机配套上料筒内，上料机上料方式采用螺旋上料，项目原料均为直径</w:t>
            </w:r>
            <w:r>
              <w:rPr>
                <w:rFonts w:hint="default" w:ascii="Times New Roman" w:hAnsi="Times New Roman" w:cs="Times New Roman"/>
                <w:color w:val="auto"/>
                <w:sz w:val="21"/>
                <w:szCs w:val="21"/>
                <w:highlight w:val="none"/>
                <w:lang w:val="en-US" w:eastAsia="zh-CN"/>
              </w:rPr>
              <w:t>3mm~4mm</w:t>
            </w:r>
            <w:r>
              <w:rPr>
                <w:rFonts w:hint="default" w:ascii="Times New Roman" w:hAnsi="Times New Roman" w:cs="Times New Roman"/>
                <w:color w:val="auto"/>
                <w:sz w:val="21"/>
                <w:szCs w:val="21"/>
                <w:highlight w:val="none"/>
                <w:lang w:eastAsia="zh-CN"/>
              </w:rPr>
              <w:t>的颗粒物状物料，无粉状原料，因此上料过程不会有废气产生</w:t>
            </w:r>
            <w:r>
              <w:rPr>
                <w:rFonts w:hint="default" w:ascii="Times New Roman" w:hAnsi="Times New Roman" w:cs="Times New Roman"/>
                <w:color w:val="auto"/>
                <w:sz w:val="21"/>
                <w:szCs w:val="21"/>
                <w:highlight w:val="none"/>
              </w:rPr>
              <w:t>。</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Chars="0" w:right="0" w:rightChars="0" w:firstLine="420" w:firstLineChars="200"/>
              <w:textAlignment w:val="auto"/>
              <w:rPr>
                <w:rFonts w:hint="default" w:ascii="Times New Roman" w:hAnsi="Times New Roman" w:eastAsia="宋体" w:cs="Times New Roman"/>
                <w:color w:val="auto"/>
                <w:sz w:val="21"/>
                <w:szCs w:val="21"/>
                <w:highlight w:val="cyan"/>
                <w:lang w:eastAsia="zh-CN"/>
              </w:rPr>
            </w:pPr>
            <w:r>
              <w:rPr>
                <w:rFonts w:hint="default" w:ascii="Times New Roman" w:hAnsi="Times New Roman" w:cs="Times New Roman"/>
                <w:color w:val="auto"/>
                <w:sz w:val="21"/>
                <w:szCs w:val="21"/>
                <w:highlight w:val="none"/>
                <w:lang w:eastAsia="zh-CN"/>
              </w:rPr>
              <w:t>该工艺污染环节：上料机工作产生的噪声</w:t>
            </w:r>
            <w:r>
              <w:rPr>
                <w:rFonts w:hint="default" w:ascii="Times New Roman" w:hAnsi="Times New Roman" w:cs="Times New Roman"/>
                <w:color w:val="auto"/>
                <w:sz w:val="21"/>
                <w:szCs w:val="21"/>
                <w:highlight w:val="none"/>
              </w:rPr>
              <w:t>。</w:t>
            </w:r>
          </w:p>
          <w:p>
            <w:pPr>
              <w:keepNext w:val="0"/>
              <w:keepLines w:val="0"/>
              <w:pageBreakBefore w:val="0"/>
              <w:widowControl w:val="0"/>
              <w:numPr>
                <w:ilvl w:val="0"/>
                <w:numId w:val="4"/>
              </w:numPr>
              <w:kinsoku/>
              <w:wordWrap/>
              <w:overflowPunct/>
              <w:topLinePunct w:val="0"/>
              <w:bidi w:val="0"/>
              <w:adjustRightInd/>
              <w:snapToGrid/>
              <w:spacing w:line="360" w:lineRule="auto"/>
              <w:ind w:left="0" w:leftChars="0" w:firstLine="420" w:firstLineChars="200"/>
              <w:textAlignment w:val="auto"/>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color w:val="auto"/>
                <w:sz w:val="21"/>
                <w:szCs w:val="21"/>
                <w:highlight w:val="none"/>
                <w:lang w:eastAsia="zh-CN"/>
              </w:rPr>
              <w:t>加热熔融、注塑成型</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加热熔融</w:t>
            </w:r>
            <w:r>
              <w:rPr>
                <w:rFonts w:hint="default" w:ascii="Times New Roman" w:hAnsi="Times New Roman" w:cs="Times New Roman"/>
                <w:b w:val="0"/>
                <w:bCs w:val="0"/>
                <w:color w:val="auto"/>
                <w:sz w:val="21"/>
                <w:szCs w:val="21"/>
                <w:highlight w:val="none"/>
                <w:u w:val="none"/>
              </w:rPr>
              <w:t>过程</w:t>
            </w:r>
            <w:r>
              <w:rPr>
                <w:rFonts w:hint="default" w:ascii="Times New Roman" w:hAnsi="Times New Roman" w:cs="Times New Roman"/>
                <w:b w:val="0"/>
                <w:bCs w:val="0"/>
                <w:color w:val="auto"/>
                <w:sz w:val="21"/>
                <w:szCs w:val="21"/>
                <w:highlight w:val="none"/>
                <w:u w:val="none"/>
                <w:lang w:eastAsia="zh-CN"/>
              </w:rPr>
              <w:t>（即</w:t>
            </w:r>
            <w:r>
              <w:rPr>
                <w:rFonts w:hint="default" w:ascii="Times New Roman" w:hAnsi="Times New Roman" w:cs="Times New Roman"/>
                <w:b w:val="0"/>
                <w:bCs w:val="0"/>
                <w:color w:val="auto"/>
                <w:sz w:val="21"/>
                <w:szCs w:val="21"/>
                <w:highlight w:val="none"/>
                <w:u w:val="none"/>
              </w:rPr>
              <w:t>塑化</w:t>
            </w:r>
            <w:r>
              <w:rPr>
                <w:rFonts w:hint="default" w:ascii="Times New Roman" w:hAnsi="Times New Roman" w:cs="Times New Roman"/>
                <w:b w:val="0"/>
                <w:bCs w:val="0"/>
                <w:color w:val="auto"/>
                <w:sz w:val="21"/>
                <w:szCs w:val="21"/>
                <w:highlight w:val="none"/>
                <w:u w:val="none"/>
                <w:lang w:eastAsia="zh-CN"/>
              </w:rPr>
              <w:t>）</w:t>
            </w:r>
            <w:r>
              <w:rPr>
                <w:rFonts w:hint="default" w:ascii="Times New Roman" w:hAnsi="Times New Roman" w:cs="Times New Roman"/>
                <w:b w:val="0"/>
                <w:bCs w:val="0"/>
                <w:color w:val="auto"/>
                <w:sz w:val="21"/>
                <w:szCs w:val="21"/>
                <w:highlight w:val="none"/>
                <w:u w:val="none"/>
              </w:rPr>
              <w:t>通过注塑机炮筒中的加热圈对炮筒内层料腔进行加热，使料腔内物料受热融化，同时料腔中物料在旋转螺杆的作用下不断被推挤向前并压实，物料在加热和螺杆剪切的双重作用下逐渐塑化、熔融和均化，塑化好的物料推开止逆环进入到炮筒端头部分进行注塑</w:t>
            </w:r>
            <w:r>
              <w:rPr>
                <w:rFonts w:hint="default" w:ascii="Times New Roman" w:hAnsi="Times New Roman" w:cs="Times New Roman"/>
                <w:b w:val="0"/>
                <w:bCs w:val="0"/>
                <w:color w:val="auto"/>
                <w:sz w:val="21"/>
                <w:szCs w:val="21"/>
                <w:highlight w:val="none"/>
                <w:u w:val="none"/>
                <w:lang w:eastAsia="zh-CN"/>
              </w:rPr>
              <w:t>，</w:t>
            </w:r>
            <w:r>
              <w:rPr>
                <w:rFonts w:hint="default" w:ascii="Times New Roman" w:hAnsi="Times New Roman" w:cs="Times New Roman"/>
                <w:b w:val="0"/>
                <w:bCs w:val="0"/>
                <w:color w:val="auto"/>
                <w:sz w:val="21"/>
                <w:szCs w:val="21"/>
                <w:highlight w:val="none"/>
                <w:u w:val="none"/>
              </w:rPr>
              <w:t>注塑时首先将模具进行闭合，之后炮筒内熔融塑化后的浆状物料在螺杆的挤压推动下通过喷嘴快速注入闭合模具中。工程塑化工段加热温度为200℃~240℃，在此加热温度范围内固态</w:t>
            </w:r>
            <w:r>
              <w:rPr>
                <w:rFonts w:hint="default" w:ascii="Times New Roman" w:hAnsi="Times New Roman" w:cs="Times New Roman"/>
                <w:b w:val="0"/>
                <w:bCs w:val="0"/>
                <w:color w:val="auto"/>
                <w:sz w:val="21"/>
                <w:szCs w:val="21"/>
                <w:highlight w:val="none"/>
                <w:u w:val="none"/>
                <w:lang w:val="en-US" w:eastAsia="zh-CN"/>
              </w:rPr>
              <w:t>PA66尼龙</w:t>
            </w:r>
            <w:r>
              <w:rPr>
                <w:rFonts w:hint="default" w:ascii="Times New Roman" w:hAnsi="Times New Roman" w:cs="Times New Roman"/>
                <w:b w:val="0"/>
                <w:bCs w:val="0"/>
                <w:color w:val="auto"/>
                <w:sz w:val="21"/>
                <w:szCs w:val="21"/>
                <w:highlight w:val="none"/>
                <w:u w:val="none"/>
              </w:rPr>
              <w:t>原料呈熔融状态，未达到其裂解温度（</w:t>
            </w:r>
            <w:r>
              <w:rPr>
                <w:rFonts w:hint="default" w:ascii="Times New Roman" w:hAnsi="Times New Roman" w:cs="Times New Roman"/>
                <w:b w:val="0"/>
                <w:bCs w:val="0"/>
                <w:color w:val="auto"/>
                <w:sz w:val="21"/>
                <w:szCs w:val="21"/>
                <w:highlight w:val="none"/>
                <w:u w:val="none"/>
                <w:lang w:val="en-US" w:eastAsia="zh-CN"/>
              </w:rPr>
              <w:t>PA66尼龙颗粒</w:t>
            </w:r>
            <w:r>
              <w:rPr>
                <w:rFonts w:hint="default" w:ascii="Times New Roman" w:hAnsi="Times New Roman" w:cs="Times New Roman"/>
                <w:b w:val="0"/>
                <w:bCs w:val="0"/>
                <w:color w:val="auto"/>
                <w:sz w:val="21"/>
                <w:szCs w:val="21"/>
                <w:highlight w:val="none"/>
                <w:u w:val="none"/>
              </w:rPr>
              <w:t>热分解温度为</w:t>
            </w:r>
            <w:r>
              <w:rPr>
                <w:rFonts w:hint="default" w:ascii="Times New Roman" w:hAnsi="Times New Roman" w:cs="Times New Roman"/>
                <w:b w:val="0"/>
                <w:bCs w:val="0"/>
                <w:color w:val="auto"/>
                <w:sz w:val="21"/>
                <w:szCs w:val="21"/>
                <w:highlight w:val="none"/>
                <w:u w:val="none"/>
                <w:shd w:val="clear" w:color="auto" w:fill="FFFFFF"/>
              </w:rPr>
              <w:t>350℃</w:t>
            </w:r>
            <w:r>
              <w:rPr>
                <w:rFonts w:hint="default" w:ascii="Times New Roman" w:hAnsi="Times New Roman" w:cs="Times New Roman"/>
                <w:b w:val="0"/>
                <w:bCs w:val="0"/>
                <w:color w:val="auto"/>
                <w:sz w:val="21"/>
                <w:szCs w:val="21"/>
                <w:highlight w:val="none"/>
                <w:u w:val="none"/>
              </w:rPr>
              <w:t>）。</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Chars="0" w:right="0" w:rightChars="0" w:firstLine="420" w:firstLineChars="200"/>
              <w:textAlignment w:val="auto"/>
              <w:rPr>
                <w:rFonts w:hint="default" w:ascii="Times New Roman" w:hAnsi="Times New Roman" w:cs="Times New Roman" w:eastAsiaTheme="majorEastAsia"/>
                <w:bCs/>
                <w:color w:val="auto"/>
                <w:sz w:val="21"/>
                <w:szCs w:val="21"/>
                <w:highlight w:val="none"/>
                <w:lang w:val="en-US" w:eastAsia="zh-CN"/>
              </w:rPr>
            </w:pPr>
            <w:r>
              <w:rPr>
                <w:rFonts w:hint="default" w:ascii="Times New Roman" w:hAnsi="Times New Roman" w:cs="Times New Roman" w:eastAsiaTheme="majorEastAsia"/>
                <w:bCs/>
                <w:color w:val="auto"/>
                <w:sz w:val="21"/>
                <w:szCs w:val="21"/>
                <w:highlight w:val="none"/>
                <w:lang w:val="en-US" w:eastAsia="zh-CN"/>
              </w:rPr>
              <w:t>该工艺产污环节：加热熔融、注塑过程产生的有机废气，设备工作产生的噪声。</w:t>
            </w:r>
          </w:p>
          <w:p>
            <w:pPr>
              <w:keepNext w:val="0"/>
              <w:keepLines w:val="0"/>
              <w:pageBreakBefore w:val="0"/>
              <w:widowControl w:val="0"/>
              <w:numPr>
                <w:ilvl w:val="0"/>
                <w:numId w:val="4"/>
              </w:numPr>
              <w:kinsoku/>
              <w:wordWrap/>
              <w:overflowPunct/>
              <w:topLinePunct w:val="0"/>
              <w:bidi w:val="0"/>
              <w:adjustRightInd/>
              <w:snapToGrid/>
              <w:spacing w:line="360" w:lineRule="auto"/>
              <w:ind w:left="0" w:leftChars="0" w:firstLine="420" w:firstLineChars="200"/>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color w:val="auto"/>
                <w:sz w:val="21"/>
                <w:szCs w:val="21"/>
                <w:highlight w:val="none"/>
                <w:lang w:eastAsia="zh-CN"/>
              </w:rPr>
              <w:t>间接冷却</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熔融</w:t>
            </w:r>
            <w:r>
              <w:rPr>
                <w:rFonts w:hint="default" w:ascii="Times New Roman" w:hAnsi="Times New Roman" w:cs="Times New Roman"/>
                <w:b w:val="0"/>
                <w:bCs w:val="0"/>
                <w:color w:val="auto"/>
                <w:sz w:val="21"/>
                <w:szCs w:val="21"/>
                <w:u w:val="none"/>
                <w:lang w:eastAsia="zh-CN"/>
              </w:rPr>
              <w:t>物料注入</w:t>
            </w:r>
            <w:r>
              <w:rPr>
                <w:rFonts w:hint="default" w:ascii="Times New Roman" w:hAnsi="Times New Roman" w:cs="Times New Roman"/>
                <w:b w:val="0"/>
                <w:bCs w:val="0"/>
                <w:color w:val="auto"/>
                <w:sz w:val="21"/>
                <w:szCs w:val="21"/>
                <w:u w:val="none"/>
              </w:rPr>
              <w:t>模具</w:t>
            </w:r>
            <w:r>
              <w:rPr>
                <w:rFonts w:hint="default" w:ascii="Times New Roman" w:hAnsi="Times New Roman" w:cs="Times New Roman"/>
                <w:b w:val="0"/>
                <w:bCs w:val="0"/>
                <w:color w:val="auto"/>
                <w:sz w:val="21"/>
                <w:szCs w:val="21"/>
                <w:u w:val="none"/>
                <w:lang w:eastAsia="zh-CN"/>
              </w:rPr>
              <w:t>后，在</w:t>
            </w:r>
            <w:r>
              <w:rPr>
                <w:rFonts w:hint="default" w:ascii="Times New Roman" w:hAnsi="Times New Roman" w:cs="Times New Roman"/>
                <w:b w:val="0"/>
                <w:bCs w:val="0"/>
                <w:color w:val="auto"/>
                <w:sz w:val="21"/>
                <w:szCs w:val="21"/>
                <w:u w:val="none"/>
              </w:rPr>
              <w:t>模具夹套内接冷却水冷却作用下快速进定型，</w:t>
            </w:r>
            <w:r>
              <w:rPr>
                <w:rFonts w:hint="default" w:ascii="Times New Roman" w:hAnsi="Times New Roman" w:cs="Times New Roman"/>
                <w:b w:val="0"/>
                <w:bCs w:val="0"/>
                <w:color w:val="auto"/>
                <w:sz w:val="21"/>
                <w:szCs w:val="21"/>
                <w:u w:val="none"/>
                <w:lang w:val="en-US" w:eastAsia="zh-CN"/>
              </w:rPr>
              <w:t>产品</w:t>
            </w:r>
            <w:r>
              <w:rPr>
                <w:rFonts w:hint="default" w:ascii="Times New Roman" w:hAnsi="Times New Roman" w:cs="Times New Roman"/>
                <w:b w:val="0"/>
                <w:bCs w:val="0"/>
                <w:color w:val="auto"/>
                <w:sz w:val="21"/>
                <w:szCs w:val="21"/>
                <w:u w:val="none"/>
              </w:rPr>
              <w:t>经冷却定型后的模具自动打开，产品直接落入产品槽内</w:t>
            </w:r>
            <w:r>
              <w:rPr>
                <w:rFonts w:hint="default" w:ascii="Times New Roman" w:hAnsi="Times New Roman" w:cs="Times New Roman"/>
                <w:b w:val="0"/>
                <w:bCs w:val="0"/>
                <w:color w:val="auto"/>
                <w:sz w:val="21"/>
                <w:szCs w:val="21"/>
                <w:u w:val="none"/>
                <w:lang w:eastAsia="zh-CN"/>
              </w:rPr>
              <w:t>，冷却过程由于产品特性不易急速冷却，因此冷却所用冷却水为</w:t>
            </w:r>
            <w:r>
              <w:rPr>
                <w:rFonts w:hint="default" w:ascii="Times New Roman" w:hAnsi="Times New Roman" w:cs="Times New Roman"/>
                <w:b w:val="0"/>
                <w:bCs w:val="0"/>
                <w:color w:val="auto"/>
                <w:sz w:val="21"/>
                <w:szCs w:val="21"/>
                <w:u w:val="none"/>
                <w:lang w:val="en-US" w:eastAsia="zh-CN"/>
              </w:rPr>
              <w:t>40</w:t>
            </w:r>
            <w:r>
              <w:rPr>
                <w:rFonts w:hint="default" w:ascii="Times New Roman" w:hAnsi="Times New Roman" w:eastAsia="宋体" w:cs="Times New Roman"/>
                <w:b w:val="0"/>
                <w:bCs w:val="0"/>
                <w:color w:val="auto"/>
                <w:sz w:val="21"/>
                <w:szCs w:val="21"/>
                <w:u w:val="none"/>
                <w:lang w:val="en-US" w:eastAsia="zh-CN"/>
              </w:rPr>
              <w:t>℃</w:t>
            </w:r>
            <w:r>
              <w:rPr>
                <w:rFonts w:hint="default" w:ascii="Times New Roman" w:hAnsi="Times New Roman" w:cs="Times New Roman"/>
                <w:b w:val="0"/>
                <w:bCs w:val="0"/>
                <w:color w:val="auto"/>
                <w:sz w:val="21"/>
                <w:szCs w:val="21"/>
                <w:u w:val="none"/>
                <w:lang w:val="en-US" w:eastAsia="zh-CN"/>
              </w:rPr>
              <w:t>的恒温冷却水，冷却后废水均</w:t>
            </w:r>
            <w:r>
              <w:rPr>
                <w:rFonts w:hint="default" w:ascii="Times New Roman" w:hAnsi="Times New Roman" w:cs="Times New Roman"/>
                <w:b w:val="0"/>
                <w:bCs w:val="0"/>
                <w:color w:val="auto"/>
                <w:sz w:val="21"/>
                <w:szCs w:val="21"/>
                <w:u w:val="none"/>
                <w:lang w:eastAsia="zh-CN"/>
              </w:rPr>
              <w:t>经企业设置的恒温冷却水罐将温度冷却至约</w:t>
            </w:r>
            <w:r>
              <w:rPr>
                <w:rFonts w:hint="default" w:ascii="Times New Roman" w:hAnsi="Times New Roman" w:cs="Times New Roman"/>
                <w:b w:val="0"/>
                <w:bCs w:val="0"/>
                <w:color w:val="auto"/>
                <w:sz w:val="21"/>
                <w:szCs w:val="21"/>
                <w:u w:val="none"/>
                <w:lang w:val="en-US" w:eastAsia="zh-CN"/>
              </w:rPr>
              <w:t>40</w:t>
            </w:r>
            <w:r>
              <w:rPr>
                <w:rFonts w:hint="default" w:ascii="Times New Roman" w:hAnsi="Times New Roman" w:eastAsia="宋体" w:cs="Times New Roman"/>
                <w:b w:val="0"/>
                <w:bCs w:val="0"/>
                <w:color w:val="auto"/>
                <w:sz w:val="21"/>
                <w:szCs w:val="21"/>
                <w:u w:val="none"/>
                <w:lang w:val="en-US" w:eastAsia="zh-CN"/>
              </w:rPr>
              <w:t>℃</w:t>
            </w:r>
            <w:r>
              <w:rPr>
                <w:rFonts w:hint="default" w:ascii="Times New Roman" w:hAnsi="Times New Roman" w:cs="Times New Roman"/>
                <w:b w:val="0"/>
                <w:bCs w:val="0"/>
                <w:color w:val="auto"/>
                <w:sz w:val="21"/>
                <w:szCs w:val="21"/>
                <w:u w:val="none"/>
                <w:lang w:val="en-US" w:eastAsia="zh-CN"/>
              </w:rPr>
              <w:t>左右后</w:t>
            </w:r>
            <w:r>
              <w:rPr>
                <w:rFonts w:hint="default" w:ascii="Times New Roman" w:hAnsi="Times New Roman" w:cs="Times New Roman"/>
                <w:b w:val="0"/>
                <w:bCs w:val="0"/>
                <w:color w:val="auto"/>
                <w:sz w:val="21"/>
                <w:szCs w:val="21"/>
                <w:u w:val="none"/>
                <w:lang w:eastAsia="zh-CN"/>
              </w:rPr>
              <w:t>循环使用，仅定期补充新鲜水即可，恒温冷却水罐采用电加热方式进行保温。</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Chars="0" w:right="0" w:rightChars="0" w:firstLine="420" w:firstLineChars="200"/>
              <w:textAlignment w:val="auto"/>
              <w:rPr>
                <w:rFonts w:hint="default" w:ascii="Times New Roman" w:hAnsi="Times New Roman" w:cs="Times New Roman" w:eastAsiaTheme="majorEastAsia"/>
                <w:bCs/>
                <w:color w:val="auto"/>
                <w:sz w:val="21"/>
                <w:szCs w:val="21"/>
                <w:highlight w:val="none"/>
                <w:lang w:val="en-US" w:eastAsia="zh-CN"/>
              </w:rPr>
            </w:pPr>
            <w:r>
              <w:rPr>
                <w:rFonts w:hint="default" w:ascii="Times New Roman" w:hAnsi="Times New Roman" w:cs="Times New Roman" w:eastAsiaTheme="majorEastAsia"/>
                <w:bCs/>
                <w:color w:val="auto"/>
                <w:sz w:val="21"/>
                <w:szCs w:val="21"/>
                <w:highlight w:val="none"/>
                <w:lang w:val="en-US" w:eastAsia="zh-CN"/>
              </w:rPr>
              <w:t>该工艺产污环节：冷却脱模过程产生的废气，冷却过程产生的间接冷却废水。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）检验：冷却后产品需通过人工进行检验，合格品人工包装后放置于成品区待售，不合格品则通过破碎机进行破碎后作为原料重新使用</w:t>
            </w:r>
            <w:r>
              <w:rPr>
                <w:rFonts w:hint="default" w:ascii="Times New Roman" w:hAnsi="Times New Roman" w:cs="Times New Roman"/>
                <w:color w:val="auto"/>
                <w:sz w:val="21"/>
                <w:szCs w:val="21"/>
                <w:highlight w:val="none"/>
                <w:lang w:val="en-US" w:eastAsia="zh-CN"/>
              </w:rPr>
              <w:t>。工程每台注塑机均单独配套设置1台小型破碎机，每台注塑机生产过程产生的不合格品和边角料均直接通过该单独配套的破碎机破碎后进行回用，工程破碎机拟采用</w:t>
            </w:r>
            <w:r>
              <w:rPr>
                <w:rFonts w:hint="default" w:ascii="Times New Roman" w:hAnsi="Times New Roman" w:cs="Times New Roman"/>
                <w:color w:val="auto"/>
                <w:sz w:val="21"/>
                <w:szCs w:val="21"/>
                <w:highlight w:val="none"/>
                <w:lang w:eastAsia="zh-CN"/>
              </w:rPr>
              <w:t>双辊式破碎机，是利用两组单独传动的辊轴，相对旋转产生的挤轧力和磨剪力来破碎物料的机械设备。当物料进入机器的破碎腔以后，物料受到转动辊轴的啮力作用，使物料通过两辊之间，同时受到辊轴的挤轧和剪磨，物料即开始碎裂，碎裂后的小颗粒沿着辊子旋转的切线，通过两辊轴的间隙，向机器下方抛出，超过间隙的大颗粒物料，继续被破碎成小颗粒排出。</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Chars="0" w:right="0" w:rightChars="0" w:firstLine="420" w:firstLineChars="200"/>
              <w:textAlignment w:val="auto"/>
              <w:rPr>
                <w:rFonts w:hint="default" w:ascii="Times New Roman" w:hAnsi="Times New Roman" w:cs="Times New Roman" w:eastAsiaTheme="majorEastAsia"/>
                <w:bCs/>
                <w:color w:val="auto"/>
                <w:sz w:val="21"/>
                <w:szCs w:val="21"/>
                <w:highlight w:val="none"/>
                <w:lang w:val="en-US" w:eastAsia="zh-CN"/>
              </w:rPr>
            </w:pPr>
            <w:r>
              <w:rPr>
                <w:rFonts w:hint="default" w:ascii="Times New Roman" w:hAnsi="Times New Roman" w:cs="Times New Roman" w:eastAsiaTheme="majorEastAsia"/>
                <w:bCs/>
                <w:color w:val="auto"/>
                <w:sz w:val="21"/>
                <w:szCs w:val="21"/>
                <w:highlight w:val="none"/>
                <w:lang w:val="en-US" w:eastAsia="zh-CN"/>
              </w:rPr>
              <w:t>该工艺产污环节：破碎机工作产生的噪声。</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leftChars="0" w:firstLine="422" w:firstLineChars="20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eastAsia="zh-CN"/>
              </w:rPr>
              <w:t>现有工程水平衡</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eastAsiaTheme="majorEastAsia"/>
                <w:bCs/>
                <w:color w:val="auto"/>
                <w:sz w:val="21"/>
                <w:szCs w:val="21"/>
                <w:highlight w:val="none"/>
                <w:lang w:eastAsia="zh-CN"/>
              </w:rPr>
            </w:pPr>
            <w:r>
              <w:rPr>
                <w:rFonts w:hint="default" w:ascii="Times New Roman" w:hAnsi="Times New Roman" w:cs="Times New Roman" w:eastAsiaTheme="majorEastAsia"/>
                <w:bCs/>
                <w:color w:val="auto"/>
                <w:sz w:val="21"/>
                <w:szCs w:val="21"/>
                <w:highlight w:val="none"/>
                <w:lang w:eastAsia="zh-CN"/>
              </w:rPr>
              <w:t>现有工程用水主要为生活用水和产品冷却用水，总新鲜用水量为</w:t>
            </w:r>
            <w:r>
              <w:rPr>
                <w:rFonts w:hint="default" w:ascii="Times New Roman" w:hAnsi="Times New Roman" w:cs="Times New Roman" w:eastAsiaTheme="majorEastAsia"/>
                <w:bCs/>
                <w:color w:val="auto"/>
                <w:sz w:val="21"/>
                <w:szCs w:val="21"/>
                <w:highlight w:val="none"/>
                <w:lang w:val="en-US" w:eastAsia="zh-CN"/>
              </w:rPr>
              <w:t>0.4m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val="en-US" w:eastAsia="zh-CN"/>
              </w:rPr>
              <w:t>/d（120m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val="en-US" w:eastAsia="zh-CN"/>
              </w:rPr>
              <w:t>/a）</w:t>
            </w:r>
            <w:r>
              <w:rPr>
                <w:rFonts w:hint="default" w:ascii="Times New Roman" w:hAnsi="Times New Roman" w:cs="Times New Roman" w:eastAsiaTheme="majorEastAsia"/>
                <w:bCs/>
                <w:color w:val="auto"/>
                <w:sz w:val="21"/>
                <w:szCs w:val="21"/>
                <w:highlight w:val="none"/>
                <w:lang w:eastAsia="zh-CN"/>
              </w:rPr>
              <w:t>，均由厂区自备水井提供，用水情况介绍及具体水平衡图如下：</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20" w:firstLineChars="200"/>
              <w:textAlignment w:val="auto"/>
              <w:rPr>
                <w:rFonts w:hint="default" w:ascii="Times New Roman" w:hAnsi="Times New Roman" w:cs="Times New Roman" w:eastAsiaTheme="majorEastAsia"/>
                <w:bCs/>
                <w:color w:val="auto"/>
                <w:sz w:val="21"/>
                <w:szCs w:val="21"/>
                <w:highlight w:val="none"/>
                <w:lang w:eastAsia="zh-CN"/>
              </w:rPr>
            </w:pPr>
            <w:r>
              <w:rPr>
                <w:rFonts w:hint="default" w:ascii="Times New Roman" w:hAnsi="Times New Roman" w:cs="Times New Roman" w:eastAsiaTheme="majorEastAsia"/>
                <w:bCs/>
                <w:color w:val="auto"/>
                <w:sz w:val="21"/>
                <w:szCs w:val="21"/>
                <w:highlight w:val="none"/>
                <w:lang w:eastAsia="zh-CN"/>
              </w:rPr>
              <w:fldChar w:fldCharType="begin"/>
            </w:r>
            <w:r>
              <w:rPr>
                <w:rFonts w:hint="default" w:ascii="Times New Roman" w:hAnsi="Times New Roman" w:cs="Times New Roman" w:eastAsiaTheme="majorEastAsia"/>
                <w:bCs/>
                <w:color w:val="auto"/>
                <w:sz w:val="21"/>
                <w:szCs w:val="21"/>
                <w:highlight w:val="none"/>
                <w:lang w:eastAsia="zh-CN"/>
              </w:rPr>
              <w:instrText xml:space="preserve"> = 1 \* GB3 \* MERGEFORMAT </w:instrText>
            </w:r>
            <w:r>
              <w:rPr>
                <w:rFonts w:hint="default" w:ascii="Times New Roman" w:hAnsi="Times New Roman" w:cs="Times New Roman" w:eastAsiaTheme="majorEastAsia"/>
                <w:bCs/>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eastAsiaTheme="majorEastAsia"/>
                <w:bCs/>
                <w:color w:val="auto"/>
                <w:sz w:val="21"/>
                <w:szCs w:val="21"/>
                <w:highlight w:val="none"/>
                <w:lang w:eastAsia="zh-CN"/>
              </w:rPr>
              <w:fldChar w:fldCharType="end"/>
            </w:r>
            <w:r>
              <w:rPr>
                <w:rFonts w:hint="default" w:ascii="Times New Roman" w:hAnsi="Times New Roman" w:cs="Times New Roman" w:eastAsiaTheme="majorEastAsia"/>
                <w:bCs/>
                <w:color w:val="auto"/>
                <w:sz w:val="21"/>
                <w:szCs w:val="21"/>
                <w:highlight w:val="none"/>
                <w:lang w:eastAsia="zh-CN"/>
              </w:rPr>
              <w:t>生活用水：工程劳动员工</w:t>
            </w:r>
            <w:r>
              <w:rPr>
                <w:rFonts w:hint="default" w:ascii="Times New Roman" w:hAnsi="Times New Roman" w:cs="Times New Roman" w:eastAsiaTheme="majorEastAsia"/>
                <w:bCs/>
                <w:color w:val="auto"/>
                <w:sz w:val="21"/>
                <w:szCs w:val="21"/>
                <w:highlight w:val="none"/>
                <w:lang w:val="en-US" w:eastAsia="zh-CN"/>
              </w:rPr>
              <w:t>5人</w:t>
            </w:r>
            <w:r>
              <w:rPr>
                <w:rFonts w:hint="default" w:ascii="Times New Roman" w:hAnsi="Times New Roman" w:cs="Times New Roman" w:eastAsiaTheme="majorEastAsia"/>
                <w:bCs/>
                <w:color w:val="auto"/>
                <w:sz w:val="21"/>
                <w:szCs w:val="21"/>
                <w:highlight w:val="none"/>
                <w:lang w:eastAsia="zh-CN"/>
              </w:rPr>
              <w:t>，均不在厂区内食宿，</w:t>
            </w:r>
            <w:r>
              <w:rPr>
                <w:rFonts w:hint="default" w:ascii="Times New Roman" w:hAnsi="Times New Roman" w:cs="Times New Roman"/>
                <w:bCs/>
                <w:color w:val="auto"/>
                <w:sz w:val="21"/>
                <w:szCs w:val="21"/>
                <w:highlight w:val="none"/>
                <w:lang w:val="en-US" w:eastAsia="zh-CN"/>
              </w:rPr>
              <w:t>用水定额按30</w:t>
            </w:r>
            <w:r>
              <w:rPr>
                <w:rFonts w:hint="default" w:ascii="Times New Roman" w:hAnsi="Times New Roman" w:cs="Times New Roman"/>
                <w:bCs/>
                <w:color w:val="auto"/>
                <w:sz w:val="21"/>
                <w:szCs w:val="21"/>
                <w:highlight w:val="none"/>
              </w:rPr>
              <w:t>L</w:t>
            </w:r>
            <w:r>
              <w:rPr>
                <w:rFonts w:hint="default" w:ascii="Times New Roman" w:hAnsi="Times New Roman" w:cs="Times New Roman"/>
                <w:bCs/>
                <w:color w:val="auto"/>
                <w:sz w:val="21"/>
                <w:szCs w:val="21"/>
                <w:highlight w:val="none"/>
                <w:lang w:val="en-US" w:eastAsia="zh-CN"/>
              </w:rPr>
              <w:t>/（人d）</w:t>
            </w:r>
            <w:r>
              <w:rPr>
                <w:rFonts w:hint="default" w:ascii="Times New Roman" w:hAnsi="Times New Roman" w:cs="Times New Roman"/>
                <w:bCs/>
                <w:color w:val="auto"/>
                <w:sz w:val="21"/>
                <w:szCs w:val="21"/>
                <w:highlight w:val="none"/>
              </w:rPr>
              <w:t>计</w:t>
            </w:r>
            <w:r>
              <w:rPr>
                <w:rFonts w:hint="default" w:ascii="Times New Roman" w:hAnsi="Times New Roman" w:cs="Times New Roman" w:eastAsiaTheme="majorEastAsia"/>
                <w:bCs/>
                <w:color w:val="auto"/>
                <w:sz w:val="21"/>
                <w:szCs w:val="21"/>
                <w:highlight w:val="none"/>
                <w:lang w:eastAsia="zh-CN"/>
              </w:rPr>
              <w:t>，年工作时间按300d计算，</w:t>
            </w:r>
            <w:r>
              <w:rPr>
                <w:rFonts w:hint="default" w:ascii="Times New Roman" w:hAnsi="Times New Roman" w:cs="Times New Roman"/>
                <w:bCs/>
                <w:color w:val="auto"/>
                <w:sz w:val="21"/>
                <w:szCs w:val="21"/>
                <w:highlight w:val="none"/>
              </w:rPr>
              <w:t>则用水量为</w:t>
            </w:r>
            <w:r>
              <w:rPr>
                <w:rFonts w:hint="default" w:ascii="Times New Roman" w:hAnsi="Times New Roman" w:cs="Times New Roman"/>
                <w:bCs/>
                <w:color w:val="auto"/>
                <w:sz w:val="21"/>
                <w:szCs w:val="21"/>
                <w:highlight w:val="none"/>
                <w:lang w:val="en-US" w:eastAsia="zh-CN"/>
              </w:rPr>
              <w:t>0.15</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/d（</w:t>
            </w:r>
            <w:r>
              <w:rPr>
                <w:rFonts w:hint="default" w:ascii="Times New Roman" w:hAnsi="Times New Roman" w:cs="Times New Roman"/>
                <w:bCs/>
                <w:color w:val="auto"/>
                <w:sz w:val="21"/>
                <w:szCs w:val="21"/>
                <w:highlight w:val="none"/>
                <w:lang w:val="en-US" w:eastAsia="zh-CN"/>
              </w:rPr>
              <w:t>45</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/a），污水产生系数取0.8，则生活污水产生量为</w:t>
            </w:r>
            <w:r>
              <w:rPr>
                <w:rFonts w:hint="default" w:ascii="Times New Roman" w:hAnsi="Times New Roman" w:cs="Times New Roman"/>
                <w:bCs/>
                <w:color w:val="auto"/>
                <w:sz w:val="21"/>
                <w:szCs w:val="21"/>
                <w:highlight w:val="none"/>
                <w:lang w:val="en-US" w:eastAsia="zh-CN"/>
              </w:rPr>
              <w:t>0.12</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/d（</w:t>
            </w:r>
            <w:r>
              <w:rPr>
                <w:rFonts w:hint="default" w:ascii="Times New Roman" w:hAnsi="Times New Roman" w:cs="Times New Roman"/>
                <w:bCs/>
                <w:color w:val="auto"/>
                <w:sz w:val="21"/>
                <w:szCs w:val="21"/>
                <w:highlight w:val="none"/>
                <w:lang w:val="en-US" w:eastAsia="zh-CN"/>
              </w:rPr>
              <w:t>36</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/a）</w:t>
            </w:r>
            <w:r>
              <w:rPr>
                <w:rFonts w:hint="default" w:ascii="Times New Roman" w:hAnsi="Times New Roman" w:cs="Times New Roman" w:eastAsiaTheme="majorEastAsia"/>
                <w:bCs/>
                <w:color w:val="auto"/>
                <w:sz w:val="21"/>
                <w:szCs w:val="21"/>
                <w:highlight w:val="none"/>
                <w:lang w:eastAsia="zh-CN"/>
              </w:rPr>
              <w:t>，生活污水均经厂区化粪池处理后，定期清运。</w:t>
            </w:r>
          </w:p>
          <w:p>
            <w:pPr>
              <w:pStyle w:val="45"/>
              <w:keepNext w:val="0"/>
              <w:keepLines w:val="0"/>
              <w:pageBreakBefore w:val="0"/>
              <w:widowControl w:val="0"/>
              <w:numPr>
                <w:ilvl w:val="0"/>
                <w:numId w:val="0"/>
              </w:numPr>
              <w:tabs>
                <w:tab w:val="left" w:pos="0"/>
              </w:tabs>
              <w:kinsoku/>
              <w:wordWrap/>
              <w:overflowPunct/>
              <w:topLinePunct w:val="0"/>
              <w:autoSpaceDE w:val="0"/>
              <w:autoSpaceDN/>
              <w:bidi w:val="0"/>
              <w:adjustRightInd/>
              <w:snapToGrid/>
              <w:spacing w:line="360" w:lineRule="auto"/>
              <w:ind w:leftChars="0"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eastAsiaTheme="majorEastAsia"/>
                <w:bCs/>
                <w:color w:val="auto"/>
                <w:sz w:val="21"/>
                <w:szCs w:val="21"/>
                <w:highlight w:val="none"/>
                <w:lang w:eastAsia="zh-CN"/>
              </w:rPr>
              <w:pict>
                <v:shape id="_x0000_s1045" o:spid="_x0000_s1045" o:spt="75" type="#_x0000_t75" style="position:absolute;left:0pt;margin-left:23.4pt;margin-top:102.05pt;height:150.8pt;width:326pt;z-index:251663360;mso-width-relative:page;mso-height-relative:page;" o:ole="t" filled="f" o:preferrelative="t" stroked="f" coordsize="21600,21600">
                  <v:path/>
                  <v:fill on="f" focussize="0,0"/>
                  <v:stroke on="f"/>
                  <v:imagedata r:id="rId22" croptop="4908f" cropright="5599f" cropbottom="7462f" o:title=""/>
                  <o:lock v:ext="edit" aspectratio="t"/>
                </v:shape>
                <o:OLEObject Type="Embed" ProgID="Visio.Drawing.15" ShapeID="_x0000_s1045" DrawAspect="Content" ObjectID="_1468075729" r:id="rId21">
                  <o:LockedField>false</o:LockedField>
                </o:OLEObject>
              </w:pict>
            </w:r>
            <w:r>
              <w:rPr>
                <w:rFonts w:hint="default" w:ascii="Times New Roman" w:hAnsi="Times New Roman" w:cs="Times New Roman" w:eastAsiaTheme="majorEastAsia"/>
                <w:bCs/>
                <w:color w:val="auto"/>
                <w:sz w:val="21"/>
                <w:szCs w:val="21"/>
                <w:highlight w:val="none"/>
                <w:lang w:eastAsia="zh-CN"/>
              </w:rPr>
              <w:fldChar w:fldCharType="begin"/>
            </w:r>
            <w:r>
              <w:rPr>
                <w:rFonts w:hint="default" w:ascii="Times New Roman" w:hAnsi="Times New Roman" w:cs="Times New Roman" w:eastAsiaTheme="majorEastAsia"/>
                <w:bCs/>
                <w:color w:val="auto"/>
                <w:sz w:val="21"/>
                <w:szCs w:val="21"/>
                <w:highlight w:val="none"/>
                <w:lang w:eastAsia="zh-CN"/>
              </w:rPr>
              <w:instrText xml:space="preserve"> = 2 \* GB3 \* MERGEFORMAT </w:instrText>
            </w:r>
            <w:r>
              <w:rPr>
                <w:rFonts w:hint="default" w:ascii="Times New Roman" w:hAnsi="Times New Roman" w:cs="Times New Roman" w:eastAsiaTheme="majorEastAsia"/>
                <w:bCs/>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eastAsiaTheme="majorEastAsia"/>
                <w:bCs/>
                <w:color w:val="auto"/>
                <w:sz w:val="21"/>
                <w:szCs w:val="21"/>
                <w:highlight w:val="none"/>
                <w:lang w:eastAsia="zh-CN"/>
              </w:rPr>
              <w:fldChar w:fldCharType="end"/>
            </w:r>
            <w:r>
              <w:rPr>
                <w:rFonts w:hint="default" w:ascii="Times New Roman" w:hAnsi="Times New Roman" w:cs="Times New Roman" w:eastAsiaTheme="majorEastAsia"/>
                <w:bCs/>
                <w:color w:val="auto"/>
                <w:sz w:val="21"/>
                <w:szCs w:val="21"/>
                <w:highlight w:val="none"/>
                <w:lang w:eastAsia="zh-CN"/>
              </w:rPr>
              <w:t>产品冷却用水：现有工程注塑产品在模具内需通过恒温（约</w:t>
            </w:r>
            <w:r>
              <w:rPr>
                <w:rFonts w:hint="default" w:ascii="Times New Roman" w:hAnsi="Times New Roman" w:cs="Times New Roman" w:eastAsiaTheme="majorEastAsia"/>
                <w:bCs/>
                <w:color w:val="auto"/>
                <w:sz w:val="21"/>
                <w:szCs w:val="21"/>
                <w:highlight w:val="none"/>
                <w:lang w:val="en-US" w:eastAsia="zh-CN"/>
              </w:rPr>
              <w:t>40</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cs="Times New Roman" w:eastAsiaTheme="majorEastAsia"/>
                <w:bCs/>
                <w:color w:val="auto"/>
                <w:sz w:val="21"/>
                <w:szCs w:val="21"/>
                <w:highlight w:val="none"/>
                <w:lang w:eastAsia="zh-CN"/>
              </w:rPr>
              <w:t>）间接冷却水进行冷却，根据企业提供资料，厂区现有的</w:t>
            </w:r>
            <w:r>
              <w:rPr>
                <w:rFonts w:hint="default" w:ascii="Times New Roman" w:hAnsi="Times New Roman" w:cs="Times New Roman" w:eastAsiaTheme="majorEastAsia"/>
                <w:bCs/>
                <w:color w:val="auto"/>
                <w:sz w:val="21"/>
                <w:szCs w:val="21"/>
                <w:highlight w:val="none"/>
                <w:lang w:val="en-US" w:eastAsia="zh-CN"/>
              </w:rPr>
              <w:t>1个5m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eastAsia="zh-CN"/>
              </w:rPr>
              <w:t>冷却水罐</w:t>
            </w:r>
            <w:r>
              <w:rPr>
                <w:rFonts w:hint="default" w:ascii="Times New Roman" w:hAnsi="Times New Roman" w:cs="Times New Roman" w:eastAsiaTheme="majorEastAsia"/>
                <w:bCs/>
                <w:color w:val="auto"/>
                <w:sz w:val="21"/>
                <w:szCs w:val="21"/>
                <w:highlight w:val="none"/>
                <w:lang w:val="en-US" w:eastAsia="zh-CN"/>
              </w:rPr>
              <w:t>，由于冷却过程冷却水不与注塑产品直接接触，且</w:t>
            </w:r>
            <w:r>
              <w:rPr>
                <w:rFonts w:hint="eastAsia" w:ascii="Times New Roman" w:hAnsi="Times New Roman" w:cs="Times New Roman" w:eastAsiaTheme="majorEastAsia"/>
                <w:bCs/>
                <w:color w:val="auto"/>
                <w:sz w:val="21"/>
                <w:szCs w:val="21"/>
                <w:highlight w:val="none"/>
                <w:lang w:val="en-US" w:eastAsia="zh-CN"/>
              </w:rPr>
              <w:t>间接冷却</w:t>
            </w:r>
            <w:r>
              <w:rPr>
                <w:rFonts w:hint="default" w:ascii="Times New Roman" w:hAnsi="Times New Roman" w:cs="Times New Roman" w:eastAsiaTheme="majorEastAsia"/>
                <w:bCs/>
                <w:color w:val="auto"/>
                <w:sz w:val="21"/>
                <w:szCs w:val="21"/>
                <w:highlight w:val="none"/>
                <w:lang w:val="en-US" w:eastAsia="zh-CN"/>
              </w:rPr>
              <w:t>对冷却水水质要求不高，因此所用的循环冷却水均不外排。恒温冷却水罐在冷却过程会损耗部分冷却水，需</w:t>
            </w:r>
            <w:r>
              <w:rPr>
                <w:rFonts w:hint="default" w:ascii="Times New Roman" w:hAnsi="Times New Roman" w:cs="Times New Roman" w:eastAsiaTheme="minorEastAsia"/>
                <w:color w:val="auto"/>
                <w:sz w:val="21"/>
                <w:szCs w:val="21"/>
                <w:highlight w:val="none"/>
                <w:lang w:eastAsia="zh-CN"/>
              </w:rPr>
              <w:t>每月根据损耗补充一次新鲜水，补充量约为冷却水罐总水量的</w:t>
            </w:r>
            <w:r>
              <w:rPr>
                <w:rFonts w:hint="default" w:ascii="Times New Roman" w:hAnsi="Times New Roman" w:cs="Times New Roman" w:eastAsiaTheme="minorEastAsia"/>
                <w:color w:val="auto"/>
                <w:sz w:val="21"/>
                <w:szCs w:val="21"/>
                <w:highlight w:val="none"/>
                <w:lang w:val="en-US" w:eastAsia="zh-CN"/>
              </w:rPr>
              <w:t>50%</w:t>
            </w:r>
            <w:r>
              <w:rPr>
                <w:rFonts w:hint="default" w:ascii="Times New Roman" w:hAnsi="Times New Roman" w:cs="Times New Roman" w:eastAsiaTheme="minorEastAsia"/>
                <w:color w:val="auto"/>
                <w:sz w:val="21"/>
                <w:szCs w:val="21"/>
                <w:highlight w:val="none"/>
                <w:lang w:eastAsia="zh-CN"/>
              </w:rPr>
              <w:t>，经计算新鲜水</w:t>
            </w:r>
            <w:r>
              <w:rPr>
                <w:rFonts w:hint="default" w:ascii="Times New Roman" w:hAnsi="Times New Roman" w:cs="Times New Roman" w:eastAsiaTheme="minorEastAsia"/>
                <w:bCs/>
                <w:color w:val="auto"/>
                <w:sz w:val="21"/>
                <w:szCs w:val="21"/>
                <w:highlight w:val="none"/>
              </w:rPr>
              <w:t>补充量为</w:t>
            </w:r>
            <w:r>
              <w:rPr>
                <w:rFonts w:hint="default" w:ascii="Times New Roman" w:hAnsi="Times New Roman" w:cs="Times New Roman" w:eastAsiaTheme="minorEastAsia"/>
                <w:color w:val="auto"/>
                <w:sz w:val="21"/>
                <w:szCs w:val="21"/>
                <w:highlight w:val="none"/>
                <w:lang w:val="en-US" w:eastAsia="zh-CN"/>
              </w:rPr>
              <w:t>0.1</w:t>
            </w:r>
            <w:r>
              <w:rPr>
                <w:rFonts w:hint="default" w:ascii="Times New Roman" w:hAnsi="Times New Roman" w:cs="Times New Roman" w:eastAsiaTheme="majorEastAsia"/>
                <w:bCs/>
                <w:color w:val="auto"/>
                <w:sz w:val="21"/>
                <w:szCs w:val="21"/>
                <w:highlight w:val="none"/>
                <w:lang w:val="en-US" w:eastAsia="zh-CN"/>
              </w:rPr>
              <w:t>m</w:t>
            </w:r>
            <w:r>
              <w:rPr>
                <w:rFonts w:hint="default" w:ascii="Times New Roman" w:hAnsi="Times New Roman" w:cs="Times New Roman" w:eastAsiaTheme="majorEastAsia"/>
                <w:bCs/>
                <w:color w:val="auto"/>
                <w:sz w:val="21"/>
                <w:szCs w:val="21"/>
                <w:highlight w:val="none"/>
                <w:vertAlign w:val="superscript"/>
                <w:lang w:val="en-US" w:eastAsia="zh-CN"/>
              </w:rPr>
              <w:t>3</w:t>
            </w:r>
            <w:r>
              <w:rPr>
                <w:rFonts w:hint="default" w:ascii="Times New Roman" w:hAnsi="Times New Roman" w:cs="Times New Roman" w:eastAsiaTheme="majorEastAsia"/>
                <w:bCs/>
                <w:color w:val="auto"/>
                <w:sz w:val="21"/>
                <w:szCs w:val="21"/>
                <w:highlight w:val="none"/>
                <w:lang w:val="en-US" w:eastAsia="zh-CN"/>
              </w:rPr>
              <w:t>/d（</w:t>
            </w:r>
            <w:r>
              <w:rPr>
                <w:rFonts w:hint="default" w:ascii="Times New Roman" w:hAnsi="Times New Roman" w:cs="Times New Roman" w:eastAsiaTheme="minorEastAsia"/>
                <w:bCs/>
                <w:color w:val="auto"/>
                <w:sz w:val="21"/>
                <w:szCs w:val="21"/>
                <w:highlight w:val="none"/>
                <w:lang w:val="en-US" w:eastAsia="zh-CN"/>
              </w:rPr>
              <w:t>30</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/a</w:t>
            </w:r>
            <w:r>
              <w:rPr>
                <w:rFonts w:hint="default" w:ascii="Times New Roman" w:hAnsi="Times New Roman" w:cs="Times New Roman" w:eastAsiaTheme="majorEastAsia"/>
                <w:bCs/>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rPr>
              <w:t>。</w:t>
            </w:r>
          </w:p>
          <w:p>
            <w:pPr>
              <w:pStyle w:val="2"/>
              <w:rPr>
                <w:rFonts w:hint="default" w:ascii="Times New Roman" w:hAnsi="Times New Roman" w:eastAsia="黑体" w:cs="Times New Roman"/>
                <w:color w:val="auto"/>
                <w:sz w:val="21"/>
                <w:szCs w:val="21"/>
                <w:highlight w:val="none"/>
                <w:lang w:eastAsia="zh-CN"/>
              </w:rPr>
            </w:pPr>
          </w:p>
          <w:p>
            <w:pPr>
              <w:rPr>
                <w:rFonts w:hint="default" w:ascii="Times New Roman" w:hAnsi="Times New Roman" w:eastAsia="黑体" w:cs="Times New Roman"/>
                <w:color w:val="auto"/>
                <w:sz w:val="21"/>
                <w:szCs w:val="21"/>
                <w:highlight w:val="none"/>
                <w:lang w:eastAsia="zh-CN"/>
              </w:rPr>
            </w:pPr>
          </w:p>
          <w:p>
            <w:pPr>
              <w:pStyle w:val="2"/>
              <w:rPr>
                <w:rFonts w:hint="default" w:ascii="Times New Roman" w:hAnsi="Times New Roman" w:eastAsia="黑体" w:cs="Times New Roman"/>
                <w:color w:val="auto"/>
                <w:sz w:val="21"/>
                <w:szCs w:val="21"/>
                <w:highlight w:val="none"/>
                <w:lang w:eastAsia="zh-CN"/>
              </w:rPr>
            </w:pPr>
          </w:p>
          <w:p>
            <w:pPr>
              <w:rPr>
                <w:rFonts w:hint="default" w:ascii="Times New Roman" w:hAnsi="Times New Roman" w:eastAsia="黑体" w:cs="Times New Roman"/>
                <w:color w:val="auto"/>
                <w:sz w:val="21"/>
                <w:szCs w:val="21"/>
                <w:highlight w:val="none"/>
                <w:lang w:eastAsia="zh-CN"/>
              </w:rPr>
            </w:pPr>
          </w:p>
          <w:p>
            <w:pPr>
              <w:pStyle w:val="45"/>
              <w:rPr>
                <w:rFonts w:hint="default" w:ascii="Times New Roman" w:hAnsi="Times New Roman" w:eastAsia="黑体" w:cs="Times New Roman"/>
                <w:color w:val="auto"/>
                <w:sz w:val="21"/>
                <w:szCs w:val="21"/>
                <w:highlight w:val="none"/>
                <w:lang w:eastAsia="zh-CN"/>
              </w:rPr>
            </w:pPr>
          </w:p>
          <w:p>
            <w:pPr>
              <w:pStyle w:val="45"/>
              <w:rPr>
                <w:rFonts w:hint="default" w:ascii="Times New Roman" w:hAnsi="Times New Roman" w:eastAsia="黑体" w:cs="Times New Roman"/>
                <w:color w:val="auto"/>
                <w:sz w:val="21"/>
                <w:szCs w:val="21"/>
                <w:highlight w:val="none"/>
                <w:lang w:eastAsia="zh-CN"/>
              </w:rPr>
            </w:pPr>
          </w:p>
          <w:p>
            <w:pPr>
              <w:pStyle w:val="45"/>
              <w:rPr>
                <w:rFonts w:hint="default" w:ascii="Times New Roman" w:hAnsi="Times New Roman" w:eastAsia="黑体" w:cs="Times New Roman"/>
                <w:color w:val="auto"/>
                <w:sz w:val="21"/>
                <w:szCs w:val="21"/>
                <w:highlight w:val="none"/>
                <w:lang w:eastAsia="zh-CN"/>
              </w:rPr>
            </w:pPr>
          </w:p>
          <w:p>
            <w:pPr>
              <w:pStyle w:val="45"/>
              <w:rPr>
                <w:rFonts w:hint="default" w:ascii="Times New Roman" w:hAnsi="Times New Roman" w:eastAsia="黑体" w:cs="Times New Roman"/>
                <w:color w:val="auto"/>
                <w:sz w:val="21"/>
                <w:szCs w:val="21"/>
                <w:highlight w:val="none"/>
                <w:lang w:eastAsia="zh-CN"/>
              </w:rPr>
            </w:pPr>
          </w:p>
          <w:p>
            <w:pPr>
              <w:rPr>
                <w:rFonts w:hint="default" w:ascii="Times New Roman" w:hAnsi="Times New Roman" w:eastAsia="黑体" w:cs="Times New Roman"/>
                <w:color w:val="auto"/>
                <w:sz w:val="21"/>
                <w:szCs w:val="21"/>
                <w:highlight w:val="none"/>
                <w:lang w:eastAsia="zh-CN"/>
              </w:rPr>
            </w:pPr>
          </w:p>
          <w:p>
            <w:pPr>
              <w:pStyle w:val="4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eastAsia="zh-CN"/>
              </w:rPr>
              <w:t>图</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 xml:space="preserve"> 现有工程</w:t>
            </w:r>
            <w:r>
              <w:rPr>
                <w:rFonts w:hint="default" w:ascii="Times New Roman" w:hAnsi="Times New Roman" w:eastAsia="黑体" w:cs="Times New Roman"/>
                <w:color w:val="auto"/>
                <w:sz w:val="21"/>
                <w:szCs w:val="21"/>
                <w:highlight w:val="none"/>
                <w:lang w:val="en-US" w:eastAsia="zh-CN"/>
              </w:rPr>
              <w:t>水平衡图</w:t>
            </w:r>
            <w:r>
              <w:rPr>
                <w:rFonts w:hint="default" w:ascii="Times New Roman" w:hAnsi="Times New Roman" w:cs="Times New Roman"/>
                <w:color w:val="auto"/>
                <w:sz w:val="21"/>
                <w:szCs w:val="21"/>
                <w:highlight w:val="none"/>
                <w:lang w:val="en-US" w:eastAsia="zh-CN"/>
              </w:rPr>
              <w:t xml:space="preserve">     单位t/a</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leftChars="20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eastAsia="zh-CN"/>
              </w:rPr>
              <w:t>现有工程污染物产排情况</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目前企业已委托河南松筠检测技术有限公司于2020年7月17日~7月18日对现有工程废气和噪声进行实测</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本次评价以《新乡市卓越橡塑有限公司</w:t>
            </w:r>
            <w:r>
              <w:rPr>
                <w:rFonts w:hint="default" w:ascii="Times New Roman" w:hAnsi="Times New Roman" w:eastAsia="宋体" w:cs="Times New Roman"/>
                <w:color w:val="auto"/>
                <w:sz w:val="21"/>
                <w:szCs w:val="21"/>
                <w:highlight w:val="none"/>
                <w:lang w:val="en-US" w:eastAsia="zh-CN"/>
              </w:rPr>
              <w:t>年产1亿只锂电池密封圈项目环境影响评价报告表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、竣工验收监测报告和实测结果</w:t>
            </w:r>
            <w:r>
              <w:rPr>
                <w:rFonts w:hint="default" w:ascii="Times New Roman" w:hAnsi="Times New Roman" w:eastAsia="宋体" w:cs="Times New Roman"/>
                <w:color w:val="auto"/>
                <w:sz w:val="21"/>
                <w:szCs w:val="21"/>
                <w:highlight w:val="none"/>
                <w:lang w:eastAsia="zh-CN"/>
              </w:rPr>
              <w:t>为依据</w:t>
            </w:r>
            <w:r>
              <w:rPr>
                <w:rFonts w:hint="default" w:ascii="Times New Roman" w:hAnsi="Times New Roman" w:cs="Times New Roman"/>
                <w:color w:val="auto"/>
                <w:sz w:val="21"/>
                <w:szCs w:val="21"/>
                <w:highlight w:val="none"/>
              </w:rPr>
              <w:t>确定</w:t>
            </w:r>
            <w:r>
              <w:rPr>
                <w:rFonts w:hint="default" w:ascii="Times New Roman" w:hAnsi="Times New Roman" w:cs="Times New Roman"/>
                <w:color w:val="auto"/>
                <w:sz w:val="21"/>
                <w:szCs w:val="21"/>
                <w:highlight w:val="none"/>
                <w:lang w:eastAsia="zh-CN"/>
              </w:rPr>
              <w:t>现有工程</w:t>
            </w:r>
            <w:r>
              <w:rPr>
                <w:rFonts w:hint="default" w:ascii="Times New Roman" w:hAnsi="Times New Roman" w:cs="Times New Roman"/>
                <w:color w:val="auto"/>
                <w:sz w:val="21"/>
                <w:szCs w:val="21"/>
                <w:highlight w:val="none"/>
              </w:rPr>
              <w:t>污染物源强</w:t>
            </w:r>
            <w:r>
              <w:rPr>
                <w:rFonts w:hint="default" w:ascii="Times New Roman" w:hAnsi="Times New Roman" w:cs="Times New Roman"/>
                <w:color w:val="auto"/>
                <w:sz w:val="21"/>
                <w:szCs w:val="21"/>
                <w:highlight w:val="none"/>
                <w:lang w:eastAsia="zh-CN"/>
              </w:rPr>
              <w:t>，具体情况如下：</w:t>
            </w:r>
          </w:p>
          <w:p>
            <w:pPr>
              <w:pStyle w:val="45"/>
              <w:keepNext w:val="0"/>
              <w:keepLines w:val="0"/>
              <w:pageBreakBefore w:val="0"/>
              <w:widowControl w:val="0"/>
              <w:numPr>
                <w:ilvl w:val="0"/>
                <w:numId w:val="5"/>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废气污染物排放情况</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现场勘查，目前现有工程注塑过程废气通过设置集气罩进行收集后，通过1套“磁感UV光催化氧化+低温等离子”进行处理后，经15m排气筒排放，而经查阅现有工程竣工验收报告可知，现有工程竣工验收期间对于注塑工序废气则是采用“磁感UV光催化氧化”进行处理后经15m排气筒排放，因此实际建设情况同竣工验收期间企业采取的废气治理设施存在差异。经与建设单位沟通了解，由于竣工验收期间工程废气治理设施方面存在集气罩面积小、设置高度较高等问题，因此在竣工验收后企业再次对现有废气设置进行整改，主要改进了集气罩大小和高度，同时又增加了1套“低温等离子”以进一步减少非甲烷总烃类废气排放量。由于目前企业实际建设情况和竣工验收期间建设情况存在差异，因此企业已委托河南松筠检测技术有限公司于2020年7月17日~7月18日对现有工程废气进行了实测。本次评价分别对现有工程竣工验收期间废气污染物排放情况和目前实测废气污染物产排情况进行介绍，具体情况如下：</w:t>
            </w:r>
          </w:p>
          <w:p>
            <w:pPr>
              <w:pStyle w:val="45"/>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fldChar w:fldCharType="begin"/>
            </w:r>
            <w:r>
              <w:rPr>
                <w:rFonts w:hint="default" w:ascii="Times New Roman" w:hAnsi="Times New Roman" w:cs="Times New Roman" w:eastAsiaTheme="minorEastAsia"/>
                <w:b w:val="0"/>
                <w:bCs w:val="0"/>
                <w:color w:val="auto"/>
                <w:sz w:val="21"/>
                <w:szCs w:val="21"/>
                <w:highlight w:val="none"/>
                <w:lang w:val="en-US" w:eastAsia="zh-CN"/>
              </w:rPr>
              <w:instrText xml:space="preserve"> = 1 \* GB3 \* MERGEFORMAT </w:instrText>
            </w:r>
            <w:r>
              <w:rPr>
                <w:rFonts w:hint="default" w:ascii="Times New Roman" w:hAnsi="Times New Roman" w:cs="Times New Roman" w:eastAsiaTheme="minorEastAsia"/>
                <w:b w:val="0"/>
                <w:bCs w:val="0"/>
                <w:color w:val="auto"/>
                <w:sz w:val="21"/>
                <w:szCs w:val="21"/>
                <w:highlight w:val="none"/>
                <w:lang w:val="en-US" w:eastAsia="zh-CN"/>
              </w:rPr>
              <w:fldChar w:fldCharType="separate"/>
            </w:r>
            <w:r>
              <w:rPr>
                <w:rFonts w:hint="default" w:ascii="Times New Roman" w:hAnsi="Times New Roman" w:cs="Times New Roman"/>
                <w:b w:val="0"/>
                <w:bCs w:val="0"/>
                <w:color w:val="auto"/>
                <w:sz w:val="21"/>
                <w:szCs w:val="21"/>
              </w:rPr>
              <w:t>①</w:t>
            </w:r>
            <w:r>
              <w:rPr>
                <w:rFonts w:hint="default" w:ascii="Times New Roman" w:hAnsi="Times New Roman" w:cs="Times New Roman" w:eastAsiaTheme="minorEastAsia"/>
                <w:b w:val="0"/>
                <w:bCs w:val="0"/>
                <w:color w:val="auto"/>
                <w:sz w:val="21"/>
                <w:szCs w:val="21"/>
                <w:highlight w:val="none"/>
                <w:lang w:val="en-US" w:eastAsia="zh-CN"/>
              </w:rPr>
              <w:fldChar w:fldCharType="end"/>
            </w:r>
            <w:r>
              <w:rPr>
                <w:rFonts w:hint="default" w:ascii="Times New Roman" w:hAnsi="Times New Roman" w:cs="Times New Roman" w:eastAsiaTheme="minorEastAsia"/>
                <w:b w:val="0"/>
                <w:bCs w:val="0"/>
                <w:color w:val="auto"/>
                <w:sz w:val="21"/>
                <w:szCs w:val="21"/>
                <w:highlight w:val="none"/>
                <w:lang w:val="en-US" w:eastAsia="zh-CN"/>
              </w:rPr>
              <w:t>竣工验收期间废气产排情况</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ROMAN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rPr>
              <w:t>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.有组织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根据新乡市卓越橡塑有限公司年产1亿只锂电池密封圈项目竣工验收报告内容可知，注塑过程废气通过</w:t>
            </w:r>
            <w:r>
              <w:rPr>
                <w:rFonts w:hint="default" w:ascii="Times New Roman" w:hAnsi="Times New Roman" w:cs="Times New Roman"/>
                <w:color w:val="auto"/>
                <w:sz w:val="21"/>
                <w:szCs w:val="21"/>
                <w:lang w:val="en-US" w:eastAsia="zh-CN"/>
              </w:rPr>
              <w:t>在注塑机上方加装集气罩进行废气收集，并通过1套“磁感UV光催化氧化”废气处理设施处理后，经15m高排气筒排放，竣工验收期间监测结果如下：</w:t>
            </w:r>
          </w:p>
          <w:p>
            <w:pPr>
              <w:pStyle w:val="2"/>
              <w:rPr>
                <w:rFonts w:hint="default"/>
                <w:lang w:val="en-US" w:eastAsia="zh-CN"/>
              </w:rPr>
            </w:pPr>
          </w:p>
          <w:p>
            <w:pPr>
              <w:keepNext w:val="0"/>
              <w:keepLines w:val="0"/>
              <w:pageBreakBefore w:val="0"/>
              <w:widowControl w:val="0"/>
              <w:numPr>
                <w:ilvl w:val="0"/>
                <w:numId w:val="1"/>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竣工验收有组织废气监测结果一览表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47"/>
              <w:gridCol w:w="894"/>
              <w:gridCol w:w="861"/>
              <w:gridCol w:w="921"/>
              <w:gridCol w:w="1370"/>
              <w:gridCol w:w="1465"/>
              <w:gridCol w:w="14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设备</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名称</w:t>
                  </w:r>
                </w:p>
              </w:tc>
              <w:tc>
                <w:tcPr>
                  <w:tcW w:w="550"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采样时间</w:t>
                  </w:r>
                </w:p>
              </w:tc>
              <w:tc>
                <w:tcPr>
                  <w:tcW w:w="530"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采样点位</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频次</w:t>
                  </w:r>
                </w:p>
              </w:tc>
              <w:tc>
                <w:tcPr>
                  <w:tcW w:w="843"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废气流量</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90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非甲烷总烃</w:t>
                  </w:r>
                  <w:r>
                    <w:rPr>
                      <w:rFonts w:hint="default" w:ascii="Times New Roman" w:hAnsi="Times New Roman" w:eastAsia="宋体" w:cs="Times New Roman"/>
                      <w:color w:val="auto"/>
                      <w:sz w:val="18"/>
                      <w:szCs w:val="18"/>
                    </w:rPr>
                    <w:t>浓度</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90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非甲烷总烃</w:t>
                  </w:r>
                  <w:r>
                    <w:rPr>
                      <w:rFonts w:hint="default" w:ascii="Times New Roman" w:hAnsi="Times New Roman" w:eastAsia="宋体" w:cs="Times New Roman"/>
                      <w:color w:val="auto"/>
                      <w:sz w:val="18"/>
                      <w:szCs w:val="18"/>
                    </w:rPr>
                    <w:t>速率</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cs="Times New Roman"/>
                      <w:color w:val="auto"/>
                      <w:sz w:val="18"/>
                      <w:szCs w:val="18"/>
                      <w:lang w:val="en-US" w:eastAsia="zh-CN" w:bidi="ar-SA"/>
                    </w:rPr>
                    <w:t>生产车间废气处理设施（UV</w:t>
                  </w:r>
                  <w:r>
                    <w:rPr>
                      <w:rFonts w:hint="default" w:ascii="Times New Roman" w:hAnsi="Times New Roman" w:eastAsia="宋体" w:cs="Times New Roman"/>
                      <w:color w:val="auto"/>
                      <w:sz w:val="18"/>
                      <w:szCs w:val="18"/>
                      <w:lang w:val="en-US" w:eastAsia="zh-CN" w:bidi="ar-SA"/>
                    </w:rPr>
                    <w:t>光氧催化</w:t>
                  </w:r>
                  <w:r>
                    <w:rPr>
                      <w:rFonts w:hint="default" w:ascii="Times New Roman" w:hAnsi="Times New Roman" w:cs="Times New Roman"/>
                      <w:color w:val="auto"/>
                      <w:sz w:val="18"/>
                      <w:szCs w:val="18"/>
                      <w:lang w:val="en-US" w:eastAsia="zh-CN" w:bidi="ar-SA"/>
                    </w:rPr>
                    <w:t>）</w:t>
                  </w:r>
                </w:p>
              </w:tc>
              <w:tc>
                <w:tcPr>
                  <w:tcW w:w="550" w:type="pct"/>
                  <w:vMerge w:val="restar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2018.3.17</w:t>
                  </w:r>
                </w:p>
              </w:tc>
              <w:tc>
                <w:tcPr>
                  <w:tcW w:w="530"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进口</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986</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54.9</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0.0541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997</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52.8</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0.0526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981</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55</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均值</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988</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54.2</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0.0535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30"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出口</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1.09×10</w:t>
                  </w:r>
                  <w:r>
                    <w:rPr>
                      <w:rFonts w:hint="default" w:ascii="Times New Roman" w:hAnsi="Times New Roman" w:cs="Times New Roman"/>
                      <w:color w:val="auto"/>
                      <w:sz w:val="18"/>
                      <w:szCs w:val="18"/>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9.39</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9.15×10</w:t>
                  </w:r>
                  <w:r>
                    <w:rPr>
                      <w:rFonts w:hint="default" w:ascii="Times New Roman" w:hAnsi="Times New Roman" w:cs="Times New Roman"/>
                      <w:color w:val="auto"/>
                      <w:sz w:val="18"/>
                      <w:szCs w:val="18"/>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1.04×10</w:t>
                  </w:r>
                  <w:r>
                    <w:rPr>
                      <w:rFonts w:hint="default" w:ascii="Times New Roman" w:hAnsi="Times New Roman" w:cs="Times New Roman"/>
                      <w:color w:val="auto"/>
                      <w:sz w:val="18"/>
                      <w:szCs w:val="18"/>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8.76</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9.11×10</w:t>
                  </w:r>
                  <w:r>
                    <w:rPr>
                      <w:rFonts w:hint="default" w:ascii="Times New Roman" w:hAnsi="Times New Roman" w:cs="Times New Roman"/>
                      <w:color w:val="auto"/>
                      <w:sz w:val="18"/>
                      <w:szCs w:val="18"/>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1.12×10</w:t>
                  </w:r>
                  <w:r>
                    <w:rPr>
                      <w:rFonts w:hint="default" w:ascii="Times New Roman" w:hAnsi="Times New Roman" w:cs="Times New Roman"/>
                      <w:color w:val="auto"/>
                      <w:sz w:val="18"/>
                      <w:szCs w:val="18"/>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8.42</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9.43×10</w:t>
                  </w:r>
                  <w:r>
                    <w:rPr>
                      <w:rFonts w:hint="default" w:ascii="Times New Roman" w:hAnsi="Times New Roman" w:cs="Times New Roman"/>
                      <w:color w:val="auto"/>
                      <w:sz w:val="18"/>
                      <w:szCs w:val="18"/>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均值</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1.08×10</w:t>
                  </w:r>
                  <w:r>
                    <w:rPr>
                      <w:rFonts w:hint="default" w:ascii="Times New Roman" w:hAnsi="Times New Roman" w:cs="Times New Roman"/>
                      <w:color w:val="auto"/>
                      <w:sz w:val="18"/>
                      <w:szCs w:val="18"/>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8.52</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9.2×10</w:t>
                  </w:r>
                  <w:r>
                    <w:rPr>
                      <w:rFonts w:hint="default" w:ascii="Times New Roman" w:hAnsi="Times New Roman" w:cs="Times New Roman"/>
                      <w:color w:val="auto"/>
                      <w:sz w:val="18"/>
                      <w:szCs w:val="18"/>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097" w:type="pct"/>
                  <w:gridSpan w:val="2"/>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处理效率</w:t>
                  </w:r>
                </w:p>
              </w:tc>
              <w:tc>
                <w:tcPr>
                  <w:tcW w:w="2645" w:type="pct"/>
                  <w:gridSpan w:val="3"/>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82.8%~84.7%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rPr>
                  </w:pPr>
                </w:p>
              </w:tc>
              <w:tc>
                <w:tcPr>
                  <w:tcW w:w="550" w:type="pct"/>
                  <w:vMerge w:val="restar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2018.3.18</w:t>
                  </w:r>
                </w:p>
              </w:tc>
              <w:tc>
                <w:tcPr>
                  <w:tcW w:w="530"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进口</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982</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53.4</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0.0524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993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55.7</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0.0553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975</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52.1</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0.0508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均值</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983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53.7</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0.0528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30"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出口</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1.06</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8.59</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9.11×10</w:t>
                  </w:r>
                  <w:r>
                    <w:rPr>
                      <w:rFonts w:hint="default" w:ascii="Times New Roman" w:hAnsi="Times New Roman" w:cs="Times New Roman"/>
                      <w:color w:val="auto"/>
                      <w:sz w:val="18"/>
                      <w:szCs w:val="18"/>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8.26</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9.09×10</w:t>
                  </w:r>
                  <w:r>
                    <w:rPr>
                      <w:rFonts w:hint="default" w:ascii="Times New Roman" w:hAnsi="Times New Roman" w:cs="Times New Roman"/>
                      <w:color w:val="auto"/>
                      <w:sz w:val="18"/>
                      <w:szCs w:val="18"/>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1.04</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8.74</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9.09×10</w:t>
                  </w:r>
                  <w:r>
                    <w:rPr>
                      <w:rFonts w:hint="default" w:ascii="Times New Roman" w:hAnsi="Times New Roman" w:cs="Times New Roman"/>
                      <w:color w:val="auto"/>
                      <w:sz w:val="18"/>
                      <w:szCs w:val="18"/>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均值</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1.07</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8.53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9.13×10</w:t>
                  </w:r>
                  <w:r>
                    <w:rPr>
                      <w:rFonts w:hint="default" w:ascii="Times New Roman" w:hAnsi="Times New Roman" w:cs="Times New Roman"/>
                      <w:color w:val="auto"/>
                      <w:sz w:val="18"/>
                      <w:szCs w:val="18"/>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097" w:type="pct"/>
                  <w:gridSpan w:val="2"/>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处理效率</w:t>
                  </w:r>
                </w:p>
              </w:tc>
              <w:tc>
                <w:tcPr>
                  <w:tcW w:w="2645" w:type="pct"/>
                  <w:gridSpan w:val="3"/>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83.2%~85.1</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由上表可知，目前工程废气经采用“UV光催化氧化”废气处理设施处理后，现有工程非甲烷总烃废气排放浓度为8.26mg/m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~8.74mg/m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，能够满足《关于全省开展工业企业挥发性有机物专项治理工作中排放建议值的通知》（豫环攻坚办[2017]162号）（其他行业：80mg/m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）、《大气污染物综合排放标准》（GB16297-1996）表2二级标准（最高允许排放浓度120mg/m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根据竣工验收监测结果计算可知，工程集气罩有组织收集的非甲烷总烃产生量为0.1219t/a~0.1327t/a，“UV光催化氧化”废气治理设施处理效率在82.8%~85.1%，经处理后排放量为0.0183t/a~0.0231t/a。由于竣工验收期间工程治理设施存在集气罩面积小、设置高度较高等问题，因此集气罩收集效率本次评价按照约70%计算，则验收期间现有工程注塑过程非甲总烃有机废气最大产生量为0.1896t/a</w:t>
            </w:r>
            <w:r>
              <w:rPr>
                <w:rFonts w:hint="default" w:ascii="Times New Roman" w:hAnsi="Times New Roman" w:cs="Times New Roman"/>
                <w:color w:val="auto"/>
                <w:sz w:val="21"/>
                <w:szCs w:val="21"/>
                <w:highlight w:val="none"/>
                <w:lang w:val="en-US" w:eastAsia="zh-CN"/>
              </w:rPr>
              <w:t>，而该产生量即等同于现有工程环评中预测的非甲烷总烃排放总量，但现有工程环评预测及批复的非甲烷总烃量为0.0012t/a（无组织），相较于竣工验收监测时核算出的非甲烷总烃量（0.1896t/a）偏差较大，因此评价认为环评中预测计算出的非甲烷总烃量不合理，本次评价以现有工程竣工验收期间实际非甲烷总烃量产生量作为现有工程总量，即现有工程非甲烷总烃总量为0.1896t/a。</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ROMAN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rPr>
              <w:t>II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竣工验收期间由于企业所设置的废气收集措施存在集气罩面积小、设置高度较高等问题，因此实际未对生产过程废气进行有效收集，评价以70%集气效率计算，则有30%废气以无组织形式排放，则无组织非甲烷总烃量约为0.0569t/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综上所述，工程竣工验收期间废气产排情况汇总如下：</w:t>
            </w:r>
          </w:p>
          <w:p>
            <w:pPr>
              <w:keepNext w:val="0"/>
              <w:keepLines w:val="0"/>
              <w:pageBreakBefore w:val="0"/>
              <w:widowControl w:val="0"/>
              <w:numPr>
                <w:ilvl w:val="0"/>
                <w:numId w:val="1"/>
              </w:numPr>
              <w:suppressLineNumbers w:val="0"/>
              <w:kinsoku/>
              <w:wordWrap/>
              <w:overflowPunct/>
              <w:topLinePunct w:val="0"/>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竣工验收期间现有工程废气产排情况</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948"/>
              <w:gridCol w:w="1084"/>
              <w:gridCol w:w="1000"/>
              <w:gridCol w:w="1421"/>
              <w:gridCol w:w="733"/>
              <w:gridCol w:w="944"/>
              <w:gridCol w:w="12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pct"/>
                  <w:gridSpan w:val="2"/>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污染源</w:t>
                  </w:r>
                </w:p>
              </w:tc>
              <w:tc>
                <w:tcPr>
                  <w:tcW w:w="66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产生速率kg/h</w:t>
                  </w:r>
                </w:p>
              </w:tc>
              <w:tc>
                <w:tcPr>
                  <w:tcW w:w="615"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产生量t/a</w:t>
                  </w:r>
                </w:p>
              </w:tc>
              <w:tc>
                <w:tcPr>
                  <w:tcW w:w="874" w:type="pct"/>
                  <w:tcBorders>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治理措施</w:t>
                  </w:r>
                </w:p>
              </w:tc>
              <w:tc>
                <w:tcPr>
                  <w:tcW w:w="451" w:type="pct"/>
                  <w:tcBorders>
                    <w:left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处理效率</w:t>
                  </w:r>
                </w:p>
              </w:tc>
              <w:tc>
                <w:tcPr>
                  <w:tcW w:w="581" w:type="pct"/>
                  <w:tcBorders>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排放速率kg/h</w:t>
                  </w:r>
                </w:p>
              </w:tc>
              <w:tc>
                <w:tcPr>
                  <w:tcW w:w="76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9" w:type="pct"/>
                  <w:vMerge w:val="restart"/>
                  <w:tcBorders>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非甲烷总烃</w:t>
                  </w:r>
                </w:p>
              </w:tc>
              <w:tc>
                <w:tcPr>
                  <w:tcW w:w="582" w:type="pct"/>
                  <w:tcBorders>
                    <w:left w:val="single" w:color="000000" w:sz="4" w:space="0"/>
                    <w:bottom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有组织</w:t>
                  </w:r>
                </w:p>
              </w:tc>
              <w:tc>
                <w:tcPr>
                  <w:tcW w:w="667" w:type="pct"/>
                  <w:tcBorders>
                    <w:bottom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0.0553</w:t>
                  </w:r>
                </w:p>
              </w:tc>
              <w:tc>
                <w:tcPr>
                  <w:tcW w:w="615"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0.1327</w:t>
                  </w:r>
                </w:p>
              </w:tc>
              <w:tc>
                <w:tcPr>
                  <w:tcW w:w="874" w:type="pct"/>
                  <w:tcBorders>
                    <w:bottom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UV光催化氧化</w:t>
                  </w:r>
                </w:p>
              </w:tc>
              <w:tc>
                <w:tcPr>
                  <w:tcW w:w="451" w:type="pct"/>
                  <w:tcBorders>
                    <w:left w:val="single" w:color="000000" w:sz="4" w:space="0"/>
                    <w:bottom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83%</w:t>
                  </w:r>
                </w:p>
              </w:tc>
              <w:tc>
                <w:tcPr>
                  <w:tcW w:w="581" w:type="pct"/>
                  <w:tcBorders>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0.0094</w:t>
                  </w:r>
                </w:p>
              </w:tc>
              <w:tc>
                <w:tcPr>
                  <w:tcW w:w="76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0.0226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Merge w:val="continue"/>
                  <w:tcBorders>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582" w:type="pct"/>
                  <w:tcBorders>
                    <w:top w:val="single" w:color="000000" w:sz="4" w:space="0"/>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无组织</w:t>
                  </w:r>
                </w:p>
              </w:tc>
              <w:tc>
                <w:tcPr>
                  <w:tcW w:w="667" w:type="pct"/>
                  <w:tcBorders>
                    <w:top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0.0237</w:t>
                  </w:r>
                </w:p>
              </w:tc>
              <w:tc>
                <w:tcPr>
                  <w:tcW w:w="615"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0.0569</w:t>
                  </w:r>
                </w:p>
              </w:tc>
              <w:tc>
                <w:tcPr>
                  <w:tcW w:w="874" w:type="pct"/>
                  <w:tcBorders>
                    <w:top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451" w:type="pct"/>
                  <w:tcBorders>
                    <w:top w:val="single" w:color="000000" w:sz="4" w:space="0"/>
                    <w:left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81" w:type="pct"/>
                  <w:tcBorders>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0.0237</w:t>
                  </w:r>
                </w:p>
              </w:tc>
              <w:tc>
                <w:tcPr>
                  <w:tcW w:w="76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0.0569</w:t>
                  </w:r>
                </w:p>
              </w:tc>
            </w:tr>
          </w:tbl>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 2 \* GB3 \* MERGEFORMAT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cs="Times New Roman"/>
                <w:b w:val="0"/>
                <w:bCs w:val="0"/>
                <w:color w:val="auto"/>
                <w:sz w:val="21"/>
                <w:szCs w:val="21"/>
              </w:rPr>
              <w:t>②</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目前实测废气产排情况</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根据现场勘查，现有工程目前实际采取的废气治理设施与竣工验收时存在差异，为了解现有工程目前实际非甲烷总烃排放情况是否达标，企业委托河南松筠检测技术有限公司于2020年</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val="en-US" w:eastAsia="zh-CN"/>
              </w:rPr>
              <w:t>日~</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lang w:val="en-US" w:eastAsia="zh-CN"/>
              </w:rPr>
              <w:t>日对现有工程“磁感UV光催化氧化+低温等离子”废气处理设施进口和出口进行实测，目前现有工程实际监测情况如下：</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ROMAN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rPr>
              <w:t>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.有组织</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现有工程设置</w:t>
            </w:r>
            <w:r>
              <w:rPr>
                <w:rFonts w:hint="default" w:ascii="Times New Roman" w:hAnsi="Times New Roman" w:eastAsia="宋体" w:cs="Times New Roman"/>
                <w:color w:val="auto"/>
                <w:sz w:val="21"/>
                <w:szCs w:val="21"/>
                <w:highlight w:val="none"/>
                <w:lang w:val="en-US" w:eastAsia="zh-CN"/>
              </w:rPr>
              <w:t>4台</w:t>
            </w:r>
            <w:r>
              <w:rPr>
                <w:rFonts w:hint="default" w:ascii="Times New Roman" w:hAnsi="Times New Roman" w:eastAsia="宋体" w:cs="Times New Roman"/>
                <w:color w:val="auto"/>
                <w:sz w:val="21"/>
                <w:szCs w:val="21"/>
                <w:highlight w:val="none"/>
                <w:lang w:eastAsia="zh-CN"/>
              </w:rPr>
              <w:t>注塑机进行生产，在原料加热熔融、注塑成型和冷却出模过程中均会有废气产生</w:t>
            </w:r>
            <w:r>
              <w:rPr>
                <w:rFonts w:hint="default" w:ascii="Times New Roman" w:hAnsi="Times New Roman" w:eastAsia="宋体" w:cs="Times New Roman"/>
                <w:color w:val="auto"/>
                <w:sz w:val="21"/>
                <w:szCs w:val="21"/>
                <w:highlight w:val="none"/>
                <w:lang w:val="en-US" w:eastAsia="zh-CN"/>
              </w:rPr>
              <w:t>，根据现场勘查，目前现有注塑机上方均设施集气罩进行废气收集，并将收集的废气均通过1套“磁感UV光催化氧化+低温等离子”废气处理设施处理后经15m高排气筒排放，根据企业委托河南松筠检测技术有限公司于2020年</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val="en-US" w:eastAsia="zh-CN"/>
              </w:rPr>
              <w:t>日~</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lang w:val="en-US" w:eastAsia="zh-CN"/>
              </w:rPr>
              <w:t>日对现有工程“UV光催化氧化+低温等离子”废气处理设施进口和出口进行实测结果统计如下：</w:t>
            </w:r>
          </w:p>
          <w:p>
            <w:pPr>
              <w:keepNext w:val="0"/>
              <w:keepLines w:val="0"/>
              <w:numPr>
                <w:ilvl w:val="0"/>
                <w:numId w:val="1"/>
              </w:numPr>
              <w:suppressLineNumbers w:val="0"/>
              <w:spacing w:before="0" w:beforeAutospacing="0" w:after="0" w:afterAutospacing="0" w:line="460" w:lineRule="exact"/>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有机废气排气筒进出口监测结果一览表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47"/>
              <w:gridCol w:w="894"/>
              <w:gridCol w:w="861"/>
              <w:gridCol w:w="921"/>
              <w:gridCol w:w="1370"/>
              <w:gridCol w:w="1465"/>
              <w:gridCol w:w="14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设备</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名称</w:t>
                  </w:r>
                </w:p>
              </w:tc>
              <w:tc>
                <w:tcPr>
                  <w:tcW w:w="550"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采样时间</w:t>
                  </w:r>
                </w:p>
              </w:tc>
              <w:tc>
                <w:tcPr>
                  <w:tcW w:w="530"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采样点位</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频次</w:t>
                  </w:r>
                </w:p>
              </w:tc>
              <w:tc>
                <w:tcPr>
                  <w:tcW w:w="843"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废气流量</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90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非甲烷总烃</w:t>
                  </w:r>
                  <w:r>
                    <w:rPr>
                      <w:rFonts w:hint="default" w:ascii="Times New Roman" w:hAnsi="Times New Roman" w:eastAsia="宋体" w:cs="Times New Roman"/>
                      <w:color w:val="auto"/>
                      <w:sz w:val="18"/>
                      <w:szCs w:val="18"/>
                    </w:rPr>
                    <w:t>浓度</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90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非甲烷总烃</w:t>
                  </w:r>
                  <w:r>
                    <w:rPr>
                      <w:rFonts w:hint="default" w:ascii="Times New Roman" w:hAnsi="Times New Roman" w:eastAsia="宋体" w:cs="Times New Roman"/>
                      <w:color w:val="auto"/>
                      <w:sz w:val="18"/>
                      <w:szCs w:val="18"/>
                    </w:rPr>
                    <w:t>速率</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注塑机</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bidi="ar-SA"/>
                    </w:rPr>
                    <w:t>磁感</w:t>
                  </w:r>
                  <w:r>
                    <w:rPr>
                      <w:rFonts w:hint="default" w:ascii="Times New Roman" w:hAnsi="Times New Roman" w:cs="Times New Roman"/>
                      <w:color w:val="auto"/>
                      <w:sz w:val="18"/>
                      <w:szCs w:val="18"/>
                      <w:lang w:val="en-US" w:eastAsia="zh-CN" w:bidi="ar-SA"/>
                    </w:rPr>
                    <w:t>UV</w:t>
                  </w:r>
                  <w:r>
                    <w:rPr>
                      <w:rFonts w:hint="default" w:ascii="Times New Roman" w:hAnsi="Times New Roman" w:eastAsia="宋体" w:cs="Times New Roman"/>
                      <w:color w:val="auto"/>
                      <w:sz w:val="18"/>
                      <w:szCs w:val="18"/>
                      <w:lang w:val="en-US" w:eastAsia="zh-CN" w:bidi="ar-SA"/>
                    </w:rPr>
                    <w:t>光氧催化+</w:t>
                  </w:r>
                  <w:r>
                    <w:rPr>
                      <w:rFonts w:hint="default" w:ascii="Times New Roman" w:hAnsi="Times New Roman" w:cs="Times New Roman"/>
                      <w:color w:val="auto"/>
                      <w:sz w:val="18"/>
                      <w:szCs w:val="18"/>
                      <w:lang w:val="en-US" w:eastAsia="zh-CN" w:bidi="ar-SA"/>
                    </w:rPr>
                    <w:t>低温等离子</w:t>
                  </w:r>
                </w:p>
              </w:tc>
              <w:tc>
                <w:tcPr>
                  <w:tcW w:w="550" w:type="pct"/>
                  <w:vMerge w:val="restar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2020.</w:t>
                  </w:r>
                </w:p>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08.17</w:t>
                  </w:r>
                </w:p>
              </w:tc>
              <w:tc>
                <w:tcPr>
                  <w:tcW w:w="530"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进口</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2.35</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82.6</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2.32</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91.5</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2.35</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85.1</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均值</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2.34</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86.4</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30"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出口</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2.35</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12.5</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2.39</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13.6</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2.44</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13.1</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均值</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2.39</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13.1</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097" w:type="pct"/>
                  <w:gridSpan w:val="2"/>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eastAsia="zh-CN"/>
                    </w:rPr>
                    <w:t>处理效率</w:t>
                  </w:r>
                </w:p>
              </w:tc>
              <w:tc>
                <w:tcPr>
                  <w:tcW w:w="2645" w:type="pct"/>
                  <w:gridSpan w:val="3"/>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84.6%~85.1%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rPr>
                  </w:pPr>
                </w:p>
              </w:tc>
              <w:tc>
                <w:tcPr>
                  <w:tcW w:w="550" w:type="pct"/>
                  <w:vMerge w:val="restar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2020.</w:t>
                  </w:r>
                </w:p>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08.18</w:t>
                  </w:r>
                </w:p>
              </w:tc>
              <w:tc>
                <w:tcPr>
                  <w:tcW w:w="530"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进口</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2.39</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82.6</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2.35</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86.0</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2.33</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84.4</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均值</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2.36</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p>
              </w:tc>
              <w:tc>
                <w:tcPr>
                  <w:tcW w:w="530"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出口</w:t>
                  </w: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2.35</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13.8</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2.45</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14.2</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2.41</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13.4</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30"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67"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均值</w:t>
                  </w:r>
                </w:p>
              </w:tc>
              <w:tc>
                <w:tcPr>
                  <w:tcW w:w="843"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2.40</w:t>
                  </w: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vertAlign w:val="superscript"/>
                      <w:lang w:val="en-US" w:eastAsia="zh-CN"/>
                    </w:rPr>
                    <w:t>3</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13.8</w:t>
                  </w:r>
                </w:p>
              </w:tc>
              <w:tc>
                <w:tcPr>
                  <w:tcW w:w="901"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0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5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097" w:type="pct"/>
                  <w:gridSpan w:val="2"/>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处理效率</w:t>
                  </w:r>
                </w:p>
              </w:tc>
              <w:tc>
                <w:tcPr>
                  <w:tcW w:w="2645" w:type="pct"/>
                  <w:gridSpan w:val="3"/>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83.4%~84.1%</w:t>
                  </w:r>
                </w:p>
              </w:tc>
            </w:tr>
          </w:tbl>
          <w:p>
            <w:pPr>
              <w:pStyle w:val="45"/>
              <w:tabs>
                <w:tab w:val="left" w:pos="0"/>
              </w:tabs>
              <w:adjustRightInd/>
              <w:spacing w:line="360" w:lineRule="auto"/>
              <w:ind w:firstLine="420" w:firstLineChars="20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由上表可知，目前工程废气经采用“磁感UV光催化氧化+低温等离子”废气处理设施处理后，现有工程非甲烷总烃废气最大排放浓度为14.2mg/m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能够满足《关于全省开展工业企业挥发性有机物专项治理工作中排放建议值的通知》（豫环攻坚办[2017]162号）（其他行业：80mg/m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）、《大气污染物综合排放标准》（GB16297-1996）表2二级标准（最高允许排放浓度120mg/m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eastAsia="zh-CN"/>
              </w:rPr>
              <w:t>《新乡市卓越橡塑有限公司</w:t>
            </w:r>
            <w:r>
              <w:rPr>
                <w:rFonts w:hint="default" w:ascii="Times New Roman" w:hAnsi="Times New Roman" w:eastAsia="宋体" w:cs="Times New Roman"/>
                <w:color w:val="auto"/>
                <w:sz w:val="21"/>
                <w:szCs w:val="21"/>
                <w:highlight w:val="none"/>
                <w:lang w:val="en-US" w:eastAsia="zh-CN"/>
              </w:rPr>
              <w:t>年产1亿只锂电池密封圈项目环境影响评价报告表</w:t>
            </w:r>
            <w:r>
              <w:rPr>
                <w:rFonts w:hint="default" w:ascii="Times New Roman" w:hAnsi="Times New Roman" w:eastAsia="宋体" w:cs="Times New Roman"/>
                <w:color w:val="auto"/>
                <w:sz w:val="21"/>
                <w:szCs w:val="21"/>
                <w:highlight w:val="none"/>
                <w:lang w:eastAsia="zh-CN"/>
              </w:rPr>
              <w:t>》及以上检测数据，并结合企业实际生产情况可知（年工作时间按</w:t>
            </w:r>
            <w:r>
              <w:rPr>
                <w:rFonts w:hint="default" w:ascii="Times New Roman" w:hAnsi="Times New Roman" w:eastAsia="宋体" w:cs="Times New Roman"/>
                <w:color w:val="auto"/>
                <w:sz w:val="21"/>
                <w:szCs w:val="21"/>
                <w:highlight w:val="none"/>
                <w:lang w:val="en-US" w:eastAsia="zh-CN"/>
              </w:rPr>
              <w:t>2400h计</w:t>
            </w:r>
            <w:r>
              <w:rPr>
                <w:rFonts w:hint="default" w:ascii="Times New Roman" w:hAnsi="Times New Roman" w:eastAsia="宋体" w:cs="Times New Roman"/>
                <w:color w:val="auto"/>
                <w:sz w:val="21"/>
                <w:szCs w:val="21"/>
                <w:highlight w:val="none"/>
                <w:lang w:eastAsia="zh-CN"/>
              </w:rPr>
              <w:t>），经计算现有工程</w:t>
            </w:r>
            <w:r>
              <w:rPr>
                <w:rFonts w:hint="default" w:ascii="Times New Roman" w:hAnsi="Times New Roman" w:eastAsia="宋体" w:cs="Times New Roman"/>
                <w:color w:val="auto"/>
                <w:sz w:val="21"/>
                <w:szCs w:val="21"/>
                <w:highlight w:val="none"/>
                <w:lang w:val="en-US" w:eastAsia="zh-CN"/>
              </w:rPr>
              <w:t>注塑工序有组织废气产排情况汇总如下：</w:t>
            </w:r>
          </w:p>
          <w:p>
            <w:pPr>
              <w:keepNext w:val="0"/>
              <w:keepLines w:val="0"/>
              <w:numPr>
                <w:ilvl w:val="0"/>
                <w:numId w:val="1"/>
              </w:numPr>
              <w:suppressLineNumbers w:val="0"/>
              <w:spacing w:before="0" w:beforeAutospacing="0" w:after="0" w:afterAutospacing="0" w:line="460" w:lineRule="exact"/>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现有工程有组织废气实际产排情况一览表</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196"/>
              <w:gridCol w:w="1339"/>
              <w:gridCol w:w="1788"/>
              <w:gridCol w:w="1260"/>
              <w:gridCol w:w="12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5"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污染源</w:t>
                  </w:r>
                </w:p>
              </w:tc>
              <w:tc>
                <w:tcPr>
                  <w:tcW w:w="736"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产生速率kg/h</w:t>
                  </w:r>
                </w:p>
              </w:tc>
              <w:tc>
                <w:tcPr>
                  <w:tcW w:w="824"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产生量t/a</w:t>
                  </w:r>
                </w:p>
              </w:tc>
              <w:tc>
                <w:tcPr>
                  <w:tcW w:w="1100" w:type="pct"/>
                  <w:tcBorders>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治理措施</w:t>
                  </w:r>
                </w:p>
              </w:tc>
              <w:tc>
                <w:tcPr>
                  <w:tcW w:w="775" w:type="pct"/>
                  <w:tcBorders>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排放速率kg/h</w:t>
                  </w:r>
                </w:p>
              </w:tc>
              <w:tc>
                <w:tcPr>
                  <w:tcW w:w="77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5"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非甲烷总烃</w:t>
                  </w:r>
                </w:p>
              </w:tc>
              <w:tc>
                <w:tcPr>
                  <w:tcW w:w="736"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0.212</w:t>
                  </w:r>
                </w:p>
              </w:tc>
              <w:tc>
                <w:tcPr>
                  <w:tcW w:w="824"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0.5088</w:t>
                  </w:r>
                </w:p>
              </w:tc>
              <w:tc>
                <w:tcPr>
                  <w:tcW w:w="1100" w:type="pct"/>
                  <w:tcBorders>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UV光催化氧化+低温等离子</w:t>
                  </w:r>
                </w:p>
              </w:tc>
              <w:tc>
                <w:tcPr>
                  <w:tcW w:w="775" w:type="pct"/>
                  <w:tcBorders>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0.0348</w:t>
                  </w:r>
                </w:p>
              </w:tc>
              <w:tc>
                <w:tcPr>
                  <w:tcW w:w="77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0.0835</w:t>
                  </w:r>
                </w:p>
              </w:tc>
            </w:tr>
          </w:tbl>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ROMAN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rPr>
              <w:t>II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.无组织</w:t>
            </w:r>
          </w:p>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工程注塑机采用设置顶吸式集气罩收集，因此该过程会有</w:t>
            </w:r>
            <w:r>
              <w:rPr>
                <w:rFonts w:hint="default" w:ascii="Times New Roman" w:hAnsi="Times New Roman" w:eastAsia="宋体" w:cs="Times New Roman"/>
                <w:color w:val="auto"/>
                <w:sz w:val="21"/>
                <w:szCs w:val="21"/>
                <w:highlight w:val="none"/>
                <w:lang w:eastAsia="zh-CN"/>
              </w:rPr>
              <w:t>部分未经集气罩收集，该部分废气均通过无组织形式排放</w:t>
            </w:r>
            <w:r>
              <w:rPr>
                <w:rFonts w:hint="default" w:ascii="Times New Roman" w:hAnsi="Times New Roman" w:eastAsia="宋体" w:cs="Times New Roman"/>
                <w:color w:val="auto"/>
                <w:sz w:val="21"/>
                <w:szCs w:val="21"/>
                <w:highlight w:val="none"/>
                <w:lang w:val="en-US" w:eastAsia="zh-CN"/>
              </w:rPr>
              <w:t>，根据企业委托河南松筠检测技术有限公司于2020年</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val="en-US" w:eastAsia="zh-CN"/>
              </w:rPr>
              <w:t>日~</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lang w:val="en-US" w:eastAsia="zh-CN"/>
              </w:rPr>
              <w:t>日对现有工程厂界外无组织废气进行实测结果统计如下：</w:t>
            </w:r>
          </w:p>
          <w:p>
            <w:pPr>
              <w:keepNext w:val="0"/>
              <w:keepLines w:val="0"/>
              <w:pageBreakBefore w:val="0"/>
              <w:widowControl w:val="0"/>
              <w:numPr>
                <w:ilvl w:val="0"/>
                <w:numId w:val="1"/>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厂界无组织废气监测结果</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1830"/>
              <w:gridCol w:w="1870"/>
              <w:gridCol w:w="25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采样时间</w:t>
                  </w:r>
                </w:p>
              </w:tc>
              <w:tc>
                <w:tcPr>
                  <w:tcW w:w="1126" w:type="pct"/>
                  <w:vMerge w:val="restar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采样点位</w:t>
                  </w:r>
                </w:p>
              </w:tc>
              <w:tc>
                <w:tcPr>
                  <w:tcW w:w="2720" w:type="pct"/>
                  <w:gridSpan w:val="2"/>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w:t>
                  </w:r>
                  <w:r>
                    <w:rPr>
                      <w:rFonts w:hint="default" w:ascii="Times New Roman" w:hAnsi="Times New Roman" w:eastAsia="宋体" w:cs="Times New Roman"/>
                      <w:color w:val="auto"/>
                      <w:sz w:val="18"/>
                      <w:szCs w:val="18"/>
                    </w:rPr>
                    <w:t>（mg/m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检测浓度</w:t>
                  </w:r>
                </w:p>
              </w:tc>
              <w:tc>
                <w:tcPr>
                  <w:tcW w:w="1568"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厂周界最大浓度值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2020.08.17</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（09:00-10:00）</w:t>
                  </w: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上风向1#</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0.48</w:t>
                  </w:r>
                </w:p>
              </w:tc>
              <w:tc>
                <w:tcPr>
                  <w:tcW w:w="1568"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下风向2#</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0.81</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下风向3#</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0.88</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下风向4#</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0.85</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2020.08.17</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:00-1</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:00）</w:t>
                  </w: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上风向1#</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0.42</w:t>
                  </w:r>
                </w:p>
              </w:tc>
              <w:tc>
                <w:tcPr>
                  <w:tcW w:w="1568"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下风向2#</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0.92</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下风向3#</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0.95</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下风向4#</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0.82</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2020.08.17</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（17:00-18:00）</w:t>
                  </w: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上风向1#</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0.47</w:t>
                  </w:r>
                </w:p>
              </w:tc>
              <w:tc>
                <w:tcPr>
                  <w:tcW w:w="1568"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下风向2#</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0.91</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下风向3#</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0.82</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下风向4#</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0.85</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2020.08.18</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（09:00-10:00）</w:t>
                  </w: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上风向1#</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0.52</w:t>
                  </w:r>
                </w:p>
              </w:tc>
              <w:tc>
                <w:tcPr>
                  <w:tcW w:w="1568"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下风向2#</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0.82</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下风向3#</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0.75</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下风向4#</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0.78</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2020.08.18</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:00-1</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:00）</w:t>
                  </w: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上风向1#</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0.46</w:t>
                  </w:r>
                </w:p>
              </w:tc>
              <w:tc>
                <w:tcPr>
                  <w:tcW w:w="1568"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ind w:left="-105" w:leftChars="-50" w:right="-105" w:rightChars="-5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下风向2#</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0.82</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ind w:left="-105" w:leftChars="-50" w:right="-105" w:rightChars="-5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下风向3#</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0.89</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ind w:left="-105" w:leftChars="-50" w:right="-105" w:rightChars="-5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下风向4#</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0.85</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2020.08.18</w:t>
                  </w:r>
                </w:p>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（17:00-18:00）</w:t>
                  </w: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上风向1#</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0.49</w:t>
                  </w:r>
                </w:p>
              </w:tc>
              <w:tc>
                <w:tcPr>
                  <w:tcW w:w="1568" w:type="pct"/>
                  <w:vMerge w:val="restar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下风向2#</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0.93</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下风向3#</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0.72</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3"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c>
                <w:tcPr>
                  <w:tcW w:w="1126"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下风向4#</w:t>
                  </w:r>
                </w:p>
              </w:tc>
              <w:tc>
                <w:tcPr>
                  <w:tcW w:w="1151"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0.87</w:t>
                  </w:r>
                </w:p>
              </w:tc>
              <w:tc>
                <w:tcPr>
                  <w:tcW w:w="1568" w:type="pct"/>
                  <w:vMerge w:val="continue"/>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p>
              </w:tc>
            </w:tr>
          </w:tbl>
          <w:p>
            <w:pPr>
              <w:keepNext w:val="0"/>
              <w:keepLines w:val="0"/>
              <w:pageBreakBefore w:val="0"/>
              <w:widowControl w:val="0"/>
              <w:kinsoku/>
              <w:wordWrap/>
              <w:overflowPunct/>
              <w:topLinePunct w:val="0"/>
              <w:autoSpaceDE/>
              <w:autoSpaceDN/>
              <w:bidi w:val="0"/>
              <w:adjustRightInd/>
              <w:snapToGrid/>
              <w:spacing w:line="360" w:lineRule="auto"/>
              <w:ind w:leftChars="0" w:right="0" w:firstLine="420" w:firstLineChars="200"/>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由上表可知，现有工程无组织排放非甲烷总烃废气能够满足</w:t>
            </w:r>
            <w:r>
              <w:rPr>
                <w:rFonts w:hint="default" w:ascii="Times New Roman" w:hAnsi="Times New Roman" w:cs="Times New Roman" w:eastAsiaTheme="minorEastAsia"/>
                <w:color w:val="auto"/>
                <w:sz w:val="21"/>
                <w:szCs w:val="21"/>
                <w:highlight w:val="none"/>
              </w:rPr>
              <w:t>《关于全省开展工业企业挥发性有机物专项治理工作中排放建议值的通知》（豫环攻坚办[2017]162号）</w:t>
            </w:r>
            <w:r>
              <w:rPr>
                <w:rFonts w:hint="default" w:ascii="Times New Roman" w:hAnsi="Times New Roman" w:cs="Times New Roman" w:eastAsiaTheme="minorEastAsia"/>
                <w:color w:val="auto"/>
                <w:sz w:val="21"/>
                <w:szCs w:val="21"/>
                <w:highlight w:val="none"/>
                <w:lang w:eastAsia="zh-CN"/>
              </w:rPr>
              <w:t>（工业企业边2.0mg/m</w:t>
            </w:r>
            <w:r>
              <w:rPr>
                <w:rFonts w:hint="default" w:ascii="Times New Roman" w:hAnsi="Times New Roman" w:cs="Times New Roman" w:eastAsiaTheme="minorEastAsia"/>
                <w:color w:val="auto"/>
                <w:sz w:val="21"/>
                <w:szCs w:val="21"/>
                <w:highlight w:val="none"/>
                <w:vertAlign w:val="superscript"/>
                <w:lang w:eastAsia="zh-CN"/>
              </w:rPr>
              <w:t>3</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《大气污染物综合排放标准》(GB16297-1996)表2二级要求（</w:t>
            </w:r>
            <w:r>
              <w:rPr>
                <w:rFonts w:hint="default" w:ascii="Times New Roman" w:hAnsi="Times New Roman" w:cs="Times New Roman" w:eastAsiaTheme="minorEastAsia"/>
                <w:color w:val="auto"/>
                <w:sz w:val="21"/>
                <w:szCs w:val="21"/>
                <w:highlight w:val="none"/>
                <w:lang w:val="en-US" w:eastAsia="zh-CN"/>
              </w:rPr>
              <w:t>周界外浓度最高点：4.0mg/m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eastAsia="zh-CN"/>
              </w:rPr>
              <w:t>、《挥发性有机物无组织排放控制标准（GB 37822—2019）》（监控点处1小时平均浓度值</w:t>
            </w:r>
            <w:r>
              <w:rPr>
                <w:rFonts w:hint="default" w:ascii="Times New Roman" w:hAnsi="Times New Roman" w:cs="Times New Roman" w:eastAsiaTheme="minorEastAsia"/>
                <w:color w:val="auto"/>
                <w:sz w:val="21"/>
                <w:szCs w:val="21"/>
                <w:highlight w:val="none"/>
                <w:lang w:val="en-US" w:eastAsia="zh-CN"/>
              </w:rPr>
              <w:t>6</w:t>
            </w:r>
            <w:r>
              <w:rPr>
                <w:rFonts w:hint="default" w:ascii="Times New Roman" w:hAnsi="Times New Roman" w:cs="Times New Roman" w:eastAsiaTheme="minorEastAsia"/>
                <w:color w:val="auto"/>
                <w:sz w:val="21"/>
                <w:szCs w:val="21"/>
                <w:highlight w:val="none"/>
                <w:lang w:eastAsia="zh-CN"/>
              </w:rPr>
              <w:t>mg/m</w:t>
            </w:r>
            <w:r>
              <w:rPr>
                <w:rFonts w:hint="default" w:ascii="Times New Roman" w:hAnsi="Times New Roman" w:cs="Times New Roman" w:eastAsiaTheme="minorEastAsia"/>
                <w:color w:val="auto"/>
                <w:sz w:val="21"/>
                <w:szCs w:val="21"/>
                <w:highlight w:val="none"/>
                <w:vertAlign w:val="superscript"/>
                <w:lang w:eastAsia="zh-CN"/>
              </w:rPr>
              <w:t>3</w:t>
            </w:r>
            <w:r>
              <w:rPr>
                <w:rFonts w:hint="default" w:ascii="Times New Roman" w:hAnsi="Times New Roman" w:cs="Times New Roman" w:eastAsiaTheme="minorEastAsia"/>
                <w:color w:val="auto"/>
                <w:sz w:val="21"/>
                <w:szCs w:val="21"/>
                <w:highlight w:val="none"/>
                <w:lang w:eastAsia="zh-CN"/>
              </w:rPr>
              <w:t>）。</w:t>
            </w:r>
          </w:p>
          <w:p>
            <w:pPr>
              <w:pStyle w:val="45"/>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现有工程集气罩收集效率按照90%计算，则仍有10%废气以无组织形式排放，经计算无组织排放非甲烷总烃量为0.0898t/a。</w:t>
            </w:r>
          </w:p>
          <w:p>
            <w:pPr>
              <w:pStyle w:val="45"/>
              <w:keepNext w:val="0"/>
              <w:keepLines w:val="0"/>
              <w:pageBreakBefore w:val="0"/>
              <w:widowControl w:val="0"/>
              <w:numPr>
                <w:ilvl w:val="0"/>
                <w:numId w:val="5"/>
              </w:numPr>
              <w:tabs>
                <w:tab w:val="left" w:pos="0"/>
              </w:tabs>
              <w:kinsoku/>
              <w:wordWrap/>
              <w:overflowPunct/>
              <w:topLinePunct w:val="0"/>
              <w:autoSpaceDE w:val="0"/>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废水污染物产排情况</w:t>
            </w:r>
          </w:p>
          <w:p>
            <w:pPr>
              <w:pStyle w:val="45"/>
              <w:keepNext w:val="0"/>
              <w:keepLines w:val="0"/>
              <w:pageBreakBefore w:val="0"/>
              <w:widowControl w:val="0"/>
              <w:numPr>
                <w:ilvl w:val="0"/>
                <w:numId w:val="0"/>
              </w:numPr>
              <w:tabs>
                <w:tab w:val="left" w:pos="0"/>
              </w:tabs>
              <w:kinsoku/>
              <w:wordWrap/>
              <w:overflowPunct/>
              <w:topLinePunct w:val="0"/>
              <w:autoSpaceDE w:val="0"/>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现有工程废水包括生产废水和生活污水，具体产排情况如下：</w:t>
            </w:r>
          </w:p>
          <w:p>
            <w:pPr>
              <w:pStyle w:val="45"/>
              <w:keepNext w:val="0"/>
              <w:keepLines w:val="0"/>
              <w:pageBreakBefore w:val="0"/>
              <w:widowControl w:val="0"/>
              <w:numPr>
                <w:ilvl w:val="0"/>
                <w:numId w:val="0"/>
              </w:numPr>
              <w:tabs>
                <w:tab w:val="left" w:pos="0"/>
              </w:tabs>
              <w:kinsoku/>
              <w:wordWrap/>
              <w:overflowPunct/>
              <w:topLinePunct w:val="0"/>
              <w:autoSpaceDE w:val="0"/>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 1 \* GB3 \* MERGEFORMAT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生产废水：工程产品注塑成型过程需要使用注塑模具内流动的间接冷却水（根据产品要求，该冷却水需保持约</w:t>
            </w:r>
            <w:r>
              <w:rPr>
                <w:rFonts w:hint="default" w:ascii="Times New Roman" w:hAnsi="Times New Roman" w:eastAsia="宋体" w:cs="Times New Roman"/>
                <w:color w:val="auto"/>
                <w:sz w:val="21"/>
                <w:szCs w:val="21"/>
                <w:highlight w:val="none"/>
                <w:lang w:val="en-US" w:eastAsia="zh-CN"/>
              </w:rPr>
              <w:t>40℃恒温</w:t>
            </w:r>
            <w:r>
              <w:rPr>
                <w:rFonts w:hint="default" w:ascii="Times New Roman" w:hAnsi="Times New Roman" w:eastAsia="宋体" w:cs="Times New Roman"/>
                <w:color w:val="auto"/>
                <w:sz w:val="21"/>
                <w:szCs w:val="21"/>
                <w:highlight w:val="none"/>
                <w:lang w:eastAsia="zh-CN"/>
              </w:rPr>
              <w:t>）进行冷却，上述冷却后产生的冷却废水经设置的冷却水罐（</w:t>
            </w:r>
            <w:r>
              <w:rPr>
                <w:rFonts w:hint="default" w:ascii="Times New Roman" w:hAnsi="Times New Roman" w:eastAsia="宋体" w:cs="Times New Roman"/>
                <w:color w:val="auto"/>
                <w:sz w:val="21"/>
                <w:szCs w:val="21"/>
                <w:highlight w:val="none"/>
                <w:lang w:val="en-US" w:eastAsia="zh-CN"/>
              </w:rPr>
              <w:t>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）储存后循环使用，该部分水均不外排，仅定期根据损耗补充新鲜水即</w:t>
            </w:r>
            <w:r>
              <w:rPr>
                <w:rFonts w:hint="default" w:ascii="Times New Roman" w:hAnsi="Times New Roman" w:cs="Times New Roman" w:eastAsiaTheme="minorEastAsia"/>
                <w:color w:val="auto"/>
                <w:sz w:val="21"/>
                <w:szCs w:val="21"/>
                <w:highlight w:val="none"/>
                <w:lang w:eastAsia="zh-CN"/>
              </w:rPr>
              <w:t>可，根据企业提供资料，项目冷却水罐每月补充一次新鲜水，补充量约为冷却水罐总水量的</w:t>
            </w:r>
            <w:r>
              <w:rPr>
                <w:rFonts w:hint="default" w:ascii="Times New Roman" w:hAnsi="Times New Roman" w:cs="Times New Roman" w:eastAsiaTheme="minorEastAsia"/>
                <w:color w:val="auto"/>
                <w:sz w:val="21"/>
                <w:szCs w:val="21"/>
                <w:highlight w:val="none"/>
                <w:lang w:val="en-US" w:eastAsia="zh-CN"/>
              </w:rPr>
              <w:t>50%</w:t>
            </w:r>
            <w:r>
              <w:rPr>
                <w:rFonts w:hint="default" w:ascii="Times New Roman" w:hAnsi="Times New Roman" w:cs="Times New Roman" w:eastAsiaTheme="minorEastAsia"/>
                <w:color w:val="auto"/>
                <w:sz w:val="21"/>
                <w:szCs w:val="21"/>
                <w:highlight w:val="none"/>
                <w:lang w:eastAsia="zh-CN"/>
              </w:rPr>
              <w:t>，经计算项目新鲜水</w:t>
            </w:r>
            <w:r>
              <w:rPr>
                <w:rFonts w:hint="default" w:ascii="Times New Roman" w:hAnsi="Times New Roman" w:cs="Times New Roman" w:eastAsiaTheme="minorEastAsia"/>
                <w:bCs/>
                <w:color w:val="auto"/>
                <w:sz w:val="21"/>
                <w:szCs w:val="21"/>
                <w:highlight w:val="none"/>
              </w:rPr>
              <w:t>补充量为</w:t>
            </w:r>
            <w:r>
              <w:rPr>
                <w:rFonts w:hint="default" w:ascii="Times New Roman" w:hAnsi="Times New Roman" w:cs="Times New Roman" w:eastAsiaTheme="minorEastAsia"/>
                <w:bCs/>
                <w:color w:val="auto"/>
                <w:sz w:val="21"/>
                <w:szCs w:val="21"/>
                <w:highlight w:val="none"/>
                <w:lang w:val="en-US" w:eastAsia="zh-CN"/>
              </w:rPr>
              <w:t>30</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/a。</w:t>
            </w:r>
          </w:p>
          <w:p>
            <w:pPr>
              <w:pStyle w:val="46"/>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 2 \* GB3 \* MERGEFORMAT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cs="Times New Roman"/>
                <w:color w:val="auto"/>
                <w:sz w:val="21"/>
                <w:szCs w:val="21"/>
                <w:highlight w:val="none"/>
                <w:lang w:eastAsia="zh-CN"/>
              </w:rPr>
              <w:t>现有</w:t>
            </w:r>
            <w:r>
              <w:rPr>
                <w:rFonts w:hint="default" w:ascii="Times New Roman" w:hAnsi="Times New Roman" w:eastAsia="宋体" w:cs="Times New Roman"/>
                <w:color w:val="auto"/>
                <w:sz w:val="21"/>
                <w:szCs w:val="21"/>
                <w:highlight w:val="none"/>
                <w:lang w:eastAsia="zh-CN"/>
              </w:rPr>
              <w:t>工程职工定员</w:t>
            </w:r>
            <w:r>
              <w:rPr>
                <w:rFonts w:hint="default" w:ascii="Times New Roman" w:hAnsi="Times New Roman" w:eastAsia="宋体" w:cs="Times New Roman"/>
                <w:color w:val="auto"/>
                <w:sz w:val="21"/>
                <w:szCs w:val="21"/>
                <w:highlight w:val="none"/>
                <w:lang w:val="en-US" w:eastAsia="zh-CN"/>
              </w:rPr>
              <w:t>5人，均不在厂区内食宿，生活用水量以</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0L/人d计算，则生活</w:t>
            </w:r>
            <w:r>
              <w:rPr>
                <w:rFonts w:hint="default" w:ascii="Times New Roman" w:hAnsi="Times New Roman" w:cs="Times New Roman"/>
                <w:color w:val="auto"/>
                <w:sz w:val="21"/>
                <w:szCs w:val="21"/>
                <w:highlight w:val="none"/>
                <w:lang w:val="en-US" w:eastAsia="zh-CN"/>
              </w:rPr>
              <w:t>用水</w:t>
            </w:r>
            <w:r>
              <w:rPr>
                <w:rFonts w:hint="default" w:ascii="Times New Roman" w:hAnsi="Times New Roman" w:eastAsia="宋体" w:cs="Times New Roman"/>
                <w:color w:val="auto"/>
                <w:sz w:val="21"/>
                <w:szCs w:val="21"/>
                <w:highlight w:val="none"/>
                <w:lang w:val="en-US" w:eastAsia="zh-CN"/>
              </w:rPr>
              <w:t>量为</w:t>
            </w:r>
            <w:r>
              <w:rPr>
                <w:rFonts w:hint="default" w:ascii="Times New Roman" w:hAnsi="Times New Roman" w:cs="Times New Roman"/>
                <w:color w:val="auto"/>
                <w:sz w:val="21"/>
                <w:szCs w:val="21"/>
                <w:highlight w:val="none"/>
                <w:lang w:val="en-US" w:eastAsia="zh-CN"/>
              </w:rPr>
              <w:t>0.15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/a），排水系数按0.8计算，则生活污水产生量为</w:t>
            </w:r>
            <w:r>
              <w:rPr>
                <w:rFonts w:hint="default" w:ascii="Times New Roman" w:hAnsi="Times New Roman" w:cs="Times New Roman"/>
                <w:color w:val="auto"/>
                <w:sz w:val="21"/>
                <w:szCs w:val="21"/>
                <w:highlight w:val="none"/>
                <w:lang w:val="en-US" w:eastAsia="zh-CN"/>
              </w:rPr>
              <w:t>0.12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。废水主要污染物产生浓度分别为</w:t>
            </w:r>
            <w:r>
              <w:rPr>
                <w:rFonts w:hint="default" w:ascii="Times New Roman" w:hAnsi="Times New Roman" w:cs="Times New Roman"/>
                <w:color w:val="auto"/>
                <w:sz w:val="21"/>
                <w:szCs w:val="21"/>
                <w:highlight w:val="none"/>
              </w:rPr>
              <w:t>COD300mg/L、SS250mg/L、NH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-N27mg/L</w:t>
            </w:r>
            <w:r>
              <w:rPr>
                <w:rFonts w:hint="default" w:ascii="Times New Roman" w:hAnsi="Times New Roman" w:cs="Times New Roman"/>
                <w:color w:val="auto"/>
                <w:sz w:val="21"/>
                <w:szCs w:val="21"/>
                <w:highlight w:val="none"/>
                <w:lang w:eastAsia="zh-CN"/>
              </w:rPr>
              <w:t>、总磷</w:t>
            </w:r>
            <w:r>
              <w:rPr>
                <w:rFonts w:hint="default" w:ascii="Times New Roman" w:hAnsi="Times New Roman" w:cs="Times New Roman"/>
                <w:b w:val="0"/>
                <w:bCs w:val="0"/>
                <w:color w:val="auto"/>
                <w:sz w:val="21"/>
                <w:szCs w:val="21"/>
                <w:highlight w:val="none"/>
                <w:u w:val="none"/>
                <w:lang w:val="en-US" w:eastAsia="zh-CN"/>
              </w:rPr>
              <w:t>3mg/L</w:t>
            </w:r>
            <w:r>
              <w:rPr>
                <w:rFonts w:hint="default" w:ascii="Times New Roman" w:hAnsi="Times New Roman" w:cs="Times New Roman"/>
                <w:color w:val="auto"/>
                <w:sz w:val="21"/>
                <w:szCs w:val="21"/>
                <w:highlight w:val="none"/>
                <w:lang w:val="en-US" w:eastAsia="zh-CN"/>
              </w:rPr>
              <w:t>，产生量为</w:t>
            </w: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lang w:val="en-US" w:eastAsia="zh-CN"/>
              </w:rPr>
              <w:t>0.0108t/a</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val="en-US" w:eastAsia="zh-CN"/>
              </w:rPr>
              <w:t>0.009t/a</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val="en-US" w:eastAsia="zh-CN"/>
              </w:rPr>
              <w:t>0.001t/a</w:t>
            </w:r>
            <w:r>
              <w:rPr>
                <w:rFonts w:hint="default" w:ascii="Times New Roman" w:hAnsi="Times New Roman" w:cs="Times New Roman"/>
                <w:color w:val="auto"/>
                <w:sz w:val="21"/>
                <w:szCs w:val="21"/>
                <w:highlight w:val="none"/>
                <w:lang w:eastAsia="zh-CN"/>
              </w:rPr>
              <w:t>、总磷</w:t>
            </w:r>
            <w:r>
              <w:rPr>
                <w:rFonts w:hint="default" w:ascii="Times New Roman" w:hAnsi="Times New Roman" w:cs="Times New Roman"/>
                <w:b w:val="0"/>
                <w:bCs w:val="0"/>
                <w:color w:val="auto"/>
                <w:sz w:val="21"/>
                <w:szCs w:val="21"/>
                <w:highlight w:val="none"/>
                <w:u w:val="none"/>
                <w:lang w:val="en-US" w:eastAsia="zh-CN"/>
              </w:rPr>
              <w:t>0.0001t/a</w:t>
            </w:r>
            <w:r>
              <w:rPr>
                <w:rFonts w:hint="default" w:ascii="Times New Roman" w:hAnsi="Times New Roman" w:cs="Times New Roman"/>
                <w:color w:val="auto"/>
                <w:sz w:val="21"/>
                <w:szCs w:val="21"/>
                <w:highlight w:val="none"/>
                <w:lang w:val="en-US" w:eastAsia="zh-CN"/>
              </w:rPr>
              <w:t>，项目生活污水经厂区内化粪池处理后，定期清运。</w:t>
            </w:r>
          </w:p>
          <w:p>
            <w:pPr>
              <w:pStyle w:val="45"/>
              <w:keepNext w:val="0"/>
              <w:keepLines w:val="0"/>
              <w:pageBreakBefore w:val="0"/>
              <w:widowControl w:val="0"/>
              <w:numPr>
                <w:ilvl w:val="0"/>
                <w:numId w:val="5"/>
              </w:numPr>
              <w:tabs>
                <w:tab w:val="left" w:pos="0"/>
              </w:tabs>
              <w:kinsoku/>
              <w:wordWrap/>
              <w:overflowPunct/>
              <w:topLinePunct w:val="0"/>
              <w:autoSpaceDE w:val="0"/>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固体废物产排情况</w:t>
            </w:r>
          </w:p>
          <w:p>
            <w:pPr>
              <w:pStyle w:val="45"/>
              <w:keepNext w:val="0"/>
              <w:keepLines w:val="0"/>
              <w:pageBreakBefore w:val="0"/>
              <w:widowControl w:val="0"/>
              <w:numPr>
                <w:ilvl w:val="0"/>
                <w:numId w:val="0"/>
              </w:numPr>
              <w:tabs>
                <w:tab w:val="left" w:pos="0"/>
              </w:tabs>
              <w:kinsoku/>
              <w:wordWrap/>
              <w:overflowPunct/>
              <w:topLinePunct w:val="0"/>
              <w:autoSpaceDE w:val="0"/>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根据《新乡市卓越橡塑有限公司</w:t>
            </w:r>
            <w:r>
              <w:rPr>
                <w:rFonts w:hint="default" w:ascii="Times New Roman" w:hAnsi="Times New Roman" w:eastAsia="宋体" w:cs="Times New Roman"/>
                <w:color w:val="auto"/>
                <w:sz w:val="21"/>
                <w:szCs w:val="21"/>
                <w:highlight w:val="none"/>
                <w:lang w:val="en-US" w:eastAsia="zh-CN"/>
              </w:rPr>
              <w:t>年产1亿只锂电池密封圈项目环境影响评价报告表</w:t>
            </w:r>
            <w:r>
              <w:rPr>
                <w:rFonts w:hint="default" w:ascii="Times New Roman" w:hAnsi="Times New Roman" w:eastAsia="宋体" w:cs="Times New Roman"/>
                <w:color w:val="auto"/>
                <w:sz w:val="21"/>
                <w:szCs w:val="21"/>
                <w:highlight w:val="none"/>
                <w:lang w:eastAsia="zh-CN"/>
              </w:rPr>
              <w:t>》可知</w:t>
            </w:r>
            <w:r>
              <w:rPr>
                <w:rFonts w:hint="default" w:ascii="Times New Roman" w:hAnsi="Times New Roman" w:eastAsia="宋体" w:cs="Times New Roman"/>
                <w:color w:val="auto"/>
                <w:sz w:val="21"/>
                <w:szCs w:val="21"/>
                <w:highlight w:val="none"/>
                <w:lang w:val="en-US" w:eastAsia="zh-CN"/>
              </w:rPr>
              <w:t xml:space="preserve"> ，现有工程固废主要为生产过程产生的废料和检验过程产生的不合格品，均属于一般固废，固废具体产生及排放情况如下</w:t>
            </w:r>
          </w:p>
          <w:p>
            <w:pPr>
              <w:keepNext w:val="0"/>
              <w:keepLines w:val="0"/>
              <w:pageBreakBefore w:val="0"/>
              <w:widowControl w:val="0"/>
              <w:numPr>
                <w:ilvl w:val="0"/>
                <w:numId w:val="1"/>
              </w:numPr>
              <w:suppressLineNumbers w:val="0"/>
              <w:kinsoku/>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现有工程固废产生及处置情况</w:t>
            </w:r>
          </w:p>
          <w:tbl>
            <w:tblPr>
              <w:tblStyle w:val="1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15"/>
              <w:gridCol w:w="1133"/>
              <w:gridCol w:w="1112"/>
              <w:gridCol w:w="2178"/>
              <w:gridCol w:w="11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污染源</w:t>
                  </w:r>
                </w:p>
              </w:tc>
              <w:tc>
                <w:tcPr>
                  <w:tcW w:w="809"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污染物名称</w:t>
                  </w:r>
                </w:p>
              </w:tc>
              <w:tc>
                <w:tcPr>
                  <w:tcW w:w="697"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固废性质</w:t>
                  </w:r>
                </w:p>
              </w:tc>
              <w:tc>
                <w:tcPr>
                  <w:tcW w:w="684"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产生量</w:t>
                  </w:r>
                </w:p>
              </w:tc>
              <w:tc>
                <w:tcPr>
                  <w:tcW w:w="1340"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处置方式</w:t>
                  </w:r>
                </w:p>
              </w:tc>
              <w:tc>
                <w:tcPr>
                  <w:tcW w:w="681"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87"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生产过程</w:t>
                  </w:r>
                </w:p>
              </w:tc>
              <w:tc>
                <w:tcPr>
                  <w:tcW w:w="809"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废料</w:t>
                  </w:r>
                </w:p>
              </w:tc>
              <w:tc>
                <w:tcPr>
                  <w:tcW w:w="697" w:type="pct"/>
                  <w:vMerge w:val="restar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一般固废</w:t>
                  </w:r>
                </w:p>
              </w:tc>
              <w:tc>
                <w:tcPr>
                  <w:tcW w:w="684"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3t/a</w:t>
                  </w:r>
                </w:p>
              </w:tc>
              <w:tc>
                <w:tcPr>
                  <w:tcW w:w="1340" w:type="pct"/>
                  <w:vMerge w:val="restar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配套破碎机破碎后，直接作为原料回用于生产，不在厂区内暂存</w:t>
                  </w:r>
                </w:p>
              </w:tc>
              <w:tc>
                <w:tcPr>
                  <w:tcW w:w="681"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检验过程</w:t>
                  </w:r>
                </w:p>
              </w:tc>
              <w:tc>
                <w:tcPr>
                  <w:tcW w:w="809"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不合格品</w:t>
                  </w:r>
                </w:p>
              </w:tc>
              <w:tc>
                <w:tcPr>
                  <w:tcW w:w="697" w:type="pct"/>
                  <w:vMerge w:val="continue"/>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p>
              </w:tc>
              <w:tc>
                <w:tcPr>
                  <w:tcW w:w="684"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0.5t/a</w:t>
                  </w:r>
                </w:p>
              </w:tc>
              <w:tc>
                <w:tcPr>
                  <w:tcW w:w="1340" w:type="pct"/>
                  <w:vMerge w:val="continue"/>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p>
              </w:tc>
              <w:tc>
                <w:tcPr>
                  <w:tcW w:w="681" w:type="pct"/>
                  <w:tcBorders>
                    <w:tl2br w:val="nil"/>
                    <w:tr2bl w:val="nil"/>
                  </w:tcBorders>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18"/>
                      <w:szCs w:val="18"/>
                      <w:highlight w:val="none"/>
                      <w:vertAlign w:val="baseline"/>
                      <w:lang w:val="en-US" w:eastAsia="zh-CN"/>
                    </w:rPr>
                  </w:pPr>
                  <w:r>
                    <w:rPr>
                      <w:rFonts w:hint="default" w:ascii="Times New Roman" w:hAnsi="Times New Roman" w:cs="Times New Roman" w:eastAsiaTheme="majorEastAsia"/>
                      <w:color w:val="auto"/>
                      <w:sz w:val="18"/>
                      <w:szCs w:val="18"/>
                      <w:highlight w:val="none"/>
                      <w:vertAlign w:val="baseline"/>
                      <w:lang w:val="en-US" w:eastAsia="zh-CN"/>
                    </w:rPr>
                    <w:t>0</w:t>
                  </w:r>
                </w:p>
              </w:tc>
            </w:tr>
          </w:tbl>
          <w:p>
            <w:pPr>
              <w:pStyle w:val="45"/>
              <w:keepNext w:val="0"/>
              <w:keepLines w:val="0"/>
              <w:pageBreakBefore w:val="0"/>
              <w:widowControl w:val="0"/>
              <w:numPr>
                <w:ilvl w:val="0"/>
                <w:numId w:val="5"/>
              </w:numPr>
              <w:tabs>
                <w:tab w:val="left" w:pos="0"/>
              </w:tabs>
              <w:kinsoku/>
              <w:wordWrap/>
              <w:overflowPunct/>
              <w:topLinePunct w:val="0"/>
              <w:autoSpaceDE w:val="0"/>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噪声污染物产排情况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根据声环境功能区域划分规定，建设项目所在地属</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类区，执行《声环境质量标准》（GB3096-2008）</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类标准，</w:t>
            </w:r>
            <w:r>
              <w:rPr>
                <w:rFonts w:hint="default" w:ascii="Times New Roman" w:hAnsi="Times New Roman" w:eastAsia="宋体" w:cs="Times New Roman"/>
                <w:color w:val="auto"/>
                <w:sz w:val="21"/>
                <w:szCs w:val="21"/>
                <w:highlight w:val="none"/>
                <w:lang w:eastAsia="zh-CN"/>
              </w:rPr>
              <w:t>现有工程噪声主要为注塑机等设备噪声和</w:t>
            </w:r>
            <w:r>
              <w:rPr>
                <w:rFonts w:hint="default" w:ascii="Times New Roman" w:hAnsi="Times New Roman" w:cs="Times New Roman"/>
                <w:color w:val="auto"/>
                <w:sz w:val="21"/>
                <w:szCs w:val="21"/>
                <w:highlight w:val="none"/>
                <w:lang w:eastAsia="zh-CN"/>
              </w:rPr>
              <w:t>空压机、风机产生的空气动力噪声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目前现有工程已经</w:t>
            </w:r>
            <w:r>
              <w:rPr>
                <w:rFonts w:hint="default" w:ascii="Times New Roman" w:hAnsi="Times New Roman" w:eastAsia="宋体" w:cs="Times New Roman"/>
                <w:color w:val="auto"/>
                <w:sz w:val="21"/>
                <w:szCs w:val="21"/>
                <w:highlight w:val="none"/>
                <w:lang w:eastAsia="zh-CN"/>
              </w:rPr>
              <w:t>采取室内布置、减振基础、消声器、隔声罩等降噪措施</w:t>
            </w:r>
            <w:r>
              <w:rPr>
                <w:rFonts w:hint="default" w:ascii="Times New Roman" w:hAnsi="Times New Roman" w:cs="Times New Roman"/>
                <w:color w:val="auto"/>
                <w:sz w:val="21"/>
                <w:szCs w:val="21"/>
                <w:highlight w:val="none"/>
                <w:lang w:eastAsia="zh-CN"/>
              </w:rPr>
              <w:t>，根据</w:t>
            </w:r>
            <w:r>
              <w:rPr>
                <w:rFonts w:hint="default" w:ascii="Times New Roman" w:hAnsi="Times New Roman" w:eastAsia="宋体" w:cs="Times New Roman"/>
                <w:color w:val="auto"/>
                <w:sz w:val="21"/>
                <w:szCs w:val="21"/>
                <w:highlight w:val="none"/>
                <w:lang w:val="en-US" w:eastAsia="zh-CN"/>
              </w:rPr>
              <w:t>企业委托河南松筠检测技术有限公司于2020年</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val="en-US" w:eastAsia="zh-CN"/>
              </w:rPr>
              <w:t>日~</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lang w:val="en-US" w:eastAsia="zh-CN"/>
              </w:rPr>
              <w:t>日对现有工程</w:t>
            </w:r>
            <w:r>
              <w:rPr>
                <w:rFonts w:hint="default" w:ascii="Times New Roman" w:hAnsi="Times New Roman" w:cs="Times New Roman"/>
                <w:color w:val="auto"/>
                <w:sz w:val="21"/>
                <w:szCs w:val="21"/>
                <w:highlight w:val="none"/>
                <w:lang w:val="en-US" w:eastAsia="zh-CN"/>
              </w:rPr>
              <w:t>监测</w:t>
            </w:r>
            <w:r>
              <w:rPr>
                <w:rFonts w:hint="default" w:ascii="Times New Roman" w:hAnsi="Times New Roman" w:cs="Times New Roman"/>
                <w:color w:val="auto"/>
                <w:sz w:val="21"/>
                <w:szCs w:val="21"/>
                <w:highlight w:val="none"/>
                <w:lang w:eastAsia="zh-CN"/>
              </w:rPr>
              <w:t>报告可知，现有工程厂界及周围敏感点噪声具体如下：</w:t>
            </w:r>
          </w:p>
          <w:p>
            <w:pPr>
              <w:pStyle w:val="2"/>
              <w:rPr>
                <w:rFonts w:hint="default" w:ascii="Times New Roman" w:hAnsi="Times New Roman" w:cs="Times New Roman"/>
                <w:color w:val="auto"/>
                <w:sz w:val="21"/>
                <w:szCs w:val="21"/>
                <w:highlight w:val="none"/>
                <w:lang w:eastAsia="zh-CN"/>
              </w:rPr>
            </w:pPr>
          </w:p>
          <w:p>
            <w:pPr>
              <w:rPr>
                <w:rFonts w:hint="default"/>
                <w:lang w:eastAsia="zh-CN"/>
              </w:rPr>
            </w:pPr>
          </w:p>
          <w:p>
            <w:pPr>
              <w:keepNext w:val="0"/>
              <w:keepLines w:val="0"/>
              <w:pageBreakBefore w:val="0"/>
              <w:widowControl w:val="0"/>
              <w:numPr>
                <w:ilvl w:val="0"/>
                <w:numId w:val="1"/>
              </w:numPr>
              <w:suppressLineNumbers w:val="0"/>
              <w:kinsoku/>
              <w:wordWrap/>
              <w:overflowPunct/>
              <w:topLinePunct w:val="0"/>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现有工程厂界及周围敏感点噪声一览表</w:t>
            </w:r>
          </w:p>
          <w:tbl>
            <w:tblPr>
              <w:tblStyle w:val="18"/>
              <w:tblW w:w="4998"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763"/>
              <w:gridCol w:w="1368"/>
              <w:gridCol w:w="1370"/>
              <w:gridCol w:w="2088"/>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9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lang w:eastAsia="zh-CN"/>
                    </w:rPr>
                  </w:pPr>
                  <w:r>
                    <w:rPr>
                      <w:rFonts w:hint="default" w:ascii="Times New Roman" w:hAnsi="Times New Roman" w:cs="Times New Roman" w:eastAsiaTheme="majorEastAsia"/>
                      <w:bCs/>
                      <w:color w:val="auto"/>
                      <w:sz w:val="18"/>
                      <w:szCs w:val="18"/>
                      <w:highlight w:val="none"/>
                      <w:lang w:eastAsia="zh-CN"/>
                    </w:rPr>
                    <w:t>监测时间</w:t>
                  </w:r>
                </w:p>
              </w:tc>
              <w:tc>
                <w:tcPr>
                  <w:tcW w:w="10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r>
                    <w:rPr>
                      <w:rFonts w:hint="default" w:ascii="Times New Roman" w:hAnsi="Times New Roman" w:cs="Times New Roman" w:eastAsiaTheme="majorEastAsia"/>
                      <w:bCs/>
                      <w:color w:val="auto"/>
                      <w:sz w:val="18"/>
                      <w:szCs w:val="18"/>
                      <w:highlight w:val="none"/>
                    </w:rPr>
                    <w:t>方位</w:t>
                  </w:r>
                </w:p>
              </w:tc>
              <w:tc>
                <w:tcPr>
                  <w:tcW w:w="8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r>
                    <w:rPr>
                      <w:rFonts w:hint="default" w:ascii="Times New Roman" w:hAnsi="Times New Roman" w:cs="Times New Roman" w:eastAsiaTheme="majorEastAsia"/>
                      <w:bCs/>
                      <w:color w:val="auto"/>
                      <w:sz w:val="18"/>
                      <w:szCs w:val="18"/>
                      <w:highlight w:val="none"/>
                    </w:rPr>
                    <w:t>昼间dB（A）</w:t>
                  </w:r>
                </w:p>
              </w:tc>
              <w:tc>
                <w:tcPr>
                  <w:tcW w:w="84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r>
                    <w:rPr>
                      <w:rFonts w:hint="default" w:ascii="Times New Roman" w:hAnsi="Times New Roman" w:cs="Times New Roman" w:eastAsiaTheme="majorEastAsia"/>
                      <w:bCs/>
                      <w:color w:val="auto"/>
                      <w:sz w:val="18"/>
                      <w:szCs w:val="18"/>
                      <w:highlight w:val="none"/>
                    </w:rPr>
                    <w:t>夜间dB（A）</w:t>
                  </w:r>
                </w:p>
              </w:tc>
              <w:tc>
                <w:tcPr>
                  <w:tcW w:w="12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r>
                    <w:rPr>
                      <w:rFonts w:hint="default" w:ascii="Times New Roman" w:hAnsi="Times New Roman" w:cs="Times New Roman" w:eastAsiaTheme="majorEastAsia"/>
                      <w:bCs/>
                      <w:color w:val="auto"/>
                      <w:sz w:val="18"/>
                      <w:szCs w:val="18"/>
                      <w:highlight w:val="none"/>
                    </w:rPr>
                    <w:t>标准值</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cs="Times New Roman" w:eastAsiaTheme="majorEastAsia"/>
                      <w:bCs/>
                      <w:color w:val="auto"/>
                      <w:sz w:val="18"/>
                      <w:szCs w:val="18"/>
                      <w:highlight w:val="none"/>
                      <w:lang w:val="en-US" w:eastAsia="zh-CN"/>
                    </w:rPr>
                    <w:t>2020.06.27</w:t>
                  </w: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eastAsia="宋体" w:cs="Times New Roman"/>
                      <w:color w:val="auto"/>
                      <w:sz w:val="18"/>
                      <w:szCs w:val="18"/>
                      <w:lang w:val="en-US" w:eastAsia="zh-CN" w:bidi="ar-SA"/>
                    </w:rPr>
                    <w:t>西厂界</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54</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42</w:t>
                  </w:r>
                </w:p>
              </w:tc>
              <w:tc>
                <w:tcPr>
                  <w:tcW w:w="128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eastAsiaTheme="majorEastAsia"/>
                      <w:color w:val="auto"/>
                      <w:sz w:val="18"/>
                      <w:szCs w:val="18"/>
                      <w:highlight w:val="none"/>
                    </w:rPr>
                  </w:pPr>
                  <w:r>
                    <w:rPr>
                      <w:rFonts w:hint="default" w:ascii="Times New Roman" w:hAnsi="Times New Roman" w:cs="Times New Roman" w:eastAsiaTheme="majorEastAsia"/>
                      <w:color w:val="auto"/>
                      <w:sz w:val="18"/>
                      <w:szCs w:val="18"/>
                      <w:highlight w:val="none"/>
                    </w:rPr>
                    <w:t>《声环境质量标准》</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r>
                    <w:rPr>
                      <w:rFonts w:hint="default" w:ascii="Times New Roman" w:hAnsi="Times New Roman" w:cs="Times New Roman" w:eastAsiaTheme="majorEastAsia"/>
                      <w:color w:val="auto"/>
                      <w:sz w:val="18"/>
                      <w:szCs w:val="18"/>
                      <w:highlight w:val="none"/>
                    </w:rPr>
                    <w:t>（GB3096-2008）</w:t>
                  </w:r>
                  <w:r>
                    <w:rPr>
                      <w:rFonts w:hint="default" w:ascii="Times New Roman" w:hAnsi="Times New Roman" w:cs="Times New Roman" w:eastAsiaTheme="majorEastAsia"/>
                      <w:color w:val="auto"/>
                      <w:sz w:val="18"/>
                      <w:szCs w:val="18"/>
                      <w:highlight w:val="none"/>
                      <w:lang w:val="en-US" w:eastAsia="zh-CN"/>
                    </w:rPr>
                    <w:t>2</w:t>
                  </w:r>
                  <w:r>
                    <w:rPr>
                      <w:rFonts w:hint="default" w:ascii="Times New Roman" w:hAnsi="Times New Roman" w:cs="Times New Roman" w:eastAsiaTheme="majorEastAsia"/>
                      <w:color w:val="auto"/>
                      <w:sz w:val="18"/>
                      <w:szCs w:val="18"/>
                      <w:highlight w:val="none"/>
                    </w:rPr>
                    <w:t>类标准</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9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eastAsia="宋体" w:cs="Times New Roman"/>
                      <w:color w:val="auto"/>
                      <w:sz w:val="18"/>
                      <w:szCs w:val="18"/>
                      <w:lang w:val="en-US" w:eastAsia="zh-CN" w:bidi="ar-SA"/>
                    </w:rPr>
                    <w:t>南厂界</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55</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40</w:t>
                  </w:r>
                </w:p>
              </w:tc>
              <w:tc>
                <w:tcPr>
                  <w:tcW w:w="12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eastAsia="宋体" w:cs="Times New Roman"/>
                      <w:color w:val="auto"/>
                      <w:sz w:val="18"/>
                      <w:szCs w:val="18"/>
                      <w:lang w:val="en-US" w:eastAsia="zh-CN" w:bidi="ar-SA"/>
                    </w:rPr>
                    <w:t>北厂界</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55</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41</w:t>
                  </w:r>
                </w:p>
              </w:tc>
              <w:tc>
                <w:tcPr>
                  <w:tcW w:w="12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小块村</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52</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40</w:t>
                  </w:r>
                </w:p>
              </w:tc>
              <w:tc>
                <w:tcPr>
                  <w:tcW w:w="12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大块第四小学</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50</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39</w:t>
                  </w:r>
                </w:p>
              </w:tc>
              <w:tc>
                <w:tcPr>
                  <w:tcW w:w="12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cs="Times New Roman" w:eastAsiaTheme="majorEastAsia"/>
                      <w:bCs/>
                      <w:color w:val="auto"/>
                      <w:sz w:val="18"/>
                      <w:szCs w:val="18"/>
                      <w:highlight w:val="none"/>
                      <w:lang w:val="en-US" w:eastAsia="zh-CN"/>
                    </w:rPr>
                    <w:t>2020.06.28</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lang w:eastAsia="zh-CN"/>
                    </w:rPr>
                  </w:pPr>
                  <w:r>
                    <w:rPr>
                      <w:rFonts w:hint="default" w:ascii="Times New Roman" w:hAnsi="Times New Roman" w:cs="Times New Roman" w:eastAsiaTheme="majorEastAsia"/>
                      <w:bCs/>
                      <w:color w:val="auto"/>
                      <w:sz w:val="18"/>
                      <w:szCs w:val="18"/>
                      <w:highlight w:val="none"/>
                      <w:lang w:eastAsia="zh-CN"/>
                    </w:rPr>
                    <w:t xml:space="preserve"> </w:t>
                  </w: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eastAsia="宋体" w:cs="Times New Roman"/>
                      <w:color w:val="auto"/>
                      <w:sz w:val="18"/>
                      <w:szCs w:val="18"/>
                      <w:lang w:val="en-US" w:eastAsia="zh-CN" w:bidi="ar-SA"/>
                    </w:rPr>
                    <w:t>西厂界</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52</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42</w:t>
                  </w:r>
                </w:p>
              </w:tc>
              <w:tc>
                <w:tcPr>
                  <w:tcW w:w="12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eastAsia="宋体" w:cs="Times New Roman"/>
                      <w:color w:val="auto"/>
                      <w:sz w:val="18"/>
                      <w:szCs w:val="18"/>
                      <w:lang w:val="en-US" w:eastAsia="zh-CN" w:bidi="ar-SA"/>
                    </w:rPr>
                    <w:t>南厂界</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54</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41</w:t>
                  </w:r>
                </w:p>
              </w:tc>
              <w:tc>
                <w:tcPr>
                  <w:tcW w:w="12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eastAsia="宋体" w:cs="Times New Roman"/>
                      <w:color w:val="auto"/>
                      <w:sz w:val="18"/>
                      <w:szCs w:val="18"/>
                      <w:lang w:val="en-US" w:eastAsia="zh-CN" w:bidi="ar-SA"/>
                    </w:rPr>
                    <w:t>北厂界</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53</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41</w:t>
                  </w:r>
                </w:p>
              </w:tc>
              <w:tc>
                <w:tcPr>
                  <w:tcW w:w="12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lang w:eastAsia="zh-CN"/>
                    </w:rPr>
                  </w:pP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小块村</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51</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40</w:t>
                  </w:r>
                </w:p>
              </w:tc>
              <w:tc>
                <w:tcPr>
                  <w:tcW w:w="12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lang w:eastAsia="zh-CN"/>
                    </w:rPr>
                  </w:pPr>
                </w:p>
              </w:tc>
              <w:tc>
                <w:tcPr>
                  <w:tcW w:w="1085" w:type="pct"/>
                  <w:noWrap w:val="0"/>
                  <w:vAlign w:val="center"/>
                </w:tcPr>
                <w:p>
                  <w:pPr>
                    <w:jc w:val="center"/>
                    <w:rPr>
                      <w:rFonts w:hint="default" w:ascii="Times New Roman" w:hAnsi="Times New Roman" w:cs="Times New Roman" w:eastAsiaTheme="majorEastAsia"/>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大块第四小学</w:t>
                  </w:r>
                </w:p>
              </w:tc>
              <w:tc>
                <w:tcPr>
                  <w:tcW w:w="842"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49</w:t>
                  </w:r>
                </w:p>
              </w:tc>
              <w:tc>
                <w:tcPr>
                  <w:tcW w:w="843" w:type="pct"/>
                  <w:noWrap w:val="0"/>
                  <w:vAlign w:val="center"/>
                </w:tcPr>
                <w:p>
                  <w:pPr>
                    <w:jc w:val="center"/>
                    <w:rPr>
                      <w:rFonts w:hint="default" w:ascii="Times New Roman" w:hAnsi="Times New Roman" w:cs="Times New Roman" w:eastAsiaTheme="majorEastAsia"/>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39</w:t>
                  </w:r>
                </w:p>
              </w:tc>
              <w:tc>
                <w:tcPr>
                  <w:tcW w:w="12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9"/>
                    <w:rPr>
                      <w:rFonts w:hint="default" w:ascii="Times New Roman" w:hAnsi="Times New Roman" w:cs="Times New Roman" w:eastAsiaTheme="majorEastAsia"/>
                      <w:bCs/>
                      <w:color w:val="auto"/>
                      <w:sz w:val="18"/>
                      <w:szCs w:val="18"/>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eastAsiaTheme="majorEastAsia"/>
                <w:b/>
                <w:bCs/>
                <w:color w:val="auto"/>
                <w:sz w:val="21"/>
                <w:szCs w:val="21"/>
                <w:highlight w:val="none"/>
              </w:rPr>
            </w:pPr>
            <w:r>
              <w:rPr>
                <w:rFonts w:hint="default" w:ascii="Times New Roman" w:hAnsi="Times New Roman" w:cs="Times New Roman" w:eastAsiaTheme="majorEastAsia"/>
                <w:b/>
                <w:bCs/>
                <w:color w:val="auto"/>
                <w:sz w:val="21"/>
                <w:szCs w:val="21"/>
                <w:highlight w:val="none"/>
                <w:lang w:val="en-US" w:eastAsia="zh-CN"/>
              </w:rPr>
              <w:t>8、</w:t>
            </w:r>
            <w:r>
              <w:rPr>
                <w:rFonts w:hint="default" w:ascii="Times New Roman" w:hAnsi="Times New Roman" w:cs="Times New Roman" w:eastAsiaTheme="majorEastAsia"/>
                <w:b/>
                <w:bCs/>
                <w:color w:val="auto"/>
                <w:sz w:val="21"/>
                <w:szCs w:val="21"/>
                <w:highlight w:val="none"/>
              </w:rPr>
              <w:t>现有工程“三废”污染物汇总情况</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现有工程“三废”污染物排放汇总情况见</w:t>
            </w:r>
            <w:r>
              <w:rPr>
                <w:rFonts w:hint="default" w:ascii="Times New Roman" w:hAnsi="Times New Roman" w:cs="Times New Roman"/>
                <w:color w:val="auto"/>
                <w:sz w:val="21"/>
                <w:szCs w:val="21"/>
                <w:highlight w:val="none"/>
                <w:lang w:eastAsia="zh-CN"/>
              </w:rPr>
              <w:t>下表：</w:t>
            </w:r>
          </w:p>
          <w:p>
            <w:pPr>
              <w:keepNext w:val="0"/>
              <w:keepLines w:val="0"/>
              <w:numPr>
                <w:ilvl w:val="0"/>
                <w:numId w:val="1"/>
              </w:numPr>
              <w:suppressLineNumbers w:val="0"/>
              <w:spacing w:before="0" w:beforeAutospacing="0" w:after="0" w:afterAutospacing="0" w:line="460" w:lineRule="exact"/>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现有工程“三废”污染物排放汇总情况</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74" w:type="dxa"/>
                <w:left w:w="108" w:type="dxa"/>
                <w:bottom w:w="74" w:type="dxa"/>
                <w:right w:w="108" w:type="dxa"/>
              </w:tblCellMar>
            </w:tblPr>
            <w:tblGrid>
              <w:gridCol w:w="1508"/>
              <w:gridCol w:w="1611"/>
              <w:gridCol w:w="966"/>
              <w:gridCol w:w="1346"/>
              <w:gridCol w:w="1346"/>
              <w:gridCol w:w="13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23" w:hRule="atLeast"/>
                <w:jc w:val="center"/>
              </w:trPr>
              <w:tc>
                <w:tcPr>
                  <w:tcW w:w="9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p>
              </w:tc>
              <w:tc>
                <w:tcPr>
                  <w:tcW w:w="15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产生量</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消减量</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90" w:hRule="atLeast"/>
                <w:jc w:val="center"/>
              </w:trPr>
              <w:tc>
                <w:tcPr>
                  <w:tcW w:w="92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废气</w:t>
                  </w:r>
                </w:p>
              </w:tc>
              <w:tc>
                <w:tcPr>
                  <w:tcW w:w="991" w:type="pct"/>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非甲烷总烃（t/a）</w:t>
                  </w:r>
                </w:p>
              </w:tc>
              <w:tc>
                <w:tcPr>
                  <w:tcW w:w="59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有组织</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0.1327</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0.1096</w:t>
                  </w:r>
                </w:p>
              </w:tc>
              <w:tc>
                <w:tcPr>
                  <w:tcW w:w="1444" w:type="dxa"/>
                  <w:noWrap w:val="0"/>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0.0231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90" w:hRule="atLeast"/>
                <w:jc w:val="center"/>
              </w:trPr>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991"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p>
              </w:tc>
              <w:tc>
                <w:tcPr>
                  <w:tcW w:w="59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无组织</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0.0569</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1444" w:type="dxa"/>
                  <w:noWrap w:val="0"/>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0.0569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23" w:hRule="atLeast"/>
                <w:jc w:val="center"/>
              </w:trPr>
              <w:tc>
                <w:tcPr>
                  <w:tcW w:w="92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w:t>
                  </w:r>
                </w:p>
              </w:tc>
              <w:tc>
                <w:tcPr>
                  <w:tcW w:w="15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废水量（</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rPr>
                    <w:t>/a）</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36</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36</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23" w:hRule="atLeast"/>
                <w:jc w:val="center"/>
              </w:trPr>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5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COD（t/a）</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0.0108</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0.0108</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23" w:hRule="atLeast"/>
                <w:jc w:val="center"/>
              </w:trPr>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5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SS（t/a）</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0.009</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0.009</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23" w:hRule="atLeast"/>
                <w:jc w:val="center"/>
              </w:trPr>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5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氨氮（t/a）</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0.001</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0.001</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23" w:hRule="atLeast"/>
                <w:jc w:val="center"/>
              </w:trPr>
              <w:tc>
                <w:tcPr>
                  <w:tcW w:w="9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5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总磷</w:t>
                  </w:r>
                  <w:r>
                    <w:rPr>
                      <w:rFonts w:hint="default" w:ascii="Times New Roman" w:hAnsi="Times New Roman" w:cs="Times New Roman"/>
                      <w:color w:val="auto"/>
                      <w:sz w:val="18"/>
                      <w:szCs w:val="18"/>
                      <w:highlight w:val="none"/>
                    </w:rPr>
                    <w:t>（t/a）</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0.0001</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0.0001</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23" w:hRule="atLeast"/>
                <w:jc w:val="center"/>
              </w:trPr>
              <w:tc>
                <w:tcPr>
                  <w:tcW w:w="9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固体废物</w:t>
                  </w:r>
                </w:p>
              </w:tc>
              <w:tc>
                <w:tcPr>
                  <w:tcW w:w="15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一般固废</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w:t>
                  </w:r>
                </w:p>
              </w:tc>
              <w:tc>
                <w:tcPr>
                  <w:tcW w:w="8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现有工程存在的环保问题及</w:t>
            </w:r>
            <w:r>
              <w:rPr>
                <w:rFonts w:hint="default" w:ascii="Times New Roman" w:hAnsi="Times New Roman" w:eastAsia="宋体" w:cs="Times New Roman"/>
                <w:b/>
                <w:bCs/>
                <w:color w:val="auto"/>
                <w:sz w:val="21"/>
                <w:szCs w:val="21"/>
                <w:highlight w:val="none"/>
                <w:lang w:eastAsia="zh-CN"/>
              </w:rPr>
              <w:t>解决措施</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highlight w:val="none"/>
                <w:lang w:eastAsia="zh-CN"/>
              </w:rPr>
              <w:t>现有工程存在问题及整改措施情况如下</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现有工程存在问题及整改措施</w:t>
            </w:r>
          </w:p>
          <w:tbl>
            <w:tblPr>
              <w:tblStyle w:val="18"/>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18"/>
              <w:gridCol w:w="3359"/>
              <w:gridCol w:w="394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71" w:type="pct"/>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现有工程</w:t>
                  </w:r>
                  <w:r>
                    <w:rPr>
                      <w:rFonts w:hint="default" w:ascii="Times New Roman" w:hAnsi="Times New Roman" w:cs="Times New Roman"/>
                      <w:color w:val="auto"/>
                      <w:sz w:val="18"/>
                      <w:szCs w:val="18"/>
                    </w:rPr>
                    <w:t>存在问题</w:t>
                  </w:r>
                </w:p>
              </w:tc>
              <w:tc>
                <w:tcPr>
                  <w:tcW w:w="2428"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整改措施</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504" w:type="pct"/>
                  <w:tcBorders>
                    <w:right w:val="single" w:color="auto" w:sz="4" w:space="0"/>
                    <w:tl2br w:val="nil"/>
                    <w:tr2bl w:val="nil"/>
                  </w:tcBorders>
                  <w:vAlign w:val="center"/>
                </w:tcPr>
                <w:p>
                  <w:pPr>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废气</w:t>
                  </w:r>
                </w:p>
              </w:tc>
              <w:tc>
                <w:tcPr>
                  <w:tcW w:w="2066" w:type="pct"/>
                  <w:tcBorders>
                    <w:left w:val="single" w:color="auto" w:sz="4" w:space="0"/>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eastAsia="zh-CN"/>
                    </w:rPr>
                    <w:t>产生有机废气工段未按照当前环保要求进行二次密闭</w:t>
                  </w:r>
                </w:p>
              </w:tc>
              <w:tc>
                <w:tcPr>
                  <w:tcW w:w="2428"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设置二次密闭间设置注塑机，通过负压收集后，经</w:t>
                  </w:r>
                  <w:r>
                    <w:rPr>
                      <w:rFonts w:hint="default" w:ascii="Times New Roman" w:hAnsi="Times New Roman" w:cs="Times New Roman"/>
                      <w:color w:val="auto"/>
                      <w:sz w:val="18"/>
                      <w:szCs w:val="18"/>
                      <w:highlight w:val="none"/>
                      <w:lang w:val="en-US" w:eastAsia="zh-CN"/>
                    </w:rPr>
                    <w:t>1套UV光催化氧化+活性炭吸附处理后，经15m高排气筒排放</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4" w:type="pct"/>
                  <w:tcBorders>
                    <w:right w:val="single" w:color="auto" w:sz="4" w:space="0"/>
                    <w:tl2br w:val="nil"/>
                    <w:tr2bl w:val="nil"/>
                  </w:tcBorders>
                  <w:vAlign w:val="center"/>
                </w:tcPr>
                <w:p>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固废</w:t>
                  </w:r>
                </w:p>
              </w:tc>
              <w:tc>
                <w:tcPr>
                  <w:tcW w:w="2066" w:type="pct"/>
                  <w:tcBorders>
                    <w:left w:val="single" w:color="auto" w:sz="4" w:space="0"/>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eastAsia="zh-CN"/>
                    </w:rPr>
                    <w:t>现有工程存在废</w:t>
                  </w:r>
                  <w:r>
                    <w:rPr>
                      <w:rFonts w:hint="default" w:ascii="Times New Roman" w:hAnsi="Times New Roman" w:cs="Times New Roman"/>
                      <w:color w:val="auto"/>
                      <w:sz w:val="18"/>
                      <w:szCs w:val="18"/>
                      <w:highlight w:val="none"/>
                      <w:lang w:val="en-US" w:eastAsia="zh-CN"/>
                    </w:rPr>
                    <w:t>UV灯管、</w:t>
                  </w:r>
                  <w:r>
                    <w:rPr>
                      <w:rFonts w:hint="default" w:ascii="Times New Roman" w:hAnsi="Times New Roman" w:cs="Times New Roman"/>
                      <w:color w:val="auto"/>
                      <w:sz w:val="18"/>
                      <w:szCs w:val="18"/>
                      <w:highlight w:val="none"/>
                      <w:lang w:eastAsia="zh-CN"/>
                    </w:rPr>
                    <w:t>废液压油等危险固废，但企业未设置危险固废暂存间进行储存</w:t>
                  </w:r>
                </w:p>
              </w:tc>
              <w:tc>
                <w:tcPr>
                  <w:tcW w:w="2428"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设置</w:t>
                  </w:r>
                  <w:r>
                    <w:rPr>
                      <w:rFonts w:hint="default" w:ascii="Times New Roman" w:hAnsi="Times New Roman" w:cs="Times New Roman"/>
                      <w:color w:val="auto"/>
                      <w:sz w:val="18"/>
                      <w:szCs w:val="18"/>
                      <w:highlight w:val="none"/>
                      <w:lang w:val="en-US" w:eastAsia="zh-CN"/>
                    </w:rPr>
                    <w:t>1间10m</w:t>
                  </w:r>
                  <w:r>
                    <w:rPr>
                      <w:rFonts w:hint="default" w:ascii="Times New Roman" w:hAnsi="Times New Roman" w:cs="Times New Roman"/>
                      <w:color w:val="auto"/>
                      <w:sz w:val="18"/>
                      <w:szCs w:val="18"/>
                      <w:highlight w:val="none"/>
                      <w:vertAlign w:val="superscript"/>
                      <w:lang w:val="en-US" w:eastAsia="zh-CN"/>
                    </w:rPr>
                    <w:t>2</w:t>
                  </w:r>
                  <w:r>
                    <w:rPr>
                      <w:rFonts w:hint="default" w:ascii="Times New Roman" w:hAnsi="Times New Roman" w:cs="Times New Roman"/>
                      <w:color w:val="auto"/>
                      <w:sz w:val="18"/>
                      <w:szCs w:val="18"/>
                      <w:highlight w:val="none"/>
                      <w:lang w:eastAsia="zh-CN"/>
                    </w:rPr>
                    <w:t>危险固废暂存间存放，定期委托有资质的危废处置单位回收</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本次评价以竣工验收期间注塑过程非甲烷总烃产生量作为现有工程排放总量，即0.1896t/a。本次改扩建工程拟将现有工程4台注塑机均布置在新建二次密闭间内，并通过负压集气进行收集，</w:t>
            </w:r>
            <w:r>
              <w:rPr>
                <w:rFonts w:hint="default" w:ascii="Times New Roman" w:hAnsi="Times New Roman" w:cs="Times New Roman"/>
                <w:b/>
                <w:bCs/>
                <w:color w:val="auto"/>
                <w:sz w:val="21"/>
                <w:szCs w:val="21"/>
                <w:highlight w:val="none"/>
                <w:u w:val="single"/>
                <w:lang w:val="en-US" w:eastAsia="zh-CN"/>
              </w:rPr>
              <w:t>并新建1套“活性炭吸脱附+催化燃烧”废气净化装置进行处理后，经15m高排气筒排放。因此本次改扩建后进一步提高了现有工程废气收集效率和废气处理效率，本次改扩建后废气收集效率按照98%计算，“活性炭吸脱附+催化燃烧”废气处理效率按照93%计算，则本次改扩建后现有工程非甲烷总烃</w:t>
            </w:r>
            <w:r>
              <w:rPr>
                <w:rFonts w:hint="eastAsia" w:ascii="Times New Roman" w:hAnsi="Times New Roman" w:cs="Times New Roman"/>
                <w:b/>
                <w:bCs/>
                <w:color w:val="auto"/>
                <w:sz w:val="21"/>
                <w:szCs w:val="21"/>
                <w:highlight w:val="none"/>
                <w:u w:val="single"/>
                <w:lang w:val="en-US" w:eastAsia="zh-CN"/>
              </w:rPr>
              <w:t>类</w:t>
            </w:r>
            <w:r>
              <w:rPr>
                <w:rFonts w:hint="default" w:ascii="Times New Roman" w:hAnsi="Times New Roman" w:cs="Times New Roman"/>
                <w:b/>
                <w:bCs/>
                <w:color w:val="auto"/>
                <w:sz w:val="21"/>
                <w:szCs w:val="21"/>
                <w:highlight w:val="none"/>
                <w:u w:val="single"/>
                <w:lang w:val="en-US" w:eastAsia="zh-CN"/>
              </w:rPr>
              <w:t>有机废气产排情况如下：</w:t>
            </w:r>
          </w:p>
          <w:p>
            <w:pPr>
              <w:keepNext w:val="0"/>
              <w:keepLines w:val="0"/>
              <w:pageBreakBefore w:val="0"/>
              <w:widowControl w:val="0"/>
              <w:numPr>
                <w:ilvl w:val="0"/>
                <w:numId w:val="1"/>
              </w:numPr>
              <w:suppressLineNumbers w:val="0"/>
              <w:kinsoku/>
              <w:wordWrap/>
              <w:overflowPunct/>
              <w:topLinePunct w:val="0"/>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改扩建后现有工程废气产排情况</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860"/>
              <w:gridCol w:w="985"/>
              <w:gridCol w:w="909"/>
              <w:gridCol w:w="1177"/>
              <w:gridCol w:w="672"/>
              <w:gridCol w:w="849"/>
              <w:gridCol w:w="859"/>
              <w:gridCol w:w="11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7" w:type="pct"/>
                  <w:gridSpan w:val="2"/>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污染源</w:t>
                  </w:r>
                </w:p>
              </w:tc>
              <w:tc>
                <w:tcPr>
                  <w:tcW w:w="606"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产生速率kg/h</w:t>
                  </w:r>
                </w:p>
              </w:tc>
              <w:tc>
                <w:tcPr>
                  <w:tcW w:w="559"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产生量t/a</w:t>
                  </w:r>
                </w:p>
              </w:tc>
              <w:tc>
                <w:tcPr>
                  <w:tcW w:w="724" w:type="pct"/>
                  <w:tcBorders>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治理措施</w:t>
                  </w:r>
                </w:p>
              </w:tc>
              <w:tc>
                <w:tcPr>
                  <w:tcW w:w="413" w:type="pct"/>
                  <w:tcBorders>
                    <w:left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处理效率</w:t>
                  </w:r>
                </w:p>
              </w:tc>
              <w:tc>
                <w:tcPr>
                  <w:tcW w:w="522" w:type="pct"/>
                  <w:tcBorders>
                    <w:left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消减量t/a</w:t>
                  </w:r>
                </w:p>
              </w:tc>
              <w:tc>
                <w:tcPr>
                  <w:tcW w:w="528" w:type="pct"/>
                  <w:tcBorders>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排放速率kg/h</w:t>
                  </w:r>
                </w:p>
              </w:tc>
              <w:tc>
                <w:tcPr>
                  <w:tcW w:w="69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8" w:type="pct"/>
                  <w:vMerge w:val="restart"/>
                  <w:tcBorders>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非甲烷总烃</w:t>
                  </w:r>
                </w:p>
              </w:tc>
              <w:tc>
                <w:tcPr>
                  <w:tcW w:w="528" w:type="pct"/>
                  <w:tcBorders>
                    <w:left w:val="single" w:color="000000" w:sz="4" w:space="0"/>
                    <w:bottom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有组织</w:t>
                  </w:r>
                </w:p>
              </w:tc>
              <w:tc>
                <w:tcPr>
                  <w:tcW w:w="606" w:type="pct"/>
                  <w:tcBorders>
                    <w:bottom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0.0764</w:t>
                  </w:r>
                </w:p>
              </w:tc>
              <w:tc>
                <w:tcPr>
                  <w:tcW w:w="559"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0.1858</w:t>
                  </w:r>
                </w:p>
              </w:tc>
              <w:tc>
                <w:tcPr>
                  <w:tcW w:w="724" w:type="pct"/>
                  <w:tcBorders>
                    <w:bottom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eastAsia="宋体" w:cs="Times New Roman"/>
                      <w:color w:val="auto"/>
                      <w:sz w:val="18"/>
                      <w:szCs w:val="18"/>
                      <w:highlight w:val="none"/>
                      <w:vertAlign w:val="baseline"/>
                      <w:lang w:val="en-US" w:eastAsia="zh-CN"/>
                    </w:rPr>
                    <w:t>活性炭吸脱附+</w:t>
                  </w:r>
                  <w:r>
                    <w:rPr>
                      <w:rFonts w:hint="default" w:ascii="Times New Roman" w:hAnsi="Times New Roman" w:eastAsia="宋体" w:cs="Times New Roman"/>
                      <w:color w:val="auto"/>
                      <w:sz w:val="18"/>
                      <w:szCs w:val="18"/>
                      <w:highlight w:val="none"/>
                      <w:vertAlign w:val="baseline"/>
                      <w:lang w:val="en-US" w:eastAsia="zh-CN"/>
                    </w:rPr>
                    <w:t>催化燃烧</w:t>
                  </w:r>
                </w:p>
              </w:tc>
              <w:tc>
                <w:tcPr>
                  <w:tcW w:w="413" w:type="pct"/>
                  <w:tcBorders>
                    <w:left w:val="single" w:color="000000" w:sz="4" w:space="0"/>
                    <w:bottom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93%</w:t>
                  </w:r>
                </w:p>
              </w:tc>
              <w:tc>
                <w:tcPr>
                  <w:tcW w:w="522" w:type="pct"/>
                  <w:tcBorders>
                    <w:left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bidi="ar-SA"/>
                    </w:rPr>
                    <w:t>0.1728</w:t>
                  </w:r>
                </w:p>
              </w:tc>
              <w:tc>
                <w:tcPr>
                  <w:tcW w:w="528" w:type="pct"/>
                  <w:tcBorders>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0.0054</w:t>
                  </w:r>
                </w:p>
              </w:tc>
              <w:tc>
                <w:tcPr>
                  <w:tcW w:w="69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tcBorders>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528" w:type="pct"/>
                  <w:tcBorders>
                    <w:top w:val="single" w:color="000000" w:sz="4" w:space="0"/>
                    <w:left w:val="single" w:color="000000" w:sz="4" w:space="0"/>
                    <w:bottom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无组织</w:t>
                  </w:r>
                </w:p>
              </w:tc>
              <w:tc>
                <w:tcPr>
                  <w:tcW w:w="606" w:type="pct"/>
                  <w:tcBorders>
                    <w:top w:val="single" w:color="000000" w:sz="4" w:space="0"/>
                    <w:bottom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0.0016</w:t>
                  </w:r>
                </w:p>
              </w:tc>
              <w:tc>
                <w:tcPr>
                  <w:tcW w:w="559"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0.0038</w:t>
                  </w:r>
                </w:p>
              </w:tc>
              <w:tc>
                <w:tcPr>
                  <w:tcW w:w="724" w:type="pct"/>
                  <w:tcBorders>
                    <w:top w:val="single" w:color="000000" w:sz="4" w:space="0"/>
                    <w:bottom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413"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22" w:type="pct"/>
                  <w:tcBorders>
                    <w:left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28" w:type="pct"/>
                  <w:tcBorders>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0.0016</w:t>
                  </w:r>
                </w:p>
              </w:tc>
              <w:tc>
                <w:tcPr>
                  <w:tcW w:w="69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0.0038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tcBorders>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528" w:type="pct"/>
                  <w:tcBorders>
                    <w:top w:val="single" w:color="000000" w:sz="4" w:space="0"/>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合计</w:t>
                  </w:r>
                </w:p>
              </w:tc>
              <w:tc>
                <w:tcPr>
                  <w:tcW w:w="606" w:type="pct"/>
                  <w:tcBorders>
                    <w:top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59"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0.1896</w:t>
                  </w:r>
                </w:p>
              </w:tc>
              <w:tc>
                <w:tcPr>
                  <w:tcW w:w="724" w:type="pct"/>
                  <w:tcBorders>
                    <w:top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413" w:type="pct"/>
                  <w:tcBorders>
                    <w:top w:val="single" w:color="000000" w:sz="4" w:space="0"/>
                    <w:left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22" w:type="pct"/>
                  <w:tcBorders>
                    <w:left w:val="single" w:color="000000" w:sz="4" w:space="0"/>
                    <w:righ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28" w:type="pct"/>
                  <w:tcBorders>
                    <w:left w:val="single" w:color="000000" w:sz="4" w:space="0"/>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697" w:type="pct"/>
                  <w:tcBorders>
                    <w:tl2br w:val="nil"/>
                    <w:tr2bl w:val="nil"/>
                  </w:tcBorders>
                  <w:vAlign w:val="center"/>
                </w:tcPr>
                <w:p>
                  <w:pPr>
                    <w:pStyle w:val="45"/>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0.0317</w:t>
                  </w:r>
                </w:p>
              </w:tc>
            </w:tr>
          </w:tbl>
          <w:p>
            <w:pPr>
              <w:pStyle w:val="45"/>
              <w:keepNext w:val="0"/>
              <w:keepLines w:val="0"/>
              <w:pageBreakBefore w:val="0"/>
              <w:widowControl w:val="0"/>
              <w:numPr>
                <w:ilvl w:val="0"/>
                <w:numId w:val="0"/>
              </w:numPr>
              <w:tabs>
                <w:tab w:val="left" w:pos="0"/>
              </w:tabs>
              <w:kinsoku/>
              <w:wordWrap/>
              <w:overflowPunct/>
              <w:topLinePunct w:val="0"/>
              <w:autoSpaceDE w:val="0"/>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eastAsia="zh-CN"/>
              </w:rPr>
              <w:t>现有工程非甲烷总烃排放量为</w:t>
            </w:r>
            <w:r>
              <w:rPr>
                <w:rFonts w:hint="default" w:ascii="Times New Roman" w:hAnsi="Times New Roman" w:eastAsia="宋体" w:cs="Times New Roman"/>
                <w:b/>
                <w:bCs/>
                <w:color w:val="auto"/>
                <w:sz w:val="21"/>
                <w:szCs w:val="21"/>
                <w:highlight w:val="none"/>
                <w:u w:val="single"/>
                <w:lang w:val="en-US" w:eastAsia="zh-CN"/>
              </w:rPr>
              <w:t>0.1896t/a</w:t>
            </w:r>
            <w:r>
              <w:rPr>
                <w:rFonts w:hint="default" w:ascii="Times New Roman" w:hAnsi="Times New Roman" w:eastAsia="宋体" w:cs="Times New Roman"/>
                <w:b/>
                <w:bCs/>
                <w:color w:val="auto"/>
                <w:sz w:val="21"/>
                <w:szCs w:val="21"/>
                <w:highlight w:val="none"/>
                <w:u w:val="single"/>
                <w:lang w:eastAsia="zh-CN"/>
              </w:rPr>
              <w:t>，本次改扩建工程通过对现有工程注塑机采取设置二次密闭间进行负压集气，并通过</w:t>
            </w:r>
            <w:r>
              <w:rPr>
                <w:rFonts w:hint="eastAsia" w:ascii="Times New Roman" w:hAnsi="Times New Roman" w:eastAsia="宋体" w:cs="Times New Roman"/>
                <w:b/>
                <w:bCs/>
                <w:color w:val="auto"/>
                <w:sz w:val="21"/>
                <w:szCs w:val="21"/>
                <w:highlight w:val="none"/>
                <w:u w:val="single"/>
                <w:lang w:eastAsia="zh-CN"/>
              </w:rPr>
              <w:t>新建</w:t>
            </w:r>
            <w:r>
              <w:rPr>
                <w:rFonts w:hint="default" w:ascii="Times New Roman" w:hAnsi="Times New Roman" w:eastAsia="宋体" w:cs="Times New Roman"/>
                <w:b/>
                <w:bCs/>
                <w:color w:val="auto"/>
                <w:sz w:val="21"/>
                <w:szCs w:val="21"/>
                <w:highlight w:val="none"/>
                <w:u w:val="single"/>
                <w:lang w:val="en-US" w:eastAsia="zh-CN"/>
              </w:rPr>
              <w:t>1套“活性炭吸脱附+催化燃烧”废气处理设施处理后</w:t>
            </w:r>
            <w:r>
              <w:rPr>
                <w:rFonts w:hint="eastAsia" w:ascii="Times New Roman" w:hAnsi="Times New Roman" w:eastAsia="宋体" w:cs="Times New Roman"/>
                <w:b/>
                <w:bCs/>
                <w:color w:val="auto"/>
                <w:sz w:val="21"/>
                <w:szCs w:val="21"/>
                <w:highlight w:val="none"/>
                <w:u w:val="single"/>
                <w:lang w:val="en-US" w:eastAsia="zh-CN"/>
              </w:rPr>
              <w:t>，经1根15m高排气筒排放</w:t>
            </w:r>
            <w:r>
              <w:rPr>
                <w:rFonts w:hint="default" w:ascii="Times New Roman" w:hAnsi="Times New Roman" w:eastAsia="宋体" w:cs="Times New Roman"/>
                <w:b/>
                <w:bCs/>
                <w:color w:val="auto"/>
                <w:sz w:val="21"/>
                <w:szCs w:val="21"/>
                <w:highlight w:val="none"/>
                <w:u w:val="single"/>
                <w:lang w:eastAsia="zh-CN"/>
              </w:rPr>
              <w:t>，以新代老消减量为</w:t>
            </w:r>
            <w:r>
              <w:rPr>
                <w:rFonts w:hint="default" w:ascii="Times New Roman" w:hAnsi="Times New Roman" w:eastAsia="宋体" w:cs="Times New Roman"/>
                <w:b/>
                <w:bCs/>
                <w:color w:val="auto"/>
                <w:sz w:val="21"/>
                <w:szCs w:val="21"/>
                <w:highlight w:val="none"/>
                <w:u w:val="single"/>
                <w:lang w:val="en-US" w:eastAsia="zh-CN"/>
              </w:rPr>
              <w:t>0.1728t/a。</w:t>
            </w:r>
          </w:p>
          <w:p>
            <w:pPr>
              <w:autoSpaceDE w:val="0"/>
              <w:autoSpaceDN w:val="0"/>
              <w:adjustRightInd w:val="0"/>
              <w:snapToGrid w:val="0"/>
              <w:spacing w:line="400" w:lineRule="exact"/>
              <w:rPr>
                <w:rFonts w:hint="eastAsia"/>
                <w:bCs/>
                <w:szCs w:val="21"/>
                <w:highlight w:val="cyan"/>
              </w:rPr>
            </w:pPr>
            <w:r>
              <w:rPr>
                <w:rFonts w:hint="default" w:ascii="Times New Roman" w:hAnsi="Times New Roman" w:eastAsia="宋体" w:cs="Times New Roman"/>
                <w:color w:val="auto"/>
                <w:sz w:val="21"/>
                <w:szCs w:val="21"/>
                <w:highlight w:val="none"/>
                <w:lang w:eastAsia="zh-CN"/>
              </w:rPr>
              <w:t>综上所述，评价要求企业应在本次扩建工程建设过程中现有工程存在问题同时整改。</w:t>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r>
              <w:rPr>
                <w:rFonts w:hint="default" w:ascii="Times New Roman" w:hAnsi="Times New Roman" w:eastAsia="宋体" w:cs="Times New Roman"/>
                <w:color w:val="auto"/>
                <w:sz w:val="21"/>
                <w:szCs w:val="21"/>
                <w:highlight w:val="none"/>
                <w:lang w:eastAsia="zh-CN"/>
              </w:rPr>
              <w:br w:type="textWrapping"/>
            </w:r>
          </w:p>
        </w:tc>
      </w:tr>
    </w:tbl>
    <w:p>
      <w:pPr>
        <w:pStyle w:val="15"/>
        <w:jc w:val="center"/>
        <w:rPr>
          <w:rFonts w:ascii="Times New Roman" w:hAnsi="Times New Roman" w:eastAsia="黑体"/>
          <w:snapToGrid w:val="0"/>
          <w:sz w:val="36"/>
          <w:szCs w:val="36"/>
          <w:highlight w:val="cya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5"/>
        <w:jc w:val="center"/>
        <w:outlineLvl w:val="0"/>
        <w:rPr>
          <w:rFonts w:ascii="Times New Roman" w:hAnsi="Times New Roman" w:eastAsia="黑体"/>
          <w:snapToGrid w:val="0"/>
          <w:sz w:val="30"/>
          <w:szCs w:val="30"/>
          <w:highlight w:val="none"/>
        </w:rPr>
      </w:pPr>
      <w:r>
        <w:rPr>
          <w:rFonts w:hint="eastAsia" w:ascii="Times New Roman" w:hAnsi="Times New Roman" w:eastAsia="黑体"/>
          <w:snapToGrid w:val="0"/>
          <w:sz w:val="30"/>
          <w:szCs w:val="30"/>
          <w:highlight w:val="none"/>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adjustRightInd w:val="0"/>
              <w:snapToGrid w:val="0"/>
              <w:jc w:val="center"/>
              <w:rPr>
                <w:rFonts w:hint="eastAsia" w:cs="宋体"/>
                <w:kern w:val="0"/>
                <w:szCs w:val="21"/>
                <w:highlight w:val="none"/>
              </w:rPr>
            </w:pPr>
            <w:r>
              <w:rPr>
                <w:rFonts w:hint="eastAsia" w:cs="宋体"/>
                <w:kern w:val="0"/>
                <w:szCs w:val="21"/>
                <w:highlight w:val="none"/>
              </w:rPr>
              <w:t>区域</w:t>
            </w:r>
          </w:p>
          <w:p>
            <w:pPr>
              <w:adjustRightInd w:val="0"/>
              <w:snapToGrid w:val="0"/>
              <w:jc w:val="center"/>
              <w:rPr>
                <w:rFonts w:hint="eastAsia" w:cs="宋体"/>
                <w:kern w:val="0"/>
                <w:szCs w:val="21"/>
                <w:highlight w:val="none"/>
              </w:rPr>
            </w:pPr>
            <w:r>
              <w:rPr>
                <w:rFonts w:hint="eastAsia" w:cs="宋体"/>
                <w:kern w:val="0"/>
                <w:szCs w:val="21"/>
                <w:highlight w:val="none"/>
              </w:rPr>
              <w:t>环境</w:t>
            </w:r>
          </w:p>
          <w:p>
            <w:pPr>
              <w:adjustRightInd w:val="0"/>
              <w:snapToGrid w:val="0"/>
              <w:jc w:val="center"/>
              <w:rPr>
                <w:rFonts w:hint="eastAsia" w:cs="宋体"/>
                <w:kern w:val="0"/>
                <w:szCs w:val="21"/>
                <w:highlight w:val="none"/>
              </w:rPr>
            </w:pPr>
            <w:r>
              <w:rPr>
                <w:rFonts w:hint="eastAsia" w:cs="宋体"/>
                <w:kern w:val="0"/>
                <w:szCs w:val="21"/>
                <w:highlight w:val="none"/>
              </w:rPr>
              <w:t>质量</w:t>
            </w:r>
          </w:p>
          <w:p>
            <w:pPr>
              <w:adjustRightInd w:val="0"/>
              <w:snapToGrid w:val="0"/>
              <w:jc w:val="center"/>
              <w:rPr>
                <w:rFonts w:cs="宋体"/>
                <w:kern w:val="0"/>
                <w:szCs w:val="21"/>
                <w:highlight w:val="cyan"/>
              </w:rPr>
            </w:pPr>
            <w:r>
              <w:rPr>
                <w:rFonts w:hint="eastAsia" w:cs="宋体"/>
                <w:kern w:val="0"/>
                <w:szCs w:val="21"/>
                <w:highlight w:val="none"/>
              </w:rPr>
              <w:t>现状</w:t>
            </w:r>
          </w:p>
        </w:tc>
        <w:tc>
          <w:tcPr>
            <w:tcW w:w="819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rPr>
                <w:rFonts w:hint="eastAsia" w:cs="宋体"/>
                <w:b/>
                <w:kern w:val="0"/>
                <w:sz w:val="21"/>
                <w:szCs w:val="21"/>
                <w:highlight w:val="none"/>
              </w:rPr>
            </w:pPr>
            <w:r>
              <w:rPr>
                <w:rFonts w:hint="eastAsia" w:cs="宋体"/>
                <w:b/>
                <w:kern w:val="0"/>
                <w:sz w:val="21"/>
                <w:szCs w:val="21"/>
                <w:highlight w:val="none"/>
                <w:lang w:val="en-US" w:eastAsia="zh-CN"/>
              </w:rPr>
              <w:t>1、</w:t>
            </w:r>
            <w:r>
              <w:rPr>
                <w:rFonts w:cs="宋体"/>
                <w:b/>
                <w:kern w:val="0"/>
                <w:sz w:val="21"/>
                <w:szCs w:val="21"/>
                <w:highlight w:val="none"/>
              </w:rPr>
              <w:t>环境空气</w:t>
            </w:r>
            <w:r>
              <w:rPr>
                <w:rFonts w:hint="eastAsia" w:cs="宋体"/>
                <w:b/>
                <w:kern w:val="0"/>
                <w:sz w:val="21"/>
                <w:szCs w:val="21"/>
                <w:highlight w:val="none"/>
              </w:rPr>
              <w:t>质量</w:t>
            </w:r>
            <w:r>
              <w:rPr>
                <w:rFonts w:cs="宋体"/>
                <w:b/>
                <w:kern w:val="0"/>
                <w:sz w:val="21"/>
                <w:szCs w:val="21"/>
                <w:highlight w:val="none"/>
              </w:rPr>
              <w:t>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20" w:firstLineChars="200"/>
              <w:textAlignment w:val="auto"/>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t>①项目所在区域达标判断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u w:val="none"/>
              </w:rPr>
              <w:t>项目所在地属空气环境质量二类功能区，环境空气质量应执行《环境空气质量标准》（GB3095-2012）二级标准。</w:t>
            </w:r>
            <w:r>
              <w:rPr>
                <w:rFonts w:hint="default" w:ascii="Times New Roman" w:hAnsi="Times New Roman" w:cs="Times New Roman"/>
                <w:color w:val="auto"/>
                <w:sz w:val="21"/>
                <w:szCs w:val="21"/>
                <w:highlight w:val="none"/>
              </w:rPr>
              <w:t>根据新乡市生态环境局发布的《新乡市201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年环境质量年报》，区域空气质量现状数据如下表所示。</w:t>
            </w:r>
          </w:p>
          <w:p>
            <w:pPr>
              <w:keepNext w:val="0"/>
              <w:keepLines w:val="0"/>
              <w:pageBreakBefore w:val="0"/>
              <w:widowControl w:val="0"/>
              <w:numPr>
                <w:ilvl w:val="0"/>
                <w:numId w:val="1"/>
              </w:numPr>
              <w:suppressLineNumbers w:val="0"/>
              <w:kinsoku/>
              <w:wordWrap/>
              <w:overflowPunct/>
              <w:topLinePunct w:val="0"/>
              <w:bidi w:val="0"/>
              <w:adjustRightInd/>
              <w:snapToGrid/>
              <w:spacing w:before="0" w:beforeAutospacing="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区域空气质量现状评价表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994"/>
              <w:gridCol w:w="1504"/>
              <w:gridCol w:w="1748"/>
              <w:gridCol w:w="1488"/>
              <w:gridCol w:w="1118"/>
              <w:gridCol w:w="11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3" w:type="pct"/>
                  <w:tcBorders>
                    <w:top w:val="single" w:color="auto" w:sz="8"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943"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年评价指标</w:t>
                  </w:r>
                </w:p>
              </w:tc>
              <w:tc>
                <w:tcPr>
                  <w:tcW w:w="1096"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现状浓度/（μg/m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w:t>
                  </w:r>
                </w:p>
              </w:tc>
              <w:tc>
                <w:tcPr>
                  <w:tcW w:w="933"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标准值/（μg/m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w:t>
                  </w:r>
                </w:p>
              </w:tc>
              <w:tc>
                <w:tcPr>
                  <w:tcW w:w="701"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占标率/%</w:t>
                  </w:r>
                </w:p>
              </w:tc>
              <w:tc>
                <w:tcPr>
                  <w:tcW w:w="701" w:type="pct"/>
                  <w:tcBorders>
                    <w:top w:val="single" w:color="auto" w:sz="8" w:space="0"/>
                    <w:left w:val="single" w:color="auto" w:sz="4" w:space="0"/>
                    <w:bottom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3"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PM</w:t>
                  </w:r>
                  <w:r>
                    <w:rPr>
                      <w:rFonts w:hint="default" w:ascii="Times New Roman" w:hAnsi="Times New Roman" w:cs="Times New Roman"/>
                      <w:color w:val="auto"/>
                      <w:sz w:val="18"/>
                      <w:szCs w:val="18"/>
                      <w:highlight w:val="none"/>
                      <w:vertAlign w:val="subscript"/>
                    </w:rPr>
                    <w:t>10</w:t>
                  </w:r>
                </w:p>
              </w:tc>
              <w:tc>
                <w:tcPr>
                  <w:tcW w:w="94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年平均质量浓度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101</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144</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3"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bscript"/>
                      <w:lang w:eastAsia="zh-CN"/>
                    </w:rPr>
                    <w:t>2</w:t>
                  </w:r>
                  <w:r>
                    <w:rPr>
                      <w:rFonts w:hint="default" w:ascii="Times New Roman" w:hAnsi="Times New Roman" w:cs="Times New Roman"/>
                      <w:color w:val="auto"/>
                      <w:sz w:val="18"/>
                      <w:szCs w:val="18"/>
                      <w:highlight w:val="none"/>
                      <w:vertAlign w:val="subscript"/>
                    </w:rPr>
                    <w:t>.5</w:t>
                  </w:r>
                </w:p>
              </w:tc>
              <w:tc>
                <w:tcPr>
                  <w:tcW w:w="94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年平均质量浓度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56</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35</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160</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3"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2</w:t>
                  </w:r>
                </w:p>
              </w:tc>
              <w:tc>
                <w:tcPr>
                  <w:tcW w:w="94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年平均质量浓度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60</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26</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3"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NO</w:t>
                  </w:r>
                  <w:r>
                    <w:rPr>
                      <w:rFonts w:hint="default" w:ascii="Times New Roman" w:hAnsi="Times New Roman" w:cs="Times New Roman"/>
                      <w:color w:val="auto"/>
                      <w:sz w:val="18"/>
                      <w:szCs w:val="18"/>
                      <w:highlight w:val="none"/>
                      <w:vertAlign w:val="subscript"/>
                    </w:rPr>
                    <w:t>2</w:t>
                  </w:r>
                </w:p>
              </w:tc>
              <w:tc>
                <w:tcPr>
                  <w:tcW w:w="94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年平均质量浓度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44</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40</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110</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3" w:type="pct"/>
                  <w:tcBorders>
                    <w:top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w:t>
                  </w:r>
                </w:p>
              </w:tc>
              <w:tc>
                <w:tcPr>
                  <w:tcW w:w="94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第95百分位浓度</w:t>
                  </w:r>
                </w:p>
              </w:tc>
              <w:tc>
                <w:tcPr>
                  <w:tcW w:w="109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2.08</w:t>
                  </w: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4mg/m</w:t>
                  </w:r>
                  <w:r>
                    <w:rPr>
                      <w:rFonts w:hint="default" w:ascii="Times New Roman" w:hAnsi="Times New Roman" w:cs="Times New Roman"/>
                      <w:color w:val="auto"/>
                      <w:sz w:val="18"/>
                      <w:szCs w:val="18"/>
                      <w:highlight w:val="none"/>
                      <w:vertAlign w:val="superscript"/>
                    </w:rPr>
                    <w:t>3</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52</w:t>
                  </w:r>
                </w:p>
              </w:tc>
              <w:tc>
                <w:tcPr>
                  <w:tcW w:w="701" w:type="pct"/>
                  <w:tcBorders>
                    <w:top w:val="single" w:color="auto" w:sz="4" w:space="0"/>
                    <w:left w:val="single" w:color="auto" w:sz="4" w:space="0"/>
                    <w:bottom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3" w:hRule="atLeast"/>
                <w:jc w:val="center"/>
              </w:trPr>
              <w:tc>
                <w:tcPr>
                  <w:tcW w:w="623" w:type="pct"/>
                  <w:tcBorders>
                    <w:top w:val="single" w:color="auto" w:sz="4" w:space="0"/>
                    <w:bottom w:val="single" w:color="auto" w:sz="8"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O</w:t>
                  </w:r>
                  <w:r>
                    <w:rPr>
                      <w:rFonts w:hint="default" w:ascii="Times New Roman" w:hAnsi="Times New Roman" w:cs="Times New Roman"/>
                      <w:color w:val="auto"/>
                      <w:sz w:val="18"/>
                      <w:szCs w:val="18"/>
                      <w:highlight w:val="none"/>
                      <w:vertAlign w:val="subscript"/>
                    </w:rPr>
                    <w:t>3</w:t>
                  </w:r>
                </w:p>
              </w:tc>
              <w:tc>
                <w:tcPr>
                  <w:tcW w:w="943"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第90百分位浓度</w:t>
                  </w:r>
                </w:p>
              </w:tc>
              <w:tc>
                <w:tcPr>
                  <w:tcW w:w="1096"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178</w:t>
                  </w:r>
                </w:p>
              </w:tc>
              <w:tc>
                <w:tcPr>
                  <w:tcW w:w="933"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160</w:t>
                  </w:r>
                </w:p>
              </w:tc>
              <w:tc>
                <w:tcPr>
                  <w:tcW w:w="701"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111</w:t>
                  </w:r>
                </w:p>
              </w:tc>
              <w:tc>
                <w:tcPr>
                  <w:tcW w:w="701" w:type="pct"/>
                  <w:tcBorders>
                    <w:top w:val="single" w:color="auto" w:sz="4" w:space="0"/>
                    <w:left w:val="single" w:color="auto" w:sz="4" w:space="0"/>
                    <w:bottom w:val="single" w:color="auto" w:sz="8" w:space="0"/>
                  </w:tcBorders>
                  <w:tcMar>
                    <w:top w:w="57" w:type="dxa"/>
                    <w:left w:w="85" w:type="dxa"/>
                    <w:bottom w:w="57" w:type="dxa"/>
                    <w:right w:w="85" w:type="dxa"/>
                  </w:tcMar>
                  <w:vAlign w:val="center"/>
                </w:tcPr>
                <w:p>
                  <w:pPr>
                    <w:pStyle w:val="4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20" w:lineRule="exact"/>
                    <w:ind w:left="0" w:right="0"/>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超标</w:t>
                  </w:r>
                </w:p>
              </w:tc>
            </w:tr>
          </w:tbl>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由上表可知，其中PM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vertAlign w:val="baseline"/>
                <w:lang w:eastAsia="zh-CN"/>
              </w:rPr>
              <w:t>和</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w:t>
            </w:r>
            <w:r>
              <w:rPr>
                <w:rFonts w:hint="default" w:ascii="Times New Roman" w:hAnsi="Times New Roman" w:cs="Times New Roman"/>
                <w:color w:val="auto"/>
                <w:sz w:val="21"/>
                <w:szCs w:val="21"/>
                <w:highlight w:val="none"/>
                <w:lang w:eastAsia="zh-CN"/>
              </w:rPr>
              <w:t>，因此新乡市属于不达标区。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目前，新乡市正在实施《新乡市</w:t>
            </w:r>
            <w:r>
              <w:rPr>
                <w:rFonts w:hint="default" w:ascii="Times New Roman" w:hAnsi="Times New Roman" w:cs="Times New Roman"/>
                <w:b w:val="0"/>
                <w:bCs w:val="0"/>
                <w:color w:val="auto"/>
                <w:sz w:val="21"/>
                <w:szCs w:val="21"/>
                <w:highlight w:val="none"/>
                <w:u w:val="none"/>
                <w:lang w:val="en-US" w:eastAsia="zh-CN"/>
              </w:rPr>
              <w:t>2020年大气</w:t>
            </w:r>
            <w:r>
              <w:rPr>
                <w:rFonts w:hint="default" w:ascii="Times New Roman" w:hAnsi="Times New Roman" w:cs="Times New Roman"/>
                <w:b w:val="0"/>
                <w:bCs w:val="0"/>
                <w:color w:val="auto"/>
                <w:sz w:val="21"/>
                <w:szCs w:val="21"/>
                <w:highlight w:val="none"/>
                <w:u w:val="none"/>
                <w:lang w:eastAsia="zh-CN"/>
              </w:rPr>
              <w:t>污染防治攻坚战实施方案》、《“十三五”挥发性有机物污染防治工作方案》、《新乡市蓝天工程行动计划》、《新乡市环境污染防治攻坚战三年行动实施方案（2018-2020年）》等一系列措施，将不断改善区域大气环境质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u w:val="none"/>
                <w:lang w:eastAsia="zh-CN"/>
              </w:rPr>
              <w:fldChar w:fldCharType="begin"/>
            </w:r>
            <w:r>
              <w:rPr>
                <w:rFonts w:hint="default" w:ascii="Times New Roman" w:hAnsi="Times New Roman" w:cs="Times New Roman"/>
                <w:b w:val="0"/>
                <w:bCs w:val="0"/>
                <w:color w:val="auto"/>
                <w:sz w:val="21"/>
                <w:szCs w:val="21"/>
                <w:highlight w:val="none"/>
                <w:u w:val="none"/>
                <w:lang w:eastAsia="zh-CN"/>
              </w:rPr>
              <w:instrText xml:space="preserve"> = 2 \* GB3 \* MERGEFORMAT </w:instrText>
            </w:r>
            <w:r>
              <w:rPr>
                <w:rFonts w:hint="default" w:ascii="Times New Roman" w:hAnsi="Times New Roman" w:cs="Times New Roman"/>
                <w:b w:val="0"/>
                <w:bCs w:val="0"/>
                <w:color w:val="auto"/>
                <w:sz w:val="21"/>
                <w:szCs w:val="21"/>
                <w:highlight w:val="none"/>
                <w:u w:val="none"/>
                <w:lang w:eastAsia="zh-CN"/>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b w:val="0"/>
                <w:bCs w:val="0"/>
                <w:color w:val="auto"/>
                <w:sz w:val="21"/>
                <w:szCs w:val="21"/>
                <w:highlight w:val="none"/>
                <w:u w:val="none"/>
                <w:lang w:eastAsia="zh-CN"/>
              </w:rPr>
              <w:fldChar w:fldCharType="end"/>
            </w:r>
            <w:r>
              <w:rPr>
                <w:rFonts w:hint="default" w:ascii="Times New Roman" w:hAnsi="Times New Roman" w:cs="Times New Roman"/>
                <w:color w:val="auto"/>
                <w:sz w:val="21"/>
                <w:szCs w:val="21"/>
                <w:highlight w:val="none"/>
              </w:rPr>
              <w:t>其他污染物的环境质量现状评价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项目选址距离大块村</w:t>
            </w:r>
            <w:r>
              <w:rPr>
                <w:rFonts w:hint="default" w:ascii="Times New Roman" w:hAnsi="Times New Roman" w:cs="Times New Roman"/>
                <w:b w:val="0"/>
                <w:bCs w:val="0"/>
                <w:color w:val="auto"/>
                <w:sz w:val="21"/>
                <w:szCs w:val="21"/>
                <w:highlight w:val="none"/>
                <w:u w:val="none"/>
                <w:lang w:val="en-US" w:eastAsia="zh-CN"/>
              </w:rPr>
              <w:t>1.5</w:t>
            </w:r>
            <w:r>
              <w:rPr>
                <w:rFonts w:hint="default" w:ascii="Times New Roman" w:hAnsi="Times New Roman" w:cs="Times New Roman"/>
                <w:b w:val="0"/>
                <w:bCs w:val="0"/>
                <w:color w:val="auto"/>
                <w:sz w:val="21"/>
                <w:szCs w:val="21"/>
                <w:highlight w:val="none"/>
                <w:u w:val="none"/>
                <w:lang w:eastAsia="zh-CN"/>
              </w:rPr>
              <w:t>km，距离西招民村</w:t>
            </w:r>
            <w:r>
              <w:rPr>
                <w:rFonts w:hint="default" w:ascii="Times New Roman" w:hAnsi="Times New Roman" w:cs="Times New Roman"/>
                <w:b w:val="0"/>
                <w:bCs w:val="0"/>
                <w:color w:val="auto"/>
                <w:sz w:val="21"/>
                <w:szCs w:val="21"/>
                <w:highlight w:val="none"/>
                <w:u w:val="none"/>
                <w:lang w:val="en-US" w:eastAsia="zh-CN"/>
              </w:rPr>
              <w:t>3.8km</w:t>
            </w:r>
            <w:r>
              <w:rPr>
                <w:rFonts w:hint="default" w:ascii="Times New Roman" w:hAnsi="Times New Roman" w:cs="Times New Roman"/>
                <w:b w:val="0"/>
                <w:bCs w:val="0"/>
                <w:color w:val="auto"/>
                <w:sz w:val="21"/>
                <w:szCs w:val="21"/>
                <w:highlight w:val="none"/>
                <w:u w:val="none"/>
                <w:lang w:eastAsia="zh-CN"/>
              </w:rPr>
              <w:t>，且位于项目下风向，项目周边气象气候、地形地貌等均与大块村、西招民村相似，因此其环境质量现状可以代表项目区域环境质量现状。本项目特征污染物为非甲烷总烃，本次评价引用《新乡市凤泉区大块加油站年销售60吨汽油、20吨柴油项目环境影响报告表》中</w:t>
            </w:r>
            <w:r>
              <w:rPr>
                <w:rFonts w:hint="default" w:ascii="Times New Roman" w:hAnsi="Times New Roman" w:cs="Times New Roman"/>
                <w:color w:val="auto"/>
                <w:sz w:val="21"/>
                <w:szCs w:val="21"/>
                <w:highlight w:val="none"/>
              </w:rPr>
              <w:t>河南松筠检测技术有限公司于</w:t>
            </w:r>
            <w:r>
              <w:rPr>
                <w:rFonts w:hint="default" w:ascii="Times New Roman" w:hAnsi="Times New Roman" w:cs="Times New Roman"/>
                <w:color w:val="auto"/>
                <w:sz w:val="21"/>
                <w:szCs w:val="21"/>
                <w:highlight w:val="none"/>
                <w:lang w:val="en-US" w:eastAsia="zh-CN"/>
              </w:rPr>
              <w:t>2020</w:t>
            </w:r>
            <w:r>
              <w:rPr>
                <w:rFonts w:hint="default" w:ascii="Times New Roman" w:hAnsi="Times New Roman" w:cs="Times New Roman"/>
                <w:color w:val="auto"/>
                <w:sz w:val="21"/>
                <w:szCs w:val="21"/>
                <w:highlight w:val="none"/>
              </w:rPr>
              <w:t>年</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月</w:t>
            </w:r>
            <w:r>
              <w:rPr>
                <w:rFonts w:hint="default"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日~</w:t>
            </w:r>
            <w:r>
              <w:rPr>
                <w:rFonts w:hint="default" w:ascii="Times New Roman" w:hAnsi="Times New Roman" w:cs="Times New Roman"/>
                <w:color w:val="auto"/>
                <w:sz w:val="21"/>
                <w:szCs w:val="21"/>
                <w:highlight w:val="none"/>
                <w:lang w:val="en-US" w:eastAsia="zh-CN"/>
              </w:rPr>
              <w:t>31</w:t>
            </w:r>
            <w:r>
              <w:rPr>
                <w:rFonts w:hint="default" w:ascii="Times New Roman" w:hAnsi="Times New Roman" w:cs="Times New Roman"/>
                <w:color w:val="auto"/>
                <w:sz w:val="21"/>
                <w:szCs w:val="21"/>
                <w:highlight w:val="none"/>
              </w:rPr>
              <w:t>日</w:t>
            </w:r>
            <w:r>
              <w:rPr>
                <w:rFonts w:hint="default" w:ascii="Times New Roman" w:hAnsi="Times New Roman" w:cs="Times New Roman"/>
                <w:color w:val="auto"/>
                <w:sz w:val="21"/>
                <w:szCs w:val="21"/>
                <w:highlight w:val="none"/>
                <w:lang w:eastAsia="zh-CN"/>
              </w:rPr>
              <w:t>大块村和西招民村</w:t>
            </w:r>
            <w:r>
              <w:rPr>
                <w:rFonts w:hint="default" w:ascii="Times New Roman" w:hAnsi="Times New Roman" w:cs="Times New Roman"/>
                <w:b w:val="0"/>
                <w:bCs w:val="0"/>
                <w:color w:val="auto"/>
                <w:sz w:val="21"/>
                <w:szCs w:val="21"/>
                <w:highlight w:val="none"/>
                <w:u w:val="none"/>
                <w:lang w:eastAsia="zh-CN"/>
              </w:rPr>
              <w:t>环境空气质量非甲烷总烃现状监测数据，监测结果见下表。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cyan"/>
              </w:rPr>
            </w:pPr>
          </w:p>
          <w:p>
            <w:pPr>
              <w:pStyle w:val="2"/>
              <w:rPr>
                <w:rFonts w:hint="default" w:ascii="Times New Roman" w:hAnsi="Times New Roman" w:cs="Times New Roman"/>
                <w:color w:val="auto"/>
                <w:sz w:val="21"/>
                <w:szCs w:val="21"/>
                <w:highlight w:val="cyan"/>
              </w:rPr>
            </w:pPr>
          </w:p>
          <w:p>
            <w:pPr>
              <w:rPr>
                <w:rFonts w:hint="default" w:ascii="Times New Roman" w:hAnsi="Times New Roman" w:cs="Times New Roman"/>
                <w:color w:val="auto"/>
                <w:sz w:val="21"/>
                <w:szCs w:val="21"/>
                <w:highlight w:val="cyan"/>
              </w:rPr>
            </w:pPr>
          </w:p>
          <w:p>
            <w:pPr>
              <w:pStyle w:val="2"/>
              <w:rPr>
                <w:rFonts w:hint="default"/>
              </w:rPr>
            </w:pPr>
          </w:p>
          <w:p>
            <w:pPr>
              <w:keepNext w:val="0"/>
              <w:keepLines w:val="0"/>
              <w:pageBreakBefore w:val="0"/>
              <w:widowControl w:val="0"/>
              <w:numPr>
                <w:ilvl w:val="0"/>
                <w:numId w:val="1"/>
              </w:numPr>
              <w:suppressLineNumbers w:val="0"/>
              <w:bidi w:val="0"/>
              <w:adjustRightInd/>
              <w:snapToGrid/>
              <w:spacing w:before="0" w:beforeAutospacing="0" w:afterAutospacing="0" w:line="460" w:lineRule="exact"/>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区域非甲烷总烃监测结果</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257"/>
              <w:gridCol w:w="1689"/>
              <w:gridCol w:w="1820"/>
              <w:gridCol w:w="997"/>
              <w:gridCol w:w="9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tcBorders>
                    <w:top w:val="single" w:color="auto" w:sz="4" w:space="0"/>
                    <w:left w:val="nil"/>
                    <w:bottom w:val="single" w:color="auto" w:sz="4" w:space="0"/>
                    <w:right w:val="single" w:color="auto" w:sz="4" w:space="0"/>
                  </w:tcBorders>
                  <w:noWrap w:val="0"/>
                  <w:vAlign w:val="center"/>
                </w:tcPr>
                <w:p>
                  <w:pPr>
                    <w:adjustRightIn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监测项目</w:t>
                  </w:r>
                </w:p>
              </w:tc>
              <w:tc>
                <w:tcPr>
                  <w:tcW w:w="788"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监测点位</w:t>
                  </w:r>
                </w:p>
              </w:tc>
              <w:tc>
                <w:tcPr>
                  <w:tcW w:w="1059"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与本项目相对方位、距离</w:t>
                  </w:r>
                </w:p>
              </w:tc>
              <w:tc>
                <w:tcPr>
                  <w:tcW w:w="1141"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浓度范围（mg/m</w:t>
                  </w:r>
                  <w:r>
                    <w:rPr>
                      <w:rFonts w:hint="default" w:ascii="Times New Roman" w:hAnsi="Times New Roman" w:cs="Times New Roman"/>
                      <w:color w:val="auto"/>
                      <w:kern w:val="24"/>
                      <w:sz w:val="21"/>
                      <w:szCs w:val="21"/>
                      <w:highlight w:val="none"/>
                      <w:vertAlign w:val="superscript"/>
                    </w:rPr>
                    <w:t>3</w:t>
                  </w:r>
                  <w:r>
                    <w:rPr>
                      <w:rFonts w:hint="default" w:ascii="Times New Roman" w:hAnsi="Times New Roman" w:cs="Times New Roman"/>
                      <w:color w:val="auto"/>
                      <w:kern w:val="24"/>
                      <w:sz w:val="21"/>
                      <w:szCs w:val="21"/>
                      <w:highlight w:val="none"/>
                    </w:rPr>
                    <w:t>）</w:t>
                  </w:r>
                </w:p>
              </w:tc>
              <w:tc>
                <w:tcPr>
                  <w:tcW w:w="625"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超标率%</w:t>
                  </w:r>
                </w:p>
              </w:tc>
              <w:tc>
                <w:tcPr>
                  <w:tcW w:w="592" w:type="pct"/>
                  <w:tcBorders>
                    <w:top w:val="single" w:color="auto" w:sz="4" w:space="0"/>
                    <w:left w:val="single" w:color="auto" w:sz="4" w:space="0"/>
                    <w:bottom w:val="single" w:color="auto" w:sz="4" w:space="0"/>
                    <w:right w:val="nil"/>
                  </w:tcBorders>
                  <w:noWrap w:val="0"/>
                  <w:vAlign w:val="center"/>
                </w:tcPr>
                <w:p>
                  <w:pPr>
                    <w:adjustRightIn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最大占标率%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pct"/>
                  <w:vMerge w:val="restart"/>
                  <w:tcBorders>
                    <w:top w:val="single" w:color="auto" w:sz="4" w:space="0"/>
                    <w:left w:val="nil"/>
                    <w:right w:val="single" w:color="auto" w:sz="4" w:space="0"/>
                  </w:tcBorders>
                  <w:noWrap w:val="0"/>
                  <w:vAlign w:val="center"/>
                </w:tcPr>
                <w:p>
                  <w:pPr>
                    <w:adjustRightIn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非甲烷总烃</w:t>
                  </w:r>
                </w:p>
                <w:p>
                  <w:pPr>
                    <w:adjustRightIn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1小时平均</w:t>
                  </w:r>
                </w:p>
              </w:tc>
              <w:tc>
                <w:tcPr>
                  <w:tcW w:w="788"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cs="Times New Roman"/>
                      <w:color w:val="auto"/>
                      <w:kern w:val="24"/>
                      <w:sz w:val="21"/>
                      <w:szCs w:val="21"/>
                      <w:highlight w:val="none"/>
                      <w:lang w:eastAsia="zh-CN"/>
                    </w:rPr>
                    <w:t>大块村</w:t>
                  </w:r>
                </w:p>
              </w:tc>
              <w:tc>
                <w:tcPr>
                  <w:tcW w:w="1059"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SW，1.5km</w:t>
                  </w:r>
                </w:p>
              </w:tc>
              <w:tc>
                <w:tcPr>
                  <w:tcW w:w="1141"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0.42~0.57</w:t>
                  </w:r>
                </w:p>
              </w:tc>
              <w:tc>
                <w:tcPr>
                  <w:tcW w:w="625"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0</w:t>
                  </w:r>
                </w:p>
              </w:tc>
              <w:tc>
                <w:tcPr>
                  <w:tcW w:w="592" w:type="pct"/>
                  <w:tcBorders>
                    <w:top w:val="single" w:color="auto" w:sz="4" w:space="0"/>
                    <w:left w:val="single" w:color="auto" w:sz="4" w:space="0"/>
                    <w:bottom w:val="single" w:color="auto" w:sz="4" w:space="0"/>
                    <w:right w:val="nil"/>
                  </w:tcBorders>
                  <w:noWrap w:val="0"/>
                  <w:vAlign w:val="center"/>
                </w:tcPr>
                <w:p>
                  <w:pPr>
                    <w:adjustRightInd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28.5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pct"/>
                  <w:vMerge w:val="continue"/>
                  <w:tcBorders>
                    <w:left w:val="nil"/>
                    <w:bottom w:val="single" w:color="auto" w:sz="4" w:space="0"/>
                    <w:right w:val="single" w:color="auto" w:sz="4" w:space="0"/>
                  </w:tcBorders>
                  <w:noWrap w:val="0"/>
                  <w:vAlign w:val="center"/>
                </w:tcPr>
                <w:p>
                  <w:pPr>
                    <w:adjustRightInd w:val="0"/>
                    <w:jc w:val="center"/>
                    <w:rPr>
                      <w:rFonts w:hint="default" w:ascii="Times New Roman" w:hAnsi="Times New Roman" w:cs="Times New Roman"/>
                      <w:color w:val="auto"/>
                      <w:kern w:val="24"/>
                      <w:sz w:val="21"/>
                      <w:szCs w:val="21"/>
                      <w:highlight w:val="none"/>
                    </w:rPr>
                  </w:pPr>
                </w:p>
              </w:tc>
              <w:tc>
                <w:tcPr>
                  <w:tcW w:w="788"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cs="Times New Roman"/>
                      <w:color w:val="auto"/>
                      <w:kern w:val="24"/>
                      <w:sz w:val="21"/>
                      <w:szCs w:val="21"/>
                      <w:highlight w:val="none"/>
                      <w:lang w:eastAsia="zh-CN"/>
                    </w:rPr>
                  </w:pPr>
                  <w:r>
                    <w:rPr>
                      <w:rFonts w:hint="default" w:ascii="Times New Roman" w:hAnsi="Times New Roman" w:cs="Times New Roman"/>
                      <w:color w:val="auto"/>
                      <w:kern w:val="24"/>
                      <w:sz w:val="21"/>
                      <w:szCs w:val="21"/>
                      <w:highlight w:val="none"/>
                      <w:lang w:eastAsia="zh-CN"/>
                    </w:rPr>
                    <w:t>西招民村</w:t>
                  </w:r>
                </w:p>
              </w:tc>
              <w:tc>
                <w:tcPr>
                  <w:tcW w:w="1059"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SW，3.8km</w:t>
                  </w:r>
                </w:p>
              </w:tc>
              <w:tc>
                <w:tcPr>
                  <w:tcW w:w="1141"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0.31~0.47</w:t>
                  </w:r>
                </w:p>
              </w:tc>
              <w:tc>
                <w:tcPr>
                  <w:tcW w:w="625"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0</w:t>
                  </w:r>
                </w:p>
              </w:tc>
              <w:tc>
                <w:tcPr>
                  <w:tcW w:w="592" w:type="pct"/>
                  <w:tcBorders>
                    <w:top w:val="single" w:color="auto" w:sz="4" w:space="0"/>
                    <w:left w:val="single" w:color="auto" w:sz="4" w:space="0"/>
                    <w:bottom w:val="single" w:color="auto" w:sz="4" w:space="0"/>
                    <w:right w:val="nil"/>
                  </w:tcBorders>
                  <w:noWrap w:val="0"/>
                  <w:vAlign w:val="center"/>
                </w:tcPr>
                <w:p>
                  <w:pPr>
                    <w:adjustRightInd w:val="0"/>
                    <w:jc w:val="center"/>
                    <w:rPr>
                      <w:rFonts w:hint="default" w:ascii="Times New Roman" w:hAnsi="Times New Roman"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lang w:val="en-US" w:eastAsia="zh-CN"/>
                    </w:rPr>
                    <w:t>23.5</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由上表监测结果可知，</w:t>
            </w:r>
            <w:r>
              <w:rPr>
                <w:rFonts w:hint="default" w:ascii="Times New Roman" w:hAnsi="Times New Roman" w:cs="Times New Roman"/>
                <w:color w:val="auto"/>
                <w:sz w:val="21"/>
                <w:szCs w:val="21"/>
                <w:highlight w:val="none"/>
                <w:lang w:eastAsia="zh-CN"/>
              </w:rPr>
              <w:t>项目厂区下方风向大块村、西招民村的</w:t>
            </w:r>
            <w:r>
              <w:rPr>
                <w:rFonts w:hint="default" w:ascii="Times New Roman" w:hAnsi="Times New Roman" w:cs="Times New Roman"/>
                <w:color w:val="auto"/>
                <w:sz w:val="21"/>
                <w:szCs w:val="21"/>
                <w:highlight w:val="none"/>
              </w:rPr>
              <w:t>非甲烷总烃一次值浓度范围在</w:t>
            </w:r>
            <w:r>
              <w:rPr>
                <w:rFonts w:hint="default" w:ascii="Times New Roman" w:hAnsi="Times New Roman" w:cs="Times New Roman"/>
                <w:color w:val="auto"/>
                <w:sz w:val="21"/>
                <w:szCs w:val="21"/>
                <w:highlight w:val="none"/>
                <w:lang w:val="en-US" w:eastAsia="zh-CN"/>
              </w:rPr>
              <w:t>0.31</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57</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，最大浓度值占标率为</w:t>
            </w:r>
            <w:r>
              <w:rPr>
                <w:rFonts w:hint="default" w:ascii="Times New Roman" w:hAnsi="Times New Roman" w:cs="Times New Roman"/>
                <w:color w:val="auto"/>
                <w:sz w:val="21"/>
                <w:szCs w:val="21"/>
                <w:highlight w:val="none"/>
                <w:lang w:val="en-US" w:eastAsia="zh-CN"/>
              </w:rPr>
              <w:t>28.5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均</w:t>
            </w:r>
            <w:r>
              <w:rPr>
                <w:rFonts w:hint="default" w:ascii="Times New Roman" w:hAnsi="Times New Roman" w:cs="Times New Roman"/>
                <w:color w:val="auto"/>
                <w:sz w:val="21"/>
                <w:szCs w:val="21"/>
                <w:highlight w:val="none"/>
              </w:rPr>
              <w:t>满足《大气污染物综合排放标准》（GB16297-1996）详解（非甲烷总烃：2mg/m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rPr>
                <w:rFonts w:cs="宋体"/>
                <w:b/>
                <w:kern w:val="0"/>
                <w:szCs w:val="21"/>
                <w:highlight w:val="none"/>
              </w:rPr>
            </w:pPr>
            <w:r>
              <w:rPr>
                <w:rFonts w:hint="eastAsia" w:cs="宋体"/>
                <w:b/>
                <w:kern w:val="0"/>
                <w:szCs w:val="21"/>
                <w:highlight w:val="none"/>
                <w:lang w:val="en-US" w:eastAsia="zh-CN"/>
              </w:rPr>
              <w:t>2、</w:t>
            </w:r>
            <w:r>
              <w:rPr>
                <w:rFonts w:cs="宋体"/>
                <w:b/>
                <w:kern w:val="0"/>
                <w:szCs w:val="21"/>
                <w:highlight w:val="none"/>
              </w:rPr>
              <w:t>水环境质量现状</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lang w:eastAsia="zh-CN"/>
              </w:rPr>
              <w:t>距离本项目最近的地表水体为西南侧</w:t>
            </w:r>
            <w:r>
              <w:rPr>
                <w:rFonts w:hint="default" w:ascii="Times New Roman" w:hAnsi="Times New Roman" w:cs="Times New Roman"/>
                <w:b w:val="0"/>
                <w:bCs w:val="0"/>
                <w:color w:val="auto"/>
                <w:sz w:val="21"/>
                <w:szCs w:val="21"/>
                <w:highlight w:val="none"/>
                <w:lang w:val="en-US" w:eastAsia="zh-CN"/>
              </w:rPr>
              <w:t>720m处民生渠</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该河流最终汇入共产主义渠内，</w:t>
            </w:r>
            <w:r>
              <w:rPr>
                <w:rFonts w:hint="default" w:ascii="Times New Roman" w:hAnsi="Times New Roman" w:cs="Times New Roman"/>
                <w:b w:val="0"/>
                <w:bCs w:val="0"/>
                <w:color w:val="auto"/>
                <w:sz w:val="21"/>
                <w:szCs w:val="21"/>
                <w:highlight w:val="none"/>
              </w:rPr>
              <w:t>根据水环境功能区划分</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color w:val="auto"/>
                <w:sz w:val="21"/>
                <w:szCs w:val="21"/>
                <w:highlight w:val="none"/>
                <w:lang w:eastAsia="zh-CN"/>
              </w:rPr>
              <w:t>共产主义渠</w:t>
            </w:r>
            <w:r>
              <w:rPr>
                <w:rFonts w:hint="default" w:ascii="Times New Roman" w:hAnsi="Times New Roman" w:cs="Times New Roman"/>
                <w:color w:val="auto"/>
                <w:sz w:val="21"/>
                <w:szCs w:val="21"/>
                <w:highlight w:val="none"/>
              </w:rPr>
              <w:t>规划水体功能为V类</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根据《新乡市环境污染防治攻坚战三年行动实施方案（2018-2020年）》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2020</w:t>
            </w:r>
            <w:r>
              <w:rPr>
                <w:rFonts w:hint="default" w:ascii="Times New Roman" w:hAnsi="Times New Roman" w:cs="Times New Roman"/>
                <w:color w:val="auto"/>
                <w:sz w:val="21"/>
                <w:szCs w:val="21"/>
                <w:highlight w:val="none"/>
              </w:rPr>
              <w:t>年新乡市共产主义渠水质保护目标COD40mg/L、NH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mg/L、TP0.4mg/L。评价引用新乡市</w:t>
            </w:r>
            <w:r>
              <w:rPr>
                <w:rFonts w:hint="default" w:ascii="Times New Roman" w:hAnsi="Times New Roman" w:cs="Times New Roman"/>
                <w:color w:val="auto"/>
                <w:sz w:val="21"/>
                <w:szCs w:val="21"/>
                <w:highlight w:val="none"/>
                <w:lang w:eastAsia="zh-CN"/>
              </w:rPr>
              <w:t>生态环境局公布的</w:t>
            </w:r>
            <w:r>
              <w:rPr>
                <w:rFonts w:hint="default" w:ascii="Times New Roman" w:hAnsi="Times New Roman" w:cs="Times New Roman"/>
                <w:color w:val="auto"/>
                <w:sz w:val="21"/>
                <w:szCs w:val="21"/>
                <w:highlight w:val="none"/>
                <w:lang w:val="en-US" w:eastAsia="zh-CN"/>
              </w:rPr>
              <w:t>2020年</w:t>
            </w:r>
            <w:r>
              <w:rPr>
                <w:rFonts w:hint="eastAsia"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月~2020年</w:t>
            </w:r>
            <w:r>
              <w:rPr>
                <w:rFonts w:hint="eastAsia" w:ascii="Times New Roman" w:hAnsi="Times New Roman" w:cs="Times New Roman"/>
                <w:color w:val="auto"/>
                <w:sz w:val="21"/>
                <w:szCs w:val="21"/>
                <w:highlight w:val="none"/>
                <w:lang w:val="en-US" w:eastAsia="zh-CN"/>
              </w:rPr>
              <w:t>11</w:t>
            </w:r>
            <w:r>
              <w:rPr>
                <w:rFonts w:hint="default" w:ascii="Times New Roman" w:hAnsi="Times New Roman" w:cs="Times New Roman"/>
                <w:color w:val="auto"/>
                <w:sz w:val="21"/>
                <w:szCs w:val="21"/>
                <w:highlight w:val="none"/>
                <w:lang w:val="en-US" w:eastAsia="zh-CN"/>
              </w:rPr>
              <w:t>月份</w:t>
            </w:r>
            <w:r>
              <w:rPr>
                <w:rFonts w:hint="default" w:ascii="Times New Roman" w:hAnsi="Times New Roman" w:cs="Times New Roman"/>
                <w:color w:val="auto"/>
                <w:sz w:val="21"/>
                <w:szCs w:val="21"/>
                <w:highlight w:val="none"/>
              </w:rPr>
              <w:t>共渠</w:t>
            </w:r>
            <w:r>
              <w:rPr>
                <w:rFonts w:hint="default" w:ascii="Times New Roman" w:hAnsi="Times New Roman" w:cs="Times New Roman"/>
                <w:color w:val="auto"/>
                <w:sz w:val="21"/>
                <w:szCs w:val="21"/>
                <w:highlight w:val="none"/>
                <w:lang w:eastAsia="zh-CN"/>
              </w:rPr>
              <w:t>卫辉下马营</w:t>
            </w:r>
            <w:r>
              <w:rPr>
                <w:rFonts w:hint="default" w:ascii="Times New Roman" w:hAnsi="Times New Roman" w:cs="Times New Roman"/>
                <w:color w:val="auto"/>
                <w:sz w:val="21"/>
                <w:szCs w:val="21"/>
                <w:highlight w:val="none"/>
              </w:rPr>
              <w:t>断面监测数据</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具体数据见</w:t>
            </w:r>
            <w:r>
              <w:rPr>
                <w:rFonts w:hint="default" w:ascii="Times New Roman" w:hAnsi="Times New Roman" w:cs="Times New Roman"/>
                <w:color w:val="auto"/>
                <w:sz w:val="21"/>
                <w:szCs w:val="21"/>
                <w:highlight w:val="none"/>
                <w:lang w:eastAsia="zh-CN"/>
              </w:rPr>
              <w:t>下表</w:t>
            </w:r>
            <w:r>
              <w:rPr>
                <w:rFonts w:hint="default" w:ascii="Times New Roman" w:hAnsi="Times New Roman" w:cs="Times New Roman"/>
                <w:color w:val="auto"/>
                <w:sz w:val="21"/>
                <w:szCs w:val="21"/>
                <w:highlight w:val="none"/>
              </w:rPr>
              <w:t>。</w:t>
            </w:r>
          </w:p>
          <w:p>
            <w:pPr>
              <w:keepNext w:val="0"/>
              <w:keepLines w:val="0"/>
              <w:pageBreakBefore w:val="0"/>
              <w:widowControl w:val="0"/>
              <w:numPr>
                <w:ilvl w:val="0"/>
                <w:numId w:val="1"/>
              </w:numPr>
              <w:suppressLineNumbers w:val="0"/>
              <w:kinsoku/>
              <w:wordWrap/>
              <w:overflowPunct/>
              <w:topLinePunct w:val="0"/>
              <w:bidi w:val="0"/>
              <w:adjustRightInd/>
              <w:snapToGrid/>
              <w:spacing w:before="0" w:beforeAutospacing="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共渠卫辉下马营断面监测数据（2020年</w:t>
            </w:r>
            <w:r>
              <w:rPr>
                <w:rFonts w:hint="eastAsia" w:ascii="Times New Roman" w:hAnsi="Times New Roman" w:cs="Times New Roman" w:eastAsiaTheme="minorEastAsia"/>
                <w:b w:val="0"/>
                <w:bCs w:val="0"/>
                <w:color w:val="auto"/>
                <w:sz w:val="21"/>
                <w:szCs w:val="21"/>
                <w:highlight w:val="none"/>
                <w:lang w:val="en-US" w:eastAsia="zh-CN"/>
              </w:rPr>
              <w:t>9</w:t>
            </w:r>
            <w:r>
              <w:rPr>
                <w:rFonts w:hint="default" w:ascii="Times New Roman" w:hAnsi="Times New Roman" w:cs="Times New Roman" w:eastAsiaTheme="minorEastAsia"/>
                <w:b w:val="0"/>
                <w:bCs w:val="0"/>
                <w:color w:val="auto"/>
                <w:sz w:val="21"/>
                <w:szCs w:val="21"/>
                <w:highlight w:val="none"/>
                <w:lang w:val="en-US" w:eastAsia="zh-CN"/>
              </w:rPr>
              <w:t>月份~2020年</w:t>
            </w:r>
            <w:r>
              <w:rPr>
                <w:rFonts w:hint="eastAsia" w:ascii="Times New Roman" w:hAnsi="Times New Roman" w:cs="Times New Roman" w:eastAsiaTheme="minorEastAsia"/>
                <w:b w:val="0"/>
                <w:bCs w:val="0"/>
                <w:color w:val="auto"/>
                <w:sz w:val="21"/>
                <w:szCs w:val="21"/>
                <w:highlight w:val="none"/>
                <w:lang w:val="en-US" w:eastAsia="zh-CN"/>
              </w:rPr>
              <w:t>11</w:t>
            </w:r>
            <w:r>
              <w:rPr>
                <w:rFonts w:hint="default" w:ascii="Times New Roman" w:hAnsi="Times New Roman" w:cs="Times New Roman" w:eastAsiaTheme="minorEastAsia"/>
                <w:b w:val="0"/>
                <w:bCs w:val="0"/>
                <w:color w:val="auto"/>
                <w:sz w:val="21"/>
                <w:szCs w:val="21"/>
                <w:highlight w:val="none"/>
                <w:lang w:val="en-US" w:eastAsia="zh-CN"/>
              </w:rPr>
              <w:t>月份）  单位：mg/L</w:t>
            </w:r>
          </w:p>
          <w:tbl>
            <w:tblPr>
              <w:tblStyle w:val="18"/>
              <w:tblW w:w="5000" w:type="pct"/>
              <w:jc w:val="center"/>
              <w:tblLayout w:type="autofit"/>
              <w:tblCellMar>
                <w:top w:w="0" w:type="dxa"/>
                <w:left w:w="108" w:type="dxa"/>
                <w:bottom w:w="0" w:type="dxa"/>
                <w:right w:w="108" w:type="dxa"/>
              </w:tblCellMar>
            </w:tblPr>
            <w:tblGrid>
              <w:gridCol w:w="2064"/>
              <w:gridCol w:w="2040"/>
              <w:gridCol w:w="1986"/>
              <w:gridCol w:w="1884"/>
            </w:tblGrid>
            <w:tr>
              <w:tblPrEx>
                <w:tblCellMar>
                  <w:top w:w="0" w:type="dxa"/>
                  <w:left w:w="108" w:type="dxa"/>
                  <w:bottom w:w="0" w:type="dxa"/>
                  <w:right w:w="108" w:type="dxa"/>
                </w:tblCellMar>
              </w:tblPrEx>
              <w:trPr>
                <w:trHeight w:val="397" w:hRule="atLeast"/>
                <w:jc w:val="center"/>
              </w:trPr>
              <w:tc>
                <w:tcPr>
                  <w:tcW w:w="2385" w:type="dxa"/>
                  <w:tcBorders>
                    <w:top w:val="single" w:color="auto" w:sz="8" w:space="0"/>
                    <w:bottom w:val="single" w:color="auto" w:sz="4" w:space="0"/>
                    <w:right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监测因子</w:t>
                  </w:r>
                </w:p>
              </w:tc>
              <w:tc>
                <w:tcPr>
                  <w:tcW w:w="2302"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COD</w:t>
                  </w:r>
                </w:p>
              </w:tc>
              <w:tc>
                <w:tcPr>
                  <w:tcW w:w="2204" w:type="dxa"/>
                  <w:tcBorders>
                    <w:top w:val="single" w:color="auto" w:sz="8" w:space="0"/>
                    <w:left w:val="single" w:color="auto" w:sz="4" w:space="0"/>
                    <w:bottom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NH</w:t>
                  </w:r>
                  <w:r>
                    <w:rPr>
                      <w:rFonts w:hint="default" w:ascii="Times New Roman" w:hAnsi="Times New Roman" w:cs="Times New Roman"/>
                      <w:bCs/>
                      <w:color w:val="auto"/>
                      <w:sz w:val="18"/>
                      <w:szCs w:val="18"/>
                      <w:highlight w:val="none"/>
                      <w:vertAlign w:val="subscript"/>
                    </w:rPr>
                    <w:t>3</w:t>
                  </w:r>
                  <w:r>
                    <w:rPr>
                      <w:rFonts w:hint="default" w:ascii="Times New Roman" w:hAnsi="Times New Roman" w:cs="Times New Roman"/>
                      <w:bCs/>
                      <w:color w:val="auto"/>
                      <w:sz w:val="18"/>
                      <w:szCs w:val="18"/>
                      <w:highlight w:val="none"/>
                    </w:rPr>
                    <w:t>-N</w:t>
                  </w:r>
                </w:p>
              </w:tc>
              <w:tc>
                <w:tcPr>
                  <w:tcW w:w="2047" w:type="dxa"/>
                  <w:tcBorders>
                    <w:top w:val="single" w:color="auto" w:sz="8" w:space="0"/>
                    <w:left w:val="single" w:color="auto" w:sz="4" w:space="0"/>
                    <w:bottom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TP</w:t>
                  </w:r>
                </w:p>
              </w:tc>
            </w:tr>
            <w:tr>
              <w:tblPrEx>
                <w:tblCellMar>
                  <w:top w:w="0" w:type="dxa"/>
                  <w:left w:w="108" w:type="dxa"/>
                  <w:bottom w:w="0" w:type="dxa"/>
                  <w:right w:w="108" w:type="dxa"/>
                </w:tblCellMar>
              </w:tblPrEx>
              <w:trPr>
                <w:trHeight w:val="397" w:hRule="atLeast"/>
                <w:jc w:val="center"/>
              </w:trPr>
              <w:tc>
                <w:tcPr>
                  <w:tcW w:w="2385"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监测数据</w:t>
                  </w:r>
                </w:p>
              </w:tc>
              <w:tc>
                <w:tcPr>
                  <w:tcW w:w="2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20</w:t>
                  </w:r>
                  <w:r>
                    <w:rPr>
                      <w:rFonts w:hint="default" w:ascii="Times New Roman" w:hAnsi="Times New Roman" w:cs="Times New Roman"/>
                      <w:bCs/>
                      <w:color w:val="auto"/>
                      <w:sz w:val="18"/>
                      <w:szCs w:val="18"/>
                      <w:highlight w:val="none"/>
                      <w:lang w:val="en-US" w:eastAsia="zh-CN"/>
                    </w:rPr>
                    <w:t>~</w:t>
                  </w:r>
                  <w:r>
                    <w:rPr>
                      <w:rFonts w:hint="eastAsia" w:ascii="Times New Roman" w:hAnsi="Times New Roman" w:cs="Times New Roman"/>
                      <w:bCs/>
                      <w:color w:val="auto"/>
                      <w:sz w:val="18"/>
                      <w:szCs w:val="18"/>
                      <w:highlight w:val="none"/>
                      <w:lang w:val="en-US" w:eastAsia="zh-CN"/>
                    </w:rPr>
                    <w:t>26</w:t>
                  </w:r>
                </w:p>
              </w:tc>
              <w:tc>
                <w:tcPr>
                  <w:tcW w:w="2204"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0.1~0.</w:t>
                  </w:r>
                  <w:r>
                    <w:rPr>
                      <w:rFonts w:hint="eastAsia" w:ascii="Times New Roman" w:hAnsi="Times New Roman" w:cs="Times New Roman"/>
                      <w:bCs/>
                      <w:color w:val="auto"/>
                      <w:sz w:val="18"/>
                      <w:szCs w:val="18"/>
                      <w:highlight w:val="none"/>
                      <w:lang w:val="en-US" w:eastAsia="zh-CN"/>
                    </w:rPr>
                    <w:t>29</w:t>
                  </w:r>
                </w:p>
              </w:tc>
              <w:tc>
                <w:tcPr>
                  <w:tcW w:w="2047"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0.13</w:t>
                  </w:r>
                  <w:r>
                    <w:rPr>
                      <w:rFonts w:hint="default" w:ascii="Times New Roman" w:hAnsi="Times New Roman" w:cs="Times New Roman"/>
                      <w:bCs/>
                      <w:color w:val="auto"/>
                      <w:sz w:val="18"/>
                      <w:szCs w:val="18"/>
                      <w:highlight w:val="none"/>
                      <w:lang w:val="en-US" w:eastAsia="zh-CN"/>
                    </w:rPr>
                    <w:t>~0.</w:t>
                  </w:r>
                  <w:r>
                    <w:rPr>
                      <w:rFonts w:hint="eastAsia" w:ascii="Times New Roman" w:hAnsi="Times New Roman" w:cs="Times New Roman"/>
                      <w:bCs/>
                      <w:color w:val="auto"/>
                      <w:sz w:val="18"/>
                      <w:szCs w:val="18"/>
                      <w:highlight w:val="none"/>
                      <w:lang w:val="en-US" w:eastAsia="zh-CN"/>
                    </w:rPr>
                    <w:t>305</w:t>
                  </w:r>
                </w:p>
              </w:tc>
            </w:tr>
            <w:tr>
              <w:tblPrEx>
                <w:tblCellMar>
                  <w:top w:w="0" w:type="dxa"/>
                  <w:left w:w="108" w:type="dxa"/>
                  <w:bottom w:w="0" w:type="dxa"/>
                  <w:right w:w="108" w:type="dxa"/>
                </w:tblCellMar>
              </w:tblPrEx>
              <w:trPr>
                <w:trHeight w:val="397" w:hRule="atLeast"/>
                <w:jc w:val="center"/>
              </w:trPr>
              <w:tc>
                <w:tcPr>
                  <w:tcW w:w="2385"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质量标准</w:t>
                  </w:r>
                </w:p>
              </w:tc>
              <w:tc>
                <w:tcPr>
                  <w:tcW w:w="2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40</w:t>
                  </w:r>
                </w:p>
              </w:tc>
              <w:tc>
                <w:tcPr>
                  <w:tcW w:w="2204"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w:t>
                  </w:r>
                </w:p>
              </w:tc>
              <w:tc>
                <w:tcPr>
                  <w:tcW w:w="2047"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0.4</w:t>
                  </w:r>
                </w:p>
              </w:tc>
            </w:tr>
            <w:tr>
              <w:tblPrEx>
                <w:tblCellMar>
                  <w:top w:w="0" w:type="dxa"/>
                  <w:left w:w="108" w:type="dxa"/>
                  <w:bottom w:w="0" w:type="dxa"/>
                  <w:right w:w="108" w:type="dxa"/>
                </w:tblCellMar>
              </w:tblPrEx>
              <w:trPr>
                <w:trHeight w:val="397" w:hRule="atLeast"/>
                <w:jc w:val="center"/>
              </w:trPr>
              <w:tc>
                <w:tcPr>
                  <w:tcW w:w="2385" w:type="dxa"/>
                  <w:tcBorders>
                    <w:top w:val="single" w:color="auto" w:sz="4" w:space="0"/>
                    <w:bottom w:val="single" w:color="auto" w:sz="8" w:space="0"/>
                    <w:right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达标情况</w:t>
                  </w:r>
                </w:p>
              </w:tc>
              <w:tc>
                <w:tcPr>
                  <w:tcW w:w="2302"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达标</w:t>
                  </w:r>
                </w:p>
              </w:tc>
              <w:tc>
                <w:tcPr>
                  <w:tcW w:w="2204" w:type="dxa"/>
                  <w:tcBorders>
                    <w:top w:val="single" w:color="auto" w:sz="4" w:space="0"/>
                    <w:left w:val="single" w:color="auto" w:sz="4" w:space="0"/>
                    <w:bottom w:val="single" w:color="auto" w:sz="8"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eastAsia" w:ascii="Times New Roman" w:hAnsi="Times New Roman" w:cs="Times New Roman"/>
                      <w:bCs/>
                      <w:color w:val="auto"/>
                      <w:sz w:val="18"/>
                      <w:szCs w:val="18"/>
                      <w:highlight w:val="none"/>
                      <w:lang w:eastAsia="zh-CN"/>
                    </w:rPr>
                    <w:t>不</w:t>
                  </w:r>
                  <w:r>
                    <w:rPr>
                      <w:rFonts w:hint="default" w:ascii="Times New Roman" w:hAnsi="Times New Roman" w:cs="Times New Roman"/>
                      <w:bCs/>
                      <w:color w:val="auto"/>
                      <w:sz w:val="18"/>
                      <w:szCs w:val="18"/>
                      <w:highlight w:val="none"/>
                    </w:rPr>
                    <w:t>达标</w:t>
                  </w:r>
                </w:p>
              </w:tc>
              <w:tc>
                <w:tcPr>
                  <w:tcW w:w="2047" w:type="dxa"/>
                  <w:tcBorders>
                    <w:top w:val="single" w:color="auto" w:sz="4" w:space="0"/>
                    <w:left w:val="single" w:color="auto" w:sz="4" w:space="0"/>
                    <w:bottom w:val="single" w:color="auto" w:sz="8" w:space="0"/>
                  </w:tcBorders>
                  <w:noWrap w:val="0"/>
                  <w:vAlign w:val="center"/>
                </w:tcPr>
                <w:p>
                  <w:pPr>
                    <w:keepNext w:val="0"/>
                    <w:keepLines w:val="0"/>
                    <w:pageBreakBefore w:val="0"/>
                    <w:widowControl w:val="0"/>
                    <w:bidi w:val="0"/>
                    <w:adjustRightInd/>
                    <w:snapToGrid/>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达标</w:t>
                  </w:r>
                </w:p>
              </w:tc>
            </w:tr>
          </w:tbl>
          <w:p>
            <w:pPr>
              <w:keepNext w:val="0"/>
              <w:keepLines w:val="0"/>
              <w:pageBreakBefore w:val="0"/>
              <w:widowControl w:val="0"/>
              <w:kinsoku/>
              <w:wordWrap w:val="0"/>
              <w:overflowPunct/>
              <w:topLinePunct w:val="0"/>
              <w:bidi w:val="0"/>
              <w:adjustRightInd/>
              <w:snapToGrid/>
              <w:spacing w:line="360" w:lineRule="auto"/>
              <w:ind w:firstLine="420" w:firstLineChars="200"/>
              <w:jc w:val="left"/>
              <w:textAlignment w:val="auto"/>
              <w:rPr>
                <w:rFonts w:cs="宋体"/>
                <w:bCs/>
                <w:kern w:val="0"/>
                <w:szCs w:val="21"/>
                <w:highlight w:val="none"/>
              </w:rPr>
            </w:pPr>
            <w:r>
              <w:rPr>
                <w:rFonts w:hint="default" w:ascii="Times New Roman" w:hAnsi="Times New Roman" w:cs="Times New Roman"/>
                <w:color w:val="auto"/>
                <w:sz w:val="21"/>
                <w:szCs w:val="21"/>
                <w:highlight w:val="none"/>
              </w:rPr>
              <w:t>由上表可知，目前共渠</w:t>
            </w:r>
            <w:r>
              <w:rPr>
                <w:rFonts w:hint="default" w:ascii="Times New Roman" w:hAnsi="Times New Roman" w:cs="Times New Roman"/>
                <w:color w:val="auto"/>
                <w:sz w:val="21"/>
                <w:szCs w:val="21"/>
                <w:highlight w:val="none"/>
                <w:lang w:eastAsia="zh-CN"/>
              </w:rPr>
              <w:t>卫辉下马营</w:t>
            </w:r>
            <w:r>
              <w:rPr>
                <w:rFonts w:hint="default" w:ascii="Times New Roman" w:hAnsi="Times New Roman" w:cs="Times New Roman"/>
                <w:color w:val="auto"/>
                <w:sz w:val="21"/>
                <w:szCs w:val="21"/>
                <w:highlight w:val="none"/>
              </w:rPr>
              <w:t>断面</w:t>
            </w:r>
            <w:r>
              <w:rPr>
                <w:rFonts w:hint="default" w:ascii="Times New Roman" w:hAnsi="Times New Roman" w:cs="Times New Roman"/>
                <w:color w:val="auto"/>
                <w:sz w:val="21"/>
                <w:szCs w:val="21"/>
                <w:highlight w:val="none"/>
                <w:lang w:eastAsia="zh-CN"/>
              </w:rPr>
              <w:t>水质</w:t>
            </w:r>
            <w:r>
              <w:rPr>
                <w:rFonts w:hint="eastAsia" w:ascii="Times New Roman" w:hAnsi="Times New Roman" w:cs="Times New Roman"/>
                <w:color w:val="auto"/>
                <w:sz w:val="21"/>
                <w:szCs w:val="21"/>
                <w:highlight w:val="none"/>
                <w:lang w:eastAsia="zh-CN"/>
              </w:rPr>
              <w:t>除</w:t>
            </w:r>
            <w:r>
              <w:rPr>
                <w:rFonts w:hint="eastAsia" w:ascii="Times New Roman" w:hAnsi="Times New Roman" w:cs="Times New Roman"/>
                <w:color w:val="auto"/>
                <w:sz w:val="21"/>
                <w:szCs w:val="21"/>
                <w:highlight w:val="none"/>
                <w:lang w:val="en-US" w:eastAsia="zh-CN"/>
              </w:rPr>
              <w:t>NH</w:t>
            </w:r>
            <w:r>
              <w:rPr>
                <w:rFonts w:hint="eastAsia" w:ascii="Times New Roman" w:hAnsi="Times New Roman" w:cs="Times New Roman"/>
                <w:color w:val="auto"/>
                <w:sz w:val="21"/>
                <w:szCs w:val="21"/>
                <w:highlight w:val="none"/>
                <w:vertAlign w:val="subscript"/>
                <w:lang w:val="en-US" w:eastAsia="zh-CN"/>
              </w:rPr>
              <w:t>3</w:t>
            </w:r>
            <w:r>
              <w:rPr>
                <w:rFonts w:hint="eastAsia" w:ascii="Times New Roman" w:hAnsi="Times New Roman" w:cs="Times New Roman"/>
                <w:color w:val="auto"/>
                <w:sz w:val="21"/>
                <w:szCs w:val="21"/>
                <w:highlight w:val="none"/>
                <w:lang w:val="en-US" w:eastAsia="zh-CN"/>
              </w:rPr>
              <w:t>-N部分月份出现超标外，其余污染因子</w:t>
            </w:r>
            <w:r>
              <w:rPr>
                <w:rFonts w:hint="default" w:ascii="Times New Roman" w:hAnsi="Times New Roman" w:cs="Times New Roman"/>
                <w:color w:val="auto"/>
                <w:sz w:val="21"/>
                <w:szCs w:val="21"/>
                <w:highlight w:val="none"/>
                <w:lang w:eastAsia="zh-CN"/>
              </w:rPr>
              <w:t>均</w:t>
            </w:r>
            <w:r>
              <w:rPr>
                <w:rFonts w:hint="default" w:ascii="Times New Roman" w:hAnsi="Times New Roman" w:cs="Times New Roman"/>
                <w:color w:val="auto"/>
                <w:sz w:val="21"/>
                <w:szCs w:val="21"/>
                <w:highlight w:val="none"/>
              </w:rPr>
              <w:t>满足V类水体要求，</w:t>
            </w:r>
            <w:r>
              <w:rPr>
                <w:rFonts w:hint="default" w:ascii="Times New Roman" w:hAnsi="Times New Roman" w:cs="Times New Roman"/>
                <w:color w:val="auto"/>
                <w:kern w:val="0"/>
                <w:sz w:val="21"/>
                <w:szCs w:val="21"/>
              </w:rPr>
              <w:t>目前新乡市正在推进实施《新乡市人民政府关于打赢水污染防治攻坚战的意见》（新政文[2017]28号）、《新乡市卫河流域水污染防治攻坚战实施方案等11个专项方案》（新环攻坚办（2017）20号）、《新乡市污水处理厂及配套管网建设与城市黑臭水体整治实施方案》（新环攻坚办（2017）13号）和《新乡市环境污染防治攻坚战三年行动实施方案（2018-2020年）》、《关于印发新乡市2020年大气、水、土壤污染防治攻坚战实施方案的通知》（新环攻坚办〔2020〕10号），将进一步改善新乡</w:t>
            </w:r>
            <w:r>
              <w:rPr>
                <w:rFonts w:hint="default" w:ascii="Times New Roman" w:hAnsi="Times New Roman" w:cs="Times New Roman"/>
                <w:color w:val="auto"/>
                <w:kern w:val="0"/>
                <w:sz w:val="21"/>
                <w:szCs w:val="21"/>
                <w:highlight w:val="none"/>
              </w:rPr>
              <w:t>市水环境质量。</w:t>
            </w:r>
          </w:p>
          <w:p>
            <w:pPr>
              <w:keepNext w:val="0"/>
              <w:keepLines w:val="0"/>
              <w:pageBreakBefore w:val="0"/>
              <w:widowControl w:val="0"/>
              <w:numPr>
                <w:ilvl w:val="0"/>
                <w:numId w:val="0"/>
              </w:numPr>
              <w:kinsoku/>
              <w:overflowPunct/>
              <w:topLinePunct w:val="0"/>
              <w:autoSpaceDE w:val="0"/>
              <w:autoSpaceDN w:val="0"/>
              <w:bidi w:val="0"/>
              <w:adjustRightInd/>
              <w:snapToGrid/>
              <w:spacing w:line="360" w:lineRule="auto"/>
              <w:ind w:leftChars="0"/>
              <w:textAlignment w:val="auto"/>
              <w:rPr>
                <w:rFonts w:cs="宋体"/>
                <w:bCs/>
                <w:kern w:val="0"/>
                <w:szCs w:val="21"/>
                <w:highlight w:val="none"/>
              </w:rPr>
            </w:pPr>
            <w:r>
              <w:rPr>
                <w:rFonts w:hint="eastAsia" w:cs="宋体"/>
                <w:b/>
                <w:kern w:val="0"/>
                <w:szCs w:val="21"/>
                <w:highlight w:val="none"/>
                <w:lang w:val="en-US" w:eastAsia="zh-CN"/>
              </w:rPr>
              <w:t>3、</w:t>
            </w:r>
            <w:r>
              <w:rPr>
                <w:rFonts w:cs="宋体"/>
                <w:b/>
                <w:kern w:val="0"/>
                <w:szCs w:val="21"/>
                <w:highlight w:val="none"/>
              </w:rPr>
              <w:t>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根据声环境功能区划，项目所在区域属于2类声环境功能区，应当执行《声环境质量标准》（GB3096-2008）2类标准。</w:t>
            </w:r>
            <w:r>
              <w:rPr>
                <w:rFonts w:hint="default" w:ascii="Times New Roman" w:hAnsi="Times New Roman" w:cs="Times New Roman"/>
                <w:bCs/>
                <w:color w:val="auto"/>
                <w:sz w:val="21"/>
                <w:szCs w:val="21"/>
                <w:highlight w:val="none"/>
                <w:lang w:eastAsia="zh-CN"/>
              </w:rPr>
              <w:t>企业委托</w:t>
            </w:r>
            <w:r>
              <w:rPr>
                <w:rFonts w:hint="default" w:ascii="Times New Roman" w:hAnsi="Times New Roman" w:cs="Times New Roman"/>
                <w:color w:val="auto"/>
                <w:sz w:val="21"/>
                <w:szCs w:val="21"/>
                <w:highlight w:val="none"/>
              </w:rPr>
              <w:t>河南松筠检测技术有限公司于</w:t>
            </w:r>
            <w:r>
              <w:rPr>
                <w:rFonts w:hint="default" w:ascii="Times New Roman" w:hAnsi="Times New Roman" w:cs="Times New Roman"/>
                <w:color w:val="auto"/>
                <w:sz w:val="21"/>
                <w:szCs w:val="21"/>
                <w:highlight w:val="none"/>
                <w:lang w:val="en-US" w:eastAsia="zh-CN"/>
              </w:rPr>
              <w:t>2020</w:t>
            </w:r>
            <w:r>
              <w:rPr>
                <w:rFonts w:hint="default" w:ascii="Times New Roman" w:hAnsi="Times New Roman" w:cs="Times New Roman"/>
                <w:color w:val="auto"/>
                <w:sz w:val="21"/>
                <w:szCs w:val="21"/>
                <w:highlight w:val="none"/>
              </w:rPr>
              <w:t>年</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月1</w:t>
            </w: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日~</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月</w:t>
            </w:r>
            <w:r>
              <w:rPr>
                <w:rFonts w:hint="default" w:ascii="Times New Roman" w:hAnsi="Times New Roman" w:cs="Times New Roman"/>
                <w:color w:val="auto"/>
                <w:sz w:val="21"/>
                <w:szCs w:val="21"/>
                <w:highlight w:val="none"/>
                <w:lang w:val="en-US" w:eastAsia="zh-CN"/>
              </w:rPr>
              <w:t>18</w:t>
            </w:r>
            <w:r>
              <w:rPr>
                <w:rFonts w:hint="default" w:ascii="Times New Roman" w:hAnsi="Times New Roman" w:cs="Times New Roman"/>
                <w:color w:val="auto"/>
                <w:sz w:val="21"/>
                <w:szCs w:val="21"/>
                <w:highlight w:val="none"/>
              </w:rPr>
              <w:t>日对</w:t>
            </w:r>
            <w:r>
              <w:rPr>
                <w:rFonts w:hint="default" w:ascii="Times New Roman" w:hAnsi="Times New Roman" w:cs="Times New Roman"/>
                <w:color w:val="auto"/>
                <w:sz w:val="21"/>
                <w:szCs w:val="21"/>
                <w:highlight w:val="none"/>
                <w:lang w:eastAsia="zh-CN"/>
              </w:rPr>
              <w:t>项目厂界及周围敏感点处噪声进行了现场实测</w:t>
            </w:r>
            <w:r>
              <w:rPr>
                <w:rFonts w:hint="default" w:ascii="Times New Roman" w:hAnsi="Times New Roman" w:cs="Times New Roman"/>
                <w:bCs/>
                <w:color w:val="auto"/>
                <w:sz w:val="21"/>
                <w:szCs w:val="21"/>
                <w:highlight w:val="none"/>
              </w:rPr>
              <w:t>，项目四厂界及周围敏感点现状噪声如下：</w:t>
            </w:r>
          </w:p>
          <w:p>
            <w:pPr>
              <w:keepNext w:val="0"/>
              <w:keepLines w:val="0"/>
              <w:pageBreakBefore w:val="0"/>
              <w:widowControl w:val="0"/>
              <w:numPr>
                <w:ilvl w:val="0"/>
                <w:numId w:val="1"/>
              </w:numPr>
              <w:suppressLineNumbers w:val="0"/>
              <w:kinsoku/>
              <w:overflowPunct/>
              <w:topLinePunct w:val="0"/>
              <w:bidi w:val="0"/>
              <w:adjustRightInd/>
              <w:snapToGrid/>
              <w:spacing w:before="0" w:beforeAutospacing="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项目四厂界及周围敏感点噪声现状监测值</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8"/>
              <w:gridCol w:w="1358"/>
              <w:gridCol w:w="2613"/>
              <w:gridCol w:w="26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采样时间</w:t>
                  </w: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采样点位</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昼间［测量值dB（A）］</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夜间［测量值dB（A）］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restar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2020.08.17</w:t>
                  </w: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西厂界</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54</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南厂界</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55</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北厂界</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55</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小块村</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52</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大块第四小学</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restar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2020.08.18</w:t>
                  </w: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西厂界</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52</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南厂界</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54</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北厂界</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53</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小块村</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51</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5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p>
              </w:tc>
              <w:tc>
                <w:tcPr>
                  <w:tcW w:w="852"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highlight w:val="none"/>
                      <w:lang w:val="en-US" w:eastAsia="zh-CN"/>
                    </w:rPr>
                    <w:t>大块第四小学</w:t>
                  </w:r>
                </w:p>
              </w:tc>
              <w:tc>
                <w:tcPr>
                  <w:tcW w:w="1639"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49</w:t>
                  </w:r>
                </w:p>
              </w:tc>
              <w:tc>
                <w:tcPr>
                  <w:tcW w:w="1655" w:type="pct"/>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000" w:type="pct"/>
                  <w:gridSpan w:val="4"/>
                  <w:tcBorders>
                    <w:tl2br w:val="nil"/>
                    <w:tr2bl w:val="nil"/>
                  </w:tcBorders>
                  <w:noWrap w:val="0"/>
                  <w:vAlign w:val="center"/>
                </w:tcPr>
                <w:p>
                  <w:pPr>
                    <w:keepNext w:val="0"/>
                    <w:keepLines w:val="0"/>
                    <w:pageBreakBefore w:val="0"/>
                    <w:widowControl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注：东厂界为公用墙，不具备检测条件。</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eastAsia" w:cs="宋体"/>
                <w:kern w:val="0"/>
                <w:szCs w:val="21"/>
                <w:highlight w:val="cyan"/>
              </w:rPr>
            </w:pPr>
            <w:r>
              <w:rPr>
                <w:rFonts w:hint="default" w:ascii="Times New Roman" w:hAnsi="Times New Roman" w:cs="Times New Roman"/>
                <w:color w:val="auto"/>
                <w:sz w:val="21"/>
                <w:szCs w:val="21"/>
                <w:highlight w:val="none"/>
              </w:rPr>
              <w:t>由上表可知，</w:t>
            </w:r>
            <w:r>
              <w:rPr>
                <w:rFonts w:hint="default" w:ascii="Times New Roman" w:hAnsi="Times New Roman" w:cs="Times New Roman"/>
                <w:color w:val="auto"/>
                <w:sz w:val="21"/>
                <w:szCs w:val="21"/>
                <w:highlight w:val="none"/>
                <w:lang w:eastAsia="zh-CN"/>
              </w:rPr>
              <w:t>项目厂界噪声及周围敏感点噪声</w:t>
            </w:r>
            <w:r>
              <w:rPr>
                <w:rFonts w:hint="default" w:ascii="Times New Roman" w:hAnsi="Times New Roman" w:cs="Times New Roman"/>
                <w:color w:val="auto"/>
                <w:sz w:val="21"/>
                <w:szCs w:val="21"/>
                <w:highlight w:val="none"/>
              </w:rPr>
              <w:t>均能够满足《声环境质量标准》（GB3096-2008）2类标准。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adjustRightInd w:val="0"/>
              <w:snapToGrid w:val="0"/>
              <w:jc w:val="center"/>
              <w:rPr>
                <w:rFonts w:hint="eastAsia" w:cs="宋体"/>
                <w:kern w:val="0"/>
                <w:szCs w:val="21"/>
                <w:highlight w:val="none"/>
              </w:rPr>
            </w:pPr>
            <w:r>
              <w:rPr>
                <w:rFonts w:hint="eastAsia" w:cs="宋体"/>
                <w:kern w:val="0"/>
                <w:szCs w:val="21"/>
                <w:highlight w:val="none"/>
              </w:rPr>
              <w:t>环境</w:t>
            </w:r>
          </w:p>
          <w:p>
            <w:pPr>
              <w:adjustRightInd w:val="0"/>
              <w:snapToGrid w:val="0"/>
              <w:jc w:val="center"/>
              <w:rPr>
                <w:rFonts w:hint="eastAsia" w:cs="宋体"/>
                <w:kern w:val="0"/>
                <w:szCs w:val="21"/>
                <w:highlight w:val="none"/>
              </w:rPr>
            </w:pPr>
            <w:r>
              <w:rPr>
                <w:rFonts w:hint="eastAsia" w:cs="宋体"/>
                <w:kern w:val="0"/>
                <w:szCs w:val="21"/>
                <w:highlight w:val="none"/>
              </w:rPr>
              <w:t>保护</w:t>
            </w:r>
          </w:p>
          <w:p>
            <w:pPr>
              <w:adjustRightInd w:val="0"/>
              <w:snapToGrid w:val="0"/>
              <w:jc w:val="center"/>
              <w:rPr>
                <w:rFonts w:hint="eastAsia" w:cs="宋体"/>
                <w:kern w:val="0"/>
                <w:szCs w:val="21"/>
                <w:highlight w:val="cyan"/>
              </w:rPr>
            </w:pPr>
            <w:r>
              <w:rPr>
                <w:rFonts w:hint="eastAsia" w:cs="宋体"/>
                <w:kern w:val="0"/>
                <w:szCs w:val="21"/>
                <w:highlight w:val="none"/>
              </w:rPr>
              <w:t>目标</w:t>
            </w:r>
          </w:p>
        </w:tc>
        <w:tc>
          <w:tcPr>
            <w:tcW w:w="819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eastAsia="宋体" w:cs="宋体"/>
                <w:kern w:val="0"/>
                <w:szCs w:val="21"/>
                <w:highlight w:val="none"/>
                <w:lang w:eastAsia="zh-CN"/>
              </w:rPr>
            </w:pPr>
            <w:r>
              <w:rPr>
                <w:rFonts w:hint="eastAsia" w:cs="宋体"/>
                <w:kern w:val="0"/>
                <w:szCs w:val="21"/>
                <w:highlight w:val="none"/>
              </w:rPr>
              <w:t>本次改扩建工程主要利用厂区内南侧现有的1间预留车间进行建设。根据现场勘查，目前项目厂区北侧隔村路为废弃预制板厂、翔宇电源和电池厂，西侧为闲置空厂区，南侧为新乡市东风造纸厂四分厂，东侧为造纸厂租用给新乡市昌源无纺布有限公司年产3500吨无纺布项目所用厂房。距离项目最近的敏感点为厂区东侧约115m处的凤泉区大块第四小学及东侧约120m处的小块村</w:t>
            </w:r>
            <w:r>
              <w:rPr>
                <w:rFonts w:hint="eastAsia" w:cs="宋体"/>
                <w:kern w:val="0"/>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宋体"/>
                <w:bCs/>
                <w:kern w:val="0"/>
                <w:sz w:val="21"/>
                <w:szCs w:val="21"/>
                <w:highlight w:val="none"/>
              </w:rPr>
            </w:pPr>
            <w:r>
              <w:rPr>
                <w:rFonts w:cs="宋体"/>
                <w:bCs/>
                <w:kern w:val="0"/>
                <w:sz w:val="21"/>
                <w:szCs w:val="21"/>
                <w:highlight w:val="none"/>
              </w:rPr>
              <w:t>根据现场调查，拟建项目环境保护目标详见表33</w:t>
            </w:r>
            <w:r>
              <w:rPr>
                <w:rFonts w:hint="eastAsia" w:cs="宋体"/>
                <w:bCs/>
                <w:kern w:val="0"/>
                <w:sz w:val="21"/>
                <w:szCs w:val="21"/>
                <w:highlight w:val="none"/>
              </w:rPr>
              <w:t>。</w:t>
            </w:r>
          </w:p>
          <w:p>
            <w:pPr>
              <w:keepNext w:val="0"/>
              <w:keepLines w:val="0"/>
              <w:pageBreakBefore w:val="0"/>
              <w:widowControl w:val="0"/>
              <w:numPr>
                <w:ilvl w:val="0"/>
                <w:numId w:val="1"/>
              </w:numPr>
              <w:suppressLineNumbers w:val="0"/>
              <w:kinsoku/>
              <w:wordWrap/>
              <w:overflowPunct/>
              <w:topLinePunct w:val="0"/>
              <w:bidi w:val="0"/>
              <w:adjustRightInd/>
              <w:snapToGrid/>
              <w:spacing w:before="0" w:beforeAutospacing="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 xml:space="preserve">   </w:t>
            </w:r>
            <w:r>
              <w:rPr>
                <w:rFonts w:hint="default" w:ascii="Times New Roman" w:hAnsi="Times New Roman" w:cs="Times New Roman" w:eastAsiaTheme="minorEastAsia"/>
                <w:b w:val="0"/>
                <w:bCs w:val="0"/>
                <w:color w:val="auto"/>
                <w:sz w:val="21"/>
                <w:szCs w:val="21"/>
                <w:highlight w:val="none"/>
                <w:lang w:val="en-US" w:eastAsia="zh-CN"/>
              </w:rPr>
              <w:t>项目主要环境保护目标一览表</w:t>
            </w:r>
          </w:p>
          <w:tbl>
            <w:tblPr>
              <w:tblStyle w:val="18"/>
              <w:tblW w:w="5000" w:type="pct"/>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702"/>
              <w:gridCol w:w="849"/>
              <w:gridCol w:w="1563"/>
              <w:gridCol w:w="2855"/>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noWrap w:val="0"/>
                  <w:vAlign w:val="center"/>
                </w:tcPr>
                <w:p>
                  <w:pPr>
                    <w:pStyle w:val="26"/>
                    <w:ind w:left="-24" w:right="-24"/>
                    <w:rPr>
                      <w:sz w:val="18"/>
                      <w:szCs w:val="18"/>
                      <w:highlight w:val="none"/>
                    </w:rPr>
                  </w:pPr>
                  <w:r>
                    <w:rPr>
                      <w:sz w:val="18"/>
                      <w:szCs w:val="18"/>
                      <w:highlight w:val="none"/>
                    </w:rPr>
                    <w:t>环境要素</w:t>
                  </w:r>
                </w:p>
              </w:tc>
              <w:tc>
                <w:tcPr>
                  <w:tcW w:w="1067" w:type="pct"/>
                  <w:noWrap w:val="0"/>
                  <w:vAlign w:val="center"/>
                </w:tcPr>
                <w:p>
                  <w:pPr>
                    <w:pStyle w:val="26"/>
                    <w:rPr>
                      <w:sz w:val="18"/>
                      <w:szCs w:val="18"/>
                      <w:highlight w:val="none"/>
                    </w:rPr>
                  </w:pPr>
                  <w:r>
                    <w:rPr>
                      <w:sz w:val="18"/>
                      <w:szCs w:val="18"/>
                      <w:highlight w:val="none"/>
                    </w:rPr>
                    <w:t>环境保护对象名称</w:t>
                  </w:r>
                </w:p>
              </w:tc>
              <w:tc>
                <w:tcPr>
                  <w:tcW w:w="532" w:type="pct"/>
                  <w:noWrap w:val="0"/>
                  <w:vAlign w:val="center"/>
                </w:tcPr>
                <w:p>
                  <w:pPr>
                    <w:pStyle w:val="26"/>
                    <w:rPr>
                      <w:sz w:val="18"/>
                      <w:szCs w:val="18"/>
                      <w:highlight w:val="none"/>
                    </w:rPr>
                  </w:pPr>
                  <w:r>
                    <w:rPr>
                      <w:sz w:val="18"/>
                      <w:szCs w:val="18"/>
                      <w:highlight w:val="none"/>
                    </w:rPr>
                    <w:t>方位</w:t>
                  </w:r>
                </w:p>
              </w:tc>
              <w:tc>
                <w:tcPr>
                  <w:tcW w:w="980" w:type="pct"/>
                  <w:noWrap w:val="0"/>
                  <w:vAlign w:val="center"/>
                </w:tcPr>
                <w:p>
                  <w:pPr>
                    <w:pStyle w:val="26"/>
                    <w:rPr>
                      <w:sz w:val="18"/>
                      <w:szCs w:val="18"/>
                      <w:highlight w:val="none"/>
                    </w:rPr>
                  </w:pPr>
                  <w:r>
                    <w:rPr>
                      <w:sz w:val="18"/>
                      <w:szCs w:val="18"/>
                      <w:highlight w:val="none"/>
                    </w:rPr>
                    <w:t>距离（m）</w:t>
                  </w:r>
                </w:p>
              </w:tc>
              <w:tc>
                <w:tcPr>
                  <w:tcW w:w="1790" w:type="pct"/>
                  <w:noWrap w:val="0"/>
                  <w:vAlign w:val="center"/>
                </w:tcPr>
                <w:p>
                  <w:pPr>
                    <w:pStyle w:val="26"/>
                    <w:rPr>
                      <w:sz w:val="18"/>
                      <w:szCs w:val="18"/>
                      <w:highlight w:val="none"/>
                    </w:rPr>
                  </w:pPr>
                  <w:r>
                    <w:rPr>
                      <w:sz w:val="18"/>
                      <w:szCs w:val="18"/>
                      <w:highlight w:val="none"/>
                    </w:rPr>
                    <w:t>保护目标及保护等级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restart"/>
                  <w:noWrap w:val="0"/>
                  <w:vAlign w:val="center"/>
                </w:tcPr>
                <w:p>
                  <w:pPr>
                    <w:pStyle w:val="26"/>
                    <w:ind w:left="-24" w:right="-24"/>
                    <w:rPr>
                      <w:sz w:val="18"/>
                      <w:szCs w:val="18"/>
                      <w:highlight w:val="none"/>
                    </w:rPr>
                  </w:pPr>
                  <w:r>
                    <w:rPr>
                      <w:rFonts w:hint="eastAsia"/>
                      <w:sz w:val="18"/>
                      <w:szCs w:val="18"/>
                      <w:highlight w:val="none"/>
                    </w:rPr>
                    <w:t>环境空气</w:t>
                  </w:r>
                </w:p>
              </w:tc>
              <w:tc>
                <w:tcPr>
                  <w:tcW w:w="10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sz w:val="18"/>
                      <w:szCs w:val="18"/>
                      <w:highlight w:val="none"/>
                    </w:rPr>
                  </w:pPr>
                  <w:r>
                    <w:rPr>
                      <w:rFonts w:hint="default" w:ascii="Times New Roman" w:hAnsi="Times New Roman" w:cs="Times New Roman" w:eastAsiaTheme="majorEastAsia"/>
                      <w:b w:val="0"/>
                      <w:bCs w:val="0"/>
                      <w:color w:val="auto"/>
                      <w:sz w:val="18"/>
                      <w:szCs w:val="18"/>
                      <w:highlight w:val="none"/>
                      <w:u w:val="none"/>
                      <w:lang w:eastAsia="zh-CN"/>
                    </w:rPr>
                    <w:t>小块村</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sz w:val="18"/>
                      <w:szCs w:val="18"/>
                      <w:highlight w:val="none"/>
                    </w:rPr>
                  </w:pPr>
                  <w:r>
                    <w:rPr>
                      <w:rFonts w:hint="default" w:ascii="Times New Roman" w:hAnsi="Times New Roman" w:cs="Times New Roman" w:eastAsiaTheme="majorEastAsia"/>
                      <w:b w:val="0"/>
                      <w:bCs w:val="0"/>
                      <w:color w:val="auto"/>
                      <w:sz w:val="18"/>
                      <w:szCs w:val="18"/>
                      <w:highlight w:val="none"/>
                      <w:u w:val="none"/>
                      <w:lang w:val="en-US" w:eastAsia="zh-CN"/>
                    </w:rPr>
                    <w:t>E</w:t>
                  </w: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sz w:val="18"/>
                      <w:szCs w:val="18"/>
                      <w:highlight w:val="none"/>
                    </w:rPr>
                  </w:pPr>
                  <w:r>
                    <w:rPr>
                      <w:rFonts w:hint="default" w:ascii="Times New Roman" w:hAnsi="Times New Roman" w:cs="Times New Roman" w:eastAsiaTheme="majorEastAsia"/>
                      <w:b w:val="0"/>
                      <w:bCs w:val="0"/>
                      <w:color w:val="auto"/>
                      <w:sz w:val="18"/>
                      <w:szCs w:val="18"/>
                      <w:highlight w:val="none"/>
                      <w:u w:val="none"/>
                      <w:lang w:val="en-US" w:eastAsia="zh-CN"/>
                    </w:rPr>
                    <w:t>120m</w:t>
                  </w:r>
                </w:p>
              </w:tc>
              <w:tc>
                <w:tcPr>
                  <w:tcW w:w="1790" w:type="pct"/>
                  <w:vMerge w:val="restart"/>
                  <w:noWrap w:val="0"/>
                  <w:vAlign w:val="center"/>
                </w:tcPr>
                <w:p>
                  <w:pPr>
                    <w:pStyle w:val="26"/>
                    <w:rPr>
                      <w:sz w:val="18"/>
                      <w:szCs w:val="18"/>
                      <w:highlight w:val="none"/>
                    </w:rPr>
                  </w:pPr>
                  <w:r>
                    <w:rPr>
                      <w:sz w:val="18"/>
                      <w:szCs w:val="18"/>
                      <w:highlight w:val="none"/>
                      <w:lang w:val="en-US"/>
                    </w:rPr>
                    <w:t>《环境空气质量标准》（GB3095-2012） 二级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noWrap w:val="0"/>
                  <w:vAlign w:val="center"/>
                </w:tcPr>
                <w:p>
                  <w:pPr>
                    <w:pStyle w:val="26"/>
                    <w:ind w:left="-24" w:right="-24"/>
                    <w:rPr>
                      <w:sz w:val="18"/>
                      <w:szCs w:val="18"/>
                      <w:highlight w:val="cyan"/>
                    </w:rPr>
                  </w:pPr>
                </w:p>
              </w:tc>
              <w:tc>
                <w:tcPr>
                  <w:tcW w:w="10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Times New Roman" w:hAnsi="Times New Roman" w:eastAsia="宋体" w:cs="Times New Roman"/>
                      <w:kern w:val="2"/>
                      <w:sz w:val="18"/>
                      <w:szCs w:val="18"/>
                      <w:highlight w:val="cyan"/>
                      <w:lang w:val="en-US" w:eastAsia="zh-CN" w:bidi="ar-SA"/>
                    </w:rPr>
                  </w:pPr>
                  <w:r>
                    <w:rPr>
                      <w:rFonts w:hint="default" w:ascii="Times New Roman" w:hAnsi="Times New Roman" w:cs="Times New Roman" w:eastAsiaTheme="majorEastAsia"/>
                      <w:b w:val="0"/>
                      <w:bCs w:val="0"/>
                      <w:color w:val="auto"/>
                      <w:sz w:val="18"/>
                      <w:szCs w:val="18"/>
                      <w:highlight w:val="none"/>
                      <w:u w:val="none"/>
                      <w:lang w:eastAsia="zh-CN"/>
                    </w:rPr>
                    <w:t>大块第四小学</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Times New Roman" w:hAnsi="Times New Roman" w:eastAsia="宋体" w:cs="Times New Roman"/>
                      <w:kern w:val="2"/>
                      <w:sz w:val="18"/>
                      <w:szCs w:val="18"/>
                      <w:highlight w:val="cyan"/>
                      <w:lang w:val="en-US" w:eastAsia="zh-CN" w:bidi="ar-SA"/>
                    </w:rPr>
                  </w:pPr>
                  <w:r>
                    <w:rPr>
                      <w:rFonts w:hint="default" w:ascii="Times New Roman" w:hAnsi="Times New Roman" w:cs="Times New Roman" w:eastAsiaTheme="majorEastAsia"/>
                      <w:b w:val="0"/>
                      <w:bCs w:val="0"/>
                      <w:color w:val="auto"/>
                      <w:sz w:val="18"/>
                      <w:szCs w:val="18"/>
                      <w:highlight w:val="none"/>
                      <w:u w:val="none"/>
                      <w:lang w:val="en-US" w:eastAsia="zh-CN"/>
                    </w:rPr>
                    <w:t>E</w:t>
                  </w: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Times New Roman" w:hAnsi="Times New Roman" w:eastAsia="宋体" w:cs="Times New Roman"/>
                      <w:kern w:val="2"/>
                      <w:sz w:val="18"/>
                      <w:szCs w:val="18"/>
                      <w:highlight w:val="cyan"/>
                      <w:lang w:val="en-US" w:eastAsia="zh-CN" w:bidi="ar-SA"/>
                    </w:rPr>
                  </w:pPr>
                  <w:r>
                    <w:rPr>
                      <w:rFonts w:hint="default" w:ascii="Times New Roman" w:hAnsi="Times New Roman" w:cs="Times New Roman" w:eastAsiaTheme="majorEastAsia"/>
                      <w:b w:val="0"/>
                      <w:bCs w:val="0"/>
                      <w:color w:val="auto"/>
                      <w:sz w:val="18"/>
                      <w:szCs w:val="18"/>
                      <w:highlight w:val="none"/>
                      <w:u w:val="none"/>
                      <w:lang w:val="en-US" w:eastAsia="zh-CN"/>
                    </w:rPr>
                    <w:t>115m</w:t>
                  </w:r>
                </w:p>
              </w:tc>
              <w:tc>
                <w:tcPr>
                  <w:tcW w:w="1790" w:type="pct"/>
                  <w:vMerge w:val="continue"/>
                  <w:noWrap w:val="0"/>
                  <w:vAlign w:val="center"/>
                </w:tcPr>
                <w:p>
                  <w:pPr>
                    <w:pStyle w:val="26"/>
                    <w:rPr>
                      <w:sz w:val="18"/>
                      <w:szCs w:val="18"/>
                      <w:highlight w:val="cyan"/>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noWrap w:val="0"/>
                  <w:vAlign w:val="center"/>
                </w:tcPr>
                <w:p>
                  <w:pPr>
                    <w:pStyle w:val="26"/>
                    <w:rPr>
                      <w:sz w:val="18"/>
                      <w:szCs w:val="18"/>
                      <w:highlight w:val="none"/>
                    </w:rPr>
                  </w:pPr>
                  <w:r>
                    <w:rPr>
                      <w:sz w:val="18"/>
                      <w:szCs w:val="18"/>
                      <w:highlight w:val="none"/>
                    </w:rPr>
                    <w:t>声环境</w:t>
                  </w:r>
                </w:p>
              </w:tc>
              <w:tc>
                <w:tcPr>
                  <w:tcW w:w="2579" w:type="pct"/>
                  <w:gridSpan w:val="3"/>
                  <w:noWrap w:val="0"/>
                  <w:vAlign w:val="center"/>
                </w:tcPr>
                <w:p>
                  <w:pPr>
                    <w:pStyle w:val="26"/>
                    <w:rPr>
                      <w:rFonts w:hint="eastAsia"/>
                      <w:sz w:val="18"/>
                      <w:szCs w:val="18"/>
                      <w:highlight w:val="none"/>
                    </w:rPr>
                  </w:pPr>
                  <w:r>
                    <w:rPr>
                      <w:rFonts w:hint="eastAsia"/>
                      <w:sz w:val="18"/>
                      <w:szCs w:val="18"/>
                      <w:highlight w:val="none"/>
                    </w:rPr>
                    <w:t>厂界外50米范围</w:t>
                  </w:r>
                  <w:r>
                    <w:rPr>
                      <w:sz w:val="18"/>
                      <w:szCs w:val="18"/>
                      <w:highlight w:val="none"/>
                    </w:rPr>
                    <w:t>内无</w:t>
                  </w:r>
                  <w:r>
                    <w:rPr>
                      <w:rFonts w:hint="eastAsia"/>
                      <w:sz w:val="18"/>
                      <w:szCs w:val="18"/>
                      <w:highlight w:val="none"/>
                    </w:rPr>
                    <w:t>环境保护</w:t>
                  </w:r>
                  <w:r>
                    <w:rPr>
                      <w:sz w:val="18"/>
                      <w:szCs w:val="18"/>
                      <w:highlight w:val="none"/>
                    </w:rPr>
                    <w:t>目标</w:t>
                  </w:r>
                </w:p>
              </w:tc>
              <w:tc>
                <w:tcPr>
                  <w:tcW w:w="1790" w:type="pct"/>
                  <w:noWrap w:val="0"/>
                  <w:vAlign w:val="center"/>
                </w:tcPr>
                <w:p>
                  <w:pPr>
                    <w:pStyle w:val="26"/>
                    <w:rPr>
                      <w:sz w:val="18"/>
                      <w:szCs w:val="18"/>
                      <w:highlight w:val="none"/>
                    </w:rPr>
                  </w:pPr>
                  <w:r>
                    <w:rPr>
                      <w:sz w:val="18"/>
                      <w:szCs w:val="18"/>
                      <w:highlight w:val="none"/>
                    </w:rPr>
                    <w:t>《声环境质量标准》（GB3096-2008）</w:t>
                  </w:r>
                  <w:r>
                    <w:rPr>
                      <w:rFonts w:hint="eastAsia"/>
                      <w:sz w:val="18"/>
                      <w:szCs w:val="18"/>
                      <w:highlight w:val="none"/>
                      <w:lang w:val="en-US" w:eastAsia="zh-CN"/>
                    </w:rPr>
                    <w:t>2</w:t>
                  </w:r>
                  <w:r>
                    <w:rPr>
                      <w:sz w:val="18"/>
                      <w:szCs w:val="18"/>
                      <w:highlight w:val="none"/>
                    </w:rPr>
                    <w:t>类标准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noWrap w:val="0"/>
                  <w:vAlign w:val="center"/>
                </w:tcPr>
                <w:p>
                  <w:pPr>
                    <w:pStyle w:val="26"/>
                    <w:rPr>
                      <w:sz w:val="18"/>
                      <w:szCs w:val="18"/>
                      <w:highlight w:val="none"/>
                    </w:rPr>
                  </w:pPr>
                  <w:r>
                    <w:rPr>
                      <w:sz w:val="18"/>
                      <w:szCs w:val="18"/>
                      <w:highlight w:val="none"/>
                    </w:rPr>
                    <w:t>地表水环境</w:t>
                  </w:r>
                </w:p>
              </w:tc>
              <w:tc>
                <w:tcPr>
                  <w:tcW w:w="106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sz w:val="18"/>
                      <w:szCs w:val="18"/>
                      <w:highlight w:val="none"/>
                    </w:rPr>
                  </w:pPr>
                  <w:r>
                    <w:rPr>
                      <w:rFonts w:hint="default" w:ascii="Times New Roman" w:hAnsi="Times New Roman" w:cs="Times New Roman" w:eastAsiaTheme="majorEastAsia"/>
                      <w:color w:val="auto"/>
                      <w:sz w:val="18"/>
                      <w:szCs w:val="18"/>
                      <w:highlight w:val="none"/>
                      <w:lang w:val="en-US" w:eastAsia="zh-CN"/>
                    </w:rPr>
                    <w:t>民生渠</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sz w:val="18"/>
                      <w:szCs w:val="18"/>
                      <w:highlight w:val="none"/>
                    </w:rPr>
                  </w:pPr>
                  <w:r>
                    <w:rPr>
                      <w:rFonts w:hint="default" w:ascii="Times New Roman" w:hAnsi="Times New Roman" w:cs="Times New Roman" w:eastAsiaTheme="majorEastAsia"/>
                      <w:color w:val="auto"/>
                      <w:sz w:val="18"/>
                      <w:szCs w:val="18"/>
                      <w:highlight w:val="none"/>
                      <w:lang w:val="en-US" w:eastAsia="zh-CN"/>
                    </w:rPr>
                    <w:t>SW</w:t>
                  </w: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sz w:val="18"/>
                      <w:szCs w:val="18"/>
                      <w:highlight w:val="none"/>
                    </w:rPr>
                  </w:pPr>
                  <w:r>
                    <w:rPr>
                      <w:rFonts w:hint="default" w:ascii="Times New Roman" w:hAnsi="Times New Roman" w:cs="Times New Roman"/>
                      <w:color w:val="auto"/>
                      <w:sz w:val="18"/>
                      <w:szCs w:val="18"/>
                      <w:highlight w:val="none"/>
                      <w:lang w:val="en-US" w:eastAsia="zh-CN"/>
                    </w:rPr>
                    <w:t>720m</w:t>
                  </w:r>
                </w:p>
              </w:tc>
              <w:tc>
                <w:tcPr>
                  <w:tcW w:w="1790" w:type="pct"/>
                  <w:noWrap w:val="0"/>
                  <w:vAlign w:val="center"/>
                </w:tcPr>
                <w:p>
                  <w:pPr>
                    <w:pStyle w:val="26"/>
                    <w:rPr>
                      <w:sz w:val="18"/>
                      <w:szCs w:val="18"/>
                      <w:highlight w:val="none"/>
                    </w:rPr>
                  </w:pPr>
                  <w:r>
                    <w:rPr>
                      <w:sz w:val="18"/>
                      <w:szCs w:val="18"/>
                      <w:highlight w:val="none"/>
                    </w:rPr>
                    <w:t>《地表水环境质量准》</w:t>
                  </w:r>
                </w:p>
                <w:p>
                  <w:pPr>
                    <w:pStyle w:val="26"/>
                    <w:rPr>
                      <w:sz w:val="18"/>
                      <w:szCs w:val="18"/>
                      <w:highlight w:val="none"/>
                    </w:rPr>
                  </w:pPr>
                  <w:r>
                    <w:rPr>
                      <w:sz w:val="18"/>
                      <w:szCs w:val="18"/>
                      <w:highlight w:val="none"/>
                    </w:rPr>
                    <w:t>（GB3838-2002）</w:t>
                  </w:r>
                  <w:r>
                    <w:rPr>
                      <w:sz w:val="18"/>
                      <w:szCs w:val="18"/>
                      <w:highlight w:val="none"/>
                    </w:rPr>
                    <w:fldChar w:fldCharType="begin"/>
                  </w:r>
                  <w:r>
                    <w:rPr>
                      <w:sz w:val="18"/>
                      <w:szCs w:val="18"/>
                      <w:highlight w:val="none"/>
                    </w:rPr>
                    <w:instrText xml:space="preserve"> = 5 \* ROMAN </w:instrText>
                  </w:r>
                  <w:r>
                    <w:rPr>
                      <w:sz w:val="18"/>
                      <w:szCs w:val="18"/>
                      <w:highlight w:val="none"/>
                    </w:rPr>
                    <w:fldChar w:fldCharType="separate"/>
                  </w:r>
                  <w:r>
                    <w:rPr>
                      <w:sz w:val="18"/>
                      <w:szCs w:val="18"/>
                      <w:highlight w:val="none"/>
                    </w:rPr>
                    <w:t>V</w:t>
                  </w:r>
                  <w:r>
                    <w:rPr>
                      <w:sz w:val="18"/>
                      <w:szCs w:val="18"/>
                      <w:highlight w:val="none"/>
                    </w:rPr>
                    <w:fldChar w:fldCharType="end"/>
                  </w:r>
                  <w:r>
                    <w:rPr>
                      <w:sz w:val="18"/>
                      <w:szCs w:val="18"/>
                      <w:highlight w:val="none"/>
                    </w:rPr>
                    <w:t>类</w:t>
                  </w:r>
                </w:p>
              </w:tc>
            </w:tr>
          </w:tbl>
          <w:p>
            <w:pPr>
              <w:autoSpaceDE w:val="0"/>
              <w:autoSpaceDN w:val="0"/>
              <w:adjustRightInd w:val="0"/>
              <w:snapToGrid w:val="0"/>
              <w:spacing w:line="400" w:lineRule="exact"/>
              <w:ind w:firstLine="420" w:firstLineChars="200"/>
              <w:rPr>
                <w:rFonts w:cs="宋体"/>
                <w:bCs/>
                <w:kern w:val="0"/>
                <w:szCs w:val="21"/>
                <w:highlight w:val="cyan"/>
              </w:rPr>
            </w:pPr>
          </w:p>
          <w:p>
            <w:pPr>
              <w:pStyle w:val="2"/>
              <w:rPr>
                <w:rFonts w:cs="宋体"/>
                <w:bCs/>
                <w:kern w:val="0"/>
                <w:szCs w:val="21"/>
                <w:highlight w:val="cyan"/>
              </w:rPr>
            </w:pPr>
          </w:p>
          <w:p>
            <w:pPr>
              <w:rPr>
                <w:rFonts w:cs="宋体"/>
                <w:bCs/>
                <w:kern w:val="0"/>
                <w:szCs w:val="21"/>
                <w:highlight w:val="cyan"/>
              </w:rPr>
            </w:pPr>
          </w:p>
          <w:p>
            <w:pPr>
              <w:pStyle w:val="2"/>
              <w:rPr>
                <w:rFonts w:cs="宋体"/>
                <w:bCs/>
                <w:kern w:val="0"/>
                <w:szCs w:val="21"/>
                <w:highlight w:val="cyan"/>
              </w:rPr>
            </w:pPr>
          </w:p>
          <w:p>
            <w:pPr>
              <w:rPr>
                <w:rFonts w:cs="宋体"/>
                <w:bCs/>
                <w:kern w:val="0"/>
                <w:szCs w:val="21"/>
                <w:highlight w:val="cyan"/>
              </w:rPr>
            </w:pPr>
          </w:p>
          <w:p>
            <w:pPr>
              <w:pStyle w:val="2"/>
              <w:rPr>
                <w:rFonts w:cs="宋体"/>
                <w:bCs/>
                <w:kern w:val="0"/>
                <w:szCs w:val="21"/>
                <w:highlight w:val="cyan"/>
              </w:rPr>
            </w:pPr>
          </w:p>
          <w:p/>
          <w:p>
            <w:pPr>
              <w:autoSpaceDE w:val="0"/>
              <w:autoSpaceDN w:val="0"/>
              <w:adjustRightInd w:val="0"/>
              <w:snapToGrid w:val="0"/>
              <w:spacing w:line="400" w:lineRule="exact"/>
              <w:rPr>
                <w:rFonts w:hint="eastAsia" w:cs="宋体"/>
                <w:kern w:val="0"/>
                <w:szCs w:val="21"/>
                <w:highlight w:val="cy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00" w:type="dxa"/>
            <w:noWrap w:val="0"/>
            <w:tcMar>
              <w:left w:w="28" w:type="dxa"/>
              <w:right w:w="28" w:type="dxa"/>
            </w:tcMar>
            <w:vAlign w:val="center"/>
          </w:tcPr>
          <w:p>
            <w:pPr>
              <w:adjustRightInd w:val="0"/>
              <w:snapToGrid w:val="0"/>
              <w:jc w:val="center"/>
              <w:rPr>
                <w:rFonts w:hint="eastAsia" w:cs="宋体"/>
                <w:kern w:val="0"/>
                <w:szCs w:val="21"/>
                <w:highlight w:val="none"/>
              </w:rPr>
            </w:pPr>
            <w:r>
              <w:rPr>
                <w:rFonts w:hint="eastAsia" w:cs="宋体"/>
                <w:kern w:val="0"/>
                <w:szCs w:val="21"/>
                <w:highlight w:val="none"/>
              </w:rPr>
              <w:t>污染</w:t>
            </w:r>
          </w:p>
          <w:p>
            <w:pPr>
              <w:adjustRightInd w:val="0"/>
              <w:snapToGrid w:val="0"/>
              <w:jc w:val="center"/>
              <w:rPr>
                <w:rFonts w:hint="eastAsia" w:cs="宋体"/>
                <w:kern w:val="0"/>
                <w:szCs w:val="21"/>
                <w:highlight w:val="none"/>
              </w:rPr>
            </w:pPr>
            <w:r>
              <w:rPr>
                <w:rFonts w:hint="eastAsia" w:cs="宋体"/>
                <w:kern w:val="0"/>
                <w:szCs w:val="21"/>
                <w:highlight w:val="none"/>
              </w:rPr>
              <w:t>物排</w:t>
            </w:r>
          </w:p>
          <w:p>
            <w:pPr>
              <w:adjustRightInd w:val="0"/>
              <w:snapToGrid w:val="0"/>
              <w:jc w:val="center"/>
              <w:rPr>
                <w:rFonts w:hint="eastAsia" w:cs="宋体"/>
                <w:kern w:val="0"/>
                <w:szCs w:val="21"/>
                <w:highlight w:val="none"/>
              </w:rPr>
            </w:pPr>
            <w:r>
              <w:rPr>
                <w:rFonts w:hint="eastAsia" w:cs="宋体"/>
                <w:kern w:val="0"/>
                <w:szCs w:val="21"/>
                <w:highlight w:val="none"/>
              </w:rPr>
              <w:t>放控</w:t>
            </w:r>
          </w:p>
          <w:p>
            <w:pPr>
              <w:adjustRightInd w:val="0"/>
              <w:snapToGrid w:val="0"/>
              <w:jc w:val="center"/>
              <w:rPr>
                <w:rFonts w:hint="eastAsia" w:cs="宋体"/>
                <w:kern w:val="0"/>
                <w:szCs w:val="21"/>
                <w:highlight w:val="none"/>
              </w:rPr>
            </w:pPr>
            <w:r>
              <w:rPr>
                <w:rFonts w:hint="eastAsia" w:cs="宋体"/>
                <w:kern w:val="0"/>
                <w:szCs w:val="21"/>
                <w:highlight w:val="none"/>
              </w:rPr>
              <w:t>制标</w:t>
            </w:r>
          </w:p>
          <w:p>
            <w:pPr>
              <w:adjustRightInd w:val="0"/>
              <w:snapToGrid w:val="0"/>
              <w:jc w:val="center"/>
              <w:rPr>
                <w:rFonts w:cs="宋体"/>
                <w:kern w:val="0"/>
                <w:szCs w:val="21"/>
                <w:highlight w:val="cyan"/>
              </w:rPr>
            </w:pPr>
            <w:r>
              <w:rPr>
                <w:rFonts w:hint="eastAsia" w:cs="宋体"/>
                <w:kern w:val="0"/>
                <w:szCs w:val="21"/>
                <w:highlight w:val="none"/>
              </w:rPr>
              <w:t>准</w:t>
            </w:r>
          </w:p>
        </w:tc>
        <w:tc>
          <w:tcPr>
            <w:tcW w:w="819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rPr>
                <w:rFonts w:cs="宋体"/>
                <w:bCs/>
                <w:kern w:val="0"/>
                <w:szCs w:val="21"/>
                <w:highlight w:val="none"/>
              </w:rPr>
            </w:pPr>
            <w:r>
              <w:rPr>
                <w:rFonts w:hint="eastAsia" w:cs="宋体"/>
                <w:b/>
                <w:kern w:val="0"/>
                <w:szCs w:val="21"/>
                <w:highlight w:val="none"/>
                <w:lang w:val="en-US" w:eastAsia="zh-CN"/>
              </w:rPr>
              <w:t>1、</w:t>
            </w:r>
            <w:r>
              <w:rPr>
                <w:rFonts w:hint="eastAsia" w:cs="宋体"/>
                <w:b/>
                <w:kern w:val="0"/>
                <w:szCs w:val="21"/>
                <w:highlight w:val="none"/>
              </w:rPr>
              <w:t>大气污染物</w:t>
            </w:r>
            <w:r>
              <w:rPr>
                <w:rFonts w:cs="宋体"/>
                <w:b/>
                <w:kern w:val="0"/>
                <w:szCs w:val="21"/>
                <w:highlight w:val="none"/>
              </w:rPr>
              <w:t>排放标准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宋体"/>
                <w:bCs/>
                <w:kern w:val="0"/>
                <w:szCs w:val="21"/>
                <w:highlight w:val="none"/>
              </w:rPr>
            </w:pPr>
            <w:r>
              <w:rPr>
                <w:rFonts w:hint="eastAsia" w:cs="宋体"/>
                <w:bCs/>
                <w:kern w:val="0"/>
                <w:szCs w:val="21"/>
                <w:highlight w:val="none"/>
              </w:rPr>
              <w:t>本项目</w:t>
            </w:r>
            <w:r>
              <w:rPr>
                <w:rFonts w:cs="宋体"/>
                <w:bCs/>
                <w:kern w:val="0"/>
                <w:szCs w:val="21"/>
                <w:highlight w:val="none"/>
              </w:rPr>
              <w:t>工艺废气</w:t>
            </w:r>
            <w:r>
              <w:rPr>
                <w:rFonts w:hint="eastAsia" w:cs="宋体"/>
                <w:bCs/>
                <w:kern w:val="0"/>
                <w:szCs w:val="21"/>
                <w:highlight w:val="none"/>
                <w:lang w:eastAsia="zh-CN"/>
              </w:rPr>
              <w:t>非甲烷总烃</w:t>
            </w:r>
            <w:r>
              <w:rPr>
                <w:rFonts w:hint="eastAsia" w:cs="宋体"/>
                <w:bCs/>
                <w:kern w:val="0"/>
                <w:szCs w:val="21"/>
                <w:highlight w:val="none"/>
              </w:rPr>
              <w:t>执行《大气污染物综合排放标准》（GB16297-1996）表2二级标准</w:t>
            </w:r>
            <w:r>
              <w:rPr>
                <w:rFonts w:hint="eastAsia" w:cs="宋体"/>
                <w:bCs/>
                <w:kern w:val="0"/>
                <w:szCs w:val="21"/>
                <w:highlight w:val="none"/>
                <w:lang w:eastAsia="zh-CN"/>
              </w:rPr>
              <w:t>、同时应满足《关于全省开展工业企业挥发性有机物专项治理工作中排放建议值的通知》（豫环攻坚办[2017]162号）其他行业排放限值要求</w:t>
            </w:r>
            <w:r>
              <w:rPr>
                <w:rFonts w:hint="eastAsia" w:cs="宋体"/>
                <w:bCs/>
                <w:kern w:val="0"/>
                <w:szCs w:val="21"/>
                <w:highlight w:val="none"/>
              </w:rPr>
              <w:t>；企业边界执行《挥发性有机物无组织排放控制标准（GB 37822—2019）》</w:t>
            </w:r>
            <w:r>
              <w:rPr>
                <w:rFonts w:hint="eastAsia" w:cs="宋体"/>
                <w:bCs/>
                <w:kern w:val="0"/>
                <w:szCs w:val="21"/>
                <w:highlight w:val="none"/>
                <w:lang w:eastAsia="zh-CN"/>
              </w:rPr>
              <w:t>、同时满足《关于全省开展工业企业挥发性有机物专项治理工作中排放建议值的通知》（豫环攻坚办[2017]162号）工业企业边界和生产车间边界排放浓度限值要求</w:t>
            </w:r>
            <w:r>
              <w:rPr>
                <w:rFonts w:hint="eastAsia" w:cs="宋体"/>
                <w:bCs/>
                <w:kern w:val="0"/>
                <w:szCs w:val="21"/>
                <w:highlight w:val="none"/>
              </w:rPr>
              <w:t>，</w:t>
            </w:r>
            <w:r>
              <w:rPr>
                <w:rFonts w:cs="宋体"/>
                <w:bCs/>
                <w:kern w:val="0"/>
                <w:szCs w:val="21"/>
                <w:highlight w:val="none"/>
              </w:rPr>
              <w:t>具体标准值详见</w:t>
            </w:r>
            <w:r>
              <w:rPr>
                <w:rFonts w:hint="eastAsia" w:cs="宋体"/>
                <w:bCs/>
                <w:kern w:val="0"/>
                <w:szCs w:val="21"/>
                <w:highlight w:val="none"/>
                <w:lang w:eastAsia="zh-CN"/>
              </w:rPr>
              <w:t>下表</w:t>
            </w:r>
            <w:r>
              <w:rPr>
                <w:rFonts w:hint="eastAsia" w:cs="宋体"/>
                <w:bCs/>
                <w:kern w:val="0"/>
                <w:szCs w:val="21"/>
                <w:highlight w:val="none"/>
              </w:rPr>
              <w:t>。</w:t>
            </w:r>
          </w:p>
          <w:p>
            <w:pPr>
              <w:keepNext w:val="0"/>
              <w:keepLines w:val="0"/>
              <w:pageBreakBefore w:val="0"/>
              <w:widowControl w:val="0"/>
              <w:numPr>
                <w:ilvl w:val="0"/>
                <w:numId w:val="1"/>
              </w:numPr>
              <w:suppressLineNumbers w:val="0"/>
              <w:kinsoku/>
              <w:wordWrap/>
              <w:overflowPunct/>
              <w:topLinePunct w:val="0"/>
              <w:bidi w:val="0"/>
              <w:adjustRightInd/>
              <w:snapToGrid/>
              <w:spacing w:before="0" w:beforeAutospacing="0" w:afterAutospacing="0" w:line="360" w:lineRule="auto"/>
              <w:ind w:left="0" w:leftChars="0" w:right="0" w:firstLine="0" w:firstLineChars="0"/>
              <w:jc w:val="center"/>
              <w:textAlignment w:val="auto"/>
              <w:rPr>
                <w:rFonts w:hint="eastAsia"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 xml:space="preserve">  拟建项目大气污染物排放浓度特别排放限值</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1"/>
              <w:gridCol w:w="1017"/>
              <w:gridCol w:w="866"/>
              <w:gridCol w:w="34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执行标准名称及级别</w:t>
                  </w:r>
                </w:p>
              </w:tc>
              <w:tc>
                <w:tcPr>
                  <w:tcW w:w="118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污染因子</w:t>
                  </w: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tblHeader/>
                <w:jc w:val="center"/>
              </w:trPr>
              <w:tc>
                <w:tcPr>
                  <w:tcW w:w="16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《大气污染物综合排放标准》（GB16297-1996）表2二级标准</w:t>
                  </w:r>
                </w:p>
              </w:tc>
              <w:tc>
                <w:tcPr>
                  <w:tcW w:w="63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val="en-US" w:eastAsia="zh-CN"/>
                    </w:rPr>
                    <w:t>非甲烷总烃NMHC</w:t>
                  </w:r>
                </w:p>
              </w:tc>
              <w:tc>
                <w:tcPr>
                  <w:tcW w:w="54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有组织</w:t>
                  </w:r>
                </w:p>
              </w:tc>
              <w:tc>
                <w:tcPr>
                  <w:tcW w:w="2174" w:type="pct"/>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经15m高排气筒排放时最高允许排放速率为10 kg/h，最高允许排放浓度120mg/m</w:t>
                  </w:r>
                  <w:r>
                    <w:rPr>
                      <w:rFonts w:hint="default" w:ascii="Times New Roman" w:hAnsi="Times New Roman" w:cs="Times New Roman" w:eastAsiaTheme="minorEastAsia"/>
                      <w:color w:val="auto"/>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4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63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54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eastAsia="zh-CN"/>
                    </w:rPr>
                    <w:t>无组织</w:t>
                  </w:r>
                </w:p>
              </w:tc>
              <w:tc>
                <w:tcPr>
                  <w:tcW w:w="2174" w:type="pct"/>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周界外浓度最高点：4.0mg/m</w:t>
                  </w:r>
                  <w:r>
                    <w:rPr>
                      <w:rFonts w:hint="default" w:ascii="Times New Roman" w:hAnsi="Times New Roman" w:cs="Times New Roman"/>
                      <w:color w:val="auto"/>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《关于全省开展工业企业挥发性有机物专项治理工作中排放建议值的通知》（豫环攻坚办[2017]162号）</w:t>
                  </w:r>
                </w:p>
              </w:tc>
              <w:tc>
                <w:tcPr>
                  <w:tcW w:w="63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val="en-US" w:eastAsia="zh-CN"/>
                    </w:rPr>
                    <w:t>非甲烷总烃NMHC</w:t>
                  </w:r>
                </w:p>
              </w:tc>
              <w:tc>
                <w:tcPr>
                  <w:tcW w:w="54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有组织</w:t>
                  </w: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其他行业80mg/m</w:t>
                  </w:r>
                  <w:r>
                    <w:rPr>
                      <w:rFonts w:hint="default" w:ascii="Times New Roman" w:hAnsi="Times New Roman" w:cs="Times New Roman" w:eastAsiaTheme="minorEastAsia"/>
                      <w:color w:val="auto"/>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164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63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54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无组织</w:t>
                  </w: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工业企业边</w:t>
                  </w:r>
                  <w:r>
                    <w:rPr>
                      <w:rFonts w:hint="default" w:ascii="Times New Roman" w:hAnsi="Times New Roman" w:cs="Times New Roman" w:eastAsiaTheme="minorEastAsia"/>
                      <w:color w:val="auto"/>
                      <w:sz w:val="18"/>
                      <w:szCs w:val="18"/>
                      <w:highlight w:val="none"/>
                      <w:lang w:eastAsia="zh-CN"/>
                    </w:rPr>
                    <w:t>界</w:t>
                  </w:r>
                  <w:r>
                    <w:rPr>
                      <w:rFonts w:hint="default" w:ascii="Times New Roman" w:hAnsi="Times New Roman" w:cs="Times New Roman" w:eastAsiaTheme="minorEastAsia"/>
                      <w:color w:val="auto"/>
                      <w:sz w:val="18"/>
                      <w:szCs w:val="18"/>
                      <w:highlight w:val="none"/>
                    </w:rPr>
                    <w:t>2.0mg/m</w:t>
                  </w:r>
                  <w:r>
                    <w:rPr>
                      <w:rFonts w:hint="default" w:ascii="Times New Roman" w:hAnsi="Times New Roman" w:cs="Times New Roman" w:eastAsiaTheme="minorEastAsia"/>
                      <w:color w:val="auto"/>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4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63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生产车间边</w:t>
                  </w:r>
                  <w:r>
                    <w:rPr>
                      <w:rFonts w:hint="default" w:ascii="Times New Roman" w:hAnsi="Times New Roman" w:cs="Times New Roman" w:eastAsiaTheme="minorEastAsia"/>
                      <w:color w:val="auto"/>
                      <w:sz w:val="18"/>
                      <w:szCs w:val="18"/>
                      <w:highlight w:val="none"/>
                      <w:lang w:eastAsia="zh-CN"/>
                    </w:rPr>
                    <w:t>界</w:t>
                  </w:r>
                  <w:r>
                    <w:rPr>
                      <w:rFonts w:hint="default" w:ascii="Times New Roman" w:hAnsi="Times New Roman" w:cs="Times New Roman" w:eastAsiaTheme="minorEastAsia"/>
                      <w:color w:val="auto"/>
                      <w:sz w:val="18"/>
                      <w:szCs w:val="18"/>
                      <w:highlight w:val="none"/>
                    </w:rPr>
                    <w:t>4.0mg/m</w:t>
                  </w:r>
                  <w:r>
                    <w:rPr>
                      <w:rFonts w:hint="default" w:ascii="Times New Roman" w:hAnsi="Times New Roman" w:cs="Times New Roman" w:eastAsiaTheme="minorEastAsia"/>
                      <w:color w:val="auto"/>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blHeader/>
                <w:jc w:val="center"/>
              </w:trPr>
              <w:tc>
                <w:tcPr>
                  <w:tcW w:w="16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《挥发性有机物无组织排放控制标准（GB 37822—2019）》</w:t>
                  </w:r>
                </w:p>
              </w:tc>
              <w:tc>
                <w:tcPr>
                  <w:tcW w:w="63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val="en-US" w:eastAsia="zh-CN"/>
                    </w:rPr>
                    <w:t>非甲烷总烃NMHC</w:t>
                  </w:r>
                </w:p>
              </w:tc>
              <w:tc>
                <w:tcPr>
                  <w:tcW w:w="54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无组织</w:t>
                  </w: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监控点处</w:t>
                  </w:r>
                  <w:r>
                    <w:rPr>
                      <w:rFonts w:hint="default" w:ascii="Times New Roman" w:hAnsi="Times New Roman" w:cs="Times New Roman" w:eastAsiaTheme="minorEastAsia"/>
                      <w:color w:val="auto"/>
                      <w:sz w:val="18"/>
                      <w:szCs w:val="18"/>
                      <w:highlight w:val="none"/>
                      <w:lang w:val="en-US" w:eastAsia="zh-CN"/>
                    </w:rPr>
                    <w:t>1小时平均浓度值6mg/m</w:t>
                  </w:r>
                  <w:r>
                    <w:rPr>
                      <w:rFonts w:hint="default" w:ascii="Times New Roman" w:hAnsi="Times New Roman" w:cs="Times New Roman" w:eastAsiaTheme="minorEastAsia"/>
                      <w:color w:val="auto"/>
                      <w:sz w:val="18"/>
                      <w:szCs w:val="18"/>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4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63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监控点处任意一次浓度值：</w:t>
                  </w:r>
                  <w:r>
                    <w:rPr>
                      <w:rFonts w:hint="default" w:ascii="Times New Roman" w:hAnsi="Times New Roman" w:cs="Times New Roman" w:eastAsiaTheme="minorEastAsia"/>
                      <w:color w:val="auto"/>
                      <w:sz w:val="18"/>
                      <w:szCs w:val="18"/>
                      <w:highlight w:val="none"/>
                      <w:lang w:val="en-US" w:eastAsia="zh-CN"/>
                    </w:rPr>
                    <w:t>20mg/m</w:t>
                  </w:r>
                  <w:r>
                    <w:rPr>
                      <w:rFonts w:hint="default" w:ascii="Times New Roman" w:hAnsi="Times New Roman" w:cs="Times New Roman" w:eastAsiaTheme="minorEastAsia"/>
                      <w:color w:val="auto"/>
                      <w:sz w:val="18"/>
                      <w:szCs w:val="18"/>
                      <w:highlight w:val="none"/>
                      <w:vertAlign w:val="superscript"/>
                      <w:lang w:val="en-US" w:eastAsia="zh-CN"/>
                    </w:rPr>
                    <w:t>3</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rPr>
                <w:rFonts w:cs="宋体"/>
                <w:b/>
                <w:kern w:val="0"/>
                <w:szCs w:val="21"/>
                <w:highlight w:val="none"/>
              </w:rPr>
            </w:pPr>
            <w:r>
              <w:rPr>
                <w:rFonts w:hint="eastAsia" w:cs="宋体"/>
                <w:b/>
                <w:kern w:val="0"/>
                <w:szCs w:val="21"/>
                <w:highlight w:val="none"/>
                <w:lang w:val="en-US" w:eastAsia="zh-CN"/>
              </w:rPr>
              <w:t>2、</w:t>
            </w:r>
            <w:r>
              <w:rPr>
                <w:rFonts w:hint="eastAsia" w:cs="宋体"/>
                <w:b/>
                <w:kern w:val="0"/>
                <w:szCs w:val="21"/>
                <w:highlight w:val="none"/>
              </w:rPr>
              <w:t>声环境排放标准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宋体"/>
                <w:bCs/>
                <w:kern w:val="0"/>
                <w:sz w:val="21"/>
                <w:szCs w:val="21"/>
                <w:highlight w:val="none"/>
              </w:rPr>
            </w:pPr>
            <w:r>
              <w:rPr>
                <w:rFonts w:hint="eastAsia" w:cs="宋体"/>
                <w:bCs/>
                <w:kern w:val="0"/>
                <w:sz w:val="21"/>
                <w:szCs w:val="21"/>
                <w:highlight w:val="none"/>
              </w:rPr>
              <w:t>项目厂界噪声执行《工业企业厂界环境噪声排放标准》</w:t>
            </w:r>
            <w:r>
              <w:rPr>
                <w:rFonts w:cs="宋体"/>
                <w:bCs/>
                <w:kern w:val="0"/>
                <w:sz w:val="21"/>
                <w:szCs w:val="21"/>
                <w:highlight w:val="none"/>
              </w:rPr>
              <w:t>(GB12348-2008)</w:t>
            </w:r>
            <w:r>
              <w:rPr>
                <w:rFonts w:hint="eastAsia" w:cs="宋体"/>
                <w:bCs/>
                <w:kern w:val="0"/>
                <w:sz w:val="21"/>
                <w:szCs w:val="21"/>
                <w:highlight w:val="none"/>
                <w:lang w:val="en-US" w:eastAsia="zh-CN"/>
              </w:rPr>
              <w:t>2</w:t>
            </w:r>
            <w:r>
              <w:rPr>
                <w:rFonts w:hint="eastAsia" w:cs="宋体"/>
                <w:bCs/>
                <w:kern w:val="0"/>
                <w:sz w:val="21"/>
                <w:szCs w:val="21"/>
                <w:highlight w:val="none"/>
              </w:rPr>
              <w:t>类标准，具体标准值见</w:t>
            </w:r>
            <w:r>
              <w:rPr>
                <w:rFonts w:hint="eastAsia" w:cs="宋体"/>
                <w:bCs/>
                <w:kern w:val="0"/>
                <w:sz w:val="21"/>
                <w:szCs w:val="21"/>
                <w:highlight w:val="none"/>
                <w:lang w:eastAsia="zh-CN"/>
              </w:rPr>
              <w:t>下表</w:t>
            </w:r>
            <w:r>
              <w:rPr>
                <w:rFonts w:hint="eastAsia" w:cs="宋体"/>
                <w:bCs/>
                <w:kern w:val="0"/>
                <w:sz w:val="21"/>
                <w:szCs w:val="21"/>
                <w:highlight w:val="none"/>
              </w:rPr>
              <w:t>。</w:t>
            </w:r>
          </w:p>
          <w:p>
            <w:pPr>
              <w:keepNext w:val="0"/>
              <w:keepLines w:val="0"/>
              <w:pageBreakBefore w:val="0"/>
              <w:widowControl w:val="0"/>
              <w:numPr>
                <w:ilvl w:val="0"/>
                <w:numId w:val="1"/>
              </w:numPr>
              <w:suppressLineNumbers w:val="0"/>
              <w:kinsoku/>
              <w:wordWrap/>
              <w:overflowPunct/>
              <w:topLinePunct w:val="0"/>
              <w:bidi w:val="0"/>
              <w:adjustRightInd/>
              <w:snapToGrid/>
              <w:spacing w:before="0" w:beforeAutospacing="0" w:afterAutospacing="0" w:line="360" w:lineRule="auto"/>
              <w:ind w:left="0" w:leftChars="0" w:right="0" w:firstLine="0" w:firstLineChars="0"/>
              <w:jc w:val="center"/>
              <w:textAlignment w:val="auto"/>
              <w:rPr>
                <w:rFonts w:hint="eastAsia"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 xml:space="preserve">   声环境排放标准  单位： dB(A)</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9"/>
              <w:gridCol w:w="1882"/>
              <w:gridCol w:w="1725"/>
              <w:gridCol w:w="17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655" w:type="pct"/>
                  <w:noWrap w:val="0"/>
                  <w:tcMar>
                    <w:top w:w="85" w:type="dxa"/>
                    <w:bottom w:w="85" w:type="dxa"/>
                  </w:tcMar>
                  <w:vAlign w:val="center"/>
                </w:tcPr>
                <w:p>
                  <w:pPr>
                    <w:jc w:val="center"/>
                    <w:rPr>
                      <w:rFonts w:hint="eastAsia" w:cs="Calibri"/>
                      <w:bCs/>
                      <w:sz w:val="18"/>
                      <w:szCs w:val="18"/>
                      <w:highlight w:val="none"/>
                    </w:rPr>
                  </w:pPr>
                  <w:r>
                    <w:rPr>
                      <w:rFonts w:hint="default" w:ascii="Times New Roman" w:hAnsi="Times New Roman" w:cs="Times New Roman" w:eastAsiaTheme="minorEastAsia"/>
                      <w:color w:val="auto"/>
                      <w:sz w:val="18"/>
                      <w:szCs w:val="18"/>
                      <w:highlight w:val="none"/>
                    </w:rPr>
                    <w:t>执行标准名称及级别</w:t>
                  </w:r>
                </w:p>
              </w:tc>
              <w:tc>
                <w:tcPr>
                  <w:tcW w:w="1180" w:type="pct"/>
                  <w:noWrap w:val="0"/>
                  <w:tcMar>
                    <w:top w:w="85" w:type="dxa"/>
                    <w:bottom w:w="85" w:type="dxa"/>
                  </w:tcMar>
                  <w:vAlign w:val="center"/>
                </w:tcPr>
                <w:p>
                  <w:pPr>
                    <w:jc w:val="center"/>
                    <w:rPr>
                      <w:rFonts w:cs="Calibri"/>
                      <w:bCs/>
                      <w:sz w:val="18"/>
                      <w:szCs w:val="18"/>
                      <w:highlight w:val="none"/>
                    </w:rPr>
                  </w:pPr>
                  <w:r>
                    <w:rPr>
                      <w:rFonts w:hint="eastAsia" w:cs="Calibri"/>
                      <w:bCs/>
                      <w:sz w:val="18"/>
                      <w:szCs w:val="18"/>
                      <w:highlight w:val="none"/>
                    </w:rPr>
                    <w:t>声环境功能区类</w:t>
                  </w:r>
                </w:p>
              </w:tc>
              <w:tc>
                <w:tcPr>
                  <w:tcW w:w="1082" w:type="pct"/>
                  <w:noWrap w:val="0"/>
                  <w:tcMar>
                    <w:top w:w="85" w:type="dxa"/>
                    <w:bottom w:w="85" w:type="dxa"/>
                  </w:tcMar>
                  <w:vAlign w:val="center"/>
                </w:tcPr>
                <w:p>
                  <w:pPr>
                    <w:jc w:val="center"/>
                    <w:rPr>
                      <w:rFonts w:hint="eastAsia" w:cs="Calibri"/>
                      <w:bCs/>
                      <w:sz w:val="18"/>
                      <w:szCs w:val="18"/>
                      <w:highlight w:val="none"/>
                    </w:rPr>
                  </w:pPr>
                  <w:r>
                    <w:rPr>
                      <w:rFonts w:hint="eastAsia" w:cs="Calibri"/>
                      <w:bCs/>
                      <w:sz w:val="18"/>
                      <w:szCs w:val="18"/>
                      <w:highlight w:val="none"/>
                    </w:rPr>
                    <w:t>昼间</w:t>
                  </w:r>
                </w:p>
              </w:tc>
              <w:tc>
                <w:tcPr>
                  <w:tcW w:w="1082" w:type="pct"/>
                  <w:noWrap w:val="0"/>
                  <w:vAlign w:val="center"/>
                </w:tcPr>
                <w:p>
                  <w:pPr>
                    <w:jc w:val="center"/>
                    <w:rPr>
                      <w:rFonts w:cs="Calibri"/>
                      <w:bCs/>
                      <w:sz w:val="18"/>
                      <w:szCs w:val="18"/>
                      <w:highlight w:val="none"/>
                    </w:rPr>
                  </w:pPr>
                  <w:r>
                    <w:rPr>
                      <w:rFonts w:hint="eastAsia" w:cs="Calibri"/>
                      <w:bCs/>
                      <w:sz w:val="18"/>
                      <w:szCs w:val="18"/>
                      <w:highlight w:val="none"/>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655" w:type="pct"/>
                  <w:noWrap w:val="0"/>
                  <w:tcMar>
                    <w:top w:w="85" w:type="dxa"/>
                    <w:bottom w:w="85" w:type="dxa"/>
                  </w:tcMar>
                  <w:vAlign w:val="center"/>
                </w:tcPr>
                <w:p>
                  <w:pPr>
                    <w:jc w:val="center"/>
                    <w:rPr>
                      <w:rFonts w:hint="eastAsia" w:cs="Calibri"/>
                      <w:bCs/>
                      <w:sz w:val="18"/>
                      <w:szCs w:val="18"/>
                      <w:highlight w:val="none"/>
                      <w:lang w:val="en-US" w:eastAsia="zh-CN"/>
                    </w:rPr>
                  </w:pPr>
                  <w:r>
                    <w:rPr>
                      <w:rFonts w:hint="eastAsia" w:cs="Calibri"/>
                      <w:bCs/>
                      <w:sz w:val="18"/>
                      <w:szCs w:val="18"/>
                      <w:highlight w:val="none"/>
                    </w:rPr>
                    <w:t>《声环境质量标准》（</w:t>
                  </w:r>
                  <w:r>
                    <w:rPr>
                      <w:rFonts w:cs="Calibri"/>
                      <w:bCs/>
                      <w:sz w:val="18"/>
                      <w:szCs w:val="18"/>
                      <w:highlight w:val="none"/>
                    </w:rPr>
                    <w:t>GB3096-2008</w:t>
                  </w:r>
                  <w:r>
                    <w:rPr>
                      <w:rFonts w:hint="eastAsia" w:cs="Calibri"/>
                      <w:bCs/>
                      <w:sz w:val="18"/>
                      <w:szCs w:val="18"/>
                      <w:highlight w:val="none"/>
                    </w:rPr>
                    <w:t>）</w:t>
                  </w:r>
                  <w:r>
                    <w:rPr>
                      <w:rFonts w:hint="eastAsia" w:cs="Calibri"/>
                      <w:bCs/>
                      <w:sz w:val="18"/>
                      <w:szCs w:val="18"/>
                      <w:highlight w:val="none"/>
                      <w:lang w:val="en-US" w:eastAsia="zh-CN"/>
                    </w:rPr>
                    <w:t>2</w:t>
                  </w:r>
                  <w:r>
                    <w:rPr>
                      <w:rFonts w:cs="Calibri"/>
                      <w:bCs/>
                      <w:sz w:val="18"/>
                      <w:szCs w:val="18"/>
                      <w:highlight w:val="none"/>
                    </w:rPr>
                    <w:t xml:space="preserve"> </w:t>
                  </w:r>
                  <w:r>
                    <w:rPr>
                      <w:rFonts w:hint="eastAsia" w:cs="Calibri"/>
                      <w:bCs/>
                      <w:sz w:val="18"/>
                      <w:szCs w:val="18"/>
                      <w:highlight w:val="none"/>
                    </w:rPr>
                    <w:t>类标准</w:t>
                  </w:r>
                </w:p>
              </w:tc>
              <w:tc>
                <w:tcPr>
                  <w:tcW w:w="1180" w:type="pct"/>
                  <w:noWrap w:val="0"/>
                  <w:tcMar>
                    <w:top w:w="85" w:type="dxa"/>
                    <w:bottom w:w="85" w:type="dxa"/>
                  </w:tcMar>
                  <w:vAlign w:val="center"/>
                </w:tcPr>
                <w:p>
                  <w:pPr>
                    <w:jc w:val="center"/>
                    <w:rPr>
                      <w:rFonts w:hint="eastAsia" w:cs="Calibri"/>
                      <w:bCs/>
                      <w:sz w:val="18"/>
                      <w:szCs w:val="18"/>
                      <w:highlight w:val="none"/>
                    </w:rPr>
                  </w:pPr>
                  <w:r>
                    <w:rPr>
                      <w:rFonts w:hint="eastAsia" w:cs="Calibri"/>
                      <w:bCs/>
                      <w:sz w:val="18"/>
                      <w:szCs w:val="18"/>
                      <w:highlight w:val="none"/>
                      <w:lang w:val="en-US" w:eastAsia="zh-CN"/>
                    </w:rPr>
                    <w:t>2</w:t>
                  </w:r>
                  <w:r>
                    <w:rPr>
                      <w:rFonts w:hint="eastAsia" w:cs="Calibri"/>
                      <w:bCs/>
                      <w:sz w:val="18"/>
                      <w:szCs w:val="18"/>
                      <w:highlight w:val="none"/>
                    </w:rPr>
                    <w:t>类</w:t>
                  </w:r>
                </w:p>
              </w:tc>
              <w:tc>
                <w:tcPr>
                  <w:tcW w:w="1082" w:type="pct"/>
                  <w:noWrap w:val="0"/>
                  <w:tcMar>
                    <w:top w:w="85" w:type="dxa"/>
                    <w:bottom w:w="85" w:type="dxa"/>
                  </w:tcMar>
                  <w:vAlign w:val="center"/>
                </w:tcPr>
                <w:p>
                  <w:pPr>
                    <w:jc w:val="center"/>
                    <w:rPr>
                      <w:rFonts w:hint="default" w:eastAsia="宋体" w:cs="Calibri"/>
                      <w:bCs/>
                      <w:sz w:val="18"/>
                      <w:szCs w:val="18"/>
                      <w:highlight w:val="none"/>
                      <w:lang w:val="en-US" w:eastAsia="zh-CN"/>
                    </w:rPr>
                  </w:pPr>
                  <w:r>
                    <w:rPr>
                      <w:rFonts w:hint="eastAsia" w:cs="Calibri"/>
                      <w:bCs/>
                      <w:sz w:val="18"/>
                      <w:szCs w:val="18"/>
                      <w:highlight w:val="none"/>
                      <w:lang w:val="en-US" w:eastAsia="zh-CN"/>
                    </w:rPr>
                    <w:t>60</w:t>
                  </w:r>
                </w:p>
              </w:tc>
              <w:tc>
                <w:tcPr>
                  <w:tcW w:w="1082" w:type="pct"/>
                  <w:noWrap w:val="0"/>
                  <w:vAlign w:val="center"/>
                </w:tcPr>
                <w:p>
                  <w:pPr>
                    <w:jc w:val="center"/>
                    <w:rPr>
                      <w:rFonts w:hint="default" w:eastAsia="宋体" w:cs="Calibri"/>
                      <w:bCs/>
                      <w:sz w:val="18"/>
                      <w:szCs w:val="18"/>
                      <w:highlight w:val="none"/>
                      <w:lang w:val="en-US" w:eastAsia="zh-CN"/>
                    </w:rPr>
                  </w:pPr>
                  <w:r>
                    <w:rPr>
                      <w:rFonts w:hint="eastAsia" w:cs="Calibri"/>
                      <w:bCs/>
                      <w:sz w:val="18"/>
                      <w:szCs w:val="18"/>
                      <w:highlight w:val="none"/>
                      <w:lang w:val="en-US" w:eastAsia="zh-CN"/>
                    </w:rPr>
                    <w:t>50</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rPr>
                <w:rFonts w:hint="eastAsia" w:cs="宋体"/>
                <w:b/>
                <w:kern w:val="0"/>
                <w:szCs w:val="21"/>
                <w:highlight w:val="none"/>
              </w:rPr>
            </w:pPr>
            <w:r>
              <w:rPr>
                <w:rFonts w:hint="eastAsia" w:cs="宋体"/>
                <w:b/>
                <w:kern w:val="0"/>
                <w:szCs w:val="21"/>
                <w:highlight w:val="none"/>
                <w:lang w:val="en-US" w:eastAsia="zh-CN"/>
              </w:rPr>
              <w:t>3、</w:t>
            </w:r>
            <w:r>
              <w:rPr>
                <w:rFonts w:hint="eastAsia" w:cs="宋体"/>
                <w:b/>
                <w:kern w:val="0"/>
                <w:szCs w:val="21"/>
                <w:highlight w:val="none"/>
              </w:rPr>
              <w:t>固废标准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宋体"/>
                <w:kern w:val="0"/>
                <w:szCs w:val="21"/>
                <w:highlight w:val="cyan"/>
              </w:rPr>
            </w:pPr>
            <w:r>
              <w:rPr>
                <w:rFonts w:hint="eastAsia" w:cs="宋体"/>
                <w:bCs/>
                <w:kern w:val="0"/>
                <w:szCs w:val="21"/>
                <w:highlight w:val="none"/>
              </w:rPr>
              <w:t>一般固体废物执行《中华人民共和国固体废物污染环境防治法》、《一般工业固体废物贮存、处置场污染控制标准》（GB18599-2001）及2013 年修改单中的有关规定；危险固废执行《危险废物贮存污染控制标准》（GB18597-2001）及2013 年修改单中的有关规定。</w:t>
            </w:r>
            <w:r>
              <w:rPr>
                <w:rFonts w:hint="eastAsia" w:cs="宋体"/>
                <w:bCs/>
                <w:kern w:val="0"/>
                <w:szCs w:val="21"/>
                <w:highlight w:val="none"/>
              </w:rPr>
              <w:br w:type="textWrapping"/>
            </w:r>
            <w:r>
              <w:rPr>
                <w:rFonts w:hint="eastAsia" w:cs="宋体"/>
                <w:bCs/>
                <w:kern w:val="0"/>
                <w:szCs w:val="21"/>
                <w:highlight w:val="none"/>
              </w:rPr>
              <w:br w:type="textWrapping"/>
            </w:r>
            <w:r>
              <w:rPr>
                <w:rFonts w:hint="eastAsia" w:cs="宋体"/>
                <w:bCs/>
                <w:kern w:val="0"/>
                <w:szCs w:val="21"/>
                <w:highlight w:val="none"/>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2" w:hRule="atLeast"/>
          <w:jc w:val="center"/>
        </w:trPr>
        <w:tc>
          <w:tcPr>
            <w:tcW w:w="800" w:type="dxa"/>
            <w:noWrap w:val="0"/>
            <w:vAlign w:val="center"/>
          </w:tcPr>
          <w:p>
            <w:pPr>
              <w:adjustRightInd w:val="0"/>
              <w:snapToGrid w:val="0"/>
              <w:jc w:val="center"/>
              <w:rPr>
                <w:rFonts w:hint="eastAsia" w:cs="宋体"/>
                <w:kern w:val="0"/>
                <w:szCs w:val="21"/>
                <w:highlight w:val="none"/>
              </w:rPr>
            </w:pPr>
            <w:r>
              <w:rPr>
                <w:rFonts w:hint="eastAsia" w:cs="宋体"/>
                <w:kern w:val="0"/>
                <w:szCs w:val="21"/>
                <w:highlight w:val="none"/>
              </w:rPr>
              <w:t>总量</w:t>
            </w:r>
          </w:p>
          <w:p>
            <w:pPr>
              <w:adjustRightInd w:val="0"/>
              <w:snapToGrid w:val="0"/>
              <w:jc w:val="center"/>
              <w:rPr>
                <w:rFonts w:hint="eastAsia" w:cs="宋体"/>
                <w:kern w:val="0"/>
                <w:szCs w:val="21"/>
                <w:highlight w:val="none"/>
              </w:rPr>
            </w:pPr>
            <w:r>
              <w:rPr>
                <w:rFonts w:hint="eastAsia" w:cs="宋体"/>
                <w:kern w:val="0"/>
                <w:szCs w:val="21"/>
                <w:highlight w:val="none"/>
              </w:rPr>
              <w:t>控制</w:t>
            </w:r>
          </w:p>
          <w:p>
            <w:pPr>
              <w:adjustRightInd w:val="0"/>
              <w:snapToGrid w:val="0"/>
              <w:jc w:val="center"/>
              <w:rPr>
                <w:rFonts w:cs="宋体"/>
                <w:kern w:val="0"/>
                <w:szCs w:val="21"/>
                <w:highlight w:val="cyan"/>
              </w:rPr>
            </w:pPr>
            <w:r>
              <w:rPr>
                <w:rFonts w:hint="eastAsia" w:cs="宋体"/>
                <w:kern w:val="0"/>
                <w:szCs w:val="21"/>
                <w:highlight w:val="none"/>
              </w:rPr>
              <w:t>指标</w:t>
            </w:r>
          </w:p>
        </w:tc>
        <w:tc>
          <w:tcPr>
            <w:tcW w:w="819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color w:val="auto"/>
                <w:kern w:val="0"/>
                <w:szCs w:val="21"/>
                <w:highlight w:val="none"/>
              </w:rPr>
            </w:pPr>
            <w:r>
              <w:rPr>
                <w:rFonts w:cs="宋体"/>
                <w:bCs/>
                <w:color w:val="auto"/>
                <w:kern w:val="0"/>
                <w:szCs w:val="21"/>
                <w:highlight w:val="none"/>
              </w:rPr>
              <w:t>（1）废水污染物总量指标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eastAsia="宋体" w:cs="宋体"/>
                <w:bCs/>
                <w:color w:val="auto"/>
                <w:kern w:val="0"/>
                <w:szCs w:val="21"/>
                <w:highlight w:val="none"/>
                <w:lang w:eastAsia="zh-CN"/>
              </w:rPr>
            </w:pPr>
            <w:r>
              <w:rPr>
                <w:rFonts w:hint="eastAsia" w:cs="宋体"/>
                <w:bCs/>
                <w:color w:val="auto"/>
                <w:kern w:val="0"/>
                <w:szCs w:val="21"/>
                <w:highlight w:val="none"/>
                <w:lang w:eastAsia="zh-CN"/>
              </w:rPr>
              <w:t>本次工程无新增废水总量。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color w:val="auto"/>
                <w:kern w:val="0"/>
                <w:szCs w:val="21"/>
                <w:highlight w:val="none"/>
              </w:rPr>
            </w:pPr>
            <w:r>
              <w:rPr>
                <w:rFonts w:cs="宋体"/>
                <w:bCs/>
                <w:color w:val="auto"/>
                <w:kern w:val="0"/>
                <w:szCs w:val="21"/>
                <w:highlight w:val="none"/>
              </w:rPr>
              <w:t>（2）废气污染物总量指标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宋体"/>
                <w:bCs/>
                <w:color w:val="auto"/>
                <w:kern w:val="0"/>
                <w:szCs w:val="21"/>
                <w:highlight w:val="none"/>
              </w:rPr>
            </w:pPr>
            <w:r>
              <w:rPr>
                <w:rFonts w:hint="eastAsia" w:cs="宋体"/>
                <w:bCs/>
                <w:color w:val="auto"/>
                <w:kern w:val="0"/>
                <w:szCs w:val="21"/>
                <w:highlight w:val="none"/>
              </w:rPr>
              <w:t>现有工程VOCs（非甲烷总烃）排放总量为0.1896t/a。</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color w:val="FF0000"/>
                <w:kern w:val="0"/>
                <w:szCs w:val="21"/>
                <w:highlight w:val="cyan"/>
              </w:rPr>
            </w:pPr>
            <w:r>
              <w:rPr>
                <w:rFonts w:hint="eastAsia" w:cs="宋体"/>
                <w:bCs/>
                <w:color w:val="auto"/>
                <w:kern w:val="0"/>
                <w:szCs w:val="21"/>
                <w:highlight w:val="none"/>
              </w:rPr>
              <w:t>本次工程新增VOCs（非甲烷总烃）量为0.1352t/a（有组织0.1047t/a，无组织0.0305t/a），现有工程以新带老消减量为0.1728t/a，本次扩建工程经现有工程以新带老消减后无新增</w:t>
            </w:r>
            <w:r>
              <w:rPr>
                <w:rFonts w:hint="eastAsia" w:cs="宋体"/>
                <w:bCs/>
                <w:color w:val="auto"/>
                <w:kern w:val="0"/>
                <w:szCs w:val="21"/>
                <w:highlight w:val="none"/>
                <w:lang w:eastAsia="zh-CN"/>
              </w:rPr>
              <w:t>废气</w:t>
            </w:r>
            <w:r>
              <w:rPr>
                <w:rFonts w:hint="eastAsia" w:cs="宋体"/>
                <w:bCs/>
                <w:color w:val="auto"/>
                <w:kern w:val="0"/>
                <w:szCs w:val="21"/>
                <w:highlight w:val="none"/>
              </w:rPr>
              <w:t>总量。</w:t>
            </w:r>
            <w:r>
              <w:rPr>
                <w:rFonts w:cs="宋体"/>
                <w:bCs/>
                <w:color w:val="auto"/>
                <w:kern w:val="0"/>
                <w:szCs w:val="21"/>
                <w:highlight w:val="none"/>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r>
              <w:rPr>
                <w:rFonts w:cs="宋体"/>
                <w:bCs/>
                <w:color w:val="FF0000"/>
                <w:kern w:val="0"/>
                <w:szCs w:val="21"/>
                <w:highlight w:val="cyan"/>
              </w:rPr>
              <w:br w:type="textWrapping"/>
            </w:r>
          </w:p>
          <w:p>
            <w:pPr>
              <w:pStyle w:val="2"/>
              <w:rPr>
                <w:rFonts w:cs="宋体"/>
                <w:bCs/>
                <w:color w:val="FF0000"/>
                <w:kern w:val="0"/>
                <w:szCs w:val="21"/>
                <w:highlight w:val="cyan"/>
              </w:rPr>
            </w:pPr>
          </w:p>
          <w:p>
            <w:pPr>
              <w:rPr>
                <w:rFonts w:cs="宋体"/>
                <w:bCs/>
                <w:color w:val="FF0000"/>
                <w:kern w:val="0"/>
                <w:szCs w:val="21"/>
                <w:highlight w:val="cyan"/>
              </w:rPr>
            </w:pPr>
          </w:p>
          <w:p>
            <w:pPr>
              <w:pStyle w:val="2"/>
            </w:pPr>
          </w:p>
          <w:p>
            <w:pPr>
              <w:autoSpaceDE w:val="0"/>
              <w:autoSpaceDN w:val="0"/>
              <w:adjustRightInd w:val="0"/>
              <w:snapToGrid w:val="0"/>
              <w:spacing w:line="400" w:lineRule="exact"/>
              <w:ind w:firstLine="420" w:firstLineChars="200"/>
              <w:rPr>
                <w:rFonts w:cs="宋体"/>
                <w:bCs/>
                <w:color w:val="FF0000"/>
                <w:kern w:val="0"/>
                <w:szCs w:val="21"/>
                <w:highlight w:val="cyan"/>
              </w:rPr>
            </w:pPr>
          </w:p>
          <w:p>
            <w:pPr>
              <w:autoSpaceDE w:val="0"/>
              <w:autoSpaceDN w:val="0"/>
              <w:adjustRightInd w:val="0"/>
              <w:snapToGrid w:val="0"/>
              <w:spacing w:line="400" w:lineRule="exact"/>
              <w:ind w:firstLine="420" w:firstLineChars="200"/>
              <w:rPr>
                <w:rFonts w:cs="宋体"/>
                <w:bCs/>
                <w:color w:val="FF0000"/>
                <w:kern w:val="0"/>
                <w:szCs w:val="21"/>
                <w:highlight w:val="cyan"/>
              </w:rPr>
            </w:pPr>
          </w:p>
          <w:p>
            <w:pPr>
              <w:autoSpaceDE w:val="0"/>
              <w:autoSpaceDN w:val="0"/>
              <w:adjustRightInd w:val="0"/>
              <w:snapToGrid w:val="0"/>
              <w:spacing w:line="400" w:lineRule="exact"/>
              <w:ind w:firstLine="420" w:firstLineChars="200"/>
              <w:rPr>
                <w:rFonts w:cs="宋体"/>
                <w:bCs/>
                <w:color w:val="FF0000"/>
                <w:kern w:val="0"/>
                <w:szCs w:val="21"/>
                <w:highlight w:val="cyan"/>
              </w:rPr>
            </w:pPr>
          </w:p>
          <w:p>
            <w:pPr>
              <w:autoSpaceDE w:val="0"/>
              <w:autoSpaceDN w:val="0"/>
              <w:adjustRightInd w:val="0"/>
              <w:snapToGrid w:val="0"/>
              <w:spacing w:line="400" w:lineRule="exact"/>
              <w:ind w:firstLine="420" w:firstLineChars="200"/>
              <w:rPr>
                <w:rFonts w:hint="eastAsia" w:cs="宋体"/>
                <w:kern w:val="0"/>
                <w:szCs w:val="21"/>
                <w:highlight w:val="cyan"/>
              </w:rPr>
            </w:pPr>
            <w:r>
              <w:rPr>
                <w:rFonts w:cs="宋体"/>
                <w:bCs/>
                <w:color w:val="FF0000"/>
                <w:kern w:val="0"/>
                <w:szCs w:val="21"/>
                <w:highlight w:val="cyan"/>
              </w:rPr>
              <w:br w:type="textWrapping"/>
            </w:r>
            <w:r>
              <w:rPr>
                <w:rFonts w:cs="宋体"/>
                <w:bCs/>
                <w:color w:val="FF0000"/>
                <w:kern w:val="0"/>
                <w:szCs w:val="21"/>
                <w:highlight w:val="cyan"/>
              </w:rPr>
              <w:br w:type="textWrapping"/>
            </w:r>
          </w:p>
        </w:tc>
      </w:tr>
    </w:tbl>
    <w:p>
      <w:pPr>
        <w:pStyle w:val="15"/>
        <w:jc w:val="center"/>
        <w:outlineLvl w:val="0"/>
        <w:rPr>
          <w:rFonts w:ascii="Times New Roman" w:hAnsi="Times New Roman" w:eastAsia="黑体"/>
          <w:snapToGrid w:val="0"/>
          <w:sz w:val="30"/>
          <w:szCs w:val="30"/>
          <w:highlight w:val="none"/>
        </w:rPr>
      </w:pPr>
      <w:r>
        <w:rPr>
          <w:rFonts w:ascii="Times New Roman" w:hAnsi="Times New Roman" w:eastAsia="黑体"/>
          <w:snapToGrid w:val="0"/>
          <w:sz w:val="36"/>
          <w:szCs w:val="36"/>
          <w:highlight w:val="cyan"/>
        </w:rPr>
        <w:br w:type="page"/>
      </w:r>
      <w:r>
        <w:rPr>
          <w:rFonts w:hint="eastAsia" w:ascii="Times New Roman" w:hAnsi="Times New Roman" w:eastAsia="黑体"/>
          <w:snapToGrid w:val="0"/>
          <w:sz w:val="30"/>
          <w:szCs w:val="30"/>
          <w:highlight w:val="none"/>
        </w:rPr>
        <w:t>四、主要环境影响和保护措施</w:t>
      </w:r>
    </w:p>
    <w:tbl>
      <w:tblPr>
        <w:tblStyle w:val="1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82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720" w:type="dxa"/>
            <w:noWrap w:val="0"/>
            <w:tcMar>
              <w:left w:w="28" w:type="dxa"/>
              <w:right w:w="28" w:type="dxa"/>
            </w:tcMar>
            <w:vAlign w:val="center"/>
          </w:tcPr>
          <w:p>
            <w:pPr>
              <w:pStyle w:val="15"/>
              <w:adjustRightInd w:val="0"/>
              <w:snapToGrid w:val="0"/>
              <w:spacing w:before="0" w:beforeAutospacing="0" w:after="0" w:afterAutospacing="0"/>
              <w:jc w:val="center"/>
              <w:rPr>
                <w:rFonts w:hint="eastAsia" w:ascii="Times New Roman" w:hAnsi="Times New Roman" w:cs="宋体"/>
                <w:kern w:val="2"/>
                <w:sz w:val="21"/>
                <w:szCs w:val="21"/>
                <w:highlight w:val="none"/>
              </w:rPr>
            </w:pPr>
            <w:r>
              <w:rPr>
                <w:rFonts w:hint="eastAsia" w:ascii="Times New Roman" w:hAnsi="Times New Roman" w:cs="宋体"/>
                <w:kern w:val="2"/>
                <w:sz w:val="21"/>
                <w:szCs w:val="21"/>
                <w:highlight w:val="none"/>
              </w:rPr>
              <w:t>施工</w:t>
            </w:r>
          </w:p>
          <w:p>
            <w:pPr>
              <w:pStyle w:val="15"/>
              <w:adjustRightInd w:val="0"/>
              <w:snapToGrid w:val="0"/>
              <w:spacing w:before="0" w:beforeAutospacing="0" w:after="0" w:afterAutospacing="0"/>
              <w:jc w:val="center"/>
              <w:rPr>
                <w:rFonts w:hint="eastAsia" w:ascii="Times New Roman" w:hAnsi="Times New Roman" w:cs="宋体"/>
                <w:kern w:val="2"/>
                <w:sz w:val="21"/>
                <w:szCs w:val="21"/>
                <w:highlight w:val="none"/>
              </w:rPr>
            </w:pPr>
            <w:r>
              <w:rPr>
                <w:rFonts w:hint="eastAsia" w:ascii="Times New Roman" w:hAnsi="Times New Roman" w:cs="宋体"/>
                <w:kern w:val="2"/>
                <w:sz w:val="21"/>
                <w:szCs w:val="21"/>
                <w:highlight w:val="none"/>
              </w:rPr>
              <w:t>期环</w:t>
            </w:r>
          </w:p>
          <w:p>
            <w:pPr>
              <w:pStyle w:val="15"/>
              <w:adjustRightInd w:val="0"/>
              <w:snapToGrid w:val="0"/>
              <w:spacing w:before="0" w:beforeAutospacing="0" w:after="0" w:afterAutospacing="0"/>
              <w:jc w:val="center"/>
              <w:rPr>
                <w:rFonts w:hint="eastAsia" w:ascii="Times New Roman" w:hAnsi="Times New Roman" w:cs="宋体"/>
                <w:kern w:val="2"/>
                <w:sz w:val="21"/>
                <w:szCs w:val="21"/>
                <w:highlight w:val="none"/>
              </w:rPr>
            </w:pPr>
            <w:r>
              <w:rPr>
                <w:rFonts w:hint="eastAsia" w:ascii="Times New Roman" w:hAnsi="Times New Roman" w:cs="宋体"/>
                <w:kern w:val="2"/>
                <w:sz w:val="21"/>
                <w:szCs w:val="21"/>
                <w:highlight w:val="none"/>
              </w:rPr>
              <w:t>境保</w:t>
            </w:r>
          </w:p>
          <w:p>
            <w:pPr>
              <w:pStyle w:val="15"/>
              <w:adjustRightInd w:val="0"/>
              <w:snapToGrid w:val="0"/>
              <w:spacing w:before="0" w:beforeAutospacing="0" w:after="0" w:afterAutospacing="0"/>
              <w:jc w:val="center"/>
              <w:rPr>
                <w:rFonts w:hint="eastAsia" w:ascii="Times New Roman" w:hAnsi="Times New Roman" w:cs="宋体"/>
                <w:kern w:val="2"/>
                <w:sz w:val="21"/>
                <w:szCs w:val="21"/>
                <w:highlight w:val="none"/>
              </w:rPr>
            </w:pPr>
            <w:r>
              <w:rPr>
                <w:rFonts w:hint="eastAsia" w:ascii="Times New Roman" w:hAnsi="Times New Roman" w:cs="宋体"/>
                <w:kern w:val="2"/>
                <w:sz w:val="21"/>
                <w:szCs w:val="21"/>
                <w:highlight w:val="none"/>
              </w:rPr>
              <w:t>护措</w:t>
            </w:r>
          </w:p>
          <w:p>
            <w:pPr>
              <w:pStyle w:val="15"/>
              <w:adjustRightInd w:val="0"/>
              <w:snapToGrid w:val="0"/>
              <w:spacing w:before="0" w:beforeAutospacing="0" w:after="0" w:afterAutospacing="0"/>
              <w:jc w:val="center"/>
              <w:rPr>
                <w:rFonts w:hint="eastAsia" w:ascii="Times New Roman" w:hAnsi="Times New Roman" w:cs="宋体"/>
                <w:bCs/>
                <w:kern w:val="2"/>
                <w:sz w:val="21"/>
                <w:szCs w:val="21"/>
                <w:highlight w:val="none"/>
              </w:rPr>
            </w:pPr>
            <w:r>
              <w:rPr>
                <w:rFonts w:hint="eastAsia" w:ascii="Times New Roman" w:hAnsi="Times New Roman" w:cs="宋体"/>
                <w:kern w:val="2"/>
                <w:sz w:val="21"/>
                <w:szCs w:val="21"/>
                <w:highlight w:val="none"/>
              </w:rPr>
              <w:t>施</w:t>
            </w:r>
          </w:p>
        </w:tc>
        <w:tc>
          <w:tcPr>
            <w:tcW w:w="8261" w:type="dxa"/>
            <w:noWrap w:val="0"/>
            <w:vAlign w:val="center"/>
          </w:tcPr>
          <w:p>
            <w:pPr>
              <w:autoSpaceDE w:val="0"/>
              <w:autoSpaceDN w:val="0"/>
              <w:adjustRightInd w:val="0"/>
              <w:snapToGrid w:val="0"/>
              <w:spacing w:line="400" w:lineRule="exact"/>
              <w:ind w:firstLine="420" w:firstLineChars="200"/>
              <w:rPr>
                <w:rFonts w:cs="宋体"/>
                <w:bCs/>
                <w:spacing w:val="-10"/>
                <w:szCs w:val="21"/>
                <w:highlight w:val="none"/>
              </w:rPr>
            </w:pPr>
            <w:r>
              <w:rPr>
                <w:rFonts w:hint="eastAsia" w:cs="宋体"/>
                <w:bCs/>
                <w:kern w:val="0"/>
                <w:szCs w:val="21"/>
                <w:highlight w:val="none"/>
              </w:rPr>
              <w:t>本次工程利用现有厂区内闲置空厂房进行建设，后续不再进行大规模土建等施工工程，施工期主要为设备的安装，基本在车间内进行，设备安装阶段产生的主要污染为噪声，主要为运输车辆噪声和设备安装噪声，且设备安装均主要在车间内进行，其对周围环境的不利影响将随施工期的结束而终止，因此对周边环境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20" w:type="dxa"/>
            <w:noWrap w:val="0"/>
            <w:tcMar>
              <w:left w:w="28" w:type="dxa"/>
              <w:right w:w="28" w:type="dxa"/>
            </w:tcMar>
            <w:vAlign w:val="center"/>
          </w:tcPr>
          <w:p>
            <w:pPr>
              <w:adjustRightInd w:val="0"/>
              <w:snapToGrid w:val="0"/>
              <w:jc w:val="center"/>
              <w:rPr>
                <w:rFonts w:hint="eastAsia" w:cs="宋体"/>
                <w:bCs/>
                <w:szCs w:val="21"/>
                <w:highlight w:val="none"/>
              </w:rPr>
            </w:pPr>
            <w:r>
              <w:rPr>
                <w:rFonts w:hint="eastAsia" w:cs="宋体"/>
                <w:bCs/>
                <w:szCs w:val="21"/>
                <w:highlight w:val="none"/>
              </w:rPr>
              <w:t>运营</w:t>
            </w:r>
          </w:p>
          <w:p>
            <w:pPr>
              <w:adjustRightInd w:val="0"/>
              <w:snapToGrid w:val="0"/>
              <w:jc w:val="center"/>
              <w:rPr>
                <w:rFonts w:hint="eastAsia" w:cs="宋体"/>
                <w:bCs/>
                <w:szCs w:val="21"/>
                <w:highlight w:val="none"/>
              </w:rPr>
            </w:pPr>
            <w:r>
              <w:rPr>
                <w:rFonts w:hint="eastAsia" w:cs="宋体"/>
                <w:bCs/>
                <w:szCs w:val="21"/>
                <w:highlight w:val="none"/>
              </w:rPr>
              <w:t>期环</w:t>
            </w:r>
          </w:p>
          <w:p>
            <w:pPr>
              <w:adjustRightInd w:val="0"/>
              <w:snapToGrid w:val="0"/>
              <w:jc w:val="center"/>
              <w:rPr>
                <w:rFonts w:hint="eastAsia" w:cs="宋体"/>
                <w:bCs/>
                <w:szCs w:val="21"/>
                <w:highlight w:val="none"/>
              </w:rPr>
            </w:pPr>
            <w:r>
              <w:rPr>
                <w:rFonts w:hint="eastAsia" w:cs="宋体"/>
                <w:bCs/>
                <w:szCs w:val="21"/>
                <w:highlight w:val="none"/>
              </w:rPr>
              <w:t>境影</w:t>
            </w:r>
          </w:p>
          <w:p>
            <w:pPr>
              <w:adjustRightInd w:val="0"/>
              <w:snapToGrid w:val="0"/>
              <w:jc w:val="center"/>
              <w:rPr>
                <w:rFonts w:hint="eastAsia" w:cs="宋体"/>
                <w:bCs/>
                <w:szCs w:val="21"/>
                <w:highlight w:val="none"/>
              </w:rPr>
            </w:pPr>
            <w:r>
              <w:rPr>
                <w:rFonts w:hint="eastAsia" w:cs="宋体"/>
                <w:bCs/>
                <w:szCs w:val="21"/>
                <w:highlight w:val="none"/>
              </w:rPr>
              <w:t>响和</w:t>
            </w:r>
          </w:p>
          <w:p>
            <w:pPr>
              <w:adjustRightInd w:val="0"/>
              <w:snapToGrid w:val="0"/>
              <w:jc w:val="center"/>
              <w:rPr>
                <w:rFonts w:hint="eastAsia" w:cs="宋体"/>
                <w:bCs/>
                <w:szCs w:val="21"/>
                <w:highlight w:val="none"/>
              </w:rPr>
            </w:pPr>
            <w:r>
              <w:rPr>
                <w:rFonts w:hint="eastAsia" w:cs="宋体"/>
                <w:bCs/>
                <w:szCs w:val="21"/>
                <w:highlight w:val="none"/>
              </w:rPr>
              <w:t>保护</w:t>
            </w:r>
          </w:p>
          <w:p>
            <w:pPr>
              <w:adjustRightInd w:val="0"/>
              <w:snapToGrid w:val="0"/>
              <w:jc w:val="center"/>
              <w:rPr>
                <w:rFonts w:cs="宋体"/>
                <w:bCs/>
                <w:szCs w:val="21"/>
                <w:highlight w:val="none"/>
              </w:rPr>
            </w:pPr>
            <w:r>
              <w:rPr>
                <w:rFonts w:hint="eastAsia" w:cs="宋体"/>
                <w:bCs/>
                <w:szCs w:val="21"/>
                <w:highlight w:val="none"/>
              </w:rPr>
              <w:t>措施</w:t>
            </w:r>
          </w:p>
        </w:tc>
        <w:tc>
          <w:tcPr>
            <w:tcW w:w="8261" w:type="dxa"/>
            <w:noWrap w:val="0"/>
            <w:vAlign w:val="center"/>
          </w:tcPr>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textAlignment w:val="auto"/>
              <w:rPr>
                <w:rFonts w:cs="宋体"/>
                <w:b/>
                <w:kern w:val="0"/>
                <w:szCs w:val="21"/>
                <w:highlight w:val="none"/>
              </w:rPr>
            </w:pPr>
            <w:r>
              <w:rPr>
                <w:rFonts w:hint="eastAsia" w:cs="宋体"/>
                <w:b/>
                <w:kern w:val="0"/>
                <w:szCs w:val="21"/>
                <w:highlight w:val="none"/>
              </w:rPr>
              <w:t>废水</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本次改扩建工程废水主要包括生活污水和产品间接冷却废水。</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①生活污水</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本次工程新增员工5人，均不在厂区食宿，用水定额按30L/（人d）计，年工作时间按300d计算，则用水量为0.15m</w:t>
            </w:r>
            <w:r>
              <w:rPr>
                <w:rFonts w:hint="eastAsia"/>
                <w:vertAlign w:val="superscript"/>
              </w:rPr>
              <w:t>3</w:t>
            </w:r>
            <w:r>
              <w:rPr>
                <w:rFonts w:hint="eastAsia"/>
              </w:rPr>
              <w:t>/d（45m</w:t>
            </w:r>
            <w:r>
              <w:rPr>
                <w:rFonts w:hint="eastAsia"/>
                <w:vertAlign w:val="superscript"/>
              </w:rPr>
              <w:t>3</w:t>
            </w:r>
            <w:r>
              <w:rPr>
                <w:rFonts w:hint="eastAsia"/>
              </w:rPr>
              <w:t>/a），污水产生系数取0.8，则生活污水产生量为0.12m</w:t>
            </w:r>
            <w:r>
              <w:rPr>
                <w:rFonts w:hint="eastAsia"/>
                <w:vertAlign w:val="superscript"/>
              </w:rPr>
              <w:t>3</w:t>
            </w:r>
            <w:r>
              <w:rPr>
                <w:rFonts w:hint="eastAsia"/>
              </w:rPr>
              <w:t>/d（36m</w:t>
            </w:r>
            <w:r>
              <w:rPr>
                <w:rFonts w:hint="eastAsia"/>
                <w:vertAlign w:val="superscript"/>
              </w:rPr>
              <w:t>3</w:t>
            </w:r>
            <w:r>
              <w:rPr>
                <w:rFonts w:hint="eastAsia"/>
              </w:rPr>
              <w:t>/a），生活污水污染物产生浓度分别为COD：300mg/L、SS：250mg/L、NH</w:t>
            </w:r>
            <w:r>
              <w:rPr>
                <w:rFonts w:hint="eastAsia"/>
                <w:vertAlign w:val="subscript"/>
              </w:rPr>
              <w:t>3</w:t>
            </w:r>
            <w:r>
              <w:rPr>
                <w:rFonts w:hint="eastAsia"/>
              </w:rPr>
              <w:t>-N：27mg/L、TP：3mg/L，产生量分别为COD：0.0108t/a、SS：0.009t/a、NH</w:t>
            </w:r>
            <w:r>
              <w:rPr>
                <w:rFonts w:hint="eastAsia"/>
                <w:vertAlign w:val="subscript"/>
              </w:rPr>
              <w:t>3</w:t>
            </w:r>
            <w:r>
              <w:rPr>
                <w:rFonts w:hint="eastAsia"/>
              </w:rPr>
              <w:t>-N：0.001t/a、TP：0.0001t/a，该部分废水经厂区现有化粪池处理后，定期清运</w:t>
            </w:r>
            <w:r>
              <w:rPr>
                <w:rFonts w:hint="eastAsia"/>
                <w:lang w:eastAsia="zh-CN"/>
              </w:rPr>
              <w:t>，</w:t>
            </w:r>
            <w:r>
              <w:rPr>
                <w:rFonts w:hint="eastAsia"/>
              </w:rPr>
              <w:t>。</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②产品间接冷却水</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本次改扩建工程产品在冷却过程会产生一定冷却废水，根据企业提供资料和水平衡可知，冷却废水经设置的恒温冷却水罐（15m</w:t>
            </w:r>
            <w:r>
              <w:rPr>
                <w:rFonts w:hint="eastAsia"/>
                <w:vertAlign w:val="superscript"/>
              </w:rPr>
              <w:t>3</w:t>
            </w:r>
            <w:r>
              <w:rPr>
                <w:rFonts w:hint="eastAsia"/>
              </w:rPr>
              <w:t>）冷却后循环使用，由于冷却过程冷却水不与产品直接接触，且冷却过程对冷却水水质要求不高，因此所用的循环冷却水均不外排，仅定期根据损耗情况补充新鲜水即可，新鲜水补充量约为0.3m</w:t>
            </w:r>
            <w:r>
              <w:rPr>
                <w:rFonts w:hint="eastAsia"/>
                <w:vertAlign w:val="superscript"/>
              </w:rPr>
              <w:t>3</w:t>
            </w:r>
            <w:r>
              <w:rPr>
                <w:rFonts w:hint="eastAsia"/>
              </w:rPr>
              <w:t>/d（90m</w:t>
            </w:r>
            <w:r>
              <w:rPr>
                <w:rFonts w:hint="eastAsia"/>
                <w:vertAlign w:val="superscript"/>
              </w:rPr>
              <w:t>3</w:t>
            </w:r>
            <w:r>
              <w:rPr>
                <w:rFonts w:hint="eastAsia"/>
              </w:rPr>
              <w:t>/a）。</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textAlignment w:val="auto"/>
              <w:rPr>
                <w:rFonts w:cs="宋体"/>
                <w:b/>
                <w:kern w:val="0"/>
                <w:szCs w:val="21"/>
                <w:highlight w:val="none"/>
              </w:rPr>
            </w:pPr>
            <w:r>
              <w:rPr>
                <w:rFonts w:hint="eastAsia" w:cs="宋体"/>
                <w:b/>
                <w:kern w:val="0"/>
                <w:szCs w:val="21"/>
                <w:highlight w:val="none"/>
              </w:rPr>
              <w:t>废气</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宋体"/>
                <w:bCs/>
                <w:kern w:val="0"/>
                <w:szCs w:val="21"/>
                <w:highlight w:val="none"/>
              </w:rPr>
            </w:pPr>
            <w:r>
              <w:rPr>
                <w:rFonts w:hint="eastAsia" w:cs="宋体"/>
                <w:bCs/>
                <w:kern w:val="0"/>
                <w:szCs w:val="21"/>
                <w:highlight w:val="none"/>
              </w:rPr>
              <w:t>本次评价依据现有工程污染源监测资料确定本工程主要污染物源强。</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eastAsia" w:cs="宋体"/>
                <w:b/>
                <w:bCs/>
                <w:kern w:val="0"/>
                <w:sz w:val="21"/>
                <w:szCs w:val="21"/>
                <w:highlight w:val="none"/>
              </w:rPr>
            </w:pPr>
            <w:r>
              <w:rPr>
                <w:rFonts w:hint="eastAsia" w:cs="宋体"/>
                <w:b/>
                <w:bCs/>
                <w:kern w:val="0"/>
                <w:sz w:val="21"/>
                <w:szCs w:val="21"/>
                <w:highlight w:val="none"/>
              </w:rPr>
              <w:t>（1）工艺废气污染源强及达标性</w:t>
            </w:r>
            <w:r>
              <w:rPr>
                <w:rFonts w:cs="宋体"/>
                <w:b/>
                <w:bCs/>
                <w:kern w:val="0"/>
                <w:sz w:val="21"/>
                <w:szCs w:val="21"/>
                <w:highlight w:val="none"/>
              </w:rPr>
              <w:t>分析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cs="宋体"/>
                <w:bCs/>
                <w:kern w:val="0"/>
                <w:sz w:val="21"/>
                <w:szCs w:val="21"/>
                <w:highlight w:val="cyan"/>
              </w:rPr>
            </w:pPr>
            <w:r>
              <w:rPr>
                <w:rFonts w:hint="eastAsia" w:cs="宋体"/>
                <w:bCs/>
                <w:kern w:val="0"/>
                <w:sz w:val="21"/>
                <w:szCs w:val="21"/>
                <w:highlight w:val="none"/>
              </w:rPr>
              <w:t>本次工程废气主要为注塑过程产生的有机废气，项目原料主要为PA66尼龙塑料颗粒，在注塑机中物料加热塑化过程会挥发出少量有机气体和异味，主要为受热情况下残存未聚合反应体和以及从聚合物中分解出来的单体会挥发出来，评价以非甲烷总烃计，</w:t>
            </w:r>
            <w:r>
              <w:rPr>
                <w:rFonts w:hint="default" w:ascii="Times New Roman" w:hAnsi="Times New Roman" w:cs="Times New Roman"/>
                <w:b/>
                <w:bCs w:val="0"/>
                <w:color w:val="auto"/>
                <w:sz w:val="21"/>
                <w:szCs w:val="21"/>
                <w:u w:val="single"/>
                <w:lang w:val="en-US" w:eastAsia="zh-CN"/>
              </w:rPr>
              <w:t>本次改扩建</w:t>
            </w:r>
            <w:r>
              <w:rPr>
                <w:rFonts w:hint="default" w:ascii="Times New Roman" w:hAnsi="Times New Roman" w:cs="Times New Roman"/>
                <w:b/>
                <w:bCs w:val="0"/>
                <w:color w:val="auto"/>
                <w:sz w:val="21"/>
                <w:szCs w:val="21"/>
                <w:highlight w:val="none"/>
                <w:u w:val="single"/>
                <w:lang w:eastAsia="zh-CN"/>
              </w:rPr>
              <w:t>工程拟将现有</w:t>
            </w:r>
            <w:r>
              <w:rPr>
                <w:rFonts w:hint="default" w:ascii="Times New Roman" w:hAnsi="Times New Roman" w:cs="Times New Roman"/>
                <w:b/>
                <w:bCs w:val="0"/>
                <w:color w:val="auto"/>
                <w:sz w:val="21"/>
                <w:szCs w:val="21"/>
                <w:highlight w:val="none"/>
                <w:u w:val="single"/>
                <w:lang w:val="en-US" w:eastAsia="zh-CN"/>
              </w:rPr>
              <w:t>4台注塑机和本次新增15</w:t>
            </w:r>
            <w:r>
              <w:rPr>
                <w:rFonts w:hint="default" w:ascii="Times New Roman" w:hAnsi="Times New Roman" w:cs="Times New Roman"/>
                <w:b/>
                <w:bCs w:val="0"/>
                <w:color w:val="auto"/>
                <w:sz w:val="21"/>
                <w:szCs w:val="21"/>
                <w:highlight w:val="none"/>
                <w:u w:val="single"/>
                <w:lang w:eastAsia="zh-CN"/>
              </w:rPr>
              <w:t>注塑机均布置在厂区南侧的</w:t>
            </w:r>
            <w:r>
              <w:rPr>
                <w:rFonts w:hint="default" w:ascii="Times New Roman" w:hAnsi="Times New Roman" w:cs="Times New Roman"/>
                <w:b/>
                <w:bCs w:val="0"/>
                <w:color w:val="auto"/>
                <w:sz w:val="21"/>
                <w:szCs w:val="21"/>
                <w:highlight w:val="none"/>
                <w:u w:val="single"/>
                <w:lang w:val="en-US" w:eastAsia="zh-CN"/>
              </w:rPr>
              <w:t>2#</w:t>
            </w:r>
            <w:r>
              <w:rPr>
                <w:rFonts w:hint="default" w:ascii="Times New Roman" w:hAnsi="Times New Roman" w:cs="Times New Roman"/>
                <w:b/>
                <w:bCs w:val="0"/>
                <w:color w:val="auto"/>
                <w:sz w:val="21"/>
                <w:szCs w:val="21"/>
                <w:highlight w:val="none"/>
                <w:u w:val="single"/>
                <w:lang w:eastAsia="zh-CN"/>
              </w:rPr>
              <w:t>车间内新设置二次密闭间内，并</w:t>
            </w:r>
            <w:r>
              <w:rPr>
                <w:rFonts w:hint="default" w:ascii="Times New Roman" w:hAnsi="Times New Roman" w:cs="Times New Roman"/>
                <w:b/>
                <w:bCs w:val="0"/>
                <w:color w:val="auto"/>
                <w:sz w:val="21"/>
                <w:szCs w:val="21"/>
                <w:highlight w:val="none"/>
                <w:u w:val="single"/>
              </w:rPr>
              <w:t>设置</w:t>
            </w:r>
            <w:r>
              <w:rPr>
                <w:rFonts w:hint="default" w:ascii="Times New Roman" w:hAnsi="Times New Roman" w:cs="Times New Roman"/>
                <w:b/>
                <w:bCs w:val="0"/>
                <w:color w:val="auto"/>
                <w:sz w:val="21"/>
                <w:szCs w:val="21"/>
                <w:highlight w:val="none"/>
                <w:u w:val="single"/>
                <w:lang w:eastAsia="zh-CN"/>
              </w:rPr>
              <w:t>负压</w:t>
            </w:r>
            <w:r>
              <w:rPr>
                <w:rFonts w:hint="default" w:ascii="Times New Roman" w:hAnsi="Times New Roman" w:cs="Times New Roman"/>
                <w:b/>
                <w:bCs w:val="0"/>
                <w:color w:val="auto"/>
                <w:sz w:val="21"/>
                <w:szCs w:val="21"/>
                <w:highlight w:val="none"/>
                <w:u w:val="single"/>
              </w:rPr>
              <w:t>集气装置</w:t>
            </w:r>
            <w:r>
              <w:rPr>
                <w:rFonts w:hint="default" w:ascii="Times New Roman" w:hAnsi="Times New Roman" w:cs="Times New Roman"/>
                <w:b/>
                <w:bCs w:val="0"/>
                <w:color w:val="auto"/>
                <w:sz w:val="21"/>
                <w:szCs w:val="21"/>
                <w:highlight w:val="none"/>
                <w:u w:val="single"/>
                <w:lang w:eastAsia="zh-CN"/>
              </w:rPr>
              <w:t>对现有工程和本次扩建工程废气进行收集后</w:t>
            </w:r>
            <w:r>
              <w:rPr>
                <w:rFonts w:hint="default" w:ascii="Times New Roman" w:hAnsi="Times New Roman" w:cs="Times New Roman"/>
                <w:b/>
                <w:bCs w:val="0"/>
                <w:color w:val="auto"/>
                <w:sz w:val="21"/>
                <w:szCs w:val="21"/>
                <w:highlight w:val="none"/>
                <w:u w:val="single"/>
              </w:rPr>
              <w:t>，</w:t>
            </w:r>
            <w:r>
              <w:rPr>
                <w:rFonts w:hint="default" w:ascii="Times New Roman" w:hAnsi="Times New Roman" w:cs="Times New Roman"/>
                <w:b/>
                <w:bCs w:val="0"/>
                <w:color w:val="auto"/>
                <w:sz w:val="21"/>
                <w:szCs w:val="21"/>
                <w:highlight w:val="none"/>
                <w:u w:val="single"/>
                <w:lang w:eastAsia="zh-CN"/>
              </w:rPr>
              <w:t>最终通过新建</w:t>
            </w:r>
            <w:r>
              <w:rPr>
                <w:rFonts w:hint="default" w:ascii="Times New Roman" w:hAnsi="Times New Roman" w:cs="Times New Roman"/>
                <w:b/>
                <w:bCs w:val="0"/>
                <w:color w:val="auto"/>
                <w:sz w:val="21"/>
                <w:szCs w:val="21"/>
                <w:highlight w:val="none"/>
                <w:u w:val="single"/>
                <w:lang w:val="en-US" w:eastAsia="zh-CN"/>
              </w:rPr>
              <w:t>1</w:t>
            </w:r>
            <w:r>
              <w:rPr>
                <w:rFonts w:hint="default" w:ascii="Times New Roman" w:hAnsi="Times New Roman" w:cs="Times New Roman"/>
                <w:b/>
                <w:bCs w:val="0"/>
                <w:color w:val="auto"/>
                <w:sz w:val="21"/>
                <w:szCs w:val="21"/>
                <w:highlight w:val="none"/>
                <w:u w:val="single"/>
              </w:rPr>
              <w:t>套“</w:t>
            </w:r>
            <w:r>
              <w:rPr>
                <w:rFonts w:hint="default" w:ascii="Times New Roman" w:hAnsi="Times New Roman" w:cs="Times New Roman"/>
                <w:b/>
                <w:bCs w:val="0"/>
                <w:color w:val="auto"/>
                <w:sz w:val="21"/>
                <w:szCs w:val="21"/>
                <w:highlight w:val="none"/>
                <w:u w:val="single"/>
                <w:lang w:eastAsia="zh-CN"/>
              </w:rPr>
              <w:t>活性炭吸脱附</w:t>
            </w:r>
            <w:r>
              <w:rPr>
                <w:rFonts w:hint="default" w:ascii="Times New Roman" w:hAnsi="Times New Roman" w:cs="Times New Roman"/>
                <w:b/>
                <w:bCs w:val="0"/>
                <w:color w:val="auto"/>
                <w:sz w:val="21"/>
                <w:szCs w:val="21"/>
                <w:highlight w:val="none"/>
                <w:u w:val="single"/>
                <w:lang w:val="en-US" w:eastAsia="zh-CN"/>
              </w:rPr>
              <w:t>+</w:t>
            </w:r>
            <w:r>
              <w:rPr>
                <w:rFonts w:hint="default" w:ascii="Times New Roman" w:hAnsi="Times New Roman" w:cs="Times New Roman"/>
                <w:b/>
                <w:bCs w:val="0"/>
                <w:color w:val="auto"/>
                <w:sz w:val="21"/>
                <w:szCs w:val="21"/>
                <w:highlight w:val="none"/>
                <w:u w:val="single"/>
                <w:lang w:eastAsia="zh-CN"/>
              </w:rPr>
              <w:t>催化燃烧</w:t>
            </w:r>
            <w:r>
              <w:rPr>
                <w:rFonts w:hint="default" w:ascii="Times New Roman" w:hAnsi="Times New Roman" w:cs="Times New Roman"/>
                <w:b/>
                <w:bCs w:val="0"/>
                <w:color w:val="auto"/>
                <w:sz w:val="21"/>
                <w:szCs w:val="21"/>
                <w:highlight w:val="none"/>
                <w:u w:val="single"/>
              </w:rPr>
              <w:t>”废气处理装置进行处理</w:t>
            </w:r>
            <w:r>
              <w:rPr>
                <w:rFonts w:hint="default" w:ascii="Times New Roman" w:hAnsi="Times New Roman" w:cs="Times New Roman"/>
                <w:b/>
                <w:bCs w:val="0"/>
                <w:color w:val="auto"/>
                <w:sz w:val="21"/>
                <w:szCs w:val="21"/>
                <w:highlight w:val="none"/>
                <w:u w:val="single"/>
                <w:lang w:eastAsia="zh-CN"/>
              </w:rPr>
              <w:t>后</w:t>
            </w:r>
            <w:r>
              <w:rPr>
                <w:rFonts w:hint="default" w:ascii="Times New Roman" w:hAnsi="Times New Roman" w:cs="Times New Roman"/>
                <w:b/>
                <w:bCs w:val="0"/>
                <w:color w:val="auto"/>
                <w:sz w:val="21"/>
                <w:szCs w:val="21"/>
                <w:highlight w:val="none"/>
                <w:u w:val="single"/>
              </w:rPr>
              <w:t>，经</w:t>
            </w:r>
            <w:r>
              <w:rPr>
                <w:rFonts w:hint="default" w:ascii="Times New Roman" w:hAnsi="Times New Roman" w:cs="Times New Roman"/>
                <w:b/>
                <w:bCs w:val="0"/>
                <w:color w:val="auto"/>
                <w:sz w:val="21"/>
                <w:szCs w:val="21"/>
                <w:highlight w:val="none"/>
                <w:u w:val="single"/>
                <w:lang w:val="en-US" w:eastAsia="zh-CN"/>
              </w:rPr>
              <w:t>1根</w:t>
            </w:r>
            <w:r>
              <w:rPr>
                <w:rFonts w:hint="default" w:ascii="Times New Roman" w:hAnsi="Times New Roman" w:cs="Times New Roman"/>
                <w:b/>
                <w:bCs w:val="0"/>
                <w:color w:val="auto"/>
                <w:sz w:val="21"/>
                <w:szCs w:val="21"/>
                <w:highlight w:val="none"/>
                <w:u w:val="single"/>
              </w:rPr>
              <w:t>15m高排气筒</w:t>
            </w:r>
            <w:r>
              <w:rPr>
                <w:rFonts w:hint="default" w:ascii="Times New Roman" w:hAnsi="Times New Roman" w:cs="Times New Roman"/>
                <w:b/>
                <w:bCs w:val="0"/>
                <w:color w:val="auto"/>
                <w:sz w:val="21"/>
                <w:szCs w:val="21"/>
                <w:highlight w:val="none"/>
                <w:u w:val="single"/>
                <w:lang w:eastAsia="zh-CN"/>
              </w:rPr>
              <w:t>（</w:t>
            </w:r>
            <w:r>
              <w:rPr>
                <w:rFonts w:hint="default" w:ascii="Times New Roman" w:hAnsi="Times New Roman" w:cs="Times New Roman"/>
                <w:b/>
                <w:bCs w:val="0"/>
                <w:color w:val="auto"/>
                <w:sz w:val="21"/>
                <w:szCs w:val="21"/>
                <w:highlight w:val="none"/>
                <w:u w:val="single"/>
                <w:lang w:val="en-US" w:eastAsia="zh-CN"/>
              </w:rPr>
              <w:t>DA001</w:t>
            </w:r>
            <w:r>
              <w:rPr>
                <w:rFonts w:hint="default" w:ascii="Times New Roman" w:hAnsi="Times New Roman" w:cs="Times New Roman"/>
                <w:b/>
                <w:bCs w:val="0"/>
                <w:color w:val="auto"/>
                <w:sz w:val="21"/>
                <w:szCs w:val="21"/>
                <w:highlight w:val="none"/>
                <w:u w:val="single"/>
                <w:lang w:eastAsia="zh-CN"/>
              </w:rPr>
              <w:t>）</w:t>
            </w:r>
            <w:r>
              <w:rPr>
                <w:rFonts w:hint="default" w:ascii="Times New Roman" w:hAnsi="Times New Roman" w:cs="Times New Roman"/>
                <w:b/>
                <w:bCs w:val="0"/>
                <w:color w:val="auto"/>
                <w:sz w:val="21"/>
                <w:szCs w:val="21"/>
                <w:highlight w:val="none"/>
                <w:u w:val="single"/>
              </w:rPr>
              <w:t>排放</w:t>
            </w:r>
            <w:r>
              <w:rPr>
                <w:rFonts w:hint="default" w:ascii="Times New Roman" w:hAnsi="Times New Roman" w:cs="Times New Roman"/>
                <w:b/>
                <w:bCs w:val="0"/>
                <w:color w:val="auto"/>
                <w:sz w:val="21"/>
                <w:szCs w:val="21"/>
                <w:highlight w:val="none"/>
                <w:u w:val="singl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highlight w:val="none"/>
                <w:lang w:val="en-US" w:eastAsia="zh-CN" w:bidi="ar-SA"/>
              </w:rPr>
              <w:fldChar w:fldCharType="begin"/>
            </w:r>
            <w:r>
              <w:rPr>
                <w:rFonts w:hint="default" w:ascii="Times New Roman" w:hAnsi="Times New Roman" w:cs="Times New Roman"/>
                <w:color w:val="auto"/>
                <w:sz w:val="21"/>
                <w:szCs w:val="21"/>
                <w:highlight w:val="none"/>
                <w:lang w:val="en-US" w:eastAsia="zh-CN" w:bidi="ar-SA"/>
              </w:rPr>
              <w:instrText xml:space="preserve"> = 1 \* GB3 \* MERGEFORMAT </w:instrText>
            </w:r>
            <w:r>
              <w:rPr>
                <w:rFonts w:hint="default" w:ascii="Times New Roman" w:hAnsi="Times New Roman" w:cs="Times New Roman"/>
                <w:color w:val="auto"/>
                <w:sz w:val="21"/>
                <w:szCs w:val="21"/>
                <w:highlight w:val="none"/>
                <w:lang w:val="en-US" w:eastAsia="zh-CN" w:bidi="ar-SA"/>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highlight w:val="none"/>
                <w:lang w:val="en-US" w:eastAsia="zh-CN" w:bidi="ar-SA"/>
              </w:rPr>
              <w:fldChar w:fldCharType="end"/>
            </w:r>
            <w:r>
              <w:rPr>
                <w:rFonts w:hint="default" w:ascii="Times New Roman" w:hAnsi="Times New Roman" w:cs="Times New Roman"/>
                <w:color w:val="auto"/>
                <w:sz w:val="21"/>
                <w:szCs w:val="21"/>
                <w:highlight w:val="none"/>
                <w:lang w:val="en-US" w:eastAsia="zh-CN" w:bidi="ar-SA"/>
              </w:rPr>
              <w:t>有组织</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由于本次工程产品、生产所用设备、生产所用原辅材料等均与现有工程</w:t>
            </w:r>
            <w:r>
              <w:rPr>
                <w:rFonts w:hint="default" w:ascii="Times New Roman" w:hAnsi="Times New Roman" w:cs="Times New Roman"/>
                <w:color w:val="auto"/>
                <w:sz w:val="21"/>
                <w:szCs w:val="21"/>
                <w:highlight w:val="none"/>
                <w:lang w:val="en-US" w:eastAsia="zh-CN"/>
              </w:rPr>
              <w:t>相同，因此本次工程废气产生量类比现有工程注塑过程废气产生量进行核算，根据企业委托河南松筠检测技术有限公司于2020年8月17日~8月18日对现有工程注塑过程废气监测结果，以及根据上文对现有工程回顾分析可知，现有工程项目为年产1亿只锂电池密封圈，则单位产品废气产生情况如下：</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现有工程单位产品注塑废气产生量情况表</w:t>
            </w:r>
          </w:p>
          <w:tbl>
            <w:tblPr>
              <w:tblStyle w:val="1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1497"/>
              <w:gridCol w:w="1032"/>
              <w:gridCol w:w="1107"/>
              <w:gridCol w:w="1144"/>
              <w:gridCol w:w="16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97"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现有工程锂电池密封圈产量</w:t>
                  </w:r>
                </w:p>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（亿只/年）</w:t>
                  </w:r>
                </w:p>
              </w:tc>
              <w:tc>
                <w:tcPr>
                  <w:tcW w:w="930"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污染物</w:t>
                  </w:r>
                </w:p>
              </w:tc>
              <w:tc>
                <w:tcPr>
                  <w:tcW w:w="641"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最大产生速率kg/h</w:t>
                  </w:r>
                </w:p>
              </w:tc>
              <w:tc>
                <w:tcPr>
                  <w:tcW w:w="688"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年工作时间h</w:t>
                  </w:r>
                </w:p>
              </w:tc>
              <w:tc>
                <w:tcPr>
                  <w:tcW w:w="711" w:type="pct"/>
                  <w:tcBorders>
                    <w:right w:val="single" w:color="000000" w:sz="4" w:space="0"/>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最大产生量t/a</w:t>
                  </w:r>
                </w:p>
              </w:tc>
              <w:tc>
                <w:tcPr>
                  <w:tcW w:w="1030" w:type="pct"/>
                  <w:tcBorders>
                    <w:left w:val="single" w:color="000000" w:sz="4" w:space="0"/>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折算后单位产品有组织废气产生系数</w:t>
                  </w:r>
                  <w:r>
                    <w:rPr>
                      <w:rFonts w:hint="default" w:ascii="Times New Roman" w:hAnsi="Times New Roman" w:cs="Times New Roman"/>
                      <w:b w:val="0"/>
                      <w:bCs w:val="0"/>
                      <w:color w:val="auto"/>
                      <w:sz w:val="18"/>
                      <w:szCs w:val="18"/>
                      <w:lang w:val="en-US" w:eastAsia="zh-CN"/>
                    </w:rPr>
                    <w:t>t/亿只</w:t>
                  </w:r>
                  <w:r>
                    <w:rPr>
                      <w:rFonts w:hint="default" w:ascii="Times New Roman" w:hAnsi="Times New Roman" w:cs="Times New Roman"/>
                      <w:b w:val="0"/>
                      <w:bCs w:val="0"/>
                      <w:color w:val="auto"/>
                      <w:sz w:val="18"/>
                      <w:szCs w:val="18"/>
                      <w:vertAlign w:val="subscript"/>
                      <w:lang w:val="en-US" w:eastAsia="zh-CN"/>
                    </w:rPr>
                    <w:t>—产品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7"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1</w:t>
                  </w:r>
                </w:p>
              </w:tc>
              <w:tc>
                <w:tcPr>
                  <w:tcW w:w="930"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非甲烷总烃</w:t>
                  </w:r>
                </w:p>
              </w:tc>
              <w:tc>
                <w:tcPr>
                  <w:tcW w:w="641"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0.212</w:t>
                  </w:r>
                </w:p>
              </w:tc>
              <w:tc>
                <w:tcPr>
                  <w:tcW w:w="688"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2400</w:t>
                  </w:r>
                </w:p>
              </w:tc>
              <w:tc>
                <w:tcPr>
                  <w:tcW w:w="711" w:type="pct"/>
                  <w:tcBorders>
                    <w:right w:val="single" w:color="000000" w:sz="4" w:space="0"/>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0.5088</w:t>
                  </w:r>
                </w:p>
              </w:tc>
              <w:tc>
                <w:tcPr>
                  <w:tcW w:w="1030" w:type="pct"/>
                  <w:tcBorders>
                    <w:left w:val="single" w:color="000000" w:sz="4" w:space="0"/>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0.5088</w:t>
                  </w:r>
                </w:p>
              </w:tc>
            </w:tr>
          </w:tbl>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60" w:lineRule="auto"/>
              <w:ind w:leftChars="0" w:firstLine="422"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工程拟设置的密闭间</w:t>
            </w:r>
            <w:r>
              <w:rPr>
                <w:rFonts w:hint="default" w:ascii="Times New Roman" w:hAnsi="Times New Roman" w:cs="Times New Roman"/>
                <w:color w:val="auto"/>
                <w:sz w:val="21"/>
                <w:szCs w:val="21"/>
                <w:highlight w:val="none"/>
                <w:lang w:val="en-US" w:eastAsia="zh-CN"/>
              </w:rPr>
              <w:t>+负压集气装置的废气收集效率按照不低于98%计算，总废气量为6500m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/h（现有工程废气量为1500m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/h，本次改扩建工程新增废气量为5000m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/h），废气治理设施对非甲烷总烃去除效率按93%计算</w:t>
            </w:r>
            <w:r>
              <w:rPr>
                <w:rFonts w:hint="default" w:ascii="Times New Roman" w:hAnsi="Times New Roman" w:cs="Times New Roman"/>
                <w:color w:val="auto"/>
                <w:sz w:val="21"/>
                <w:szCs w:val="21"/>
                <w:highlight w:val="none"/>
                <w:lang w:eastAsia="zh-CN"/>
              </w:rPr>
              <w:t>，则本次工程废气产排情况如下：</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本次工程有组织有机废气产生及排放情况表</w:t>
            </w:r>
          </w:p>
          <w:tbl>
            <w:tblPr>
              <w:tblStyle w:val="1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772"/>
              <w:gridCol w:w="541"/>
              <w:gridCol w:w="582"/>
              <w:gridCol w:w="800"/>
              <w:gridCol w:w="733"/>
              <w:gridCol w:w="1209"/>
              <w:gridCol w:w="406"/>
              <w:gridCol w:w="582"/>
              <w:gridCol w:w="731"/>
              <w:gridCol w:w="711"/>
              <w:gridCol w:w="5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w:t>
                  </w:r>
                </w:p>
              </w:tc>
              <w:tc>
                <w:tcPr>
                  <w:tcW w:w="483"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污染源</w:t>
                  </w:r>
                </w:p>
              </w:tc>
              <w:tc>
                <w:tcPr>
                  <w:tcW w:w="339"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污染物</w:t>
                  </w:r>
                </w:p>
              </w:tc>
              <w:tc>
                <w:tcPr>
                  <w:tcW w:w="1322" w:type="pct"/>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污染物</w:t>
                  </w:r>
                  <w:r>
                    <w:rPr>
                      <w:rFonts w:hint="default" w:ascii="Times New Roman" w:hAnsi="Times New Roman" w:cs="Times New Roman"/>
                      <w:color w:val="auto"/>
                      <w:sz w:val="18"/>
                      <w:szCs w:val="18"/>
                    </w:rPr>
                    <w:t>产</w:t>
                  </w:r>
                  <w:r>
                    <w:rPr>
                      <w:rFonts w:hint="default" w:ascii="Times New Roman" w:hAnsi="Times New Roman" w:cs="Times New Roman"/>
                      <w:color w:val="auto"/>
                      <w:sz w:val="18"/>
                      <w:szCs w:val="18"/>
                      <w:lang w:eastAsia="zh-CN"/>
                    </w:rPr>
                    <w:t>生</w:t>
                  </w:r>
                </w:p>
              </w:tc>
              <w:tc>
                <w:tcPr>
                  <w:tcW w:w="1009"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治理设施</w:t>
                  </w:r>
                </w:p>
              </w:tc>
              <w:tc>
                <w:tcPr>
                  <w:tcW w:w="1263" w:type="pct"/>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污染物排放</w:t>
                  </w:r>
                </w:p>
              </w:tc>
              <w:tc>
                <w:tcPr>
                  <w:tcW w:w="353"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排放时间</w:t>
                  </w:r>
                  <w:r>
                    <w:rPr>
                      <w:rFonts w:hint="default" w:ascii="Times New Roman" w:hAnsi="Times New Roman" w:cs="Times New Roman"/>
                      <w:color w:val="auto"/>
                      <w:sz w:val="18"/>
                      <w:szCs w:val="18"/>
                      <w:lang w:val="en-US" w:eastAsia="zh-CN"/>
                    </w:rPr>
                    <w: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228"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p>
              </w:tc>
              <w:tc>
                <w:tcPr>
                  <w:tcW w:w="483"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p>
              </w:tc>
              <w:tc>
                <w:tcPr>
                  <w:tcW w:w="339"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核算方法</w:t>
                  </w:r>
                </w:p>
              </w:tc>
              <w:tc>
                <w:tcPr>
                  <w:tcW w:w="500" w:type="pct"/>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产生浓度</w:t>
                  </w:r>
                </w:p>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mg/m</w:t>
                  </w:r>
                  <w:r>
                    <w:rPr>
                      <w:rFonts w:hint="default" w:ascii="Times New Roman" w:hAnsi="Times New Roman" w:cs="Times New Roman"/>
                      <w:color w:val="auto"/>
                      <w:kern w:val="0"/>
                      <w:sz w:val="18"/>
                      <w:szCs w:val="18"/>
                      <w:vertAlign w:val="superscript"/>
                    </w:rPr>
                    <w:t>3</w:t>
                  </w:r>
                </w:p>
              </w:tc>
              <w:tc>
                <w:tcPr>
                  <w:tcW w:w="458" w:type="pct"/>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产生量</w:t>
                  </w:r>
                </w:p>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t/a</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工艺</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效率</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64" w:type="pct"/>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核算方法</w:t>
                  </w:r>
                </w:p>
              </w:tc>
              <w:tc>
                <w:tcPr>
                  <w:tcW w:w="457" w:type="pct"/>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排放浓度</w:t>
                  </w:r>
                </w:p>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mg/m</w:t>
                  </w:r>
                  <w:r>
                    <w:rPr>
                      <w:rFonts w:hint="default" w:ascii="Times New Roman" w:hAnsi="Times New Roman" w:cs="Times New Roman"/>
                      <w:color w:val="auto"/>
                      <w:kern w:val="0"/>
                      <w:sz w:val="18"/>
                      <w:szCs w:val="18"/>
                      <w:vertAlign w:val="superscript"/>
                    </w:rPr>
                    <w:t>3</w:t>
                  </w:r>
                </w:p>
              </w:tc>
              <w:tc>
                <w:tcPr>
                  <w:tcW w:w="440" w:type="pct"/>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排放量</w:t>
                  </w:r>
                </w:p>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t/a</w:t>
                  </w:r>
                </w:p>
              </w:tc>
              <w:tc>
                <w:tcPr>
                  <w:tcW w:w="353"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22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注塑过程</w:t>
                  </w:r>
                </w:p>
              </w:tc>
              <w:tc>
                <w:tcPr>
                  <w:tcW w:w="48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排气筒DA001</w:t>
                  </w:r>
                </w:p>
              </w:tc>
              <w:tc>
                <w:tcPr>
                  <w:tcW w:w="33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非甲烷总烃</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类比</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核算</w:t>
                  </w:r>
                </w:p>
              </w:tc>
              <w:tc>
                <w:tcPr>
                  <w:tcW w:w="500" w:type="pct"/>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b/>
                      <w:bCs/>
                      <w:color w:val="auto"/>
                      <w:sz w:val="18"/>
                      <w:szCs w:val="18"/>
                      <w:highlight w:val="none"/>
                      <w:u w:val="single"/>
                      <w:lang w:val="en-US" w:eastAsia="zh-CN"/>
                    </w:rPr>
                  </w:pPr>
                  <w:r>
                    <w:rPr>
                      <w:rFonts w:hint="default" w:ascii="Times New Roman" w:hAnsi="Times New Roman" w:cs="Times New Roman"/>
                      <w:b/>
                      <w:bCs/>
                      <w:color w:val="auto"/>
                      <w:sz w:val="18"/>
                      <w:szCs w:val="18"/>
                      <w:highlight w:val="none"/>
                      <w:u w:val="single"/>
                      <w:lang w:val="en-US" w:eastAsia="zh-CN"/>
                    </w:rPr>
                    <w:t>124.66</w:t>
                  </w:r>
                </w:p>
              </w:tc>
              <w:tc>
                <w:tcPr>
                  <w:tcW w:w="45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18"/>
                      <w:szCs w:val="18"/>
                      <w:highlight w:val="none"/>
                      <w:u w:val="single"/>
                      <w:lang w:val="en-US" w:eastAsia="zh-CN"/>
                    </w:rPr>
                  </w:pPr>
                  <w:r>
                    <w:rPr>
                      <w:rFonts w:hint="default" w:ascii="Times New Roman" w:hAnsi="Times New Roman" w:cs="Times New Roman"/>
                      <w:b/>
                      <w:bCs/>
                      <w:color w:val="auto"/>
                      <w:sz w:val="18"/>
                      <w:szCs w:val="18"/>
                      <w:highlight w:val="none"/>
                      <w:u w:val="single"/>
                      <w:lang w:val="en-US" w:eastAsia="zh-CN"/>
                    </w:rPr>
                    <w:t>1.4959</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eastAsiaTheme="minorEastAsia"/>
                      <w:snapToGrid w:val="0"/>
                      <w:color w:val="auto"/>
                      <w:kern w:val="0"/>
                      <w:sz w:val="18"/>
                      <w:szCs w:val="18"/>
                      <w:highlight w:val="none"/>
                      <w:lang w:val="en-US" w:eastAsia="zh-CN"/>
                    </w:rPr>
                  </w:pPr>
                  <w:r>
                    <w:rPr>
                      <w:rFonts w:hint="default" w:ascii="Times New Roman" w:hAnsi="Times New Roman" w:cs="Times New Roman" w:eastAsiaTheme="minorEastAsia"/>
                      <w:b/>
                      <w:bCs/>
                      <w:snapToGrid w:val="0"/>
                      <w:color w:val="auto"/>
                      <w:kern w:val="0"/>
                      <w:sz w:val="18"/>
                      <w:szCs w:val="18"/>
                      <w:highlight w:val="none"/>
                      <w:u w:val="single"/>
                      <w:lang w:val="en-US" w:eastAsia="zh-CN"/>
                    </w:rPr>
                    <w:t>二次密闭间+“活性炭吸脱附+催化燃烧”废气净化装置+15m高排气筒</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93</w:t>
                  </w:r>
                </w:p>
              </w:tc>
              <w:tc>
                <w:tcPr>
                  <w:tcW w:w="364" w:type="pct"/>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类比核算</w:t>
                  </w:r>
                </w:p>
              </w:tc>
              <w:tc>
                <w:tcPr>
                  <w:tcW w:w="457" w:type="pct"/>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cs="Times New Roman"/>
                      <w:b/>
                      <w:bCs/>
                      <w:color w:val="auto"/>
                      <w:sz w:val="18"/>
                      <w:szCs w:val="18"/>
                      <w:highlight w:val="none"/>
                      <w:u w:val="single"/>
                      <w:lang w:val="en-US" w:eastAsia="zh-CN"/>
                    </w:rPr>
                  </w:pPr>
                  <w:r>
                    <w:rPr>
                      <w:rFonts w:hint="default" w:ascii="Times New Roman" w:hAnsi="Times New Roman" w:cs="Times New Roman"/>
                      <w:b/>
                      <w:bCs/>
                      <w:color w:val="auto"/>
                      <w:sz w:val="18"/>
                      <w:szCs w:val="18"/>
                      <w:highlight w:val="none"/>
                      <w:u w:val="single"/>
                      <w:lang w:val="en-US" w:eastAsia="zh-CN"/>
                    </w:rPr>
                    <w:t>8.73</w:t>
                  </w:r>
                </w:p>
              </w:tc>
              <w:tc>
                <w:tcPr>
                  <w:tcW w:w="44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18"/>
                      <w:szCs w:val="18"/>
                      <w:highlight w:val="none"/>
                      <w:u w:val="single"/>
                      <w:lang w:val="en-US" w:eastAsia="zh-CN"/>
                    </w:rPr>
                  </w:pPr>
                  <w:r>
                    <w:rPr>
                      <w:rFonts w:hint="default" w:ascii="Times New Roman" w:hAnsi="Times New Roman" w:cs="Times New Roman"/>
                      <w:b/>
                      <w:bCs/>
                      <w:color w:val="auto"/>
                      <w:sz w:val="18"/>
                      <w:szCs w:val="18"/>
                      <w:highlight w:val="none"/>
                      <w:u w:val="single"/>
                      <w:lang w:val="en-US" w:eastAsia="zh-CN"/>
                    </w:rPr>
                    <w:t>0.1047</w:t>
                  </w:r>
                </w:p>
              </w:tc>
              <w:tc>
                <w:tcPr>
                  <w:tcW w:w="35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2400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cs="宋体"/>
                <w:bCs/>
                <w:kern w:val="0"/>
                <w:szCs w:val="21"/>
              </w:rPr>
            </w:pPr>
            <w:r>
              <w:rPr>
                <w:rFonts w:hint="eastAsia" w:cs="Times New Roman"/>
                <w:color w:val="auto"/>
                <w:highlight w:val="none"/>
                <w:vertAlign w:val="baseline"/>
                <w:lang w:eastAsia="zh-CN"/>
              </w:rPr>
              <w:t>根据上表可知</w:t>
            </w:r>
            <w:r>
              <w:rPr>
                <w:rFonts w:hint="default" w:ascii="Times New Roman" w:hAnsi="Times New Roman" w:cs="Times New Roman"/>
                <w:color w:val="auto"/>
                <w:highlight w:val="none"/>
                <w:vertAlign w:val="baseline"/>
                <w:lang w:eastAsia="zh-CN"/>
              </w:rPr>
              <w:t>，本次改扩建工程注塑工序有组织排放非甲烷总烃</w:t>
            </w:r>
            <w:r>
              <w:rPr>
                <w:rFonts w:hint="eastAsia" w:cs="Times New Roman"/>
                <w:color w:val="auto"/>
                <w:highlight w:val="none"/>
                <w:vertAlign w:val="baseline"/>
                <w:lang w:eastAsia="zh-CN"/>
              </w:rPr>
              <w:t>浓度为</w:t>
            </w:r>
            <w:r>
              <w:rPr>
                <w:rFonts w:hint="eastAsia" w:cs="Times New Roman"/>
                <w:color w:val="auto"/>
                <w:highlight w:val="none"/>
                <w:vertAlign w:val="baseline"/>
                <w:lang w:val="en-US" w:eastAsia="zh-CN"/>
              </w:rPr>
              <w:t>8.73mg/m</w:t>
            </w:r>
            <w:r>
              <w:rPr>
                <w:rFonts w:hint="eastAsia" w:cs="Times New Roman"/>
                <w:color w:val="auto"/>
                <w:highlight w:val="none"/>
                <w:vertAlign w:val="superscript"/>
                <w:lang w:val="en-US" w:eastAsia="zh-CN"/>
              </w:rPr>
              <w:t>3</w:t>
            </w:r>
            <w:r>
              <w:rPr>
                <w:rFonts w:hint="eastAsia" w:cs="Times New Roman"/>
                <w:color w:val="auto"/>
                <w:highlight w:val="none"/>
                <w:vertAlign w:val="baseline"/>
                <w:lang w:eastAsia="zh-CN"/>
              </w:rPr>
              <w:t>，</w:t>
            </w:r>
            <w:r>
              <w:rPr>
                <w:rFonts w:hint="default" w:ascii="Times New Roman" w:hAnsi="Times New Roman" w:cs="Times New Roman"/>
                <w:color w:val="auto"/>
                <w:highlight w:val="none"/>
                <w:vertAlign w:val="baseline"/>
                <w:lang w:eastAsia="zh-CN"/>
              </w:rPr>
              <w:t>能够满足河南省《关于全省开展工业企业挥发性有机物专项治理工作中排放建议值的通知》（豫环攻坚办[2017]162号）建议排放值80mg/m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vertAlign w:val="baseline"/>
                <w:lang w:eastAsia="zh-CN"/>
              </w:rPr>
              <w:t>，《大气污染物综合排放标准》（GB16297-1996）表2二级标准最高允许排放浓度120mg/m</w:t>
            </w:r>
            <w:r>
              <w:rPr>
                <w:rFonts w:hint="default" w:ascii="Times New Roman" w:hAnsi="Times New Roman" w:cs="Times New Roman"/>
                <w:color w:val="auto"/>
                <w:highlight w:val="none"/>
                <w:vertAlign w:val="superscript"/>
                <w:lang w:eastAsia="zh-CN"/>
              </w:rPr>
              <w:t>3</w:t>
            </w:r>
            <w:r>
              <w:rPr>
                <w:rFonts w:hint="eastAsia" w:cs="Times New Roman"/>
                <w:color w:val="auto"/>
                <w:highlight w:val="none"/>
                <w:vertAlign w:val="baseline"/>
                <w:lang w:eastAsia="zh-CN"/>
              </w:rPr>
              <w:t>，</w:t>
            </w:r>
            <w:r>
              <w:rPr>
                <w:rFonts w:hint="eastAsia" w:cs="宋体"/>
                <w:bCs/>
                <w:kern w:val="0"/>
                <w:szCs w:val="21"/>
              </w:rPr>
              <w:t>项目</w:t>
            </w:r>
            <w:r>
              <w:rPr>
                <w:rFonts w:cs="宋体"/>
                <w:bCs/>
                <w:kern w:val="0"/>
                <w:szCs w:val="21"/>
              </w:rPr>
              <w:t>工艺废气治理措施可行。</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排放口信息一览表</w:t>
            </w:r>
          </w:p>
          <w:tbl>
            <w:tblPr>
              <w:tblStyle w:val="19"/>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604"/>
              <w:gridCol w:w="403"/>
              <w:gridCol w:w="1245"/>
              <w:gridCol w:w="1161"/>
              <w:gridCol w:w="717"/>
              <w:gridCol w:w="717"/>
              <w:gridCol w:w="447"/>
              <w:gridCol w:w="19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1" w:type="pct"/>
                  <w:vMerge w:val="restar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排放口编号</w:t>
                  </w:r>
                </w:p>
              </w:tc>
              <w:tc>
                <w:tcPr>
                  <w:tcW w:w="516" w:type="pct"/>
                  <w:vMerge w:val="restar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排放口名称</w:t>
                  </w:r>
                </w:p>
              </w:tc>
              <w:tc>
                <w:tcPr>
                  <w:tcW w:w="390" w:type="pct"/>
                  <w:vMerge w:val="restar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污染物种类</w:t>
                  </w:r>
                </w:p>
              </w:tc>
              <w:tc>
                <w:tcPr>
                  <w:tcW w:w="1026" w:type="pct"/>
                  <w:gridSpan w:val="2"/>
                  <w:tcBorders>
                    <w:bottom w:val="single" w:color="000000" w:sz="4" w:space="0"/>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排放口地理坐标</w:t>
                  </w:r>
                </w:p>
              </w:tc>
              <w:tc>
                <w:tcPr>
                  <w:tcW w:w="474" w:type="pct"/>
                  <w:vMerge w:val="restar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排气筒高度（m）</w:t>
                  </w:r>
                </w:p>
              </w:tc>
              <w:tc>
                <w:tcPr>
                  <w:tcW w:w="398" w:type="pct"/>
                  <w:vMerge w:val="restar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排气筒出口内径（m）</w:t>
                  </w:r>
                </w:p>
              </w:tc>
              <w:tc>
                <w:tcPr>
                  <w:tcW w:w="415" w:type="pct"/>
                  <w:vMerge w:val="restar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排气温度</w:t>
                  </w:r>
                  <w:r>
                    <w:rPr>
                      <w:rFonts w:hint="default" w:ascii="Times New Roman" w:hAnsi="Times New Roman" w:cs="Times New Roman"/>
                      <w:color w:val="auto"/>
                      <w:kern w:val="0"/>
                      <w:sz w:val="18"/>
                      <w:szCs w:val="18"/>
                      <w:highlight w:val="none"/>
                      <w:lang w:val="zh-CN" w:eastAsia="en-US"/>
                    </w:rPr>
                    <w:t>/℃</w:t>
                  </w:r>
                </w:p>
              </w:tc>
              <w:tc>
                <w:tcPr>
                  <w:tcW w:w="1496" w:type="pct"/>
                  <w:vMerge w:val="restar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1" w:type="pct"/>
                  <w:vMerge w:val="continue"/>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p>
              </w:tc>
              <w:tc>
                <w:tcPr>
                  <w:tcW w:w="516" w:type="pct"/>
                  <w:vMerge w:val="continue"/>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p>
              </w:tc>
              <w:tc>
                <w:tcPr>
                  <w:tcW w:w="390" w:type="pct"/>
                  <w:vMerge w:val="continue"/>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p>
              </w:tc>
              <w:tc>
                <w:tcPr>
                  <w:tcW w:w="500" w:type="pct"/>
                  <w:tcBorders>
                    <w:top w:val="single" w:color="000000" w:sz="4" w:space="0"/>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经度</w:t>
                  </w:r>
                </w:p>
              </w:tc>
              <w:tc>
                <w:tcPr>
                  <w:tcW w:w="526" w:type="pct"/>
                  <w:tcBorders>
                    <w:top w:val="single" w:color="000000" w:sz="4" w:space="0"/>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维度</w:t>
                  </w:r>
                </w:p>
              </w:tc>
              <w:tc>
                <w:tcPr>
                  <w:tcW w:w="474" w:type="pct"/>
                  <w:vMerge w:val="continue"/>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p>
              </w:tc>
              <w:tc>
                <w:tcPr>
                  <w:tcW w:w="398" w:type="pct"/>
                  <w:vMerge w:val="continue"/>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p>
              </w:tc>
              <w:tc>
                <w:tcPr>
                  <w:tcW w:w="415" w:type="pct"/>
                  <w:vMerge w:val="continue"/>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p>
              </w:tc>
              <w:tc>
                <w:tcPr>
                  <w:tcW w:w="1496" w:type="pct"/>
                  <w:vMerge w:val="continue"/>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1"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DA001</w:t>
                  </w:r>
                </w:p>
              </w:tc>
              <w:tc>
                <w:tcPr>
                  <w:tcW w:w="516" w:type="pct"/>
                  <w:tcBorders>
                    <w:tl2br w:val="nil"/>
                    <w:tr2bl w:val="nil"/>
                  </w:tcBorders>
                  <w:vAlign w:val="center"/>
                </w:tcPr>
                <w:p>
                  <w:pPr>
                    <w:widowControl/>
                    <w:adjustRightInd w:val="0"/>
                    <w:snapToGrid w:val="0"/>
                    <w:spacing w:line="280" w:lineRule="exact"/>
                    <w:ind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“活性炭吸脱附+催化燃烧”装置排气筒</w:t>
                  </w:r>
                </w:p>
              </w:tc>
              <w:tc>
                <w:tcPr>
                  <w:tcW w:w="390"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eastAsia" w:ascii="Times New Roman" w:eastAsia="宋体" w:cs="Times New Roman"/>
                      <w:sz w:val="18"/>
                      <w:szCs w:val="18"/>
                      <w:vertAlign w:val="baseline"/>
                      <w:lang w:val="en-US" w:eastAsia="zh-CN"/>
                    </w:rPr>
                    <w:t>非甲烷总烃</w:t>
                  </w:r>
                </w:p>
              </w:tc>
              <w:tc>
                <w:tcPr>
                  <w:tcW w:w="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cs="Times New Roman"/>
                      <w:color w:val="auto"/>
                      <w:sz w:val="18"/>
                      <w:szCs w:val="18"/>
                      <w:highlight w:val="none"/>
                      <w:lang w:val="en-US" w:eastAsia="zh-CN"/>
                    </w:rPr>
                    <w:t>113.79498124</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cs="Times New Roman"/>
                      <w:color w:val="auto"/>
                      <w:sz w:val="18"/>
                      <w:szCs w:val="18"/>
                      <w:highlight w:val="none"/>
                      <w:lang w:val="en-US" w:eastAsia="zh-CN"/>
                    </w:rPr>
                    <w:t>35.38065434</w:t>
                  </w:r>
                </w:p>
              </w:tc>
              <w:tc>
                <w:tcPr>
                  <w:tcW w:w="474"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15</w:t>
                  </w:r>
                </w:p>
              </w:tc>
              <w:tc>
                <w:tcPr>
                  <w:tcW w:w="398"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0.3</w:t>
                  </w:r>
                </w:p>
              </w:tc>
              <w:tc>
                <w:tcPr>
                  <w:tcW w:w="415"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25</w:t>
                  </w:r>
                </w:p>
              </w:tc>
              <w:tc>
                <w:tcPr>
                  <w:tcW w:w="1496" w:type="pct"/>
                  <w:tcBorders>
                    <w:tl2br w:val="nil"/>
                    <w:tr2bl w:val="nil"/>
                  </w:tcBorders>
                  <w:vAlign w:val="center"/>
                </w:tcPr>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《大气污染物综合排放标准》（GB16297-1996）表2二级标准、</w:t>
                  </w:r>
                </w:p>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《关于全省开展工业企业挥发性有机物专项治理工作中排放建议值的通知》（豫环攻坚办[2017]162号）、</w:t>
                  </w:r>
                </w:p>
                <w:p>
                  <w:pPr>
                    <w:pStyle w:val="45"/>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《挥发性有机物无组织排放控制标准（GB 37822—2019）》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left"/>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fldChar w:fldCharType="begin"/>
            </w:r>
            <w:r>
              <w:rPr>
                <w:rFonts w:hint="default" w:ascii="Times New Roman" w:hAnsi="Times New Roman" w:cs="Times New Roman" w:eastAsiaTheme="minorEastAsia"/>
                <w:color w:val="auto"/>
                <w:highlight w:val="none"/>
                <w:lang w:val="en-US" w:eastAsia="zh-CN"/>
              </w:rPr>
              <w:instrText xml:space="preserve"> = 2 \* GB3 \* MERGEFORMAT </w:instrText>
            </w:r>
            <w:r>
              <w:rPr>
                <w:rFonts w:hint="default" w:ascii="Times New Roman" w:hAnsi="Times New Roman" w:cs="Times New Roman" w:eastAsiaTheme="minorEastAsia"/>
                <w:color w:val="auto"/>
                <w:highlight w:val="none"/>
                <w:lang w:val="en-US" w:eastAsia="zh-CN"/>
              </w:rPr>
              <w:fldChar w:fldCharType="separate"/>
            </w:r>
            <w:r>
              <w:rPr>
                <w:rFonts w:hint="default" w:ascii="Times New Roman" w:hAnsi="Times New Roman" w:cs="Times New Roman"/>
                <w:color w:val="auto"/>
              </w:rPr>
              <w:t>②</w:t>
            </w:r>
            <w:r>
              <w:rPr>
                <w:rFonts w:hint="default" w:ascii="Times New Roman" w:hAnsi="Times New Roman" w:cs="Times New Roman" w:eastAsiaTheme="minorEastAsia"/>
                <w:color w:val="auto"/>
                <w:highlight w:val="none"/>
                <w:lang w:val="en-US" w:eastAsia="zh-CN"/>
              </w:rPr>
              <w:fldChar w:fldCharType="end"/>
            </w:r>
            <w:r>
              <w:rPr>
                <w:rFonts w:hint="default" w:ascii="Times New Roman" w:hAnsi="Times New Roman" w:cs="Times New Roman" w:eastAsiaTheme="minorEastAsia"/>
                <w:color w:val="auto"/>
                <w:highlight w:val="none"/>
                <w:lang w:val="en-US" w:eastAsia="zh-CN"/>
              </w:rPr>
              <w:t>无组织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left"/>
              <w:textAlignment w:val="auto"/>
              <w:rPr>
                <w:rFonts w:hint="default"/>
                <w:lang w:val="en-US" w:eastAsia="zh-CN"/>
              </w:rPr>
            </w:pPr>
            <w:r>
              <w:rPr>
                <w:rFonts w:hint="default" w:ascii="Times New Roman" w:hAnsi="Times New Roman" w:cs="Times New Roman" w:eastAsiaTheme="minorEastAsia"/>
                <w:color w:val="auto"/>
                <w:highlight w:val="none"/>
                <w:lang w:val="en-US" w:eastAsia="zh-CN"/>
              </w:rPr>
              <w:t>工程注塑工序废气采用“二次密闭间+负压集气装置”收集的总集气效率不低于98%计算，则仍有部分未收集废气以无组织形式排放，该部分无组织废气排放情况如下：</w:t>
            </w:r>
          </w:p>
          <w:p>
            <w:pPr>
              <w:keepNext w:val="0"/>
              <w:keepLines w:val="0"/>
              <w:pageBreakBefore w:val="0"/>
              <w:widowControl w:val="0"/>
              <w:numPr>
                <w:ilvl w:val="0"/>
                <w:numId w:val="1"/>
              </w:numPr>
              <w:suppressLineNumbers w:val="0"/>
              <w:kinsoku/>
              <w:wordWrap/>
              <w:overflowPunct/>
              <w:topLinePunct w:val="0"/>
              <w:autoSpaceDE/>
              <w:autoSpaceDN/>
              <w:bidi w:val="0"/>
              <w:spacing w:before="0" w:beforeAutospacing="0" w:after="0" w:afterAutospacing="0" w:line="360" w:lineRule="auto"/>
              <w:ind w:left="0" w:leftChars="0" w:right="0" w:firstLine="420" w:firstLineChars="20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w:t>
            </w:r>
            <w:r>
              <w:rPr>
                <w:rFonts w:hint="eastAsia" w:ascii="Times New Roman" w:hAnsi="Times New Roman" w:cs="Times New Roman" w:eastAsiaTheme="minorEastAsia"/>
                <w:b w:val="0"/>
                <w:bCs w:val="0"/>
                <w:color w:val="auto"/>
                <w:sz w:val="21"/>
                <w:szCs w:val="21"/>
                <w:highlight w:val="none"/>
                <w:lang w:val="en-US" w:eastAsia="zh-CN"/>
              </w:rPr>
              <w:t xml:space="preserve"> </w:t>
            </w:r>
            <w:r>
              <w:rPr>
                <w:rFonts w:hint="default" w:ascii="Times New Roman" w:hAnsi="Times New Roman" w:cs="Times New Roman" w:eastAsiaTheme="minorEastAsia"/>
                <w:b w:val="0"/>
                <w:bCs w:val="0"/>
                <w:color w:val="auto"/>
                <w:sz w:val="21"/>
                <w:szCs w:val="21"/>
                <w:highlight w:val="none"/>
                <w:lang w:val="en-US" w:eastAsia="zh-CN"/>
              </w:rPr>
              <w:t xml:space="preserve">  改扩建工程无组织废气产排情况汇总一览表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855"/>
              <w:gridCol w:w="863"/>
              <w:gridCol w:w="776"/>
              <w:gridCol w:w="779"/>
              <w:gridCol w:w="776"/>
              <w:gridCol w:w="779"/>
              <w:gridCol w:w="1471"/>
              <w:gridCol w:w="7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8"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污染</w:t>
                  </w:r>
                  <w:r>
                    <w:rPr>
                      <w:rFonts w:hint="default" w:ascii="Times New Roman" w:hAnsi="Times New Roman" w:cs="Times New Roman"/>
                      <w:color w:val="auto"/>
                      <w:sz w:val="18"/>
                      <w:szCs w:val="18"/>
                      <w:lang w:eastAsia="zh-CN"/>
                    </w:rPr>
                    <w:t>单元</w:t>
                  </w:r>
                </w:p>
              </w:tc>
              <w:tc>
                <w:tcPr>
                  <w:tcW w:w="563"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污染源</w:t>
                  </w:r>
                </w:p>
              </w:tc>
              <w:tc>
                <w:tcPr>
                  <w:tcW w:w="568"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污染因子</w:t>
                  </w:r>
                </w:p>
              </w:tc>
              <w:tc>
                <w:tcPr>
                  <w:tcW w:w="1030"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产生量</w:t>
                  </w:r>
                  <w:r>
                    <w:rPr>
                      <w:rFonts w:hint="default" w:ascii="Times New Roman" w:hAnsi="Times New Roman" w:cs="Times New Roman"/>
                      <w:color w:val="auto"/>
                      <w:sz w:val="18"/>
                      <w:szCs w:val="18"/>
                      <w:lang w:eastAsia="zh-CN"/>
                    </w:rPr>
                    <w:t>情况</w:t>
                  </w:r>
                </w:p>
              </w:tc>
              <w:tc>
                <w:tcPr>
                  <w:tcW w:w="1030"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排放量</w:t>
                  </w:r>
                  <w:r>
                    <w:rPr>
                      <w:rFonts w:hint="default" w:ascii="Times New Roman" w:hAnsi="Times New Roman" w:cs="Times New Roman"/>
                      <w:color w:val="auto"/>
                      <w:sz w:val="18"/>
                      <w:szCs w:val="18"/>
                      <w:lang w:eastAsia="zh-CN"/>
                    </w:rPr>
                    <w:t>情况</w:t>
                  </w:r>
                </w:p>
              </w:tc>
              <w:tc>
                <w:tcPr>
                  <w:tcW w:w="66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排放特征</w:t>
                  </w:r>
                </w:p>
              </w:tc>
              <w:tc>
                <w:tcPr>
                  <w:tcW w:w="498"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排放时间</w:t>
                  </w:r>
                  <w:r>
                    <w:rPr>
                      <w:rFonts w:hint="default" w:ascii="Times New Roman" w:hAnsi="Times New Roman" w:cs="Times New Roman"/>
                      <w:color w:val="auto"/>
                      <w:sz w:val="18"/>
                      <w:szCs w:val="18"/>
                      <w:lang w:val="en-US" w:eastAsia="zh-CN"/>
                    </w:rPr>
                    <w: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8"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p>
              </w:tc>
              <w:tc>
                <w:tcPr>
                  <w:tcW w:w="563"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p>
              </w:tc>
              <w:tc>
                <w:tcPr>
                  <w:tcW w:w="568"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kg/h</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kg/h</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661" w:type="pct"/>
                  <w:tcBorders>
                    <w:bottom w:val="single" w:color="auto" w:sz="4" w:space="0"/>
                  </w:tcBorders>
                  <w:vAlign w:val="center"/>
                </w:tcPr>
                <w:p>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eastAsia="Times New Roman" w:cs="Times New Roman"/>
                      <w:color w:val="auto"/>
                      <w:sz w:val="18"/>
                      <w:szCs w:val="18"/>
                    </w:rPr>
                    <w:t>长×宽×高m</w:t>
                  </w:r>
                </w:p>
              </w:tc>
              <w:tc>
                <w:tcPr>
                  <w:tcW w:w="498" w:type="pct"/>
                  <w:vMerge w:val="continue"/>
                  <w:tcBorders>
                    <w:bottom w:val="single" w:color="auto" w:sz="4" w:space="0"/>
                  </w:tcBorders>
                  <w:vAlign w:val="center"/>
                </w:tcPr>
                <w:p>
                  <w:pPr>
                    <w:widowControl/>
                    <w:adjustRightInd w:val="0"/>
                    <w:snapToGrid w:val="0"/>
                    <w:jc w:val="center"/>
                    <w:rPr>
                      <w:rFonts w:hint="default" w:ascii="Times New Roman" w:hAnsi="Times New Roman" w:eastAsia="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64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生产车间</w:t>
                  </w:r>
                </w:p>
              </w:tc>
              <w:tc>
                <w:tcPr>
                  <w:tcW w:w="56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注塑工序密闭间未收集废气</w:t>
                  </w:r>
                </w:p>
              </w:tc>
              <w:tc>
                <w:tcPr>
                  <w:tcW w:w="5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非甲烷总烃</w:t>
                  </w:r>
                </w:p>
              </w:tc>
              <w:tc>
                <w:tcPr>
                  <w:tcW w:w="514" w:type="pct"/>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b/>
                      <w:bCs/>
                      <w:color w:val="auto"/>
                      <w:sz w:val="18"/>
                      <w:szCs w:val="18"/>
                      <w:highlight w:val="none"/>
                      <w:u w:val="single"/>
                      <w:lang w:val="en-US" w:eastAsia="zh-CN"/>
                    </w:rPr>
                  </w:pPr>
                  <w:r>
                    <w:rPr>
                      <w:rFonts w:hint="default" w:ascii="Times New Roman" w:hAnsi="Times New Roman" w:cs="Times New Roman"/>
                      <w:b/>
                      <w:bCs/>
                      <w:color w:val="auto"/>
                      <w:sz w:val="18"/>
                      <w:szCs w:val="18"/>
                      <w:highlight w:val="none"/>
                      <w:u w:val="single"/>
                      <w:lang w:val="en-US" w:eastAsia="zh-CN"/>
                    </w:rPr>
                    <w:t>0.0127</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18"/>
                      <w:szCs w:val="18"/>
                      <w:highlight w:val="none"/>
                      <w:u w:val="single"/>
                      <w:lang w:val="en-US" w:eastAsia="zh-CN"/>
                    </w:rPr>
                  </w:pPr>
                  <w:r>
                    <w:rPr>
                      <w:rFonts w:hint="default" w:ascii="Times New Roman" w:hAnsi="Times New Roman" w:cs="Times New Roman"/>
                      <w:b/>
                      <w:bCs/>
                      <w:color w:val="auto"/>
                      <w:sz w:val="18"/>
                      <w:szCs w:val="18"/>
                      <w:highlight w:val="none"/>
                      <w:u w:val="single"/>
                      <w:lang w:val="en-US" w:eastAsia="zh-CN"/>
                    </w:rPr>
                    <w:t>0.0305</w:t>
                  </w:r>
                </w:p>
              </w:tc>
              <w:tc>
                <w:tcPr>
                  <w:tcW w:w="514" w:type="pct"/>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jc w:val="center"/>
                    <w:textAlignment w:val="auto"/>
                    <w:rPr>
                      <w:rFonts w:hint="default" w:ascii="Times New Roman" w:hAnsi="Times New Roman" w:eastAsia="宋体" w:cs="Times New Roman"/>
                      <w:b/>
                      <w:bCs/>
                      <w:color w:val="auto"/>
                      <w:sz w:val="18"/>
                      <w:szCs w:val="18"/>
                      <w:highlight w:val="none"/>
                      <w:u w:val="single"/>
                      <w:lang w:val="en-US" w:eastAsia="zh-CN"/>
                    </w:rPr>
                  </w:pPr>
                  <w:r>
                    <w:rPr>
                      <w:rFonts w:hint="default" w:ascii="Times New Roman" w:hAnsi="Times New Roman" w:cs="Times New Roman"/>
                      <w:b/>
                      <w:bCs/>
                      <w:color w:val="auto"/>
                      <w:sz w:val="18"/>
                      <w:szCs w:val="18"/>
                      <w:highlight w:val="none"/>
                      <w:u w:val="single"/>
                      <w:lang w:val="en-US" w:eastAsia="zh-CN"/>
                    </w:rPr>
                    <w:t>0.0127</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18"/>
                      <w:szCs w:val="18"/>
                      <w:highlight w:val="none"/>
                      <w:u w:val="single"/>
                      <w:lang w:val="en-US" w:eastAsia="zh-CN"/>
                    </w:rPr>
                  </w:pPr>
                  <w:r>
                    <w:rPr>
                      <w:rFonts w:hint="default" w:ascii="Times New Roman" w:hAnsi="Times New Roman" w:cs="Times New Roman"/>
                      <w:b/>
                      <w:bCs/>
                      <w:color w:val="auto"/>
                      <w:sz w:val="18"/>
                      <w:szCs w:val="18"/>
                      <w:highlight w:val="none"/>
                      <w:u w:val="single"/>
                      <w:lang w:val="en-US" w:eastAsia="zh-CN"/>
                    </w:rPr>
                    <w:t>0.0305</w:t>
                  </w:r>
                </w:p>
              </w:tc>
              <w:tc>
                <w:tcPr>
                  <w:tcW w:w="661" w:type="pct"/>
                  <w:tcBorders>
                    <w:top w:val="single" w:color="auto" w:sz="4" w:space="0"/>
                  </w:tcBorders>
                  <w:vAlign w:val="center"/>
                </w:tcPr>
                <w:p>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105</w:t>
                  </w:r>
                  <w:r>
                    <w:rPr>
                      <w:rFonts w:hint="default" w:ascii="Times New Roman" w:hAnsi="Times New Roman" w:eastAsia="Times New Roman" w:cs="Times New Roman"/>
                      <w:color w:val="auto"/>
                      <w:sz w:val="18"/>
                      <w:szCs w:val="18"/>
                    </w:rPr>
                    <w:t>m×</w:t>
                  </w:r>
                  <w:r>
                    <w:rPr>
                      <w:rFonts w:hint="default" w:ascii="Times New Roman" w:hAnsi="Times New Roman" w:eastAsia="宋体" w:cs="Times New Roman"/>
                      <w:color w:val="auto"/>
                      <w:sz w:val="18"/>
                      <w:szCs w:val="18"/>
                      <w:lang w:val="en-US" w:eastAsia="zh-CN"/>
                    </w:rPr>
                    <w:t>48</w:t>
                  </w:r>
                  <w:r>
                    <w:rPr>
                      <w:rFonts w:hint="default" w:ascii="Times New Roman" w:hAnsi="Times New Roman" w:eastAsia="Times New Roman" w:cs="Times New Roman"/>
                      <w:color w:val="auto"/>
                      <w:sz w:val="18"/>
                      <w:szCs w:val="18"/>
                    </w:rPr>
                    <w:t>m×</w:t>
                  </w:r>
                  <w:r>
                    <w:rPr>
                      <w:rFonts w:hint="default" w:ascii="Times New Roman" w:hAnsi="Times New Roman" w:eastAsia="宋体" w:cs="Times New Roman"/>
                      <w:color w:val="auto"/>
                      <w:sz w:val="18"/>
                      <w:szCs w:val="18"/>
                      <w:lang w:val="en-US" w:eastAsia="zh-CN"/>
                    </w:rPr>
                    <w:t>12</w:t>
                  </w:r>
                  <w:r>
                    <w:rPr>
                      <w:rFonts w:hint="default" w:ascii="Times New Roman" w:hAnsi="Times New Roman" w:eastAsia="Times New Roman" w:cs="Times New Roman"/>
                      <w:color w:val="auto"/>
                      <w:sz w:val="18"/>
                      <w:szCs w:val="18"/>
                    </w:rPr>
                    <w:t>m</w:t>
                  </w:r>
                </w:p>
              </w:tc>
              <w:tc>
                <w:tcPr>
                  <w:tcW w:w="49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2400</w:t>
                  </w:r>
                </w:p>
              </w:tc>
            </w:tr>
          </w:tbl>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Chars="200"/>
              <w:textAlignment w:val="auto"/>
              <w:rPr>
                <w:rFonts w:hint="eastAsia" w:cs="宋体"/>
                <w:b/>
                <w:kern w:val="0"/>
                <w:szCs w:val="21"/>
                <w:highlight w:val="none"/>
                <w:lang w:eastAsia="zh-CN"/>
              </w:rPr>
            </w:pPr>
            <w:r>
              <w:rPr>
                <w:rFonts w:hint="eastAsia" w:cs="宋体"/>
                <w:b/>
                <w:kern w:val="0"/>
                <w:szCs w:val="21"/>
                <w:highlight w:val="none"/>
                <w:lang w:eastAsia="zh-CN"/>
              </w:rPr>
              <w:t>监测要求</w:t>
            </w:r>
          </w:p>
          <w:p>
            <w:pPr>
              <w:pStyle w:val="2"/>
              <w:keepNext w:val="0"/>
              <w:keepLines w:val="0"/>
              <w:pageBreakBefore w:val="0"/>
              <w:widowControl w:val="0"/>
              <w:kinsoku/>
              <w:wordWrap/>
              <w:overflowPunct/>
              <w:topLinePunct w:val="0"/>
              <w:bidi w:val="0"/>
              <w:adjustRightInd/>
              <w:snapToGrid/>
              <w:spacing w:line="360" w:lineRule="auto"/>
              <w:textAlignment w:val="auto"/>
              <w:rPr>
                <w:rFonts w:hint="eastAsia"/>
                <w:b w:val="0"/>
                <w:bCs/>
                <w:lang w:eastAsia="zh-CN"/>
              </w:rPr>
            </w:pPr>
            <w:r>
              <w:rPr>
                <w:rFonts w:hint="eastAsia" w:cs="宋体"/>
                <w:b w:val="0"/>
                <w:bCs/>
                <w:kern w:val="0"/>
                <w:szCs w:val="21"/>
                <w:highlight w:val="none"/>
                <w:lang w:eastAsia="zh-CN"/>
              </w:rPr>
              <w:t>项目属于C2929-塑料零件及其他塑料制品制造，参考《排污许可证申请与核发技术规范 橡胶和塑料制品工业》，项目自行监测计划如下：</w:t>
            </w:r>
          </w:p>
          <w:p>
            <w:pPr>
              <w:keepNext w:val="0"/>
              <w:keepLines w:val="0"/>
              <w:pageBreakBefore w:val="0"/>
              <w:widowControl w:val="0"/>
              <w:numPr>
                <w:ilvl w:val="0"/>
                <w:numId w:val="1"/>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有组织废气监测计划表</w:t>
            </w:r>
          </w:p>
          <w:tbl>
            <w:tblPr>
              <w:tblStyle w:val="1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184"/>
              <w:gridCol w:w="1297"/>
              <w:gridCol w:w="45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pct"/>
                  <w:noWrap w:val="0"/>
                  <w:vAlign w:val="center"/>
                </w:tcPr>
                <w:p>
                  <w:pPr>
                    <w:pStyle w:val="45"/>
                    <w:adjustRightInd/>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监测点位</w:t>
                  </w:r>
                </w:p>
              </w:tc>
              <w:tc>
                <w:tcPr>
                  <w:tcW w:w="736" w:type="pct"/>
                  <w:noWrap w:val="0"/>
                  <w:vAlign w:val="center"/>
                </w:tcPr>
                <w:p>
                  <w:pPr>
                    <w:pStyle w:val="45"/>
                    <w:adjustRightInd/>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监测指标</w:t>
                  </w:r>
                </w:p>
              </w:tc>
              <w:tc>
                <w:tcPr>
                  <w:tcW w:w="806" w:type="pct"/>
                  <w:noWrap w:val="0"/>
                  <w:vAlign w:val="center"/>
                </w:tcPr>
                <w:p>
                  <w:pPr>
                    <w:pStyle w:val="45"/>
                    <w:adjustRightInd/>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监测频次</w:t>
                  </w:r>
                </w:p>
              </w:tc>
              <w:tc>
                <w:tcPr>
                  <w:tcW w:w="2805" w:type="pct"/>
                  <w:noWrap w:val="0"/>
                  <w:vAlign w:val="center"/>
                </w:tcPr>
                <w:p>
                  <w:pPr>
                    <w:pStyle w:val="45"/>
                    <w:adjustRightInd/>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执行</w:t>
                  </w:r>
                  <w:r>
                    <w:rPr>
                      <w:rFonts w:hint="default" w:ascii="Times New Roman" w:hAnsi="Times New Roman" w:eastAsia="宋体" w:cs="Times New Roman"/>
                      <w:color w:val="auto"/>
                      <w:sz w:val="18"/>
                      <w:szCs w:val="18"/>
                      <w:highlight w:val="none"/>
                      <w:lang w:eastAsia="zh-CN"/>
                    </w:rPr>
                    <w:t>排放</w:t>
                  </w:r>
                  <w:r>
                    <w:rPr>
                      <w:rFonts w:hint="default" w:ascii="Times New Roman" w:hAnsi="Times New Roman" w:eastAsia="宋体" w:cs="Times New Roman"/>
                      <w:color w:val="auto"/>
                      <w:sz w:val="18"/>
                      <w:szCs w:val="18"/>
                      <w:highlight w:val="none"/>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51" w:type="pct"/>
                  <w:noWrap w:val="0"/>
                  <w:vAlign w:val="center"/>
                </w:tcPr>
                <w:p>
                  <w:pPr>
                    <w:spacing w:line="240" w:lineRule="auto"/>
                    <w:jc w:val="center"/>
                    <w:rPr>
                      <w:rFonts w:hint="default" w:ascii="Times New Roman" w:hAnsi="Times New Roman" w:cs="Times New Roman" w:eastAsiaTheme="minorEastAsia"/>
                      <w:color w:val="auto"/>
                      <w:sz w:val="18"/>
                      <w:szCs w:val="18"/>
                      <w:highlight w:val="none"/>
                      <w:lang w:val="en-US"/>
                    </w:rPr>
                  </w:pPr>
                  <w:r>
                    <w:rPr>
                      <w:rFonts w:hint="default" w:ascii="Times New Roman" w:hAnsi="Times New Roman" w:cs="Times New Roman" w:eastAsiaTheme="minorEastAsia"/>
                      <w:color w:val="auto"/>
                      <w:sz w:val="18"/>
                      <w:szCs w:val="18"/>
                      <w:highlight w:val="none"/>
                      <w:lang w:val="en-US" w:eastAsia="zh-CN"/>
                    </w:rPr>
                    <w:t>DA001</w:t>
                  </w:r>
                </w:p>
              </w:tc>
              <w:tc>
                <w:tcPr>
                  <w:tcW w:w="736" w:type="pct"/>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lang w:eastAsia="zh-CN"/>
                    </w:rPr>
                    <w:t>非甲烷总烃</w:t>
                  </w:r>
                </w:p>
              </w:tc>
              <w:tc>
                <w:tcPr>
                  <w:tcW w:w="806" w:type="pct"/>
                  <w:noWrap w:val="0"/>
                  <w:vAlign w:val="center"/>
                </w:tcPr>
                <w:p>
                  <w:pPr>
                    <w:spacing w:line="240" w:lineRule="auto"/>
                    <w:jc w:val="center"/>
                    <w:rPr>
                      <w:rFonts w:hint="default" w:ascii="Times New Roman" w:hAnsi="Times New Roman" w:cs="Times New Roman" w:eastAsiaTheme="minorEastAsia"/>
                      <w:bCs/>
                      <w:color w:val="auto"/>
                      <w:sz w:val="18"/>
                      <w:szCs w:val="18"/>
                      <w:highlight w:val="none"/>
                      <w:lang w:eastAsia="zh-CN"/>
                    </w:rPr>
                  </w:pPr>
                  <w:r>
                    <w:rPr>
                      <w:rFonts w:hint="default" w:ascii="Times New Roman" w:hAnsi="Times New Roman" w:cs="Times New Roman" w:eastAsiaTheme="minorEastAsia"/>
                      <w:color w:val="auto"/>
                      <w:sz w:val="18"/>
                      <w:szCs w:val="18"/>
                      <w:highlight w:val="none"/>
                      <w:lang w:val="en-US" w:eastAsia="zh-CN"/>
                    </w:rPr>
                    <w:t>1次/半年</w:t>
                  </w:r>
                </w:p>
              </w:tc>
              <w:tc>
                <w:tcPr>
                  <w:tcW w:w="2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cyan"/>
                      <w:lang w:eastAsia="zh-CN"/>
                    </w:rPr>
                  </w:pPr>
                  <w:r>
                    <w:rPr>
                      <w:rFonts w:hint="default" w:ascii="Times New Roman" w:hAnsi="Times New Roman" w:cs="Times New Roman" w:eastAsiaTheme="minorEastAsia"/>
                      <w:color w:val="auto"/>
                      <w:sz w:val="18"/>
                      <w:szCs w:val="18"/>
                      <w:highlight w:val="none"/>
                    </w:rPr>
                    <w:t>《大气污染物综合排放标准》（GB16297-1996）表2二级标准</w:t>
                  </w:r>
                  <w:r>
                    <w:rPr>
                      <w:rFonts w:hint="default" w:ascii="Times New Roman" w:hAnsi="Times New Roman" w:cs="Times New Roman" w:eastAsiaTheme="minorEastAsia"/>
                      <w:color w:val="auto"/>
                      <w:sz w:val="18"/>
                      <w:szCs w:val="18"/>
                      <w:highlight w:val="none"/>
                      <w:lang w:eastAsia="zh-CN"/>
                    </w:rPr>
                    <w:t>、</w:t>
                  </w:r>
                  <w:r>
                    <w:rPr>
                      <w:rFonts w:hint="default" w:ascii="Times New Roman" w:hAnsi="Times New Roman" w:cs="Times New Roman" w:eastAsiaTheme="minorEastAsia"/>
                      <w:color w:val="auto"/>
                      <w:sz w:val="18"/>
                      <w:szCs w:val="18"/>
                      <w:highlight w:val="none"/>
                    </w:rPr>
                    <w:t>《关于全省开展工业企业挥发性有机物专项治理工作中排放建议值的通知》（豫环攻坚办[2017]162号）</w:t>
                  </w:r>
                </w:p>
              </w:tc>
            </w:tr>
          </w:tbl>
          <w:p>
            <w:pPr>
              <w:keepNext w:val="0"/>
              <w:keepLines w:val="0"/>
              <w:numPr>
                <w:ilvl w:val="0"/>
                <w:numId w:val="1"/>
              </w:numPr>
              <w:suppressLineNumbers w:val="0"/>
              <w:spacing w:before="0" w:beforeAutospacing="0" w:after="0" w:afterAutospacing="0" w:line="460" w:lineRule="exact"/>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无组织废气监测方案</w:t>
            </w:r>
          </w:p>
          <w:tbl>
            <w:tblPr>
              <w:tblStyle w:val="1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284"/>
              <w:gridCol w:w="1260"/>
              <w:gridCol w:w="32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8" w:type="pct"/>
                  <w:noWrap w:val="0"/>
                  <w:vAlign w:val="center"/>
                </w:tcPr>
                <w:p>
                  <w:pPr>
                    <w:pStyle w:val="45"/>
                    <w:adjustRightInd/>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监测点位</w:t>
                  </w:r>
                </w:p>
              </w:tc>
              <w:tc>
                <w:tcPr>
                  <w:tcW w:w="798" w:type="pct"/>
                  <w:noWrap w:val="0"/>
                  <w:vAlign w:val="center"/>
                </w:tcPr>
                <w:p>
                  <w:pPr>
                    <w:pStyle w:val="45"/>
                    <w:adjustRightInd/>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监测指标</w:t>
                  </w:r>
                </w:p>
              </w:tc>
              <w:tc>
                <w:tcPr>
                  <w:tcW w:w="783" w:type="pct"/>
                  <w:noWrap w:val="0"/>
                  <w:vAlign w:val="center"/>
                </w:tcPr>
                <w:p>
                  <w:pPr>
                    <w:pStyle w:val="45"/>
                    <w:adjustRightInd/>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监测频次</w:t>
                  </w:r>
                </w:p>
              </w:tc>
              <w:tc>
                <w:tcPr>
                  <w:tcW w:w="2030" w:type="pct"/>
                  <w:noWrap w:val="0"/>
                  <w:vAlign w:val="center"/>
                </w:tcPr>
                <w:p>
                  <w:pPr>
                    <w:pStyle w:val="45"/>
                    <w:adjustRightInd/>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执行</w:t>
                  </w:r>
                  <w:r>
                    <w:rPr>
                      <w:rFonts w:hint="default" w:ascii="Times New Roman" w:hAnsi="Times New Roman" w:eastAsia="宋体" w:cs="Times New Roman"/>
                      <w:color w:val="auto"/>
                      <w:sz w:val="18"/>
                      <w:szCs w:val="18"/>
                      <w:highlight w:val="none"/>
                      <w:lang w:eastAsia="zh-CN"/>
                    </w:rPr>
                    <w:t>排放</w:t>
                  </w:r>
                  <w:r>
                    <w:rPr>
                      <w:rFonts w:hint="default" w:ascii="Times New Roman" w:hAnsi="Times New Roman" w:eastAsia="宋体" w:cs="Times New Roman"/>
                      <w:color w:val="auto"/>
                      <w:sz w:val="18"/>
                      <w:szCs w:val="18"/>
                      <w:highlight w:val="none"/>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8" w:type="pct"/>
                  <w:noWrap w:val="0"/>
                  <w:vAlign w:val="center"/>
                </w:tcPr>
                <w:p>
                  <w:pPr>
                    <w:spacing w:line="240" w:lineRule="auto"/>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厂区上风向1个，下风向3个</w:t>
                  </w:r>
                </w:p>
              </w:tc>
              <w:tc>
                <w:tcPr>
                  <w:tcW w:w="798" w:type="pct"/>
                  <w:noWrap w:val="0"/>
                  <w:vAlign w:val="center"/>
                </w:tcPr>
                <w:p>
                  <w:pPr>
                    <w:spacing w:line="240" w:lineRule="auto"/>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非甲烷总烃</w:t>
                  </w:r>
                </w:p>
              </w:tc>
              <w:tc>
                <w:tcPr>
                  <w:tcW w:w="783" w:type="pct"/>
                  <w:noWrap w:val="0"/>
                  <w:vAlign w:val="center"/>
                </w:tcPr>
                <w:p>
                  <w:pPr>
                    <w:pStyle w:val="45"/>
                    <w:adjustRightInd/>
                    <w:spacing w:line="240" w:lineRule="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1次/半年</w:t>
                  </w:r>
                </w:p>
              </w:tc>
              <w:tc>
                <w:tcPr>
                  <w:tcW w:w="20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《大气污染物综合排放标准》（GB16297-1996）表2二级标准</w:t>
                  </w:r>
                  <w:r>
                    <w:rPr>
                      <w:rFonts w:hint="default" w:ascii="Times New Roman" w:hAnsi="Times New Roman" w:cs="Times New Roman" w:eastAsiaTheme="minorEastAsia"/>
                      <w:color w:val="auto"/>
                      <w:sz w:val="18"/>
                      <w:szCs w:val="18"/>
                      <w:highlight w:val="none"/>
                      <w:lang w:eastAsia="zh-CN"/>
                    </w:rPr>
                    <w:t>、</w:t>
                  </w:r>
                  <w:r>
                    <w:rPr>
                      <w:rFonts w:hint="default" w:ascii="Times New Roman" w:hAnsi="Times New Roman" w:cs="Times New Roman" w:eastAsiaTheme="minorEastAsia"/>
                      <w:color w:val="auto"/>
                      <w:sz w:val="18"/>
                      <w:szCs w:val="18"/>
                      <w:highlight w:val="none"/>
                    </w:rPr>
                    <w:t>《关于全省开展工业企业挥发性有机物专项治理工作中排放建议值的通知》（豫环攻坚办[2017]162号）</w:t>
                  </w:r>
                  <w:r>
                    <w:rPr>
                      <w:rFonts w:hint="default" w:ascii="Times New Roman" w:hAnsi="Times New Roman" w:cs="Times New Roman" w:eastAsiaTheme="minorEastAsia"/>
                      <w:color w:val="auto"/>
                      <w:sz w:val="18"/>
                      <w:szCs w:val="18"/>
                      <w:highlight w:val="none"/>
                      <w:lang w:eastAsia="zh-CN"/>
                    </w:rPr>
                    <w:t>、</w:t>
                  </w:r>
                  <w:r>
                    <w:rPr>
                      <w:rFonts w:hint="default" w:ascii="Times New Roman" w:hAnsi="Times New Roman" w:cs="Times New Roman" w:eastAsiaTheme="minorEastAsia"/>
                      <w:color w:val="auto"/>
                      <w:sz w:val="18"/>
                      <w:szCs w:val="18"/>
                      <w:highlight w:val="none"/>
                    </w:rPr>
                    <w:t>《挥发性有机物无组织排放控制标准（GB 37822—2019）》</w:t>
                  </w:r>
                </w:p>
              </w:tc>
            </w:tr>
          </w:tbl>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firstLine="422" w:firstLineChars="200"/>
              <w:textAlignment w:val="auto"/>
              <w:rPr>
                <w:rFonts w:cs="宋体"/>
                <w:b/>
                <w:kern w:val="0"/>
                <w:szCs w:val="21"/>
                <w:highlight w:val="none"/>
              </w:rPr>
            </w:pPr>
            <w:r>
              <w:rPr>
                <w:rFonts w:hint="eastAsia" w:cs="宋体"/>
                <w:b/>
                <w:kern w:val="0"/>
                <w:szCs w:val="21"/>
                <w:highlight w:val="none"/>
              </w:rPr>
              <w:t>噪声</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cs="宋体"/>
                <w:bCs/>
                <w:kern w:val="0"/>
                <w:szCs w:val="21"/>
                <w:highlight w:val="none"/>
              </w:rPr>
            </w:pPr>
            <w:r>
              <w:rPr>
                <w:rFonts w:hint="eastAsia" w:cs="宋体"/>
                <w:b/>
                <w:bCs/>
                <w:kern w:val="0"/>
                <w:szCs w:val="21"/>
                <w:highlight w:val="none"/>
              </w:rPr>
              <w:t>（1）</w:t>
            </w:r>
            <w:r>
              <w:rPr>
                <w:rFonts w:cs="宋体"/>
                <w:b/>
                <w:bCs/>
                <w:kern w:val="0"/>
                <w:szCs w:val="21"/>
                <w:highlight w:val="none"/>
              </w:rPr>
              <w:t>噪声污染源及治理措施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textAlignment w:val="auto"/>
              <w:rPr>
                <w:rFonts w:hint="eastAsia"/>
                <w:lang w:eastAsia="zh-CN"/>
              </w:rPr>
            </w:pPr>
            <w:r>
              <w:rPr>
                <w:rFonts w:hint="default" w:ascii="Times New Roman" w:hAnsi="Times New Roman" w:eastAsia="宋体" w:cs="Times New Roman"/>
                <w:color w:val="auto"/>
                <w:sz w:val="21"/>
                <w:szCs w:val="21"/>
                <w:highlight w:val="none"/>
              </w:rPr>
              <w:t>工程噪声主要包括</w:t>
            </w:r>
            <w:r>
              <w:rPr>
                <w:rFonts w:hint="default" w:ascii="Times New Roman" w:hAnsi="Times New Roman" w:cs="Times New Roman"/>
                <w:color w:val="auto"/>
                <w:sz w:val="21"/>
                <w:szCs w:val="21"/>
                <w:highlight w:val="none"/>
                <w:lang w:eastAsia="zh-CN"/>
              </w:rPr>
              <w:t>注塑机、上料机、破碎机等设备工作过程产生的机械噪声和风机工作产生的空气动力性噪声</w:t>
            </w:r>
            <w:r>
              <w:rPr>
                <w:rFonts w:hint="default" w:ascii="Times New Roman" w:hAnsi="Times New Roman" w:eastAsia="宋体" w:cs="Times New Roman"/>
                <w:color w:val="auto"/>
                <w:sz w:val="21"/>
                <w:szCs w:val="21"/>
                <w:highlight w:val="none"/>
              </w:rPr>
              <w:t>，噪声源强为70~90</w:t>
            </w:r>
            <w:r>
              <w:rPr>
                <w:rFonts w:hint="default" w:ascii="Times New Roman" w:hAnsi="Times New Roman" w:cs="Times New Roman"/>
                <w:color w:val="auto"/>
                <w:sz w:val="21"/>
                <w:szCs w:val="21"/>
                <w:highlight w:val="none"/>
              </w:rPr>
              <w:t xml:space="preserve"> dB(A)</w:t>
            </w:r>
            <w:r>
              <w:rPr>
                <w:rFonts w:hint="default" w:ascii="Times New Roman" w:hAnsi="Times New Roman" w:eastAsia="宋体" w:cs="Times New Roman"/>
                <w:color w:val="auto"/>
                <w:spacing w:val="6"/>
                <w:sz w:val="21"/>
                <w:szCs w:val="21"/>
                <w:highlight w:val="none"/>
              </w:rPr>
              <w:t>，本项目各噪声设备源强及其降噪情况见</w:t>
            </w:r>
            <w:r>
              <w:rPr>
                <w:rFonts w:hint="eastAsia" w:cs="Times New Roman"/>
                <w:color w:val="auto"/>
                <w:spacing w:val="6"/>
                <w:sz w:val="21"/>
                <w:szCs w:val="21"/>
                <w:highlight w:val="none"/>
                <w:lang w:eastAsia="zh-CN"/>
              </w:rPr>
              <w:t>下表：</w:t>
            </w:r>
          </w:p>
          <w:p>
            <w:pPr>
              <w:keepNext w:val="0"/>
              <w:keepLines w:val="0"/>
              <w:pageBreakBefore w:val="0"/>
              <w:widowControl w:val="0"/>
              <w:numPr>
                <w:ilvl w:val="0"/>
                <w:numId w:val="1"/>
              </w:numPr>
              <w:suppressLineNumbers w:val="0"/>
              <w:kinsoku/>
              <w:wordWrap/>
              <w:overflowPunct/>
              <w:topLinePunct w:val="0"/>
              <w:autoSpaceDE/>
              <w:autoSpaceDN/>
              <w:bidi w:val="0"/>
              <w:spacing w:before="0" w:beforeAutospacing="0" w:after="0" w:afterAutospacing="0" w:line="360" w:lineRule="auto"/>
              <w:ind w:left="0" w:leftChars="0" w:right="0" w:firstLine="420" w:firstLineChars="20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 xml:space="preserve">    </w:t>
            </w:r>
            <w:r>
              <w:rPr>
                <w:rFonts w:hint="default" w:ascii="Times New Roman" w:hAnsi="Times New Roman" w:cs="Times New Roman" w:eastAsiaTheme="minorEastAsia"/>
                <w:b w:val="0"/>
                <w:bCs w:val="0"/>
                <w:color w:val="auto"/>
                <w:sz w:val="21"/>
                <w:szCs w:val="21"/>
                <w:highlight w:val="none"/>
                <w:lang w:val="en-US" w:eastAsia="zh-CN"/>
              </w:rPr>
              <w:t>主要噪声源强及治理情况一览表</w:t>
            </w:r>
          </w:p>
          <w:tbl>
            <w:tblPr>
              <w:tblStyle w:val="1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026"/>
              <w:gridCol w:w="713"/>
              <w:gridCol w:w="898"/>
              <w:gridCol w:w="652"/>
              <w:gridCol w:w="1011"/>
              <w:gridCol w:w="604"/>
              <w:gridCol w:w="886"/>
              <w:gridCol w:w="760"/>
              <w:gridCol w:w="7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Merge w:val="restart"/>
                  <w:noWrap w:val="0"/>
                  <w:vAlign w:val="center"/>
                </w:tcPr>
                <w:p>
                  <w:pPr>
                    <w:widowControl/>
                    <w:jc w:val="center"/>
                    <w:rPr>
                      <w:sz w:val="18"/>
                      <w:szCs w:val="18"/>
                      <w:highlight w:val="none"/>
                    </w:rPr>
                  </w:pPr>
                  <w:r>
                    <w:rPr>
                      <w:sz w:val="18"/>
                      <w:szCs w:val="18"/>
                      <w:highlight w:val="none"/>
                    </w:rPr>
                    <w:t>工序/生产线</w:t>
                  </w:r>
                </w:p>
              </w:tc>
              <w:tc>
                <w:tcPr>
                  <w:tcW w:w="637" w:type="pct"/>
                  <w:vMerge w:val="restart"/>
                  <w:noWrap w:val="0"/>
                  <w:vAlign w:val="center"/>
                </w:tcPr>
                <w:p>
                  <w:pPr>
                    <w:widowControl/>
                    <w:jc w:val="center"/>
                    <w:rPr>
                      <w:sz w:val="18"/>
                      <w:szCs w:val="18"/>
                      <w:highlight w:val="none"/>
                    </w:rPr>
                  </w:pPr>
                  <w:r>
                    <w:rPr>
                      <w:sz w:val="18"/>
                      <w:szCs w:val="18"/>
                      <w:highlight w:val="none"/>
                    </w:rPr>
                    <w:t>噪声源</w:t>
                  </w:r>
                </w:p>
              </w:tc>
              <w:tc>
                <w:tcPr>
                  <w:tcW w:w="443" w:type="pct"/>
                  <w:vMerge w:val="restart"/>
                  <w:noWrap w:val="0"/>
                  <w:vAlign w:val="center"/>
                </w:tcPr>
                <w:p>
                  <w:pPr>
                    <w:widowControl/>
                    <w:jc w:val="center"/>
                    <w:rPr>
                      <w:sz w:val="18"/>
                      <w:szCs w:val="18"/>
                      <w:highlight w:val="none"/>
                    </w:rPr>
                  </w:pPr>
                  <w:r>
                    <w:rPr>
                      <w:sz w:val="18"/>
                      <w:szCs w:val="18"/>
                      <w:highlight w:val="none"/>
                    </w:rPr>
                    <w:t>声源类型</w:t>
                  </w:r>
                </w:p>
              </w:tc>
              <w:tc>
                <w:tcPr>
                  <w:tcW w:w="963" w:type="pct"/>
                  <w:gridSpan w:val="2"/>
                  <w:noWrap w:val="0"/>
                  <w:vAlign w:val="center"/>
                </w:tcPr>
                <w:p>
                  <w:pPr>
                    <w:widowControl/>
                    <w:jc w:val="center"/>
                    <w:rPr>
                      <w:sz w:val="18"/>
                      <w:szCs w:val="18"/>
                      <w:highlight w:val="none"/>
                    </w:rPr>
                  </w:pPr>
                  <w:r>
                    <w:rPr>
                      <w:sz w:val="18"/>
                      <w:szCs w:val="18"/>
                      <w:highlight w:val="none"/>
                    </w:rPr>
                    <w:t>噪声源强</w:t>
                  </w:r>
                </w:p>
              </w:tc>
              <w:tc>
                <w:tcPr>
                  <w:tcW w:w="1003" w:type="pct"/>
                  <w:gridSpan w:val="2"/>
                  <w:noWrap w:val="0"/>
                  <w:vAlign w:val="center"/>
                </w:tcPr>
                <w:p>
                  <w:pPr>
                    <w:widowControl/>
                    <w:jc w:val="center"/>
                    <w:rPr>
                      <w:sz w:val="18"/>
                      <w:szCs w:val="18"/>
                      <w:highlight w:val="none"/>
                    </w:rPr>
                  </w:pPr>
                  <w:r>
                    <w:rPr>
                      <w:sz w:val="18"/>
                      <w:szCs w:val="18"/>
                      <w:highlight w:val="none"/>
                    </w:rPr>
                    <w:t>降噪措施</w:t>
                  </w:r>
                </w:p>
              </w:tc>
              <w:tc>
                <w:tcPr>
                  <w:tcW w:w="1022" w:type="pct"/>
                  <w:gridSpan w:val="2"/>
                  <w:noWrap w:val="0"/>
                  <w:vAlign w:val="center"/>
                </w:tcPr>
                <w:p>
                  <w:pPr>
                    <w:widowControl/>
                    <w:jc w:val="center"/>
                    <w:rPr>
                      <w:sz w:val="18"/>
                      <w:szCs w:val="18"/>
                      <w:highlight w:val="none"/>
                    </w:rPr>
                  </w:pPr>
                  <w:r>
                    <w:rPr>
                      <w:sz w:val="18"/>
                      <w:szCs w:val="18"/>
                      <w:highlight w:val="none"/>
                    </w:rPr>
                    <w:t>噪声排放值</w:t>
                  </w:r>
                </w:p>
              </w:tc>
              <w:tc>
                <w:tcPr>
                  <w:tcW w:w="436" w:type="pct"/>
                  <w:vMerge w:val="restart"/>
                  <w:noWrap w:val="0"/>
                  <w:vAlign w:val="center"/>
                </w:tcPr>
                <w:p>
                  <w:pPr>
                    <w:widowControl/>
                    <w:jc w:val="center"/>
                    <w:rPr>
                      <w:sz w:val="18"/>
                      <w:szCs w:val="18"/>
                      <w:highlight w:val="none"/>
                    </w:rPr>
                  </w:pPr>
                  <w:r>
                    <w:rPr>
                      <w:sz w:val="18"/>
                      <w:szCs w:val="18"/>
                      <w:highlight w:val="none"/>
                    </w:rPr>
                    <w:t>持续时间/h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Merge w:val="continue"/>
                  <w:noWrap w:val="0"/>
                  <w:vAlign w:val="center"/>
                </w:tcPr>
                <w:p>
                  <w:pPr>
                    <w:widowControl/>
                    <w:jc w:val="center"/>
                    <w:rPr>
                      <w:sz w:val="18"/>
                      <w:szCs w:val="18"/>
                      <w:highlight w:val="none"/>
                    </w:rPr>
                  </w:pPr>
                </w:p>
              </w:tc>
              <w:tc>
                <w:tcPr>
                  <w:tcW w:w="637" w:type="pct"/>
                  <w:vMerge w:val="continue"/>
                  <w:noWrap w:val="0"/>
                  <w:vAlign w:val="center"/>
                </w:tcPr>
                <w:p>
                  <w:pPr>
                    <w:widowControl/>
                    <w:jc w:val="center"/>
                    <w:rPr>
                      <w:sz w:val="18"/>
                      <w:szCs w:val="18"/>
                      <w:highlight w:val="none"/>
                    </w:rPr>
                  </w:pPr>
                </w:p>
              </w:tc>
              <w:tc>
                <w:tcPr>
                  <w:tcW w:w="443" w:type="pct"/>
                  <w:vMerge w:val="continue"/>
                  <w:noWrap w:val="0"/>
                  <w:vAlign w:val="center"/>
                </w:tcPr>
                <w:p>
                  <w:pPr>
                    <w:widowControl/>
                    <w:jc w:val="center"/>
                    <w:rPr>
                      <w:sz w:val="18"/>
                      <w:szCs w:val="18"/>
                      <w:highlight w:val="none"/>
                    </w:rPr>
                  </w:pPr>
                </w:p>
              </w:tc>
              <w:tc>
                <w:tcPr>
                  <w:tcW w:w="558" w:type="pct"/>
                  <w:noWrap w:val="0"/>
                  <w:vAlign w:val="center"/>
                </w:tcPr>
                <w:p>
                  <w:pPr>
                    <w:widowControl/>
                    <w:ind w:left="-71" w:leftChars="-34" w:right="-126" w:rightChars="-60"/>
                    <w:jc w:val="center"/>
                    <w:rPr>
                      <w:sz w:val="18"/>
                      <w:szCs w:val="18"/>
                      <w:highlight w:val="none"/>
                    </w:rPr>
                  </w:pPr>
                  <w:r>
                    <w:rPr>
                      <w:sz w:val="18"/>
                      <w:szCs w:val="18"/>
                      <w:highlight w:val="none"/>
                    </w:rPr>
                    <w:t>核算方法</w:t>
                  </w:r>
                </w:p>
              </w:tc>
              <w:tc>
                <w:tcPr>
                  <w:tcW w:w="405" w:type="pct"/>
                  <w:noWrap w:val="0"/>
                  <w:vAlign w:val="center"/>
                </w:tcPr>
                <w:p>
                  <w:pPr>
                    <w:widowControl/>
                    <w:ind w:left="-71" w:leftChars="-34" w:right="-126" w:rightChars="-60"/>
                    <w:jc w:val="center"/>
                    <w:rPr>
                      <w:sz w:val="18"/>
                      <w:szCs w:val="18"/>
                      <w:highlight w:val="none"/>
                    </w:rPr>
                  </w:pPr>
                  <w:r>
                    <w:rPr>
                      <w:sz w:val="18"/>
                      <w:szCs w:val="18"/>
                      <w:highlight w:val="none"/>
                    </w:rPr>
                    <w:t>噪声值</w:t>
                  </w:r>
                </w:p>
              </w:tc>
              <w:tc>
                <w:tcPr>
                  <w:tcW w:w="628" w:type="pct"/>
                  <w:noWrap w:val="0"/>
                  <w:vAlign w:val="center"/>
                </w:tcPr>
                <w:p>
                  <w:pPr>
                    <w:widowControl/>
                    <w:ind w:left="-71" w:leftChars="-34" w:right="-126" w:rightChars="-60"/>
                    <w:jc w:val="center"/>
                    <w:rPr>
                      <w:sz w:val="18"/>
                      <w:szCs w:val="18"/>
                      <w:highlight w:val="none"/>
                    </w:rPr>
                  </w:pPr>
                  <w:r>
                    <w:rPr>
                      <w:sz w:val="18"/>
                      <w:szCs w:val="18"/>
                      <w:highlight w:val="none"/>
                    </w:rPr>
                    <w:t>工艺</w:t>
                  </w:r>
                </w:p>
              </w:tc>
              <w:tc>
                <w:tcPr>
                  <w:tcW w:w="375" w:type="pct"/>
                  <w:noWrap w:val="0"/>
                  <w:vAlign w:val="center"/>
                </w:tcPr>
                <w:p>
                  <w:pPr>
                    <w:widowControl/>
                    <w:ind w:left="-71" w:leftChars="-34" w:right="-126" w:rightChars="-60"/>
                    <w:jc w:val="center"/>
                    <w:rPr>
                      <w:sz w:val="18"/>
                      <w:szCs w:val="18"/>
                      <w:highlight w:val="none"/>
                    </w:rPr>
                  </w:pPr>
                  <w:r>
                    <w:rPr>
                      <w:sz w:val="18"/>
                      <w:szCs w:val="18"/>
                      <w:highlight w:val="none"/>
                    </w:rPr>
                    <w:t>降噪</w:t>
                  </w:r>
                </w:p>
                <w:p>
                  <w:pPr>
                    <w:widowControl/>
                    <w:ind w:left="-71" w:leftChars="-34" w:right="-126" w:rightChars="-60"/>
                    <w:jc w:val="center"/>
                    <w:rPr>
                      <w:sz w:val="18"/>
                      <w:szCs w:val="18"/>
                      <w:highlight w:val="none"/>
                    </w:rPr>
                  </w:pPr>
                  <w:r>
                    <w:rPr>
                      <w:sz w:val="18"/>
                      <w:szCs w:val="18"/>
                      <w:highlight w:val="none"/>
                    </w:rPr>
                    <w:t>效果</w:t>
                  </w:r>
                </w:p>
              </w:tc>
              <w:tc>
                <w:tcPr>
                  <w:tcW w:w="550" w:type="pct"/>
                  <w:noWrap w:val="0"/>
                  <w:vAlign w:val="center"/>
                </w:tcPr>
                <w:p>
                  <w:pPr>
                    <w:widowControl/>
                    <w:ind w:left="-71" w:leftChars="-34" w:right="-126" w:rightChars="-60"/>
                    <w:jc w:val="center"/>
                    <w:rPr>
                      <w:sz w:val="18"/>
                      <w:szCs w:val="18"/>
                      <w:highlight w:val="none"/>
                    </w:rPr>
                  </w:pPr>
                  <w:r>
                    <w:rPr>
                      <w:sz w:val="18"/>
                      <w:szCs w:val="18"/>
                      <w:highlight w:val="none"/>
                    </w:rPr>
                    <w:t>核算方法</w:t>
                  </w:r>
                </w:p>
              </w:tc>
              <w:tc>
                <w:tcPr>
                  <w:tcW w:w="472" w:type="pct"/>
                  <w:noWrap w:val="0"/>
                  <w:vAlign w:val="center"/>
                </w:tcPr>
                <w:p>
                  <w:pPr>
                    <w:widowControl/>
                    <w:jc w:val="center"/>
                    <w:rPr>
                      <w:sz w:val="18"/>
                      <w:szCs w:val="18"/>
                      <w:highlight w:val="none"/>
                    </w:rPr>
                  </w:pPr>
                  <w:r>
                    <w:rPr>
                      <w:sz w:val="18"/>
                      <w:szCs w:val="18"/>
                      <w:highlight w:val="none"/>
                    </w:rPr>
                    <w:t>噪声值</w:t>
                  </w:r>
                </w:p>
              </w:tc>
              <w:tc>
                <w:tcPr>
                  <w:tcW w:w="436" w:type="pct"/>
                  <w:vMerge w:val="continue"/>
                  <w:noWrap w:val="0"/>
                  <w:vAlign w:val="center"/>
                </w:tcPr>
                <w:p>
                  <w:pPr>
                    <w:widowControl/>
                    <w:jc w:val="center"/>
                    <w:rPr>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Merge w:val="restart"/>
                  <w:noWrap w:val="0"/>
                  <w:vAlign w:val="center"/>
                </w:tcPr>
                <w:p>
                  <w:pPr>
                    <w:jc w:val="center"/>
                    <w:rPr>
                      <w:rFonts w:hint="eastAsia" w:eastAsia="宋体"/>
                      <w:sz w:val="18"/>
                      <w:szCs w:val="18"/>
                      <w:highlight w:val="none"/>
                      <w:lang w:eastAsia="zh-CN"/>
                    </w:rPr>
                  </w:pPr>
                  <w:r>
                    <w:rPr>
                      <w:rFonts w:hint="eastAsia"/>
                      <w:sz w:val="18"/>
                      <w:szCs w:val="18"/>
                      <w:highlight w:val="none"/>
                      <w:lang w:eastAsia="zh-CN"/>
                    </w:rPr>
                    <w:t>注塑生产线</w:t>
                  </w: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sz w:val="18"/>
                      <w:szCs w:val="18"/>
                      <w:highlight w:val="none"/>
                    </w:rPr>
                  </w:pPr>
                  <w:r>
                    <w:rPr>
                      <w:rFonts w:hint="default" w:ascii="Times New Roman" w:hAnsi="Times New Roman" w:cs="Times New Roman"/>
                      <w:color w:val="auto"/>
                      <w:sz w:val="18"/>
                      <w:szCs w:val="18"/>
                      <w:highlight w:val="none"/>
                      <w:lang w:eastAsia="zh-CN"/>
                    </w:rPr>
                    <w:t>注塑机</w:t>
                  </w:r>
                </w:p>
              </w:tc>
              <w:tc>
                <w:tcPr>
                  <w:tcW w:w="443" w:type="pct"/>
                  <w:noWrap w:val="0"/>
                  <w:vAlign w:val="center"/>
                </w:tcPr>
                <w:p>
                  <w:pPr>
                    <w:jc w:val="center"/>
                    <w:rPr>
                      <w:sz w:val="18"/>
                      <w:szCs w:val="18"/>
                      <w:highlight w:val="none"/>
                    </w:rPr>
                  </w:pPr>
                  <w:r>
                    <w:rPr>
                      <w:sz w:val="18"/>
                      <w:szCs w:val="18"/>
                      <w:highlight w:val="none"/>
                    </w:rPr>
                    <w:t>连续</w:t>
                  </w:r>
                </w:p>
              </w:tc>
              <w:tc>
                <w:tcPr>
                  <w:tcW w:w="558" w:type="pct"/>
                  <w:noWrap w:val="0"/>
                  <w:vAlign w:val="center"/>
                </w:tcPr>
                <w:p>
                  <w:pPr>
                    <w:jc w:val="center"/>
                    <w:rPr>
                      <w:spacing w:val="4"/>
                      <w:sz w:val="18"/>
                      <w:szCs w:val="18"/>
                      <w:highlight w:val="none"/>
                    </w:rPr>
                  </w:pPr>
                  <w:r>
                    <w:rPr>
                      <w:spacing w:val="4"/>
                      <w:sz w:val="18"/>
                      <w:szCs w:val="18"/>
                      <w:highlight w:val="none"/>
                    </w:rPr>
                    <w:t>类比法</w:t>
                  </w:r>
                </w:p>
              </w:tc>
              <w:tc>
                <w:tcPr>
                  <w:tcW w:w="405"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bCs/>
                      <w:sz w:val="18"/>
                      <w:szCs w:val="18"/>
                      <w:highlight w:val="none"/>
                    </w:rPr>
                  </w:pPr>
                  <w:r>
                    <w:rPr>
                      <w:rFonts w:hint="default" w:ascii="Times New Roman" w:hAnsi="Times New Roman" w:cs="Times New Roman"/>
                      <w:color w:val="auto"/>
                      <w:sz w:val="18"/>
                      <w:szCs w:val="18"/>
                      <w:highlight w:val="none"/>
                      <w:lang w:val="en-US" w:eastAsia="zh-CN"/>
                    </w:rPr>
                    <w:t>90</w:t>
                  </w:r>
                </w:p>
              </w:tc>
              <w:tc>
                <w:tcPr>
                  <w:tcW w:w="628" w:type="pct"/>
                  <w:vMerge w:val="restart"/>
                  <w:noWrap w:val="0"/>
                  <w:vAlign w:val="center"/>
                </w:tcPr>
                <w:p>
                  <w:pPr>
                    <w:ind w:left="-86" w:leftChars="-41" w:right="-107" w:rightChars="-51"/>
                    <w:jc w:val="center"/>
                    <w:rPr>
                      <w:sz w:val="18"/>
                      <w:szCs w:val="18"/>
                      <w:highlight w:val="none"/>
                    </w:rPr>
                  </w:pPr>
                  <w:r>
                    <w:rPr>
                      <w:sz w:val="18"/>
                      <w:szCs w:val="18"/>
                      <w:highlight w:val="none"/>
                    </w:rPr>
                    <w:t>低噪声设备、基础减振、厂房隔声</w:t>
                  </w:r>
                </w:p>
              </w:tc>
              <w:tc>
                <w:tcPr>
                  <w:tcW w:w="375" w:type="pct"/>
                  <w:noWrap w:val="0"/>
                  <w:vAlign w:val="center"/>
                </w:tcPr>
                <w:p>
                  <w:pPr>
                    <w:widowControl/>
                    <w:jc w:val="center"/>
                    <w:rPr>
                      <w:rFonts w:hint="default" w:eastAsia="宋体"/>
                      <w:sz w:val="18"/>
                      <w:szCs w:val="18"/>
                      <w:highlight w:val="none"/>
                      <w:lang w:val="en-US" w:eastAsia="zh-CN"/>
                    </w:rPr>
                  </w:pPr>
                  <w:r>
                    <w:rPr>
                      <w:rFonts w:hint="eastAsia"/>
                      <w:sz w:val="18"/>
                      <w:szCs w:val="18"/>
                      <w:highlight w:val="none"/>
                      <w:lang w:val="en-US" w:eastAsia="zh-CN"/>
                    </w:rPr>
                    <w:t>30</w:t>
                  </w:r>
                </w:p>
              </w:tc>
              <w:tc>
                <w:tcPr>
                  <w:tcW w:w="550" w:type="pct"/>
                  <w:noWrap w:val="0"/>
                  <w:vAlign w:val="center"/>
                </w:tcPr>
                <w:p>
                  <w:pPr>
                    <w:widowControl/>
                    <w:jc w:val="center"/>
                    <w:rPr>
                      <w:sz w:val="18"/>
                      <w:szCs w:val="18"/>
                      <w:highlight w:val="none"/>
                    </w:rPr>
                  </w:pPr>
                  <w:r>
                    <w:rPr>
                      <w:spacing w:val="4"/>
                      <w:sz w:val="18"/>
                      <w:szCs w:val="18"/>
                      <w:highlight w:val="none"/>
                    </w:rPr>
                    <w:t>类比法</w:t>
                  </w:r>
                </w:p>
              </w:tc>
              <w:tc>
                <w:tcPr>
                  <w:tcW w:w="472" w:type="pct"/>
                  <w:noWrap w:val="0"/>
                  <w:vAlign w:val="center"/>
                </w:tcPr>
                <w:p>
                  <w:pPr>
                    <w:widowControl/>
                    <w:jc w:val="center"/>
                    <w:rPr>
                      <w:rFonts w:hint="default" w:eastAsia="宋体"/>
                      <w:bCs/>
                      <w:sz w:val="18"/>
                      <w:szCs w:val="18"/>
                      <w:highlight w:val="none"/>
                      <w:lang w:val="en-US" w:eastAsia="zh-CN"/>
                    </w:rPr>
                  </w:pPr>
                  <w:r>
                    <w:rPr>
                      <w:rFonts w:hint="eastAsia"/>
                      <w:bCs/>
                      <w:sz w:val="18"/>
                      <w:szCs w:val="18"/>
                      <w:highlight w:val="none"/>
                      <w:lang w:val="en-US" w:eastAsia="zh-CN"/>
                    </w:rPr>
                    <w:t>60</w:t>
                  </w:r>
                </w:p>
              </w:tc>
              <w:tc>
                <w:tcPr>
                  <w:tcW w:w="436" w:type="pct"/>
                  <w:noWrap w:val="0"/>
                  <w:vAlign w:val="center"/>
                </w:tcPr>
                <w:p>
                  <w:pPr>
                    <w:widowControl/>
                    <w:jc w:val="center"/>
                    <w:rPr>
                      <w:rFonts w:hint="default" w:eastAsia="宋体"/>
                      <w:sz w:val="18"/>
                      <w:szCs w:val="18"/>
                      <w:highlight w:val="none"/>
                      <w:lang w:val="en-US" w:eastAsia="zh-CN"/>
                    </w:rPr>
                  </w:pPr>
                  <w:r>
                    <w:rPr>
                      <w:rFonts w:hint="eastAsia"/>
                      <w:sz w:val="18"/>
                      <w:szCs w:val="18"/>
                      <w:highlight w:val="none"/>
                      <w:lang w:val="en-US" w:eastAsia="zh-CN"/>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Merge w:val="continue"/>
                  <w:noWrap w:val="0"/>
                  <w:vAlign w:val="center"/>
                </w:tcPr>
                <w:p>
                  <w:pPr>
                    <w:jc w:val="center"/>
                    <w:rPr>
                      <w:rFonts w:hint="eastAsia"/>
                      <w:sz w:val="18"/>
                      <w:szCs w:val="18"/>
                      <w:highlight w:val="none"/>
                      <w:lang w:eastAsia="zh-CN"/>
                    </w:rPr>
                  </w:pP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sz w:val="18"/>
                      <w:szCs w:val="18"/>
                      <w:highlight w:val="none"/>
                    </w:rPr>
                  </w:pPr>
                  <w:r>
                    <w:rPr>
                      <w:rFonts w:hint="default" w:ascii="Times New Roman" w:hAnsi="Times New Roman" w:cs="Times New Roman"/>
                      <w:color w:val="auto"/>
                      <w:sz w:val="18"/>
                      <w:szCs w:val="18"/>
                      <w:highlight w:val="none"/>
                      <w:lang w:eastAsia="zh-CN"/>
                    </w:rPr>
                    <w:t>破碎机</w:t>
                  </w:r>
                </w:p>
              </w:tc>
              <w:tc>
                <w:tcPr>
                  <w:tcW w:w="443" w:type="pct"/>
                  <w:noWrap w:val="0"/>
                  <w:vAlign w:val="center"/>
                </w:tcPr>
                <w:p>
                  <w:pPr>
                    <w:jc w:val="center"/>
                    <w:rPr>
                      <w:sz w:val="18"/>
                      <w:szCs w:val="18"/>
                      <w:highlight w:val="none"/>
                    </w:rPr>
                  </w:pPr>
                  <w:r>
                    <w:rPr>
                      <w:sz w:val="18"/>
                      <w:szCs w:val="18"/>
                      <w:highlight w:val="none"/>
                    </w:rPr>
                    <w:t>连续</w:t>
                  </w:r>
                </w:p>
              </w:tc>
              <w:tc>
                <w:tcPr>
                  <w:tcW w:w="558" w:type="pct"/>
                  <w:noWrap w:val="0"/>
                  <w:vAlign w:val="center"/>
                </w:tcPr>
                <w:p>
                  <w:pPr>
                    <w:jc w:val="center"/>
                    <w:rPr>
                      <w:spacing w:val="4"/>
                      <w:sz w:val="18"/>
                      <w:szCs w:val="18"/>
                      <w:highlight w:val="none"/>
                    </w:rPr>
                  </w:pPr>
                  <w:r>
                    <w:rPr>
                      <w:spacing w:val="4"/>
                      <w:sz w:val="18"/>
                      <w:szCs w:val="18"/>
                      <w:highlight w:val="none"/>
                    </w:rPr>
                    <w:t>类比法</w:t>
                  </w:r>
                </w:p>
              </w:tc>
              <w:tc>
                <w:tcPr>
                  <w:tcW w:w="405"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bCs/>
                      <w:sz w:val="18"/>
                      <w:szCs w:val="18"/>
                      <w:highlight w:val="none"/>
                    </w:rPr>
                  </w:pPr>
                  <w:r>
                    <w:rPr>
                      <w:rFonts w:hint="default" w:ascii="Times New Roman" w:hAnsi="Times New Roman" w:eastAsia="宋体" w:cs="Times New Roman"/>
                      <w:color w:val="auto"/>
                      <w:sz w:val="18"/>
                      <w:szCs w:val="18"/>
                      <w:highlight w:val="none"/>
                    </w:rPr>
                    <w:t>70</w:t>
                  </w:r>
                </w:p>
              </w:tc>
              <w:tc>
                <w:tcPr>
                  <w:tcW w:w="628" w:type="pct"/>
                  <w:vMerge w:val="continue"/>
                  <w:noWrap w:val="0"/>
                  <w:vAlign w:val="center"/>
                </w:tcPr>
                <w:p>
                  <w:pPr>
                    <w:ind w:left="-86" w:leftChars="-41" w:right="-107" w:rightChars="-51"/>
                    <w:jc w:val="center"/>
                    <w:rPr>
                      <w:sz w:val="18"/>
                      <w:szCs w:val="18"/>
                      <w:highlight w:val="none"/>
                    </w:rPr>
                  </w:pPr>
                </w:p>
              </w:tc>
              <w:tc>
                <w:tcPr>
                  <w:tcW w:w="375" w:type="pct"/>
                  <w:noWrap w:val="0"/>
                  <w:vAlign w:val="center"/>
                </w:tcPr>
                <w:p>
                  <w:pPr>
                    <w:widowControl/>
                    <w:jc w:val="center"/>
                    <w:rPr>
                      <w:rFonts w:hint="default" w:eastAsia="宋体"/>
                      <w:sz w:val="18"/>
                      <w:szCs w:val="18"/>
                      <w:highlight w:val="none"/>
                      <w:lang w:val="en-US" w:eastAsia="zh-CN"/>
                    </w:rPr>
                  </w:pPr>
                  <w:r>
                    <w:rPr>
                      <w:rFonts w:hint="eastAsia"/>
                      <w:sz w:val="18"/>
                      <w:szCs w:val="18"/>
                      <w:highlight w:val="none"/>
                      <w:lang w:val="en-US" w:eastAsia="zh-CN"/>
                    </w:rPr>
                    <w:t>30</w:t>
                  </w:r>
                </w:p>
              </w:tc>
              <w:tc>
                <w:tcPr>
                  <w:tcW w:w="550" w:type="pct"/>
                  <w:noWrap w:val="0"/>
                  <w:vAlign w:val="center"/>
                </w:tcPr>
                <w:p>
                  <w:pPr>
                    <w:widowControl/>
                    <w:jc w:val="center"/>
                    <w:rPr>
                      <w:spacing w:val="4"/>
                      <w:sz w:val="18"/>
                      <w:szCs w:val="18"/>
                      <w:highlight w:val="none"/>
                    </w:rPr>
                  </w:pPr>
                  <w:r>
                    <w:rPr>
                      <w:spacing w:val="4"/>
                      <w:sz w:val="18"/>
                      <w:szCs w:val="18"/>
                      <w:highlight w:val="none"/>
                    </w:rPr>
                    <w:t>类比法</w:t>
                  </w:r>
                </w:p>
              </w:tc>
              <w:tc>
                <w:tcPr>
                  <w:tcW w:w="472" w:type="pct"/>
                  <w:noWrap w:val="0"/>
                  <w:vAlign w:val="center"/>
                </w:tcPr>
                <w:p>
                  <w:pPr>
                    <w:widowControl/>
                    <w:jc w:val="center"/>
                    <w:rPr>
                      <w:rFonts w:hint="default" w:eastAsia="宋体"/>
                      <w:bCs/>
                      <w:sz w:val="18"/>
                      <w:szCs w:val="18"/>
                      <w:highlight w:val="none"/>
                      <w:lang w:val="en-US" w:eastAsia="zh-CN"/>
                    </w:rPr>
                  </w:pPr>
                  <w:r>
                    <w:rPr>
                      <w:rFonts w:hint="eastAsia"/>
                      <w:bCs/>
                      <w:sz w:val="18"/>
                      <w:szCs w:val="18"/>
                      <w:highlight w:val="none"/>
                      <w:lang w:val="en-US" w:eastAsia="zh-CN"/>
                    </w:rPr>
                    <w:t>40</w:t>
                  </w:r>
                </w:p>
              </w:tc>
              <w:tc>
                <w:tcPr>
                  <w:tcW w:w="436" w:type="pct"/>
                  <w:noWrap w:val="0"/>
                  <w:vAlign w:val="center"/>
                </w:tcPr>
                <w:p>
                  <w:pPr>
                    <w:widowControl/>
                    <w:jc w:val="center"/>
                    <w:rPr>
                      <w:sz w:val="18"/>
                      <w:szCs w:val="18"/>
                      <w:highlight w:val="none"/>
                    </w:rPr>
                  </w:pPr>
                  <w:r>
                    <w:rPr>
                      <w:rFonts w:hint="eastAsia"/>
                      <w:sz w:val="18"/>
                      <w:szCs w:val="18"/>
                      <w:highlight w:val="none"/>
                      <w:lang w:val="en-US" w:eastAsia="zh-CN"/>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Merge w:val="continue"/>
                  <w:noWrap w:val="0"/>
                  <w:vAlign w:val="center"/>
                </w:tcPr>
                <w:p>
                  <w:pPr>
                    <w:jc w:val="center"/>
                    <w:rPr>
                      <w:rFonts w:hint="eastAsia"/>
                      <w:sz w:val="18"/>
                      <w:szCs w:val="18"/>
                      <w:highlight w:val="none"/>
                      <w:lang w:eastAsia="zh-CN"/>
                    </w:rPr>
                  </w:pP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sz w:val="18"/>
                      <w:szCs w:val="18"/>
                      <w:highlight w:val="none"/>
                    </w:rPr>
                  </w:pPr>
                  <w:r>
                    <w:rPr>
                      <w:rFonts w:hint="default" w:ascii="Times New Roman" w:hAnsi="Times New Roman" w:cs="Times New Roman"/>
                      <w:color w:val="auto"/>
                      <w:sz w:val="18"/>
                      <w:szCs w:val="18"/>
                      <w:highlight w:val="none"/>
                      <w:lang w:eastAsia="zh-CN"/>
                    </w:rPr>
                    <w:t>上料机</w:t>
                  </w:r>
                </w:p>
              </w:tc>
              <w:tc>
                <w:tcPr>
                  <w:tcW w:w="443" w:type="pct"/>
                  <w:noWrap w:val="0"/>
                  <w:vAlign w:val="center"/>
                </w:tcPr>
                <w:p>
                  <w:pPr>
                    <w:jc w:val="center"/>
                    <w:rPr>
                      <w:sz w:val="18"/>
                      <w:szCs w:val="18"/>
                      <w:highlight w:val="none"/>
                    </w:rPr>
                  </w:pPr>
                  <w:r>
                    <w:rPr>
                      <w:sz w:val="18"/>
                      <w:szCs w:val="18"/>
                      <w:highlight w:val="none"/>
                    </w:rPr>
                    <w:t>连续</w:t>
                  </w:r>
                </w:p>
              </w:tc>
              <w:tc>
                <w:tcPr>
                  <w:tcW w:w="558" w:type="pct"/>
                  <w:noWrap w:val="0"/>
                  <w:vAlign w:val="center"/>
                </w:tcPr>
                <w:p>
                  <w:pPr>
                    <w:jc w:val="center"/>
                    <w:rPr>
                      <w:spacing w:val="4"/>
                      <w:sz w:val="18"/>
                      <w:szCs w:val="18"/>
                      <w:highlight w:val="none"/>
                    </w:rPr>
                  </w:pPr>
                  <w:r>
                    <w:rPr>
                      <w:spacing w:val="4"/>
                      <w:sz w:val="18"/>
                      <w:szCs w:val="18"/>
                      <w:highlight w:val="none"/>
                    </w:rPr>
                    <w:t>类比法</w:t>
                  </w:r>
                </w:p>
              </w:tc>
              <w:tc>
                <w:tcPr>
                  <w:tcW w:w="405"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bCs/>
                      <w:sz w:val="18"/>
                      <w:szCs w:val="18"/>
                      <w:highlight w:val="none"/>
                    </w:rPr>
                  </w:pPr>
                  <w:r>
                    <w:rPr>
                      <w:rFonts w:hint="default" w:ascii="Times New Roman" w:hAnsi="Times New Roman" w:cs="Times New Roman"/>
                      <w:color w:val="auto"/>
                      <w:sz w:val="18"/>
                      <w:szCs w:val="18"/>
                      <w:highlight w:val="none"/>
                      <w:lang w:val="en-US" w:eastAsia="zh-CN"/>
                    </w:rPr>
                    <w:t>85</w:t>
                  </w:r>
                </w:p>
              </w:tc>
              <w:tc>
                <w:tcPr>
                  <w:tcW w:w="628" w:type="pct"/>
                  <w:vMerge w:val="continue"/>
                  <w:noWrap w:val="0"/>
                  <w:vAlign w:val="center"/>
                </w:tcPr>
                <w:p>
                  <w:pPr>
                    <w:ind w:left="-86" w:leftChars="-41" w:right="-107" w:rightChars="-51"/>
                    <w:jc w:val="center"/>
                    <w:rPr>
                      <w:sz w:val="18"/>
                      <w:szCs w:val="18"/>
                      <w:highlight w:val="none"/>
                    </w:rPr>
                  </w:pPr>
                </w:p>
              </w:tc>
              <w:tc>
                <w:tcPr>
                  <w:tcW w:w="375" w:type="pct"/>
                  <w:noWrap w:val="0"/>
                  <w:vAlign w:val="center"/>
                </w:tcPr>
                <w:p>
                  <w:pPr>
                    <w:widowControl/>
                    <w:jc w:val="center"/>
                    <w:rPr>
                      <w:rFonts w:hint="default" w:eastAsia="宋体"/>
                      <w:sz w:val="18"/>
                      <w:szCs w:val="18"/>
                      <w:highlight w:val="none"/>
                      <w:lang w:val="en-US" w:eastAsia="zh-CN"/>
                    </w:rPr>
                  </w:pPr>
                  <w:r>
                    <w:rPr>
                      <w:rFonts w:hint="eastAsia"/>
                      <w:sz w:val="18"/>
                      <w:szCs w:val="18"/>
                      <w:highlight w:val="none"/>
                      <w:lang w:val="en-US" w:eastAsia="zh-CN"/>
                    </w:rPr>
                    <w:t>30</w:t>
                  </w:r>
                </w:p>
              </w:tc>
              <w:tc>
                <w:tcPr>
                  <w:tcW w:w="550" w:type="pct"/>
                  <w:noWrap w:val="0"/>
                  <w:vAlign w:val="center"/>
                </w:tcPr>
                <w:p>
                  <w:pPr>
                    <w:widowControl/>
                    <w:jc w:val="center"/>
                    <w:rPr>
                      <w:spacing w:val="4"/>
                      <w:sz w:val="18"/>
                      <w:szCs w:val="18"/>
                      <w:highlight w:val="none"/>
                    </w:rPr>
                  </w:pPr>
                  <w:r>
                    <w:rPr>
                      <w:spacing w:val="4"/>
                      <w:sz w:val="18"/>
                      <w:szCs w:val="18"/>
                      <w:highlight w:val="none"/>
                    </w:rPr>
                    <w:t>类比法</w:t>
                  </w:r>
                </w:p>
              </w:tc>
              <w:tc>
                <w:tcPr>
                  <w:tcW w:w="472" w:type="pct"/>
                  <w:noWrap w:val="0"/>
                  <w:vAlign w:val="center"/>
                </w:tcPr>
                <w:p>
                  <w:pPr>
                    <w:widowControl/>
                    <w:jc w:val="center"/>
                    <w:rPr>
                      <w:rFonts w:hint="default" w:eastAsia="宋体"/>
                      <w:bCs/>
                      <w:sz w:val="18"/>
                      <w:szCs w:val="18"/>
                      <w:highlight w:val="none"/>
                      <w:lang w:val="en-US" w:eastAsia="zh-CN"/>
                    </w:rPr>
                  </w:pPr>
                  <w:r>
                    <w:rPr>
                      <w:rFonts w:hint="eastAsia"/>
                      <w:bCs/>
                      <w:sz w:val="18"/>
                      <w:szCs w:val="18"/>
                      <w:highlight w:val="none"/>
                      <w:lang w:val="en-US" w:eastAsia="zh-CN"/>
                    </w:rPr>
                    <w:t>55</w:t>
                  </w:r>
                </w:p>
              </w:tc>
              <w:tc>
                <w:tcPr>
                  <w:tcW w:w="436" w:type="pct"/>
                  <w:noWrap w:val="0"/>
                  <w:vAlign w:val="center"/>
                </w:tcPr>
                <w:p>
                  <w:pPr>
                    <w:widowControl/>
                    <w:jc w:val="center"/>
                    <w:rPr>
                      <w:sz w:val="18"/>
                      <w:szCs w:val="18"/>
                      <w:highlight w:val="none"/>
                    </w:rPr>
                  </w:pPr>
                  <w:r>
                    <w:rPr>
                      <w:rFonts w:hint="eastAsia"/>
                      <w:sz w:val="18"/>
                      <w:szCs w:val="18"/>
                      <w:highlight w:val="none"/>
                      <w:lang w:val="en-US" w:eastAsia="zh-CN"/>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2" w:type="pct"/>
                  <w:vMerge w:val="continue"/>
                  <w:noWrap w:val="0"/>
                  <w:vAlign w:val="center"/>
                </w:tcPr>
                <w:p>
                  <w:pPr>
                    <w:jc w:val="center"/>
                    <w:rPr>
                      <w:rFonts w:hint="eastAsia"/>
                      <w:sz w:val="18"/>
                      <w:szCs w:val="18"/>
                      <w:highlight w:val="none"/>
                    </w:rPr>
                  </w:pPr>
                </w:p>
              </w:tc>
              <w:tc>
                <w:tcPr>
                  <w:tcW w:w="637" w:type="pc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highlight w:val="none"/>
                    </w:rPr>
                  </w:pPr>
                  <w:r>
                    <w:rPr>
                      <w:rFonts w:hint="eastAsia"/>
                      <w:sz w:val="18"/>
                      <w:szCs w:val="18"/>
                      <w:highlight w:val="none"/>
                    </w:rPr>
                    <w:t>风机</w:t>
                  </w:r>
                </w:p>
              </w:tc>
              <w:tc>
                <w:tcPr>
                  <w:tcW w:w="443" w:type="pct"/>
                  <w:noWrap w:val="0"/>
                  <w:vAlign w:val="center"/>
                </w:tcPr>
                <w:p>
                  <w:pPr>
                    <w:jc w:val="center"/>
                    <w:rPr>
                      <w:sz w:val="18"/>
                      <w:szCs w:val="18"/>
                      <w:highlight w:val="none"/>
                    </w:rPr>
                  </w:pPr>
                  <w:r>
                    <w:rPr>
                      <w:sz w:val="18"/>
                      <w:szCs w:val="18"/>
                      <w:highlight w:val="none"/>
                    </w:rPr>
                    <w:t>连续</w:t>
                  </w:r>
                </w:p>
              </w:tc>
              <w:tc>
                <w:tcPr>
                  <w:tcW w:w="558" w:type="pct"/>
                  <w:noWrap w:val="0"/>
                  <w:vAlign w:val="center"/>
                </w:tcPr>
                <w:p>
                  <w:pPr>
                    <w:jc w:val="center"/>
                    <w:rPr>
                      <w:sz w:val="18"/>
                      <w:szCs w:val="18"/>
                      <w:highlight w:val="none"/>
                    </w:rPr>
                  </w:pPr>
                  <w:r>
                    <w:rPr>
                      <w:spacing w:val="4"/>
                      <w:sz w:val="18"/>
                      <w:szCs w:val="18"/>
                      <w:highlight w:val="none"/>
                    </w:rPr>
                    <w:t>类比法</w:t>
                  </w:r>
                </w:p>
              </w:tc>
              <w:tc>
                <w:tcPr>
                  <w:tcW w:w="405" w:type="pct"/>
                  <w:noWrap w:val="0"/>
                  <w:vAlign w:val="center"/>
                </w:tcPr>
                <w:p>
                  <w:pPr>
                    <w:widowControl/>
                    <w:jc w:val="center"/>
                    <w:rPr>
                      <w:bCs/>
                      <w:sz w:val="18"/>
                      <w:szCs w:val="18"/>
                      <w:highlight w:val="none"/>
                    </w:rPr>
                  </w:pPr>
                  <w:r>
                    <w:rPr>
                      <w:bCs/>
                      <w:sz w:val="18"/>
                      <w:szCs w:val="18"/>
                      <w:highlight w:val="none"/>
                    </w:rPr>
                    <w:t>90</w:t>
                  </w:r>
                </w:p>
              </w:tc>
              <w:tc>
                <w:tcPr>
                  <w:tcW w:w="628" w:type="pct"/>
                  <w:tcBorders>
                    <w:bottom w:val="single" w:color="auto" w:sz="4" w:space="0"/>
                  </w:tcBorders>
                  <w:noWrap w:val="0"/>
                  <w:vAlign w:val="center"/>
                </w:tcPr>
                <w:p>
                  <w:pPr>
                    <w:ind w:left="-86" w:leftChars="-41" w:right="-107" w:rightChars="-51"/>
                    <w:jc w:val="center"/>
                    <w:rPr>
                      <w:rFonts w:hint="eastAsia"/>
                      <w:sz w:val="18"/>
                      <w:szCs w:val="18"/>
                      <w:highlight w:val="none"/>
                    </w:rPr>
                  </w:pPr>
                  <w:r>
                    <w:rPr>
                      <w:rFonts w:hint="eastAsia"/>
                      <w:sz w:val="18"/>
                      <w:szCs w:val="18"/>
                      <w:highlight w:val="none"/>
                    </w:rPr>
                    <w:t>消声</w:t>
                  </w:r>
                  <w:r>
                    <w:rPr>
                      <w:sz w:val="18"/>
                      <w:szCs w:val="18"/>
                      <w:highlight w:val="none"/>
                    </w:rPr>
                    <w:t>、基础减振、厂房隔声</w:t>
                  </w:r>
                </w:p>
              </w:tc>
              <w:tc>
                <w:tcPr>
                  <w:tcW w:w="375" w:type="pct"/>
                  <w:noWrap w:val="0"/>
                  <w:vAlign w:val="center"/>
                </w:tcPr>
                <w:p>
                  <w:pPr>
                    <w:widowControl/>
                    <w:jc w:val="center"/>
                    <w:rPr>
                      <w:rFonts w:hint="default" w:eastAsia="宋体"/>
                      <w:sz w:val="18"/>
                      <w:szCs w:val="18"/>
                      <w:highlight w:val="none"/>
                      <w:lang w:val="en-US" w:eastAsia="zh-CN"/>
                    </w:rPr>
                  </w:pPr>
                  <w:r>
                    <w:rPr>
                      <w:rFonts w:hint="eastAsia"/>
                      <w:sz w:val="18"/>
                      <w:szCs w:val="18"/>
                      <w:highlight w:val="none"/>
                      <w:lang w:val="en-US" w:eastAsia="zh-CN"/>
                    </w:rPr>
                    <w:t>30</w:t>
                  </w:r>
                </w:p>
              </w:tc>
              <w:tc>
                <w:tcPr>
                  <w:tcW w:w="550" w:type="pct"/>
                  <w:noWrap w:val="0"/>
                  <w:vAlign w:val="center"/>
                </w:tcPr>
                <w:p>
                  <w:pPr>
                    <w:widowControl/>
                    <w:jc w:val="center"/>
                    <w:rPr>
                      <w:sz w:val="18"/>
                      <w:szCs w:val="18"/>
                      <w:highlight w:val="none"/>
                    </w:rPr>
                  </w:pPr>
                  <w:r>
                    <w:rPr>
                      <w:spacing w:val="4"/>
                      <w:sz w:val="18"/>
                      <w:szCs w:val="18"/>
                      <w:highlight w:val="none"/>
                    </w:rPr>
                    <w:t>类比法</w:t>
                  </w:r>
                </w:p>
              </w:tc>
              <w:tc>
                <w:tcPr>
                  <w:tcW w:w="472" w:type="pct"/>
                  <w:noWrap w:val="0"/>
                  <w:vAlign w:val="center"/>
                </w:tcPr>
                <w:p>
                  <w:pPr>
                    <w:widowControl/>
                    <w:jc w:val="center"/>
                    <w:rPr>
                      <w:rFonts w:hint="default" w:eastAsia="宋体"/>
                      <w:bCs/>
                      <w:sz w:val="18"/>
                      <w:szCs w:val="18"/>
                      <w:highlight w:val="none"/>
                      <w:lang w:val="en-US" w:eastAsia="zh-CN"/>
                    </w:rPr>
                  </w:pPr>
                  <w:r>
                    <w:rPr>
                      <w:rFonts w:hint="eastAsia"/>
                      <w:bCs/>
                      <w:sz w:val="18"/>
                      <w:szCs w:val="18"/>
                      <w:highlight w:val="none"/>
                      <w:lang w:val="en-US" w:eastAsia="zh-CN"/>
                    </w:rPr>
                    <w:t>60</w:t>
                  </w:r>
                </w:p>
              </w:tc>
              <w:tc>
                <w:tcPr>
                  <w:tcW w:w="436" w:type="pct"/>
                  <w:noWrap w:val="0"/>
                  <w:vAlign w:val="center"/>
                </w:tcPr>
                <w:p>
                  <w:pPr>
                    <w:widowControl/>
                    <w:jc w:val="center"/>
                    <w:rPr>
                      <w:sz w:val="18"/>
                      <w:szCs w:val="18"/>
                      <w:highlight w:val="none"/>
                    </w:rPr>
                  </w:pPr>
                  <w:r>
                    <w:rPr>
                      <w:rFonts w:hint="eastAsia"/>
                      <w:sz w:val="18"/>
                      <w:szCs w:val="18"/>
                      <w:highlight w:val="none"/>
                      <w:lang w:val="en-US" w:eastAsia="zh-CN"/>
                    </w:rPr>
                    <w:t>2400</w:t>
                  </w:r>
                </w:p>
              </w:tc>
            </w:tr>
          </w:tbl>
          <w:p>
            <w:pPr>
              <w:keepNext w:val="0"/>
              <w:keepLines w:val="0"/>
              <w:pageBreakBefore w:val="0"/>
              <w:kinsoku/>
              <w:wordWrap/>
              <w:overflowPunct/>
              <w:topLinePunct w:val="0"/>
              <w:autoSpaceDE w:val="0"/>
              <w:autoSpaceDN w:val="0"/>
              <w:bidi w:val="0"/>
              <w:adjustRightInd/>
              <w:snapToGrid/>
              <w:spacing w:line="360" w:lineRule="auto"/>
              <w:ind w:firstLine="382" w:firstLineChars="200"/>
              <w:rPr>
                <w:rFonts w:cs="宋体"/>
                <w:b/>
                <w:bCs/>
                <w:spacing w:val="-10"/>
                <w:szCs w:val="21"/>
                <w:highlight w:val="none"/>
              </w:rPr>
            </w:pPr>
            <w:r>
              <w:rPr>
                <w:rFonts w:hint="eastAsia" w:cs="宋体"/>
                <w:b/>
                <w:bCs/>
                <w:spacing w:val="-10"/>
                <w:szCs w:val="21"/>
                <w:highlight w:val="none"/>
              </w:rPr>
              <w:t>（2）</w:t>
            </w:r>
            <w:r>
              <w:rPr>
                <w:rFonts w:cs="宋体"/>
                <w:b/>
                <w:bCs/>
                <w:spacing w:val="-10"/>
                <w:szCs w:val="21"/>
                <w:highlight w:val="none"/>
              </w:rPr>
              <w:t>噪声环境影响分析</w:t>
            </w:r>
          </w:p>
          <w:p>
            <w:pPr>
              <w:keepNext w:val="0"/>
              <w:keepLines w:val="0"/>
              <w:pageBreakBefore w:val="0"/>
              <w:kinsoku/>
              <w:wordWrap/>
              <w:overflowPunct/>
              <w:topLinePunct w:val="0"/>
              <w:bidi w:val="0"/>
              <w:adjustRightInd/>
              <w:snapToGrid/>
              <w:spacing w:line="360" w:lineRule="auto"/>
              <w:ind w:firstLine="420" w:firstLineChars="200"/>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本次评价选用《环境影响评价技术导则声环境》（HJ2.4-2009）点声源衰减模式进行预测，将</w:t>
            </w:r>
            <w:r>
              <w:rPr>
                <w:rFonts w:hint="default" w:ascii="Times New Roman" w:hAnsi="Times New Roman" w:cs="Times New Roman"/>
                <w:bCs/>
                <w:snapToGrid w:val="0"/>
                <w:color w:val="auto"/>
                <w:sz w:val="21"/>
                <w:szCs w:val="21"/>
                <w:highlight w:val="none"/>
              </w:rPr>
              <w:t>生产车间的每个设备</w:t>
            </w:r>
            <w:r>
              <w:rPr>
                <w:rFonts w:hint="default" w:ascii="Times New Roman" w:hAnsi="Times New Roman" w:cs="Times New Roman"/>
                <w:color w:val="auto"/>
                <w:sz w:val="21"/>
                <w:szCs w:val="21"/>
                <w:highlight w:val="none"/>
              </w:rPr>
              <w:t>分别作为一个点声源。预测方法采用多声源至受声点声压级估算方法，先用衰减模式分别计算出每个噪声源对某受声点的声压级，然后再叠加，即得到该点的总声压级。预测公式如下：</w:t>
            </w:r>
          </w:p>
          <w:p>
            <w:pPr>
              <w:keepNext w:val="0"/>
              <w:keepLines w:val="0"/>
              <w:pageBreakBefore w:val="0"/>
              <w:widowControl/>
              <w:kinsoku/>
              <w:wordWrap/>
              <w:overflowPunct/>
              <w:topLinePunct w:val="0"/>
              <w:bidi w:val="0"/>
              <w:adjustRightInd/>
              <w:snapToGrid/>
              <w:spacing w:line="360" w:lineRule="auto"/>
              <w:ind w:firstLine="413" w:firstLineChars="197"/>
              <w:jc w:val="left"/>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①点源</w:t>
            </w:r>
            <w:r>
              <w:rPr>
                <w:rFonts w:hint="default" w:ascii="Times New Roman" w:hAnsi="Times New Roman" w:cs="Times New Roman"/>
                <w:bCs/>
                <w:color w:val="auto"/>
                <w:sz w:val="21"/>
                <w:szCs w:val="21"/>
                <w:highlight w:val="none"/>
              </w:rPr>
              <w:t>衰减模式：L=L</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-20lg(r/r</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式中：L—受声点的声压级，dB（A）；</w:t>
            </w:r>
          </w:p>
          <w:p>
            <w:pPr>
              <w:keepNext w:val="0"/>
              <w:keepLines w:val="0"/>
              <w:pageBreakBefore w:val="0"/>
              <w:widowControl/>
              <w:kinsoku/>
              <w:wordWrap/>
              <w:overflowPunct/>
              <w:topLinePunct w:val="0"/>
              <w:bidi w:val="0"/>
              <w:adjustRightInd/>
              <w:snapToGrid/>
              <w:spacing w:line="360" w:lineRule="auto"/>
              <w:ind w:firstLine="1155" w:firstLineChars="55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L</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—厂房外声源源强，dB（A）；</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       r—厂房外声源与厂界之间的距离，m；</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       r</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—距噪声源距离，取1m。</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②噪声叠加模式：L</w:t>
            </w:r>
            <w:r>
              <w:rPr>
                <w:rFonts w:hint="default" w:ascii="Times New Roman" w:hAnsi="Times New Roman" w:cs="Times New Roman"/>
                <w:color w:val="auto"/>
                <w:sz w:val="21"/>
                <w:szCs w:val="21"/>
                <w:highlight w:val="none"/>
                <w:vertAlign w:val="subscript"/>
              </w:rPr>
              <w:t>A</w:t>
            </w:r>
            <w:r>
              <w:rPr>
                <w:rFonts w:hint="default" w:ascii="Times New Roman" w:hAnsi="Times New Roman" w:cs="Times New Roman"/>
                <w:color w:val="auto"/>
                <w:sz w:val="21"/>
                <w:szCs w:val="21"/>
                <w:highlight w:val="none"/>
              </w:rPr>
              <w:t>=10lg(∑10</w:t>
            </w:r>
            <w:r>
              <w:rPr>
                <w:rFonts w:hint="default" w:ascii="Times New Roman" w:hAnsi="Times New Roman" w:cs="Times New Roman"/>
                <w:color w:val="auto"/>
                <w:sz w:val="21"/>
                <w:szCs w:val="21"/>
                <w:highlight w:val="none"/>
                <w:vertAlign w:val="superscript"/>
              </w:rPr>
              <w:t>0.1Li</w:t>
            </w:r>
            <w:r>
              <w:rPr>
                <w:rFonts w:hint="default" w:ascii="Times New Roman" w:hAnsi="Times New Roman" w:cs="Times New Roman"/>
                <w:color w:val="auto"/>
                <w:sz w:val="21"/>
                <w:szCs w:val="21"/>
                <w:highlight w:val="none"/>
              </w:rPr>
              <w:t>)，dB(A)</w:t>
            </w:r>
          </w:p>
          <w:p>
            <w:pPr>
              <w:keepNext w:val="0"/>
              <w:keepLines w:val="0"/>
              <w:pageBreakBefore w:val="0"/>
              <w:kinsoku/>
              <w:wordWrap/>
              <w:overflowPunct/>
              <w:topLinePunct w:val="0"/>
              <w:autoSpaceDE w:val="0"/>
              <w:autoSpaceDN w:val="0"/>
              <w:bidi w:val="0"/>
              <w:adjustRightInd/>
              <w:snapToGrid/>
              <w:spacing w:line="360" w:lineRule="auto"/>
              <w:ind w:firstLine="518" w:firstLineChars="247"/>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式中：L</w:t>
            </w:r>
            <w:r>
              <w:rPr>
                <w:rFonts w:hint="default" w:ascii="Times New Roman" w:hAnsi="Times New Roman" w:cs="Times New Roman"/>
                <w:color w:val="auto"/>
                <w:sz w:val="21"/>
                <w:szCs w:val="21"/>
                <w:highlight w:val="none"/>
                <w:vertAlign w:val="subscript"/>
              </w:rPr>
              <w:t>A</w:t>
            </w:r>
            <w:r>
              <w:rPr>
                <w:rFonts w:hint="default" w:ascii="Times New Roman" w:hAnsi="Times New Roman" w:cs="Times New Roman"/>
                <w:color w:val="auto"/>
                <w:sz w:val="21"/>
                <w:szCs w:val="21"/>
                <w:highlight w:val="none"/>
              </w:rPr>
              <w:t>—预侧点噪声叠加值，dB（A）；</w:t>
            </w:r>
          </w:p>
          <w:p>
            <w:pPr>
              <w:keepNext w:val="0"/>
              <w:keepLines w:val="0"/>
              <w:pageBreakBefore w:val="0"/>
              <w:kinsoku/>
              <w:wordWrap/>
              <w:overflowPunct/>
              <w:topLinePunct w:val="0"/>
              <w:bidi w:val="0"/>
              <w:adjustRightInd/>
              <w:snapToGrid/>
              <w:spacing w:line="360" w:lineRule="auto"/>
              <w:ind w:firstLine="1155" w:firstLineChars="550"/>
              <w:rPr>
                <w:rFonts w:hint="default" w:ascii="Times New Roman" w:hAnsi="Times New Roman" w:cs="Times New Roman"/>
                <w:snapToGrid w:val="0"/>
                <w:color w:val="auto"/>
                <w:sz w:val="21"/>
                <w:szCs w:val="21"/>
                <w:highlight w:val="none"/>
              </w:rPr>
            </w:pPr>
            <w:r>
              <w:rPr>
                <w:rFonts w:hint="default" w:ascii="Times New Roman" w:hAnsi="Times New Roman" w:cs="Times New Roman"/>
                <w:color w:val="auto"/>
                <w:sz w:val="21"/>
                <w:szCs w:val="21"/>
                <w:highlight w:val="none"/>
              </w:rPr>
              <w:t>Li—第i个声源的声压级，dB（A）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s="Times New Roman"/>
                <w:snapToGrid w:val="0"/>
                <w:color w:val="auto"/>
                <w:sz w:val="21"/>
                <w:szCs w:val="21"/>
                <w:highlight w:val="none"/>
                <w:lang w:eastAsia="zh-CN"/>
              </w:rPr>
            </w:pPr>
            <w:r>
              <w:rPr>
                <w:rFonts w:hint="eastAsia" w:cs="Times New Roman"/>
                <w:snapToGrid w:val="0"/>
                <w:color w:val="auto"/>
                <w:sz w:val="21"/>
                <w:szCs w:val="21"/>
                <w:highlight w:val="none"/>
                <w:lang w:eastAsia="zh-CN"/>
              </w:rPr>
              <w:t>（</w:t>
            </w:r>
            <w:r>
              <w:rPr>
                <w:rFonts w:hint="eastAsia" w:cs="Times New Roman"/>
                <w:snapToGrid w:val="0"/>
                <w:color w:val="auto"/>
                <w:sz w:val="21"/>
                <w:szCs w:val="21"/>
                <w:highlight w:val="none"/>
                <w:lang w:val="en-US" w:eastAsia="zh-CN"/>
              </w:rPr>
              <w:t>3</w:t>
            </w:r>
            <w:r>
              <w:rPr>
                <w:rFonts w:hint="eastAsia" w:cs="Times New Roman"/>
                <w:snapToGrid w:val="0"/>
                <w:color w:val="auto"/>
                <w:sz w:val="21"/>
                <w:szCs w:val="21"/>
                <w:highlight w:val="none"/>
                <w:lang w:eastAsia="zh-CN"/>
              </w:rPr>
              <w:t>）预测内容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lang w:eastAsia="zh-CN"/>
              </w:rPr>
            </w:pPr>
            <w:r>
              <w:rPr>
                <w:rFonts w:hint="eastAsia"/>
                <w:lang w:eastAsia="zh-CN"/>
              </w:rPr>
              <w:t>拟建项目为改扩建项目，本次预测对项目厂界四周噪声贡献值叠加背景值（取现状最大值）作为预测值进行预测分析。</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w:t>
            </w:r>
            <w:r>
              <w:rPr>
                <w:rFonts w:hint="eastAsia" w:cs="Times New Roman"/>
                <w:snapToGrid w:val="0"/>
                <w:color w:val="auto"/>
                <w:sz w:val="21"/>
                <w:szCs w:val="21"/>
                <w:highlight w:val="none"/>
                <w:lang w:val="en-US" w:eastAsia="zh-CN"/>
              </w:rPr>
              <w:t>4</w:t>
            </w:r>
            <w:r>
              <w:rPr>
                <w:rFonts w:hint="default" w:ascii="Times New Roman" w:hAnsi="Times New Roman" w:cs="Times New Roman"/>
                <w:snapToGrid w:val="0"/>
                <w:color w:val="auto"/>
                <w:sz w:val="21"/>
                <w:szCs w:val="21"/>
                <w:highlight w:val="none"/>
              </w:rPr>
              <w:t>）预测结果及评价</w:t>
            </w:r>
          </w:p>
          <w:p>
            <w:pPr>
              <w:keepNext w:val="0"/>
              <w:keepLines w:val="0"/>
              <w:pageBreakBefore w:val="0"/>
              <w:widowControl/>
              <w:kinsoku/>
              <w:wordWrap/>
              <w:overflowPunct/>
              <w:topLinePunct w:val="0"/>
              <w:bidi w:val="0"/>
              <w:adjustRightInd/>
              <w:snapToGrid/>
              <w:spacing w:line="360" w:lineRule="auto"/>
              <w:ind w:firstLine="420" w:firstLineChars="200"/>
              <w:jc w:val="left"/>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本项目实行</w:t>
            </w:r>
            <w:r>
              <w:rPr>
                <w:rFonts w:hint="default" w:ascii="Times New Roman" w:hAnsi="Times New Roman"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rPr>
              <w:t>小时工作制度，故本评价对昼间</w:t>
            </w:r>
            <w:r>
              <w:rPr>
                <w:rFonts w:hint="default" w:ascii="Times New Roman" w:hAnsi="Times New Roman" w:cs="Times New Roman"/>
                <w:color w:val="auto"/>
                <w:kern w:val="0"/>
                <w:sz w:val="21"/>
                <w:szCs w:val="21"/>
                <w:highlight w:val="none"/>
                <w:lang w:eastAsia="zh-CN"/>
              </w:rPr>
              <w:t>噪声</w:t>
            </w:r>
            <w:r>
              <w:rPr>
                <w:rFonts w:hint="default" w:ascii="Times New Roman" w:hAnsi="Times New Roman" w:eastAsia="宋体" w:cs="Times New Roman"/>
                <w:color w:val="auto"/>
                <w:kern w:val="0"/>
                <w:sz w:val="21"/>
                <w:szCs w:val="21"/>
                <w:highlight w:val="none"/>
              </w:rPr>
              <w:t>进行环境影响分析，预测结果详见</w:t>
            </w:r>
            <w:r>
              <w:rPr>
                <w:rFonts w:hint="default" w:ascii="Times New Roman" w:hAnsi="Times New Roman" w:cs="Times New Roman"/>
                <w:color w:val="auto"/>
                <w:kern w:val="0"/>
                <w:sz w:val="21"/>
                <w:szCs w:val="21"/>
                <w:highlight w:val="none"/>
                <w:lang w:eastAsia="zh-CN"/>
              </w:rPr>
              <w:t>下表：</w:t>
            </w:r>
          </w:p>
          <w:p>
            <w:pPr>
              <w:keepNext w:val="0"/>
              <w:keepLines w:val="0"/>
              <w:pageBreakBefore w:val="0"/>
              <w:numPr>
                <w:ilvl w:val="0"/>
                <w:numId w:val="1"/>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工程完成后声环境贡献结果统计及分析</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457"/>
              <w:gridCol w:w="1237"/>
              <w:gridCol w:w="1237"/>
              <w:gridCol w:w="1237"/>
              <w:gridCol w:w="1571"/>
              <w:gridCol w:w="9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7" w:type="pct"/>
                  <w:gridSpan w:val="2"/>
                  <w:vMerge w:val="restart"/>
                  <w:tcBorders>
                    <w:tl2br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 xml:space="preserve">  项目</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预测点位</w:t>
                  </w:r>
                </w:p>
              </w:tc>
              <w:tc>
                <w:tcPr>
                  <w:tcW w:w="77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eastAsia="zh-CN"/>
                    </w:rPr>
                    <w:t>本次工程</w:t>
                  </w:r>
                  <w:r>
                    <w:rPr>
                      <w:rFonts w:hint="default" w:ascii="Times New Roman" w:hAnsi="Times New Roman" w:eastAsia="宋体" w:cs="Times New Roman"/>
                      <w:color w:val="auto"/>
                      <w:sz w:val="18"/>
                      <w:szCs w:val="18"/>
                      <w:highlight w:val="none"/>
                    </w:rPr>
                    <w:t>贡献值dB（A）</w:t>
                  </w:r>
                </w:p>
              </w:tc>
              <w:tc>
                <w:tcPr>
                  <w:tcW w:w="77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现有工程实测值</w:t>
                  </w:r>
                  <w:r>
                    <w:rPr>
                      <w:rFonts w:hint="default" w:ascii="Times New Roman" w:hAnsi="Times New Roman" w:eastAsia="宋体" w:cs="Times New Roman"/>
                      <w:color w:val="auto"/>
                      <w:sz w:val="18"/>
                      <w:szCs w:val="18"/>
                      <w:highlight w:val="none"/>
                    </w:rPr>
                    <w:t>dB（A）</w:t>
                  </w:r>
                </w:p>
              </w:tc>
              <w:tc>
                <w:tcPr>
                  <w:tcW w:w="77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叠加值</w:t>
                  </w:r>
                  <w:r>
                    <w:rPr>
                      <w:rFonts w:hint="default" w:ascii="Times New Roman" w:hAnsi="Times New Roman" w:eastAsia="宋体" w:cs="Times New Roman"/>
                      <w:color w:val="auto"/>
                      <w:sz w:val="18"/>
                      <w:szCs w:val="18"/>
                      <w:highlight w:val="none"/>
                    </w:rPr>
                    <w:t>dB（A）</w:t>
                  </w: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标准dB（A）</w:t>
                  </w:r>
                </w:p>
              </w:tc>
              <w:tc>
                <w:tcPr>
                  <w:tcW w:w="5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7" w:type="pct"/>
                  <w:gridSpan w:val="2"/>
                  <w:vMerge w:val="continue"/>
                  <w:tcBorders>
                    <w:tl2br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cyan"/>
                    </w:rPr>
                  </w:pPr>
                </w:p>
              </w:tc>
              <w:tc>
                <w:tcPr>
                  <w:tcW w:w="7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cyan"/>
                    </w:rPr>
                  </w:pP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昼间</w:t>
                  </w:r>
                </w:p>
              </w:tc>
              <w:tc>
                <w:tcPr>
                  <w:tcW w:w="5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昼间</w:t>
                  </w: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东厂界</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52</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52</w:t>
                  </w: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56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西厂界</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51</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54</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55.76</w:t>
                  </w: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60</w:t>
                  </w:r>
                </w:p>
              </w:tc>
              <w:tc>
                <w:tcPr>
                  <w:tcW w:w="56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南厂界</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58</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59.76</w:t>
                  </w: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60</w:t>
                  </w:r>
                </w:p>
              </w:tc>
              <w:tc>
                <w:tcPr>
                  <w:tcW w:w="56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北厂界</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48</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55.79</w:t>
                  </w: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60</w:t>
                  </w:r>
                </w:p>
              </w:tc>
              <w:tc>
                <w:tcPr>
                  <w:tcW w:w="56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大块第四小学</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35</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50.14</w:t>
                  </w:r>
                </w:p>
              </w:tc>
              <w:tc>
                <w:tcPr>
                  <w:tcW w:w="9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56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lang w:val="en-US" w:eastAsia="zh-CN"/>
                    </w:rPr>
                    <w:t>注：东厂界为公用墙，不具备检测条件。</w:t>
                  </w:r>
                </w:p>
              </w:tc>
            </w:tr>
          </w:tbl>
          <w:p>
            <w:pPr>
              <w:keepNext w:val="0"/>
              <w:keepLines w:val="0"/>
              <w:pageBreakBefore w:val="0"/>
              <w:widowControl w:val="0"/>
              <w:kinsoku/>
              <w:wordWrap/>
              <w:overflowPunct/>
              <w:topLinePunct w:val="0"/>
              <w:bidi w:val="0"/>
              <w:adjustRightInd/>
              <w:snapToGrid/>
              <w:spacing w:line="360" w:lineRule="auto"/>
              <w:ind w:firstLine="411" w:firstLineChars="196"/>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由以上预测结果可知，项目营运期噪声经消声、隔声、减振及距离衰减后，项目东、南、西、北四厂界昼间噪声值均可以满足《工业企业厂界环境噪声排放标准》（GB12348-2008）中的2类标准要求。本项目噪声对敏感点处贡献值均较小，能够满足《声环境质量标准》（GB3096-2008）2类标准（昼间≤60dB（A））。</w:t>
            </w:r>
          </w:p>
          <w:p>
            <w:pPr>
              <w:keepNext w:val="0"/>
              <w:keepLines w:val="0"/>
              <w:pageBreakBefore w:val="0"/>
              <w:widowControl w:val="0"/>
              <w:kinsoku/>
              <w:wordWrap/>
              <w:overflowPunct/>
              <w:topLinePunct w:val="0"/>
              <w:bidi w:val="0"/>
              <w:adjustRightInd/>
              <w:snapToGrid/>
              <w:spacing w:line="360" w:lineRule="auto"/>
              <w:ind w:firstLine="411" w:firstLineChars="196"/>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综上所述，项目噪声对周围声环境影响可接受。</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textAlignment w:val="auto"/>
              <w:rPr>
                <w:rFonts w:cs="宋体"/>
                <w:b/>
                <w:kern w:val="0"/>
                <w:szCs w:val="21"/>
                <w:highlight w:val="none"/>
              </w:rPr>
            </w:pPr>
            <w:r>
              <w:rPr>
                <w:rFonts w:cs="宋体"/>
                <w:b/>
                <w:kern w:val="0"/>
                <w:szCs w:val="21"/>
                <w:highlight w:val="none"/>
              </w:rPr>
              <w:t>固体废物</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cs="宋体"/>
                <w:bCs/>
                <w:kern w:val="0"/>
                <w:szCs w:val="21"/>
                <w:highlight w:val="none"/>
              </w:rPr>
            </w:pPr>
            <w:r>
              <w:rPr>
                <w:rFonts w:hint="eastAsia" w:cs="宋体"/>
                <w:b/>
                <w:bCs/>
                <w:kern w:val="0"/>
                <w:szCs w:val="21"/>
                <w:highlight w:val="none"/>
              </w:rPr>
              <w:t>（1）</w:t>
            </w:r>
            <w:r>
              <w:rPr>
                <w:rFonts w:cs="宋体"/>
                <w:b/>
                <w:bCs/>
                <w:kern w:val="0"/>
                <w:szCs w:val="21"/>
                <w:highlight w:val="none"/>
              </w:rPr>
              <w:t>固体废物污染源及治理措施</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cs="宋体"/>
                <w:bCs/>
                <w:kern w:val="0"/>
                <w:szCs w:val="21"/>
                <w:highlight w:val="none"/>
              </w:rPr>
            </w:pPr>
            <w:r>
              <w:rPr>
                <w:rFonts w:cs="宋体"/>
                <w:bCs/>
                <w:kern w:val="0"/>
                <w:szCs w:val="21"/>
                <w:highlight w:val="none"/>
              </w:rPr>
              <w:t>根据《建设项目危险废物环境影响评价指南》（环保部公告2017年第43号）、《固体废物鉴别标准 通则》（GB34330-2017）等文件要求对拟建项目的固体废物污染源强进行分析核算。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cs="宋体"/>
                <w:bCs/>
                <w:kern w:val="0"/>
                <w:szCs w:val="21"/>
                <w:highlight w:val="none"/>
                <w:lang w:val="de-DE" w:eastAsia="zh-CN"/>
              </w:rPr>
            </w:pPr>
            <w:r>
              <w:rPr>
                <w:rFonts w:cs="宋体"/>
                <w:bCs/>
                <w:kern w:val="0"/>
                <w:szCs w:val="21"/>
                <w:highlight w:val="none"/>
                <w:lang w:val="de-DE"/>
              </w:rPr>
              <w:fldChar w:fldCharType="begin"/>
            </w:r>
            <w:r>
              <w:rPr>
                <w:rFonts w:cs="宋体"/>
                <w:bCs/>
                <w:kern w:val="0"/>
                <w:szCs w:val="21"/>
                <w:highlight w:val="none"/>
                <w:lang w:val="de-DE"/>
              </w:rPr>
              <w:instrText xml:space="preserve"> </w:instrText>
            </w:r>
            <w:r>
              <w:rPr>
                <w:rFonts w:hint="eastAsia" w:cs="宋体"/>
                <w:bCs/>
                <w:kern w:val="0"/>
                <w:szCs w:val="21"/>
                <w:highlight w:val="none"/>
                <w:lang w:val="de-DE"/>
              </w:rPr>
              <w:instrText xml:space="preserve">= 1 \* GB3</w:instrText>
            </w:r>
            <w:r>
              <w:rPr>
                <w:rFonts w:cs="宋体"/>
                <w:bCs/>
                <w:kern w:val="0"/>
                <w:szCs w:val="21"/>
                <w:highlight w:val="none"/>
                <w:lang w:val="de-DE"/>
              </w:rPr>
              <w:instrText xml:space="preserve"> </w:instrText>
            </w:r>
            <w:r>
              <w:rPr>
                <w:rFonts w:cs="宋体"/>
                <w:bCs/>
                <w:kern w:val="0"/>
                <w:szCs w:val="21"/>
                <w:highlight w:val="none"/>
                <w:lang w:val="de-DE"/>
              </w:rPr>
              <w:fldChar w:fldCharType="separate"/>
            </w:r>
            <w:r>
              <w:rPr>
                <w:rFonts w:hint="eastAsia" w:cs="宋体"/>
                <w:bCs/>
                <w:kern w:val="0"/>
                <w:szCs w:val="21"/>
                <w:highlight w:val="none"/>
                <w:lang w:val="de-DE"/>
              </w:rPr>
              <w:t>①</w:t>
            </w:r>
            <w:r>
              <w:rPr>
                <w:rFonts w:cs="宋体"/>
                <w:bCs/>
                <w:kern w:val="0"/>
                <w:szCs w:val="21"/>
                <w:highlight w:val="none"/>
                <w:lang w:val="de-DE"/>
              </w:rPr>
              <w:fldChar w:fldCharType="end"/>
            </w:r>
            <w:r>
              <w:rPr>
                <w:rFonts w:cs="宋体"/>
                <w:bCs/>
                <w:kern w:val="0"/>
                <w:szCs w:val="21"/>
                <w:highlight w:val="none"/>
                <w:lang w:val="de-DE"/>
              </w:rPr>
              <w:t>废</w:t>
            </w:r>
            <w:r>
              <w:rPr>
                <w:rFonts w:hint="eastAsia" w:cs="宋体"/>
                <w:bCs/>
                <w:kern w:val="0"/>
                <w:szCs w:val="21"/>
                <w:highlight w:val="none"/>
                <w:lang w:val="de-DE" w:eastAsia="zh-CN"/>
              </w:rPr>
              <w:t>活性炭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bCs/>
                <w:kern w:val="0"/>
                <w:szCs w:val="21"/>
                <w:highlight w:val="none"/>
                <w:lang w:eastAsia="zh-CN"/>
              </w:rPr>
            </w:pPr>
            <w:r>
              <w:rPr>
                <w:rFonts w:hint="eastAsia" w:cs="宋体"/>
                <w:bCs/>
                <w:kern w:val="0"/>
                <w:szCs w:val="21"/>
                <w:highlight w:val="none"/>
                <w:lang w:eastAsia="zh-CN"/>
              </w:rPr>
              <w:t>活性炭废气处理装置中活性炭吸附饱和后更换会产生废活性炭，项目塑粉烘干产生有机废气经活性炭吸附装置进行吸附处理再进行催化燃烧，工程活性炭用量约2t/a。按《国家危险废物名录》（</w:t>
            </w:r>
            <w:r>
              <w:rPr>
                <w:rFonts w:hint="eastAsia" w:cs="宋体"/>
                <w:bCs/>
                <w:kern w:val="0"/>
                <w:szCs w:val="21"/>
                <w:highlight w:val="none"/>
                <w:lang w:val="en-US" w:eastAsia="zh-CN"/>
              </w:rPr>
              <w:t>2021年版</w:t>
            </w:r>
            <w:r>
              <w:rPr>
                <w:rFonts w:hint="eastAsia" w:cs="宋体"/>
                <w:bCs/>
                <w:kern w:val="0"/>
                <w:szCs w:val="21"/>
                <w:highlight w:val="none"/>
                <w:lang w:eastAsia="zh-CN"/>
              </w:rPr>
              <w:t>），废活性炭属于危险固废，危废代码为HW49其他废物900-0</w:t>
            </w:r>
            <w:r>
              <w:rPr>
                <w:rFonts w:hint="eastAsia" w:cs="宋体"/>
                <w:bCs/>
                <w:kern w:val="0"/>
                <w:szCs w:val="21"/>
                <w:highlight w:val="none"/>
                <w:lang w:val="en-US" w:eastAsia="zh-CN"/>
              </w:rPr>
              <w:t>39</w:t>
            </w:r>
            <w:r>
              <w:rPr>
                <w:rFonts w:hint="eastAsia" w:cs="宋体"/>
                <w:bCs/>
                <w:kern w:val="0"/>
                <w:szCs w:val="21"/>
                <w:highlight w:val="none"/>
                <w:lang w:eastAsia="zh-CN"/>
              </w:rPr>
              <w:t>-049烟气、VOCs 治理过程（不包括餐饮行业油烟治理过程）产生的废活性炭质。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cs="宋体"/>
                <w:bCs/>
                <w:kern w:val="0"/>
                <w:szCs w:val="21"/>
                <w:highlight w:val="none"/>
                <w:lang w:val="de-DE" w:eastAsia="zh-CN"/>
              </w:rPr>
            </w:pPr>
            <w:r>
              <w:rPr>
                <w:rFonts w:cs="宋体"/>
                <w:bCs/>
                <w:kern w:val="0"/>
                <w:szCs w:val="21"/>
                <w:highlight w:val="none"/>
                <w:lang w:val="de-DE"/>
              </w:rPr>
              <w:fldChar w:fldCharType="begin"/>
            </w:r>
            <w:r>
              <w:rPr>
                <w:rFonts w:cs="宋体"/>
                <w:bCs/>
                <w:kern w:val="0"/>
                <w:szCs w:val="21"/>
                <w:highlight w:val="none"/>
                <w:lang w:val="de-DE"/>
              </w:rPr>
              <w:instrText xml:space="preserve"> </w:instrText>
            </w:r>
            <w:r>
              <w:rPr>
                <w:rFonts w:hint="eastAsia" w:cs="宋体"/>
                <w:bCs/>
                <w:kern w:val="0"/>
                <w:szCs w:val="21"/>
                <w:highlight w:val="none"/>
                <w:lang w:val="de-DE"/>
              </w:rPr>
              <w:instrText xml:space="preserve">= 2 \* GB3</w:instrText>
            </w:r>
            <w:r>
              <w:rPr>
                <w:rFonts w:cs="宋体"/>
                <w:bCs/>
                <w:kern w:val="0"/>
                <w:szCs w:val="21"/>
                <w:highlight w:val="none"/>
                <w:lang w:val="de-DE"/>
              </w:rPr>
              <w:instrText xml:space="preserve"> </w:instrText>
            </w:r>
            <w:r>
              <w:rPr>
                <w:rFonts w:cs="宋体"/>
                <w:bCs/>
                <w:kern w:val="0"/>
                <w:szCs w:val="21"/>
                <w:highlight w:val="none"/>
                <w:lang w:val="de-DE"/>
              </w:rPr>
              <w:fldChar w:fldCharType="separate"/>
            </w:r>
            <w:r>
              <w:rPr>
                <w:rFonts w:hint="eastAsia" w:cs="宋体"/>
                <w:bCs/>
                <w:kern w:val="0"/>
                <w:szCs w:val="21"/>
                <w:highlight w:val="none"/>
                <w:lang w:val="de-DE"/>
              </w:rPr>
              <w:t>②</w:t>
            </w:r>
            <w:r>
              <w:rPr>
                <w:rFonts w:cs="宋体"/>
                <w:bCs/>
                <w:kern w:val="0"/>
                <w:szCs w:val="21"/>
                <w:highlight w:val="none"/>
                <w:lang w:val="de-DE"/>
              </w:rPr>
              <w:fldChar w:fldCharType="end"/>
            </w:r>
            <w:r>
              <w:rPr>
                <w:rFonts w:hint="eastAsia" w:cs="宋体"/>
                <w:bCs/>
                <w:kern w:val="0"/>
                <w:szCs w:val="21"/>
                <w:highlight w:val="none"/>
                <w:lang w:val="de-DE" w:eastAsia="zh-CN"/>
              </w:rPr>
              <w:t>废液压油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cs="宋体"/>
                <w:bCs/>
                <w:kern w:val="0"/>
                <w:szCs w:val="21"/>
                <w:highlight w:val="cyan"/>
              </w:rPr>
            </w:pPr>
            <w:r>
              <w:rPr>
                <w:rFonts w:hint="eastAsia" w:cs="宋体"/>
                <w:bCs/>
                <w:kern w:val="0"/>
                <w:szCs w:val="21"/>
                <w:highlight w:val="none"/>
                <w:lang w:eastAsia="zh-CN"/>
              </w:rPr>
              <w:t>项目注塑设备定期维护过程需更换一定量的废液压油，根据企业提供资料，更换周期约为1年，废液压油产生量约为0.4t/a，按《国家危险废物名录》（</w:t>
            </w:r>
            <w:r>
              <w:rPr>
                <w:rFonts w:hint="eastAsia" w:cs="宋体"/>
                <w:bCs/>
                <w:kern w:val="0"/>
                <w:szCs w:val="21"/>
                <w:highlight w:val="none"/>
                <w:lang w:val="en-US" w:eastAsia="zh-CN"/>
              </w:rPr>
              <w:t>2021年版</w:t>
            </w:r>
            <w:r>
              <w:rPr>
                <w:rFonts w:hint="eastAsia" w:cs="宋体"/>
                <w:bCs/>
                <w:kern w:val="0"/>
                <w:szCs w:val="21"/>
                <w:highlight w:val="none"/>
                <w:lang w:eastAsia="zh-CN"/>
              </w:rPr>
              <w:t>），废液压油属于危险固废，危废代码为HW</w:t>
            </w:r>
            <w:r>
              <w:rPr>
                <w:rFonts w:hint="eastAsia" w:cs="宋体"/>
                <w:bCs/>
                <w:kern w:val="0"/>
                <w:szCs w:val="21"/>
                <w:highlight w:val="none"/>
                <w:lang w:val="en-US" w:eastAsia="zh-CN"/>
              </w:rPr>
              <w:t>08</w:t>
            </w:r>
            <w:r>
              <w:rPr>
                <w:rFonts w:hint="eastAsia" w:cs="宋体"/>
                <w:bCs/>
                <w:kern w:val="0"/>
                <w:szCs w:val="21"/>
                <w:highlight w:val="none"/>
                <w:lang w:eastAsia="zh-CN"/>
              </w:rPr>
              <w:t>其他废物900-</w:t>
            </w:r>
            <w:r>
              <w:rPr>
                <w:rFonts w:hint="eastAsia" w:cs="宋体"/>
                <w:bCs/>
                <w:kern w:val="0"/>
                <w:szCs w:val="21"/>
                <w:highlight w:val="none"/>
                <w:lang w:val="en-US" w:eastAsia="zh-CN"/>
              </w:rPr>
              <w:t>249</w:t>
            </w:r>
            <w:r>
              <w:rPr>
                <w:rFonts w:hint="eastAsia" w:cs="宋体"/>
                <w:bCs/>
                <w:kern w:val="0"/>
                <w:szCs w:val="21"/>
                <w:highlight w:val="none"/>
                <w:lang w:eastAsia="zh-CN"/>
              </w:rPr>
              <w:t>-0</w:t>
            </w:r>
            <w:r>
              <w:rPr>
                <w:rFonts w:hint="eastAsia" w:cs="宋体"/>
                <w:bCs/>
                <w:kern w:val="0"/>
                <w:szCs w:val="21"/>
                <w:highlight w:val="none"/>
                <w:lang w:val="en-US" w:eastAsia="zh-CN"/>
              </w:rPr>
              <w:t>8</w:t>
            </w:r>
            <w:r>
              <w:rPr>
                <w:rFonts w:hint="eastAsia" w:cs="宋体"/>
                <w:bCs/>
                <w:kern w:val="0"/>
                <w:szCs w:val="21"/>
                <w:highlight w:val="none"/>
                <w:lang w:eastAsia="zh-CN"/>
              </w:rPr>
              <w:t>其他生产、销售、使用过程中产生的废矿物油及沾染矿物油的废弃包装物</w:t>
            </w:r>
            <w:r>
              <w:rPr>
                <w:rFonts w:cs="宋体"/>
                <w:bCs/>
                <w:kern w:val="0"/>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cs="宋体"/>
                <w:bCs/>
                <w:kern w:val="0"/>
                <w:szCs w:val="21"/>
                <w:highlight w:val="none"/>
                <w:lang w:eastAsia="zh-CN"/>
              </w:rPr>
            </w:pPr>
            <w:r>
              <w:rPr>
                <w:rFonts w:cs="宋体"/>
                <w:bCs/>
                <w:kern w:val="0"/>
                <w:szCs w:val="21"/>
                <w:highlight w:val="none"/>
              </w:rPr>
              <w:t>拟建项目运营期固体废物产生及处理处置情况见表</w:t>
            </w:r>
            <w:r>
              <w:rPr>
                <w:rFonts w:hint="eastAsia" w:cs="宋体"/>
                <w:bCs/>
                <w:kern w:val="0"/>
                <w:szCs w:val="21"/>
                <w:highlight w:val="none"/>
                <w:lang w:val="en-US" w:eastAsia="zh-CN"/>
              </w:rPr>
              <w:t>46</w:t>
            </w:r>
            <w:r>
              <w:rPr>
                <w:rFonts w:cs="宋体"/>
                <w:bCs/>
                <w:kern w:val="0"/>
                <w:szCs w:val="21"/>
                <w:highlight w:val="none"/>
              </w:rPr>
              <w:t>，其中危险废物产生及处置情况见表</w:t>
            </w:r>
            <w:r>
              <w:rPr>
                <w:rFonts w:hint="eastAsia" w:cs="宋体"/>
                <w:bCs/>
                <w:kern w:val="0"/>
                <w:szCs w:val="21"/>
                <w:highlight w:val="none"/>
                <w:lang w:val="en-US" w:eastAsia="zh-CN"/>
              </w:rPr>
              <w:t>47</w:t>
            </w:r>
            <w:r>
              <w:rPr>
                <w:rFonts w:hint="eastAsia" w:cs="宋体"/>
                <w:bCs/>
                <w:kern w:val="0"/>
                <w:szCs w:val="21"/>
                <w:highlight w:val="none"/>
              </w:rPr>
              <w:t>，危险废物贮存场所基本情况见表</w:t>
            </w:r>
            <w:r>
              <w:rPr>
                <w:rFonts w:hint="eastAsia" w:cs="宋体"/>
                <w:bCs/>
                <w:kern w:val="0"/>
                <w:szCs w:val="21"/>
                <w:highlight w:val="none"/>
                <w:lang w:val="en-US" w:eastAsia="zh-CN"/>
              </w:rPr>
              <w:t>48。</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固废产生情况及治理措施一览表</w:t>
            </w:r>
          </w:p>
          <w:tbl>
            <w:tblPr>
              <w:tblStyle w:val="1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46"/>
              <w:gridCol w:w="502"/>
              <w:gridCol w:w="502"/>
              <w:gridCol w:w="750"/>
              <w:gridCol w:w="380"/>
              <w:gridCol w:w="971"/>
              <w:gridCol w:w="592"/>
              <w:gridCol w:w="568"/>
              <w:gridCol w:w="681"/>
              <w:gridCol w:w="971"/>
              <w:gridCol w:w="836"/>
              <w:gridCol w:w="9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5"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 w:val="18"/>
                      <w:szCs w:val="18"/>
                    </w:rPr>
                  </w:pPr>
                  <w:r>
                    <w:rPr>
                      <w:sz w:val="18"/>
                      <w:szCs w:val="18"/>
                    </w:rPr>
                    <w:t>序号</w:t>
                  </w:r>
                </w:p>
              </w:tc>
              <w:tc>
                <w:tcPr>
                  <w:tcW w:w="3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固废名称</w:t>
                  </w:r>
                </w:p>
              </w:tc>
              <w:tc>
                <w:tcPr>
                  <w:tcW w:w="3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属性</w:t>
                  </w:r>
                </w:p>
              </w:tc>
              <w:tc>
                <w:tcPr>
                  <w:tcW w:w="4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产生</w:t>
                  </w:r>
                </w:p>
                <w:p>
                  <w:pPr>
                    <w:adjustRightInd w:val="0"/>
                    <w:snapToGrid w:val="0"/>
                    <w:jc w:val="center"/>
                    <w:rPr>
                      <w:sz w:val="18"/>
                      <w:szCs w:val="18"/>
                    </w:rPr>
                  </w:pPr>
                  <w:r>
                    <w:rPr>
                      <w:sz w:val="18"/>
                      <w:szCs w:val="18"/>
                    </w:rPr>
                    <w:t>工序</w:t>
                  </w:r>
                </w:p>
              </w:tc>
              <w:tc>
                <w:tcPr>
                  <w:tcW w:w="23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形态</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主要成分</w:t>
                  </w:r>
                </w:p>
              </w:tc>
              <w:tc>
                <w:tcPr>
                  <w:tcW w:w="36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危险特性鉴别方法</w:t>
                  </w:r>
                </w:p>
              </w:tc>
              <w:tc>
                <w:tcPr>
                  <w:tcW w:w="35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危险特性</w:t>
                  </w:r>
                </w:p>
              </w:tc>
              <w:tc>
                <w:tcPr>
                  <w:tcW w:w="42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废物类别</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90" w:firstLineChars="50"/>
                    <w:rPr>
                      <w:sz w:val="18"/>
                      <w:szCs w:val="18"/>
                    </w:rPr>
                  </w:pPr>
                  <w:r>
                    <w:rPr>
                      <w:sz w:val="18"/>
                      <w:szCs w:val="18"/>
                    </w:rPr>
                    <w:t>废物代码</w:t>
                  </w:r>
                </w:p>
              </w:tc>
              <w:tc>
                <w:tcPr>
                  <w:tcW w:w="51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产生量（t/a）</w:t>
                  </w:r>
                </w:p>
              </w:tc>
              <w:tc>
                <w:tcPr>
                  <w:tcW w:w="587" w:type="pct"/>
                  <w:tcBorders>
                    <w:top w:val="single" w:color="auto" w:sz="4" w:space="0"/>
                    <w:left w:val="single" w:color="auto" w:sz="4" w:space="0"/>
                    <w:bottom w:val="single" w:color="auto" w:sz="4" w:space="0"/>
                    <w:right w:val="nil"/>
                  </w:tcBorders>
                  <w:noWrap w:val="0"/>
                  <w:vAlign w:val="center"/>
                </w:tcPr>
                <w:p>
                  <w:pPr>
                    <w:adjustRightInd w:val="0"/>
                    <w:snapToGrid w:val="0"/>
                    <w:jc w:val="center"/>
                    <w:rPr>
                      <w:sz w:val="18"/>
                      <w:szCs w:val="18"/>
                    </w:rPr>
                  </w:pPr>
                  <w:r>
                    <w:rPr>
                      <w:sz w:val="18"/>
                      <w:szCs w:val="18"/>
                    </w:rPr>
                    <w:t>处置方法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5"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1</w:t>
                  </w:r>
                </w:p>
              </w:tc>
              <w:tc>
                <w:tcPr>
                  <w:tcW w:w="3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eastAsia="zh-CN"/>
                    </w:rPr>
                  </w:pPr>
                  <w:r>
                    <w:rPr>
                      <w:rFonts w:hint="eastAsia"/>
                      <w:sz w:val="18"/>
                      <w:szCs w:val="18"/>
                      <w:lang w:eastAsia="zh-CN"/>
                    </w:rPr>
                    <w:t>废活性炭</w:t>
                  </w:r>
                </w:p>
              </w:tc>
              <w:tc>
                <w:tcPr>
                  <w:tcW w:w="3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危险废物</w:t>
                  </w:r>
                </w:p>
              </w:tc>
              <w:tc>
                <w:tcPr>
                  <w:tcW w:w="4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sz w:val="18"/>
                      <w:szCs w:val="18"/>
                      <w:lang w:eastAsia="zh-CN"/>
                    </w:rPr>
                  </w:pPr>
                  <w:r>
                    <w:rPr>
                      <w:rFonts w:hint="eastAsia"/>
                      <w:sz w:val="18"/>
                      <w:szCs w:val="18"/>
                      <w:lang w:eastAsia="zh-CN"/>
                    </w:rPr>
                    <w:t>废气</w:t>
                  </w:r>
                </w:p>
                <w:p>
                  <w:pPr>
                    <w:adjustRightInd w:val="0"/>
                    <w:snapToGrid w:val="0"/>
                    <w:jc w:val="center"/>
                    <w:rPr>
                      <w:rFonts w:hint="eastAsia" w:eastAsia="宋体"/>
                      <w:sz w:val="18"/>
                      <w:szCs w:val="18"/>
                      <w:lang w:eastAsia="zh-CN"/>
                    </w:rPr>
                  </w:pPr>
                  <w:r>
                    <w:rPr>
                      <w:rFonts w:hint="eastAsia"/>
                      <w:sz w:val="18"/>
                      <w:szCs w:val="18"/>
                      <w:lang w:eastAsia="zh-CN"/>
                    </w:rPr>
                    <w:t>设施</w:t>
                  </w:r>
                </w:p>
              </w:tc>
              <w:tc>
                <w:tcPr>
                  <w:tcW w:w="23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eastAsia="zh-CN"/>
                    </w:rPr>
                  </w:pPr>
                  <w:r>
                    <w:rPr>
                      <w:rFonts w:hint="eastAsia"/>
                      <w:sz w:val="18"/>
                      <w:szCs w:val="18"/>
                      <w:lang w:eastAsia="zh-CN"/>
                    </w:rPr>
                    <w:t>固态</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sz w:val="18"/>
                      <w:szCs w:val="18"/>
                      <w:lang w:val="en-US" w:eastAsia="zh-CN"/>
                    </w:rPr>
                  </w:pPr>
                  <w:r>
                    <w:rPr>
                      <w:rFonts w:hint="eastAsia"/>
                      <w:sz w:val="18"/>
                      <w:szCs w:val="18"/>
                      <w:lang w:val="en-US" w:eastAsia="zh-CN"/>
                    </w:rPr>
                    <w:t>含有机废气废活性炭</w:t>
                  </w:r>
                </w:p>
              </w:tc>
              <w:tc>
                <w:tcPr>
                  <w:tcW w:w="36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sz w:val="18"/>
                      <w:szCs w:val="18"/>
                    </w:rPr>
                  </w:pPr>
                  <w:r>
                    <w:rPr>
                      <w:sz w:val="18"/>
                      <w:szCs w:val="18"/>
                    </w:rPr>
                    <w:t>危废</w:t>
                  </w:r>
                </w:p>
                <w:p>
                  <w:pPr>
                    <w:autoSpaceDE w:val="0"/>
                    <w:autoSpaceDN w:val="0"/>
                    <w:adjustRightInd w:val="0"/>
                    <w:snapToGrid w:val="0"/>
                    <w:jc w:val="center"/>
                    <w:rPr>
                      <w:sz w:val="18"/>
                      <w:szCs w:val="18"/>
                    </w:rPr>
                  </w:pPr>
                  <w:r>
                    <w:rPr>
                      <w:sz w:val="18"/>
                      <w:szCs w:val="18"/>
                    </w:rPr>
                    <w:t>名录</w:t>
                  </w:r>
                </w:p>
              </w:tc>
              <w:tc>
                <w:tcPr>
                  <w:tcW w:w="3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sz w:val="18"/>
                      <w:szCs w:val="18"/>
                    </w:rPr>
                  </w:pPr>
                  <w:r>
                    <w:rPr>
                      <w:rFonts w:hint="default" w:ascii="Times New Roman" w:hAnsi="Times New Roman" w:cs="Times New Roman"/>
                      <w:color w:val="auto"/>
                      <w:sz w:val="18"/>
                      <w:szCs w:val="18"/>
                      <w:highlight w:val="none"/>
                    </w:rPr>
                    <w:t>T/I</w:t>
                  </w:r>
                </w:p>
              </w:tc>
              <w:tc>
                <w:tcPr>
                  <w:tcW w:w="4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sz w:val="18"/>
                      <w:szCs w:val="18"/>
                    </w:rPr>
                  </w:pPr>
                  <w:r>
                    <w:rPr>
                      <w:rFonts w:hint="default" w:ascii="Times New Roman" w:hAnsi="Times New Roman" w:cs="Times New Roman"/>
                      <w:color w:val="auto"/>
                      <w:sz w:val="18"/>
                      <w:szCs w:val="18"/>
                      <w:highlight w:val="none"/>
                    </w:rPr>
                    <w:t>HW49</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sz w:val="18"/>
                      <w:szCs w:val="18"/>
                    </w:rPr>
                  </w:pPr>
                  <w:r>
                    <w:rPr>
                      <w:rFonts w:hint="default" w:ascii="Times New Roman" w:hAnsi="Times New Roman" w:cs="Times New Roman"/>
                      <w:color w:val="auto"/>
                      <w:sz w:val="18"/>
                      <w:szCs w:val="18"/>
                      <w:highlight w:val="none"/>
                    </w:rPr>
                    <w:t>900-041-49</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sz w:val="18"/>
                      <w:szCs w:val="18"/>
                    </w:rPr>
                  </w:pPr>
                  <w:r>
                    <w:rPr>
                      <w:rFonts w:hint="default" w:ascii="Times New Roman" w:hAnsi="Times New Roman" w:cs="Times New Roman"/>
                      <w:color w:val="auto"/>
                      <w:sz w:val="18"/>
                      <w:szCs w:val="18"/>
                      <w:highlight w:val="none"/>
                      <w:lang w:val="en-US" w:eastAsia="zh-CN"/>
                    </w:rPr>
                    <w:t>0.05</w:t>
                  </w:r>
                </w:p>
              </w:tc>
              <w:tc>
                <w:tcPr>
                  <w:tcW w:w="587" w:type="pct"/>
                  <w:vMerge w:val="restart"/>
                  <w:tcBorders>
                    <w:top w:val="single" w:color="auto" w:sz="4" w:space="0"/>
                    <w:left w:val="single" w:color="auto" w:sz="4" w:space="0"/>
                    <w:right w:val="nil"/>
                  </w:tcBorders>
                  <w:noWrap w:val="0"/>
                  <w:vAlign w:val="center"/>
                </w:tcPr>
                <w:p>
                  <w:pPr>
                    <w:adjustRightInd w:val="0"/>
                    <w:snapToGrid w:val="0"/>
                    <w:jc w:val="center"/>
                    <w:rPr>
                      <w:sz w:val="18"/>
                      <w:szCs w:val="18"/>
                    </w:rPr>
                  </w:pPr>
                  <w:r>
                    <w:rPr>
                      <w:rFonts w:hint="default" w:ascii="Times New Roman" w:hAnsi="Times New Roman" w:cs="Times New Roman"/>
                      <w:color w:val="auto"/>
                      <w:sz w:val="18"/>
                      <w:szCs w:val="18"/>
                      <w:highlight w:val="none"/>
                    </w:rPr>
                    <w:t>危险废物暂存间</w:t>
                  </w:r>
                  <w:r>
                    <w:rPr>
                      <w:rFonts w:hint="default" w:ascii="Times New Roman" w:hAnsi="Times New Roman" w:cs="Times New Roman"/>
                      <w:color w:val="auto"/>
                      <w:sz w:val="18"/>
                      <w:szCs w:val="18"/>
                      <w:highlight w:val="none"/>
                      <w:lang w:eastAsia="zh-CN"/>
                    </w:rPr>
                    <w:t>暂存</w:t>
                  </w:r>
                  <w:r>
                    <w:rPr>
                      <w:rFonts w:hint="default" w:ascii="Times New Roman" w:hAnsi="Times New Roman" w:cs="Times New Roman"/>
                      <w:color w:val="auto"/>
                      <w:sz w:val="18"/>
                      <w:szCs w:val="18"/>
                      <w:highlight w:val="none"/>
                    </w:rPr>
                    <w:t>，委托有处理资质的单位处置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5"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2</w:t>
                  </w:r>
                </w:p>
              </w:tc>
              <w:tc>
                <w:tcPr>
                  <w:tcW w:w="3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eastAsia="zh-CN"/>
                    </w:rPr>
                  </w:pPr>
                  <w:r>
                    <w:rPr>
                      <w:rFonts w:hint="eastAsia"/>
                      <w:sz w:val="18"/>
                      <w:szCs w:val="18"/>
                      <w:lang w:eastAsia="zh-CN"/>
                    </w:rPr>
                    <w:t>废液压油</w:t>
                  </w:r>
                </w:p>
              </w:tc>
              <w:tc>
                <w:tcPr>
                  <w:tcW w:w="3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危险废物</w:t>
                  </w:r>
                </w:p>
              </w:tc>
              <w:tc>
                <w:tcPr>
                  <w:tcW w:w="4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sz w:val="18"/>
                      <w:szCs w:val="18"/>
                      <w:lang w:eastAsia="zh-CN"/>
                    </w:rPr>
                  </w:pPr>
                  <w:r>
                    <w:rPr>
                      <w:rFonts w:hint="eastAsia"/>
                      <w:sz w:val="18"/>
                      <w:szCs w:val="18"/>
                      <w:lang w:eastAsia="zh-CN"/>
                    </w:rPr>
                    <w:t>设备</w:t>
                  </w:r>
                </w:p>
                <w:p>
                  <w:pPr>
                    <w:adjustRightInd w:val="0"/>
                    <w:snapToGrid w:val="0"/>
                    <w:jc w:val="center"/>
                    <w:rPr>
                      <w:rFonts w:hint="eastAsia" w:eastAsia="宋体"/>
                      <w:sz w:val="18"/>
                      <w:szCs w:val="18"/>
                      <w:lang w:eastAsia="zh-CN"/>
                    </w:rPr>
                  </w:pPr>
                  <w:r>
                    <w:rPr>
                      <w:rFonts w:hint="eastAsia"/>
                      <w:sz w:val="18"/>
                      <w:szCs w:val="18"/>
                      <w:lang w:eastAsia="zh-CN"/>
                    </w:rPr>
                    <w:t>维护</w:t>
                  </w:r>
                </w:p>
              </w:tc>
              <w:tc>
                <w:tcPr>
                  <w:tcW w:w="23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eastAsia="zh-CN"/>
                    </w:rPr>
                  </w:pPr>
                  <w:r>
                    <w:rPr>
                      <w:rFonts w:hint="eastAsia"/>
                      <w:sz w:val="18"/>
                      <w:szCs w:val="18"/>
                      <w:lang w:eastAsia="zh-CN"/>
                    </w:rPr>
                    <w:t>液态</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eastAsia="zh-CN"/>
                    </w:rPr>
                  </w:pPr>
                  <w:r>
                    <w:rPr>
                      <w:rFonts w:hint="eastAsia"/>
                      <w:sz w:val="18"/>
                      <w:szCs w:val="18"/>
                      <w:lang w:eastAsia="zh-CN"/>
                    </w:rPr>
                    <w:t>废矿物油</w:t>
                  </w:r>
                </w:p>
              </w:tc>
              <w:tc>
                <w:tcPr>
                  <w:tcW w:w="36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sz w:val="18"/>
                      <w:szCs w:val="18"/>
                    </w:rPr>
                  </w:pPr>
                  <w:r>
                    <w:rPr>
                      <w:sz w:val="18"/>
                      <w:szCs w:val="18"/>
                    </w:rPr>
                    <w:t>危废</w:t>
                  </w:r>
                </w:p>
                <w:p>
                  <w:pPr>
                    <w:autoSpaceDE w:val="0"/>
                    <w:autoSpaceDN w:val="0"/>
                    <w:adjustRightInd w:val="0"/>
                    <w:snapToGrid w:val="0"/>
                    <w:jc w:val="center"/>
                    <w:rPr>
                      <w:sz w:val="18"/>
                      <w:szCs w:val="18"/>
                    </w:rPr>
                  </w:pPr>
                  <w:r>
                    <w:rPr>
                      <w:sz w:val="18"/>
                      <w:szCs w:val="18"/>
                    </w:rPr>
                    <w:t>名录</w:t>
                  </w:r>
                </w:p>
              </w:tc>
              <w:tc>
                <w:tcPr>
                  <w:tcW w:w="3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sz w:val="18"/>
                      <w:szCs w:val="18"/>
                    </w:rPr>
                  </w:pPr>
                  <w:r>
                    <w:rPr>
                      <w:rFonts w:hint="default" w:ascii="Times New Roman" w:hAnsi="Times New Roman" w:cs="Times New Roman"/>
                      <w:color w:val="auto"/>
                      <w:sz w:val="18"/>
                      <w:szCs w:val="18"/>
                      <w:highlight w:val="none"/>
                    </w:rPr>
                    <w:t>T/I</w:t>
                  </w:r>
                </w:p>
              </w:tc>
              <w:tc>
                <w:tcPr>
                  <w:tcW w:w="4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sz w:val="18"/>
                      <w:szCs w:val="18"/>
                    </w:rPr>
                  </w:pPr>
                  <w:r>
                    <w:rPr>
                      <w:rFonts w:hint="default" w:ascii="Times New Roman" w:hAnsi="Times New Roman" w:cs="Times New Roman"/>
                      <w:color w:val="auto"/>
                      <w:sz w:val="18"/>
                      <w:szCs w:val="18"/>
                      <w:highlight w:val="none"/>
                    </w:rPr>
                    <w:t>HW08</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sz w:val="18"/>
                      <w:szCs w:val="18"/>
                    </w:rPr>
                  </w:pPr>
                  <w:r>
                    <w:rPr>
                      <w:rFonts w:hint="default" w:ascii="Times New Roman" w:hAnsi="Times New Roman" w:cs="Times New Roman"/>
                      <w:color w:val="auto"/>
                      <w:sz w:val="18"/>
                      <w:szCs w:val="18"/>
                      <w:highlight w:val="none"/>
                    </w:rPr>
                    <w:t>900-2</w:t>
                  </w:r>
                  <w:r>
                    <w:rPr>
                      <w:rFonts w:hint="default" w:ascii="Times New Roman" w:hAnsi="Times New Roman" w:cs="Times New Roman"/>
                      <w:color w:val="auto"/>
                      <w:sz w:val="18"/>
                      <w:szCs w:val="18"/>
                      <w:highlight w:val="none"/>
                      <w:lang w:val="en-US" w:eastAsia="zh-CN"/>
                    </w:rPr>
                    <w:t>18</w:t>
                  </w:r>
                  <w:r>
                    <w:rPr>
                      <w:rFonts w:hint="default" w:ascii="Times New Roman" w:hAnsi="Times New Roman" w:cs="Times New Roman"/>
                      <w:color w:val="auto"/>
                      <w:sz w:val="18"/>
                      <w:szCs w:val="18"/>
                      <w:highlight w:val="none"/>
                    </w:rPr>
                    <w:t>-08</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sz w:val="18"/>
                      <w:szCs w:val="18"/>
                    </w:rPr>
                  </w:pPr>
                  <w:r>
                    <w:rPr>
                      <w:rFonts w:hint="default" w:ascii="Times New Roman" w:hAnsi="Times New Roman" w:cs="Times New Roman"/>
                      <w:color w:val="auto"/>
                      <w:sz w:val="18"/>
                      <w:szCs w:val="18"/>
                      <w:highlight w:val="none"/>
                      <w:lang w:val="en-US" w:eastAsia="zh-CN"/>
                    </w:rPr>
                    <w:t>0.06</w:t>
                  </w:r>
                </w:p>
              </w:tc>
              <w:tc>
                <w:tcPr>
                  <w:tcW w:w="587" w:type="pct"/>
                  <w:vMerge w:val="continue"/>
                  <w:tcBorders>
                    <w:left w:val="single" w:color="auto" w:sz="4" w:space="0"/>
                    <w:bottom w:val="single" w:color="auto" w:sz="4" w:space="0"/>
                    <w:right w:val="nil"/>
                  </w:tcBorders>
                  <w:noWrap w:val="0"/>
                  <w:vAlign w:val="center"/>
                </w:tcPr>
                <w:p>
                  <w:pPr>
                    <w:adjustRightInd w:val="0"/>
                    <w:snapToGrid w:val="0"/>
                    <w:jc w:val="center"/>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5"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3</w:t>
                  </w:r>
                </w:p>
              </w:tc>
              <w:tc>
                <w:tcPr>
                  <w:tcW w:w="52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eastAsia="zh-CN"/>
                    </w:rPr>
                    <w:t>废包装</w:t>
                  </w:r>
                </w:p>
              </w:tc>
              <w:tc>
                <w:tcPr>
                  <w:tcW w:w="3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w:t>
                  </w:r>
                </w:p>
              </w:tc>
              <w:tc>
                <w:tcPr>
                  <w:tcW w:w="7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eastAsia="zh-CN"/>
                    </w:rPr>
                    <w:t>原料使用过程</w:t>
                  </w:r>
                </w:p>
              </w:tc>
              <w:tc>
                <w:tcPr>
                  <w:tcW w:w="23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固态</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eastAsia="zh-CN"/>
                    </w:rPr>
                  </w:pPr>
                  <w:r>
                    <w:rPr>
                      <w:rFonts w:hint="eastAsia"/>
                      <w:sz w:val="18"/>
                      <w:szCs w:val="18"/>
                      <w:lang w:eastAsia="zh-CN"/>
                    </w:rPr>
                    <w:t>废塑料包装</w:t>
                  </w:r>
                </w:p>
              </w:tc>
              <w:tc>
                <w:tcPr>
                  <w:tcW w:w="36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sz w:val="18"/>
                      <w:szCs w:val="18"/>
                    </w:rPr>
                  </w:pPr>
                  <w:r>
                    <w:rPr>
                      <w:sz w:val="18"/>
                      <w:szCs w:val="18"/>
                    </w:rPr>
                    <w:t>/</w:t>
                  </w:r>
                </w:p>
              </w:tc>
              <w:tc>
                <w:tcPr>
                  <w:tcW w:w="35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sz w:val="18"/>
                      <w:szCs w:val="18"/>
                    </w:rPr>
                  </w:pPr>
                  <w:r>
                    <w:rPr>
                      <w:sz w:val="18"/>
                      <w:szCs w:val="18"/>
                    </w:rPr>
                    <w:t>/</w:t>
                  </w:r>
                </w:p>
              </w:tc>
              <w:tc>
                <w:tcPr>
                  <w:tcW w:w="42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sz w:val="18"/>
                      <w:szCs w:val="18"/>
                    </w:rPr>
                  </w:pPr>
                  <w:r>
                    <w:rPr>
                      <w:sz w:val="18"/>
                      <w:szCs w:val="18"/>
                    </w:rPr>
                    <w:t>/</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w:t>
                  </w:r>
                </w:p>
              </w:tc>
              <w:tc>
                <w:tcPr>
                  <w:tcW w:w="86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val="en-US" w:eastAsia="zh-CN"/>
                    </w:rPr>
                    <w:t>0.5</w:t>
                  </w:r>
                </w:p>
              </w:tc>
              <w:tc>
                <w:tcPr>
                  <w:tcW w:w="982" w:type="dxa"/>
                  <w:tcBorders>
                    <w:top w:val="single" w:color="auto" w:sz="4" w:space="0"/>
                    <w:left w:val="single" w:color="auto" w:sz="4" w:space="0"/>
                    <w:bottom w:val="single" w:color="000000" w:sz="4" w:space="0"/>
                    <w:right w:val="nil"/>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eastAsia="zh-CN"/>
                    </w:rPr>
                    <w:t>一般固废暂存间分类暂存后，有废品回收单位回收处理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5"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4</w:t>
                  </w:r>
                </w:p>
              </w:tc>
              <w:tc>
                <w:tcPr>
                  <w:tcW w:w="52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eastAsia="zh-CN"/>
                    </w:rPr>
                    <w:t>废边角料</w:t>
                  </w:r>
                </w:p>
              </w:tc>
              <w:tc>
                <w:tcPr>
                  <w:tcW w:w="3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7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eastAsia="zh-CN"/>
                    </w:rPr>
                    <w:t>注塑脱模过程</w:t>
                  </w:r>
                </w:p>
              </w:tc>
              <w:tc>
                <w:tcPr>
                  <w:tcW w:w="23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固态</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sz w:val="18"/>
                      <w:szCs w:val="18"/>
                      <w:lang w:eastAsia="zh-CN"/>
                    </w:rPr>
                  </w:pPr>
                  <w:r>
                    <w:rPr>
                      <w:rFonts w:hint="eastAsia"/>
                      <w:sz w:val="18"/>
                      <w:szCs w:val="18"/>
                      <w:lang w:eastAsia="zh-CN"/>
                    </w:rPr>
                    <w:t>废塑料</w:t>
                  </w:r>
                </w:p>
                <w:p>
                  <w:pPr>
                    <w:adjustRightInd w:val="0"/>
                    <w:snapToGrid w:val="0"/>
                    <w:jc w:val="center"/>
                    <w:rPr>
                      <w:rFonts w:hint="eastAsia" w:eastAsia="宋体"/>
                      <w:sz w:val="18"/>
                      <w:szCs w:val="18"/>
                      <w:lang w:eastAsia="zh-CN"/>
                    </w:rPr>
                  </w:pPr>
                  <w:r>
                    <w:rPr>
                      <w:rFonts w:hint="eastAsia"/>
                      <w:sz w:val="18"/>
                      <w:szCs w:val="18"/>
                      <w:lang w:eastAsia="zh-CN"/>
                    </w:rPr>
                    <w:t>边角料</w:t>
                  </w:r>
                </w:p>
              </w:tc>
              <w:tc>
                <w:tcPr>
                  <w:tcW w:w="36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35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42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86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val="en-US" w:eastAsia="zh-CN"/>
                    </w:rPr>
                    <w:t>2.6</w:t>
                  </w:r>
                </w:p>
              </w:tc>
              <w:tc>
                <w:tcPr>
                  <w:tcW w:w="982" w:type="dxa"/>
                  <w:vMerge w:val="restart"/>
                  <w:tcBorders>
                    <w:top w:val="single" w:color="000000" w:sz="4" w:space="0"/>
                    <w:left w:val="single" w:color="auto" w:sz="4" w:space="0"/>
                    <w:right w:val="nil"/>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eastAsia="zh-CN"/>
                    </w:rPr>
                    <w:t>破碎机破碎后直接回用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5"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5</w:t>
                  </w:r>
                </w:p>
              </w:tc>
              <w:tc>
                <w:tcPr>
                  <w:tcW w:w="52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val="en-US" w:eastAsia="zh-CN" w:bidi="ar-SA"/>
                    </w:rPr>
                    <w:t>不合格品</w:t>
                  </w:r>
                </w:p>
              </w:tc>
              <w:tc>
                <w:tcPr>
                  <w:tcW w:w="3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7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检验</w:t>
                  </w:r>
                </w:p>
                <w:p>
                  <w:pPr>
                    <w:adjustRightInd w:val="0"/>
                    <w:snapToGrid w:val="0"/>
                    <w:jc w:val="center"/>
                    <w:rPr>
                      <w:sz w:val="18"/>
                      <w:szCs w:val="18"/>
                    </w:rPr>
                  </w:pPr>
                  <w:r>
                    <w:rPr>
                      <w:rFonts w:hint="default" w:ascii="Times New Roman" w:hAnsi="Times New Roman" w:cs="Times New Roman"/>
                      <w:bCs/>
                      <w:color w:val="auto"/>
                      <w:sz w:val="18"/>
                      <w:szCs w:val="18"/>
                      <w:highlight w:val="none"/>
                      <w:lang w:eastAsia="zh-CN"/>
                    </w:rPr>
                    <w:t>过程</w:t>
                  </w:r>
                </w:p>
              </w:tc>
              <w:tc>
                <w:tcPr>
                  <w:tcW w:w="23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sz w:val="18"/>
                      <w:szCs w:val="18"/>
                    </w:rPr>
                    <w:t>固态</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eastAsia="zh-CN"/>
                    </w:rPr>
                  </w:pPr>
                  <w:r>
                    <w:rPr>
                      <w:rFonts w:hint="eastAsia"/>
                      <w:sz w:val="18"/>
                      <w:szCs w:val="18"/>
                      <w:lang w:eastAsia="zh-CN"/>
                    </w:rPr>
                    <w:t>废密封圈</w:t>
                  </w:r>
                </w:p>
              </w:tc>
              <w:tc>
                <w:tcPr>
                  <w:tcW w:w="36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35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42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6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86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18"/>
                      <w:szCs w:val="18"/>
                    </w:rPr>
                  </w:pPr>
                  <w:r>
                    <w:rPr>
                      <w:rFonts w:hint="default" w:ascii="Times New Roman" w:hAnsi="Times New Roman" w:cs="Times New Roman"/>
                      <w:bCs/>
                      <w:color w:val="auto"/>
                      <w:sz w:val="18"/>
                      <w:szCs w:val="18"/>
                      <w:highlight w:val="none"/>
                      <w:lang w:val="en-US" w:eastAsia="zh-CN"/>
                    </w:rPr>
                    <w:t>1</w:t>
                  </w:r>
                </w:p>
              </w:tc>
              <w:tc>
                <w:tcPr>
                  <w:tcW w:w="587" w:type="pct"/>
                  <w:vMerge w:val="continue"/>
                  <w:tcBorders>
                    <w:top w:val="single" w:color="000000" w:sz="4" w:space="0"/>
                    <w:left w:val="single" w:color="auto" w:sz="4" w:space="0"/>
                    <w:bottom w:val="single" w:color="000000" w:sz="4" w:space="0"/>
                    <w:right w:val="nil"/>
                  </w:tcBorders>
                  <w:noWrap w:val="0"/>
                  <w:vAlign w:val="center"/>
                </w:tcPr>
                <w:p>
                  <w:pPr>
                    <w:adjustRightInd w:val="0"/>
                    <w:snapToGrid w:val="0"/>
                    <w:jc w:val="center"/>
                    <w:rPr>
                      <w:sz w:val="18"/>
                      <w:szCs w:val="18"/>
                    </w:rPr>
                  </w:pPr>
                </w:p>
              </w:tc>
            </w:tr>
          </w:tbl>
          <w:p>
            <w:pPr>
              <w:keepNext w:val="0"/>
              <w:keepLines w:val="0"/>
              <w:numPr>
                <w:ilvl w:val="0"/>
                <w:numId w:val="1"/>
              </w:numPr>
              <w:suppressLineNumbers w:val="0"/>
              <w:spacing w:before="0" w:beforeAutospacing="0" w:after="0" w:afterAutospacing="0" w:line="460" w:lineRule="exact"/>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项目危险废物汇总一览表</w:t>
            </w:r>
          </w:p>
          <w:tbl>
            <w:tblPr>
              <w:tblStyle w:val="18"/>
              <w:tblW w:w="5000" w:type="pct"/>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96"/>
              <w:gridCol w:w="623"/>
              <w:gridCol w:w="705"/>
              <w:gridCol w:w="1056"/>
              <w:gridCol w:w="756"/>
              <w:gridCol w:w="688"/>
              <w:gridCol w:w="589"/>
              <w:gridCol w:w="589"/>
              <w:gridCol w:w="589"/>
              <w:gridCol w:w="592"/>
              <w:gridCol w:w="595"/>
              <w:gridCol w:w="867"/>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25" w:hRule="atLeast"/>
              </w:trPr>
              <w:tc>
                <w:tcPr>
                  <w:tcW w:w="211"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390"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危废</w:t>
                  </w:r>
                </w:p>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441"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废物</w:t>
                  </w:r>
                </w:p>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656"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废物代码</w:t>
                  </w:r>
                </w:p>
              </w:tc>
              <w:tc>
                <w:tcPr>
                  <w:tcW w:w="469"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产生量</w:t>
                  </w:r>
                </w:p>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（t/a）</w:t>
                  </w:r>
                </w:p>
              </w:tc>
              <w:tc>
                <w:tcPr>
                  <w:tcW w:w="433" w:type="pc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w:t>
                  </w:r>
                </w:p>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工序及</w:t>
                  </w:r>
                </w:p>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装置</w:t>
                  </w:r>
                </w:p>
              </w:tc>
              <w:tc>
                <w:tcPr>
                  <w:tcW w:w="369" w:type="pc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形态</w:t>
                  </w:r>
                </w:p>
              </w:tc>
              <w:tc>
                <w:tcPr>
                  <w:tcW w:w="369" w:type="pc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主要</w:t>
                  </w:r>
                </w:p>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成分</w:t>
                  </w:r>
                </w:p>
              </w:tc>
              <w:tc>
                <w:tcPr>
                  <w:tcW w:w="369" w:type="pc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有害</w:t>
                  </w:r>
                </w:p>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成分</w:t>
                  </w:r>
                </w:p>
              </w:tc>
              <w:tc>
                <w:tcPr>
                  <w:tcW w:w="370" w:type="pc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产废</w:t>
                  </w:r>
                </w:p>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周期</w:t>
                  </w:r>
                </w:p>
              </w:tc>
              <w:tc>
                <w:tcPr>
                  <w:tcW w:w="372" w:type="pc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w:t>
                  </w:r>
                </w:p>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特性</w:t>
                  </w:r>
                </w:p>
              </w:tc>
              <w:tc>
                <w:tcPr>
                  <w:tcW w:w="541" w:type="pc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污染防治</w:t>
                  </w:r>
                </w:p>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措施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1" w:hRule="atLeast"/>
              </w:trPr>
              <w:tc>
                <w:tcPr>
                  <w:tcW w:w="211"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w:t>
                  </w:r>
                </w:p>
              </w:tc>
              <w:tc>
                <w:tcPr>
                  <w:tcW w:w="390" w:type="pct"/>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废活</w:t>
                  </w:r>
                </w:p>
                <w:p>
                  <w:pPr>
                    <w:keepNext w:val="0"/>
                    <w:keepLines w:val="0"/>
                    <w:pageBreakBefore w:val="0"/>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eastAsia="zh-CN"/>
                    </w:rPr>
                    <w:t>性炭</w:t>
                  </w:r>
                </w:p>
              </w:tc>
              <w:tc>
                <w:tcPr>
                  <w:tcW w:w="441"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HW49</w:t>
                  </w:r>
                </w:p>
              </w:tc>
              <w:tc>
                <w:tcPr>
                  <w:tcW w:w="656"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900-041-49</w:t>
                  </w:r>
                </w:p>
              </w:tc>
              <w:tc>
                <w:tcPr>
                  <w:tcW w:w="469"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0.05</w:t>
                  </w:r>
                </w:p>
              </w:tc>
              <w:tc>
                <w:tcPr>
                  <w:tcW w:w="433"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废气</w:t>
                  </w:r>
                </w:p>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eastAsia="zh-CN"/>
                    </w:rPr>
                    <w:t>治理</w:t>
                  </w:r>
                </w:p>
              </w:tc>
              <w:tc>
                <w:tcPr>
                  <w:tcW w:w="369"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eastAsia="zh-CN"/>
                    </w:rPr>
                    <w:t>固态</w:t>
                  </w:r>
                </w:p>
              </w:tc>
              <w:tc>
                <w:tcPr>
                  <w:tcW w:w="369" w:type="pct"/>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eastAsia="zh-CN"/>
                    </w:rPr>
                    <w:t>活性炭</w:t>
                  </w:r>
                </w:p>
              </w:tc>
              <w:tc>
                <w:tcPr>
                  <w:tcW w:w="369"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吸附的有机气体</w:t>
                  </w:r>
                </w:p>
              </w:tc>
              <w:tc>
                <w:tcPr>
                  <w:tcW w:w="370"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val="en-US" w:eastAsia="zh-CN"/>
                    </w:rPr>
                    <w:t>12个月</w:t>
                  </w:r>
                </w:p>
              </w:tc>
              <w:tc>
                <w:tcPr>
                  <w:tcW w:w="372"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T/I</w:t>
                  </w:r>
                </w:p>
              </w:tc>
              <w:tc>
                <w:tcPr>
                  <w:tcW w:w="541" w:type="pct"/>
                  <w:vMerge w:val="restar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危险废物暂存间</w:t>
                  </w:r>
                  <w:r>
                    <w:rPr>
                      <w:rFonts w:hint="default" w:ascii="Times New Roman" w:hAnsi="Times New Roman" w:cs="Times New Roman"/>
                      <w:color w:val="auto"/>
                      <w:sz w:val="18"/>
                      <w:szCs w:val="18"/>
                      <w:highlight w:val="none"/>
                      <w:lang w:eastAsia="zh-CN"/>
                    </w:rPr>
                    <w:t>暂存</w:t>
                  </w:r>
                  <w:r>
                    <w:rPr>
                      <w:rFonts w:hint="default" w:ascii="Times New Roman" w:hAnsi="Times New Roman" w:cs="Times New Roman"/>
                      <w:color w:val="auto"/>
                      <w:sz w:val="18"/>
                      <w:szCs w:val="18"/>
                      <w:highlight w:val="none"/>
                    </w:rPr>
                    <w:t>，委托有处理资质的单位处置</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211"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390" w:type="pct"/>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废液</w:t>
                  </w:r>
                </w:p>
                <w:p>
                  <w:pPr>
                    <w:keepNext w:val="0"/>
                    <w:keepLines w:val="0"/>
                    <w:pageBreakBefore w:val="0"/>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压油</w:t>
                  </w:r>
                </w:p>
              </w:tc>
              <w:tc>
                <w:tcPr>
                  <w:tcW w:w="441"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HW08</w:t>
                  </w:r>
                </w:p>
              </w:tc>
              <w:tc>
                <w:tcPr>
                  <w:tcW w:w="656"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900-2</w:t>
                  </w:r>
                  <w:r>
                    <w:rPr>
                      <w:rFonts w:hint="default" w:ascii="Times New Roman" w:hAnsi="Times New Roman" w:cs="Times New Roman"/>
                      <w:color w:val="auto"/>
                      <w:sz w:val="18"/>
                      <w:szCs w:val="18"/>
                      <w:highlight w:val="none"/>
                      <w:lang w:val="en-US" w:eastAsia="zh-CN"/>
                    </w:rPr>
                    <w:t>18</w:t>
                  </w:r>
                  <w:r>
                    <w:rPr>
                      <w:rFonts w:hint="default" w:ascii="Times New Roman" w:hAnsi="Times New Roman" w:cs="Times New Roman"/>
                      <w:color w:val="auto"/>
                      <w:sz w:val="18"/>
                      <w:szCs w:val="18"/>
                      <w:highlight w:val="none"/>
                    </w:rPr>
                    <w:t>-08</w:t>
                  </w:r>
                </w:p>
              </w:tc>
              <w:tc>
                <w:tcPr>
                  <w:tcW w:w="469"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0.06</w:t>
                  </w:r>
                </w:p>
              </w:tc>
              <w:tc>
                <w:tcPr>
                  <w:tcW w:w="433"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注塑机</w:t>
                  </w:r>
                </w:p>
              </w:tc>
              <w:tc>
                <w:tcPr>
                  <w:tcW w:w="369"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液态</w:t>
                  </w:r>
                </w:p>
              </w:tc>
              <w:tc>
                <w:tcPr>
                  <w:tcW w:w="369" w:type="pct"/>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废液压油</w:t>
                  </w:r>
                </w:p>
              </w:tc>
              <w:tc>
                <w:tcPr>
                  <w:tcW w:w="369"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eastAsiaTheme="minorEastAsia"/>
                      <w:color w:val="auto"/>
                      <w:sz w:val="18"/>
                      <w:szCs w:val="18"/>
                      <w:highlight w:val="none"/>
                      <w:lang w:eastAsia="zh-CN"/>
                    </w:rPr>
                    <w:t>废液压油</w:t>
                  </w:r>
                </w:p>
              </w:tc>
              <w:tc>
                <w:tcPr>
                  <w:tcW w:w="370"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12个月</w:t>
                  </w:r>
                </w:p>
              </w:tc>
              <w:tc>
                <w:tcPr>
                  <w:tcW w:w="372"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T/I</w:t>
                  </w:r>
                </w:p>
              </w:tc>
              <w:tc>
                <w:tcPr>
                  <w:tcW w:w="541"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r>
          </w:tbl>
          <w:p>
            <w:pPr>
              <w:keepNext w:val="0"/>
              <w:keepLines w:val="0"/>
              <w:numPr>
                <w:ilvl w:val="0"/>
                <w:numId w:val="1"/>
              </w:numPr>
              <w:suppressLineNumbers w:val="0"/>
              <w:spacing w:before="0" w:beforeAutospacing="0" w:after="0" w:afterAutospacing="0" w:line="460" w:lineRule="exact"/>
              <w:ind w:left="0" w:leftChars="0" w:right="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 xml:space="preserve">       项目工程危险废物贮存场所基本情况表</w:t>
            </w:r>
          </w:p>
          <w:tbl>
            <w:tblPr>
              <w:tblStyle w:val="18"/>
              <w:tblW w:w="4996" w:type="pct"/>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96"/>
              <w:gridCol w:w="1075"/>
              <w:gridCol w:w="1150"/>
              <w:gridCol w:w="823"/>
              <w:gridCol w:w="1293"/>
              <w:gridCol w:w="486"/>
              <w:gridCol w:w="643"/>
              <w:gridCol w:w="1012"/>
              <w:gridCol w:w="568"/>
              <w:gridCol w:w="593"/>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13" w:type="pct"/>
                  <w:vMerge w:val="restar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673" w:type="pct"/>
                  <w:vMerge w:val="restar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贮存场所</w:t>
                  </w:r>
                </w:p>
                <w:p>
                  <w:pPr>
                    <w:keepNext w:val="0"/>
                    <w:keepLines w:val="0"/>
                    <w:pageBreakBefore w:val="0"/>
                    <w:kinsoku/>
                    <w:wordWrap/>
                    <w:overflowPunct/>
                    <w:topLinePunct/>
                    <w:autoSpaceDE/>
                    <w:autoSpaceDN/>
                    <w:bidi w:val="0"/>
                    <w:adjustRightInd/>
                    <w:snapToGrid/>
                    <w:spacing w:line="320" w:lineRule="exact"/>
                    <w:ind w:left="65" w:leftChars="0" w:right="0" w:rightChars="0" w:hanging="65" w:hangingChars="39"/>
                    <w:jc w:val="center"/>
                    <w:textAlignment w:val="auto"/>
                    <w:rPr>
                      <w:rFonts w:hint="default" w:ascii="Times New Roman" w:hAnsi="Times New Roman" w:cs="Times New Roman"/>
                      <w:color w:val="auto"/>
                      <w:spacing w:val="-6"/>
                      <w:sz w:val="18"/>
                      <w:szCs w:val="18"/>
                      <w:highlight w:val="none"/>
                    </w:rPr>
                  </w:pPr>
                  <w:r>
                    <w:rPr>
                      <w:rFonts w:hint="default" w:ascii="Times New Roman" w:hAnsi="Times New Roman" w:cs="Times New Roman"/>
                      <w:color w:val="auto"/>
                      <w:spacing w:val="-6"/>
                      <w:sz w:val="18"/>
                      <w:szCs w:val="18"/>
                      <w:highlight w:val="none"/>
                    </w:rPr>
                    <w:t>（设施）名称</w:t>
                  </w:r>
                </w:p>
              </w:tc>
              <w:tc>
                <w:tcPr>
                  <w:tcW w:w="719" w:type="pct"/>
                  <w:vMerge w:val="restar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危险废物名称</w:t>
                  </w:r>
                </w:p>
              </w:tc>
              <w:tc>
                <w:tcPr>
                  <w:tcW w:w="516" w:type="pct"/>
                  <w:vMerge w:val="restar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危险废物类别</w:t>
                  </w:r>
                </w:p>
              </w:tc>
              <w:tc>
                <w:tcPr>
                  <w:tcW w:w="808" w:type="pct"/>
                  <w:vMerge w:val="restar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危险废物代码</w:t>
                  </w:r>
                </w:p>
              </w:tc>
              <w:tc>
                <w:tcPr>
                  <w:tcW w:w="299" w:type="pct"/>
                  <w:vMerge w:val="restart"/>
                  <w:noWrap w:val="0"/>
                  <w:vAlign w:val="center"/>
                </w:tcPr>
                <w:p>
                  <w:pPr>
                    <w:keepNext w:val="0"/>
                    <w:keepLines w:val="0"/>
                    <w:pageBreakBefore w:val="0"/>
                    <w:kinsoku/>
                    <w:wordWrap/>
                    <w:overflowPunct/>
                    <w:topLinePunct/>
                    <w:autoSpaceDE/>
                    <w:autoSpaceDN/>
                    <w:bidi w:val="0"/>
                    <w:adjustRightInd/>
                    <w:snapToGrid/>
                    <w:spacing w:line="320" w:lineRule="exact"/>
                    <w:ind w:left="77" w:leftChars="0" w:right="0" w:rightChars="0" w:hanging="77" w:hangingChars="43"/>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位置</w:t>
                  </w:r>
                </w:p>
              </w:tc>
              <w:tc>
                <w:tcPr>
                  <w:tcW w:w="404" w:type="pct"/>
                  <w:vMerge w:val="restar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占地</w:t>
                  </w:r>
                </w:p>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面积</w:t>
                  </w:r>
                </w:p>
              </w:tc>
              <w:tc>
                <w:tcPr>
                  <w:tcW w:w="633" w:type="pct"/>
                  <w:vMerge w:val="restar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贮存方式</w:t>
                  </w:r>
                </w:p>
              </w:tc>
              <w:tc>
                <w:tcPr>
                  <w:tcW w:w="357" w:type="pct"/>
                  <w:vMerge w:val="restart"/>
                  <w:noWrap w:val="0"/>
                  <w:vAlign w:val="center"/>
                </w:tcPr>
                <w:p>
                  <w:pPr>
                    <w:keepNext w:val="0"/>
                    <w:keepLines w:val="0"/>
                    <w:pageBreakBefore w:val="0"/>
                    <w:kinsoku/>
                    <w:wordWrap/>
                    <w:overflowPunct/>
                    <w:topLinePunct/>
                    <w:autoSpaceDE/>
                    <w:autoSpaceDN/>
                    <w:bidi w:val="0"/>
                    <w:adjustRightInd/>
                    <w:snapToGrid/>
                    <w:spacing w:line="320" w:lineRule="exact"/>
                    <w:ind w:left="91" w:leftChars="0" w:right="0" w:rightChars="0" w:hanging="91" w:hangingChars="51"/>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kinsoku/>
                    <w:wordWrap/>
                    <w:overflowPunct/>
                    <w:topLinePunct/>
                    <w:autoSpaceDE/>
                    <w:autoSpaceDN/>
                    <w:bidi w:val="0"/>
                    <w:adjustRightInd/>
                    <w:snapToGrid/>
                    <w:spacing w:line="320" w:lineRule="exact"/>
                    <w:ind w:left="91" w:leftChars="0" w:right="0" w:rightChars="0" w:hanging="91" w:hangingChars="51"/>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能力</w:t>
                  </w:r>
                </w:p>
              </w:tc>
              <w:tc>
                <w:tcPr>
                  <w:tcW w:w="373" w:type="pct"/>
                  <w:vMerge w:val="restart"/>
                  <w:noWrap w:val="0"/>
                  <w:vAlign w:val="center"/>
                </w:tcPr>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kinsoku/>
                    <w:wordWrap/>
                    <w:overflowPunct/>
                    <w:topLine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周期</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13"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673"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719"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516"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808"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299"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77" w:leftChars="0" w:right="0" w:rightChars="0" w:hanging="77" w:hangingChars="43"/>
                    <w:jc w:val="center"/>
                    <w:textAlignment w:val="auto"/>
                    <w:rPr>
                      <w:rFonts w:hint="default" w:ascii="Times New Roman" w:hAnsi="Times New Roman" w:cs="Times New Roman"/>
                      <w:color w:val="auto"/>
                      <w:sz w:val="18"/>
                      <w:szCs w:val="18"/>
                      <w:highlight w:val="none"/>
                    </w:rPr>
                  </w:pPr>
                </w:p>
              </w:tc>
              <w:tc>
                <w:tcPr>
                  <w:tcW w:w="404"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633"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357"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373"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213"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673" w:type="pct"/>
                  <w:vMerge w:val="restar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暂存间</w:t>
                  </w:r>
                </w:p>
              </w:tc>
              <w:tc>
                <w:tcPr>
                  <w:tcW w:w="719" w:type="pct"/>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eastAsiaTheme="minorEastAsia"/>
                      <w:color w:val="auto"/>
                      <w:sz w:val="18"/>
                      <w:szCs w:val="18"/>
                      <w:highlight w:val="none"/>
                      <w:lang w:eastAsia="zh-CN"/>
                    </w:rPr>
                    <w:t>废活性炭</w:t>
                  </w:r>
                </w:p>
              </w:tc>
              <w:tc>
                <w:tcPr>
                  <w:tcW w:w="516"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bCs/>
                      <w:color w:val="auto"/>
                      <w:spacing w:val="-4"/>
                      <w:sz w:val="18"/>
                      <w:szCs w:val="18"/>
                      <w:highlight w:val="none"/>
                    </w:rPr>
                  </w:pPr>
                  <w:r>
                    <w:rPr>
                      <w:rFonts w:hint="default" w:ascii="Times New Roman" w:hAnsi="Times New Roman" w:cs="Times New Roman"/>
                      <w:color w:val="auto"/>
                      <w:sz w:val="18"/>
                      <w:szCs w:val="18"/>
                      <w:highlight w:val="none"/>
                    </w:rPr>
                    <w:t>HW49</w:t>
                  </w:r>
                </w:p>
              </w:tc>
              <w:tc>
                <w:tcPr>
                  <w:tcW w:w="808"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900-041-49</w:t>
                  </w:r>
                </w:p>
              </w:tc>
              <w:tc>
                <w:tcPr>
                  <w:tcW w:w="299" w:type="pct"/>
                  <w:vMerge w:val="restart"/>
                  <w:noWrap w:val="0"/>
                  <w:vAlign w:val="center"/>
                </w:tcPr>
                <w:p>
                  <w:pPr>
                    <w:keepNext w:val="0"/>
                    <w:keepLines w:val="0"/>
                    <w:pageBreakBefore w:val="0"/>
                    <w:widowControl/>
                    <w:kinsoku/>
                    <w:wordWrap/>
                    <w:overflowPunct/>
                    <w:autoSpaceDE/>
                    <w:autoSpaceDN/>
                    <w:bidi w:val="0"/>
                    <w:adjustRightInd/>
                    <w:snapToGrid/>
                    <w:spacing w:line="320" w:lineRule="exact"/>
                    <w:ind w:left="77" w:leftChars="0" w:right="0" w:rightChars="0" w:hanging="77" w:hangingChars="43"/>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厂区西侧</w:t>
                  </w:r>
                </w:p>
              </w:tc>
              <w:tc>
                <w:tcPr>
                  <w:tcW w:w="404" w:type="pct"/>
                  <w:vMerge w:val="restart"/>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2</w:t>
                  </w:r>
                </w:p>
              </w:tc>
              <w:tc>
                <w:tcPr>
                  <w:tcW w:w="633" w:type="pct"/>
                  <w:vMerge w:val="restart"/>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分区存放</w:t>
                  </w:r>
                </w:p>
              </w:tc>
              <w:tc>
                <w:tcPr>
                  <w:tcW w:w="357" w:type="pct"/>
                  <w:vMerge w:val="restart"/>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1t</w:t>
                  </w:r>
                </w:p>
              </w:tc>
              <w:tc>
                <w:tcPr>
                  <w:tcW w:w="373" w:type="pct"/>
                  <w:vMerge w:val="restart"/>
                  <w:noWrap w:val="0"/>
                  <w:vAlign w:val="center"/>
                </w:tcPr>
                <w:p>
                  <w:pPr>
                    <w:keepNext w:val="0"/>
                    <w:keepLines w:val="0"/>
                    <w:pageBreakBefore w:val="0"/>
                    <w:kinsoku/>
                    <w:wordWrap/>
                    <w:overflowPunct/>
                    <w:autoSpaceDE/>
                    <w:autoSpaceDN/>
                    <w:bidi w:val="0"/>
                    <w:adjustRightInd/>
                    <w:snapToGrid/>
                    <w:spacing w:line="320" w:lineRule="exact"/>
                    <w:ind w:left="90" w:leftChars="0" w:right="0" w:rightChars="0" w:hanging="90" w:hangingChars="54"/>
                    <w:jc w:val="center"/>
                    <w:textAlignment w:val="auto"/>
                    <w:rPr>
                      <w:rFonts w:hint="default" w:ascii="Times New Roman" w:hAnsi="Times New Roman" w:cs="Times New Roman"/>
                      <w:color w:val="auto"/>
                      <w:spacing w:val="-6"/>
                      <w:sz w:val="18"/>
                      <w:szCs w:val="18"/>
                      <w:highlight w:val="none"/>
                    </w:rPr>
                  </w:pPr>
                  <w:r>
                    <w:rPr>
                      <w:rFonts w:hint="default" w:ascii="Times New Roman" w:hAnsi="Times New Roman" w:cs="Times New Roman"/>
                      <w:color w:val="auto"/>
                      <w:spacing w:val="-6"/>
                      <w:sz w:val="18"/>
                      <w:szCs w:val="18"/>
                      <w:highlight w:val="none"/>
                    </w:rPr>
                    <w:t>1个月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13"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673"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719" w:type="pct"/>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废液压油</w:t>
                  </w:r>
                </w:p>
              </w:tc>
              <w:tc>
                <w:tcPr>
                  <w:tcW w:w="516"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HW08</w:t>
                  </w:r>
                </w:p>
              </w:tc>
              <w:tc>
                <w:tcPr>
                  <w:tcW w:w="808" w:type="pct"/>
                  <w:noWrap w:val="0"/>
                  <w:vAlign w:val="center"/>
                </w:tcPr>
                <w:p>
                  <w:pPr>
                    <w:keepNext w:val="0"/>
                    <w:keepLines w:val="0"/>
                    <w:pageBreakBefore w:val="0"/>
                    <w:widowControl/>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900-2</w:t>
                  </w:r>
                  <w:r>
                    <w:rPr>
                      <w:rFonts w:hint="default" w:ascii="Times New Roman" w:hAnsi="Times New Roman" w:cs="Times New Roman"/>
                      <w:color w:val="auto"/>
                      <w:sz w:val="18"/>
                      <w:szCs w:val="18"/>
                      <w:highlight w:val="none"/>
                      <w:lang w:val="en-US" w:eastAsia="zh-CN"/>
                    </w:rPr>
                    <w:t>18</w:t>
                  </w:r>
                  <w:r>
                    <w:rPr>
                      <w:rFonts w:hint="default" w:ascii="Times New Roman" w:hAnsi="Times New Roman" w:cs="Times New Roman"/>
                      <w:color w:val="auto"/>
                      <w:sz w:val="18"/>
                      <w:szCs w:val="18"/>
                      <w:highlight w:val="none"/>
                    </w:rPr>
                    <w:t>-08</w:t>
                  </w:r>
                </w:p>
              </w:tc>
              <w:tc>
                <w:tcPr>
                  <w:tcW w:w="299" w:type="pct"/>
                  <w:vMerge w:val="continue"/>
                  <w:noWrap w:val="0"/>
                  <w:vAlign w:val="center"/>
                </w:tcPr>
                <w:p>
                  <w:pPr>
                    <w:keepNext w:val="0"/>
                    <w:keepLines w:val="0"/>
                    <w:pageBreakBefore w:val="0"/>
                    <w:widowControl/>
                    <w:kinsoku/>
                    <w:wordWrap/>
                    <w:overflowPunct/>
                    <w:autoSpaceDE/>
                    <w:autoSpaceDN/>
                    <w:bidi w:val="0"/>
                    <w:adjustRightInd/>
                    <w:snapToGrid/>
                    <w:spacing w:line="320" w:lineRule="exact"/>
                    <w:ind w:left="77" w:leftChars="0" w:right="0" w:rightChars="0" w:hanging="77" w:hangingChars="43"/>
                    <w:jc w:val="center"/>
                    <w:textAlignment w:val="auto"/>
                    <w:rPr>
                      <w:rFonts w:hint="default" w:ascii="Times New Roman" w:hAnsi="Times New Roman" w:cs="Times New Roman"/>
                      <w:color w:val="auto"/>
                      <w:sz w:val="18"/>
                      <w:szCs w:val="18"/>
                      <w:highlight w:val="none"/>
                    </w:rPr>
                  </w:pPr>
                </w:p>
              </w:tc>
              <w:tc>
                <w:tcPr>
                  <w:tcW w:w="404" w:type="pct"/>
                  <w:vMerge w:val="continue"/>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633" w:type="pct"/>
                  <w:vMerge w:val="continue"/>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357" w:type="pct"/>
                  <w:vMerge w:val="continue"/>
                  <w:noWrap w:val="0"/>
                  <w:vAlign w:val="center"/>
                </w:tcPr>
                <w:p>
                  <w:pPr>
                    <w:keepNext w:val="0"/>
                    <w:keepLines w:val="0"/>
                    <w:pageBreakBefore w:val="0"/>
                    <w:kinsoku/>
                    <w:wordWrap/>
                    <w:overflowPunct/>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373" w:type="pct"/>
                  <w:vMerge w:val="continue"/>
                  <w:noWrap w:val="0"/>
                  <w:vAlign w:val="center"/>
                </w:tcPr>
                <w:p>
                  <w:pPr>
                    <w:keepNext w:val="0"/>
                    <w:keepLines w:val="0"/>
                    <w:pageBreakBefore w:val="0"/>
                    <w:kinsoku/>
                    <w:wordWrap/>
                    <w:overflowPunct/>
                    <w:autoSpaceDE/>
                    <w:autoSpaceDN/>
                    <w:bidi w:val="0"/>
                    <w:adjustRightInd/>
                    <w:snapToGrid/>
                    <w:spacing w:line="320" w:lineRule="exact"/>
                    <w:ind w:left="90" w:leftChars="0" w:right="0" w:rightChars="0" w:hanging="90" w:hangingChars="54"/>
                    <w:jc w:val="center"/>
                    <w:textAlignment w:val="auto"/>
                    <w:rPr>
                      <w:rFonts w:hint="default" w:ascii="Times New Roman" w:hAnsi="Times New Roman" w:cs="Times New Roman"/>
                      <w:color w:val="auto"/>
                      <w:spacing w:val="-6"/>
                      <w:sz w:val="18"/>
                      <w:szCs w:val="18"/>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eastAsia" w:cs="宋体"/>
                <w:b/>
                <w:bCs/>
                <w:kern w:val="0"/>
                <w:szCs w:val="21"/>
                <w:highlight w:val="none"/>
              </w:rPr>
            </w:pPr>
            <w:r>
              <w:rPr>
                <w:rFonts w:hint="eastAsia" w:cs="宋体"/>
                <w:b/>
                <w:bCs/>
                <w:kern w:val="0"/>
                <w:szCs w:val="21"/>
                <w:highlight w:val="none"/>
              </w:rPr>
              <w:t>（2）固废</w:t>
            </w:r>
            <w:r>
              <w:rPr>
                <w:rFonts w:cs="宋体"/>
                <w:b/>
                <w:bCs/>
                <w:kern w:val="0"/>
                <w:szCs w:val="21"/>
                <w:highlight w:val="none"/>
              </w:rPr>
              <w:t>环境管理要求</w:t>
            </w:r>
          </w:p>
          <w:p>
            <w:pPr>
              <w:keepNext w:val="0"/>
              <w:keepLines w:val="0"/>
              <w:pageBreakBefore w:val="0"/>
              <w:widowControl w:val="0"/>
              <w:kinsoku/>
              <w:wordWrap/>
              <w:overflowPunct/>
              <w:topLinePunct w:val="0"/>
              <w:bidi w:val="0"/>
              <w:adjustRightInd/>
              <w:snapToGrid/>
              <w:spacing w:line="360" w:lineRule="auto"/>
              <w:ind w:firstLine="422" w:firstLineChars="200"/>
              <w:textAlignment w:val="auto"/>
              <w:rPr>
                <w:rFonts w:hint="eastAsia" w:eastAsia="宋体" w:cs="宋体"/>
                <w:b/>
                <w:bCs/>
                <w:kern w:val="0"/>
                <w:szCs w:val="21"/>
                <w:highlight w:val="none"/>
                <w:lang w:eastAsia="zh-CN"/>
              </w:rPr>
            </w:pPr>
            <w:r>
              <w:rPr>
                <w:rFonts w:hint="eastAsia" w:cs="宋体"/>
                <w:b/>
                <w:bCs/>
                <w:kern w:val="0"/>
                <w:szCs w:val="21"/>
                <w:highlight w:val="none"/>
                <w:lang w:eastAsia="zh-CN"/>
              </w:rPr>
              <w:fldChar w:fldCharType="begin"/>
            </w:r>
            <w:r>
              <w:rPr>
                <w:rFonts w:hint="eastAsia" w:cs="宋体"/>
                <w:b/>
                <w:bCs/>
                <w:kern w:val="0"/>
                <w:szCs w:val="21"/>
                <w:highlight w:val="none"/>
                <w:lang w:eastAsia="zh-CN"/>
              </w:rPr>
              <w:instrText xml:space="preserve"> = 1 \* GB3 \* MERGEFORMAT </w:instrText>
            </w:r>
            <w:r>
              <w:rPr>
                <w:rFonts w:hint="eastAsia" w:cs="宋体"/>
                <w:b/>
                <w:bCs/>
                <w:kern w:val="0"/>
                <w:szCs w:val="21"/>
                <w:highlight w:val="none"/>
                <w:lang w:eastAsia="zh-CN"/>
              </w:rPr>
              <w:fldChar w:fldCharType="separate"/>
            </w:r>
            <w:r>
              <w:rPr>
                <w:b/>
                <w:bCs/>
              </w:rPr>
              <w:t>①</w:t>
            </w:r>
            <w:r>
              <w:rPr>
                <w:rFonts w:hint="eastAsia" w:cs="宋体"/>
                <w:b/>
                <w:bCs/>
                <w:kern w:val="0"/>
                <w:szCs w:val="21"/>
                <w:highlight w:val="none"/>
                <w:lang w:eastAsia="zh-CN"/>
              </w:rPr>
              <w:fldChar w:fldCharType="end"/>
            </w:r>
            <w:r>
              <w:rPr>
                <w:rFonts w:hint="eastAsia" w:cs="宋体"/>
                <w:b/>
                <w:bCs/>
                <w:kern w:val="0"/>
                <w:szCs w:val="21"/>
                <w:highlight w:val="none"/>
                <w:lang w:eastAsia="zh-CN"/>
              </w:rPr>
              <w:t>危险固废</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cs="宋体"/>
                <w:bCs/>
                <w:kern w:val="0"/>
                <w:szCs w:val="21"/>
                <w:highlight w:val="none"/>
              </w:rPr>
            </w:pPr>
            <w:r>
              <w:rPr>
                <w:rFonts w:hint="eastAsia" w:cs="宋体"/>
                <w:bCs/>
                <w:kern w:val="0"/>
                <w:szCs w:val="21"/>
                <w:highlight w:val="none"/>
              </w:rPr>
              <w:t>项目生产过程中产生的危险废物应严格按照《危险废物贮存污染控制标准》（</w:t>
            </w:r>
            <w:r>
              <w:rPr>
                <w:rFonts w:cs="宋体"/>
                <w:bCs/>
                <w:kern w:val="0"/>
                <w:szCs w:val="21"/>
                <w:highlight w:val="none"/>
              </w:rPr>
              <w:t>GBl8597-2001</w:t>
            </w:r>
            <w:r>
              <w:rPr>
                <w:rFonts w:hint="eastAsia" w:cs="宋体"/>
                <w:bCs/>
                <w:kern w:val="0"/>
                <w:szCs w:val="21"/>
                <w:highlight w:val="none"/>
              </w:rPr>
              <w:t>）相关要求进行分类收集，暂存放在项目</w:t>
            </w:r>
            <w:r>
              <w:rPr>
                <w:rFonts w:hint="eastAsia" w:cs="宋体"/>
                <w:bCs/>
                <w:kern w:val="0"/>
                <w:szCs w:val="21"/>
                <w:highlight w:val="none"/>
                <w:lang w:eastAsia="zh-CN"/>
              </w:rPr>
              <w:t>设置</w:t>
            </w:r>
            <w:r>
              <w:rPr>
                <w:rFonts w:hint="eastAsia" w:cs="宋体"/>
                <w:bCs/>
                <w:kern w:val="0"/>
                <w:szCs w:val="21"/>
                <w:highlight w:val="none"/>
              </w:rPr>
              <w:t>的危险废物贮存间内。同时该危险废物贮存间应严格按照《危险废物贮存污染控制标准》（</w:t>
            </w:r>
            <w:r>
              <w:rPr>
                <w:rFonts w:cs="宋体"/>
                <w:bCs/>
                <w:kern w:val="0"/>
                <w:szCs w:val="21"/>
                <w:highlight w:val="none"/>
              </w:rPr>
              <w:t>GBl8597-2001</w:t>
            </w:r>
            <w:r>
              <w:rPr>
                <w:rFonts w:hint="eastAsia" w:cs="宋体"/>
                <w:bCs/>
                <w:kern w:val="0"/>
                <w:szCs w:val="21"/>
                <w:highlight w:val="none"/>
              </w:rPr>
              <w:t>）相关要求进行防渗设计。</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cs="宋体"/>
                <w:bCs/>
                <w:kern w:val="0"/>
                <w:szCs w:val="21"/>
                <w:highlight w:val="none"/>
              </w:rPr>
            </w:pPr>
            <w:r>
              <w:rPr>
                <w:rFonts w:hint="eastAsia" w:cs="宋体"/>
                <w:bCs/>
                <w:kern w:val="0"/>
                <w:szCs w:val="21"/>
                <w:highlight w:val="none"/>
              </w:rPr>
              <w:t>建设单位</w:t>
            </w:r>
            <w:r>
              <w:rPr>
                <w:rFonts w:hint="eastAsia" w:cs="宋体"/>
                <w:bCs/>
                <w:kern w:val="0"/>
                <w:szCs w:val="21"/>
                <w:highlight w:val="none"/>
                <w:lang w:eastAsia="zh-CN"/>
              </w:rPr>
              <w:t>拟</w:t>
            </w:r>
            <w:r>
              <w:rPr>
                <w:rFonts w:hint="eastAsia" w:cs="宋体"/>
                <w:bCs/>
                <w:kern w:val="0"/>
                <w:szCs w:val="21"/>
                <w:highlight w:val="none"/>
              </w:rPr>
              <w:t>在厂区南设置</w:t>
            </w:r>
            <w:r>
              <w:rPr>
                <w:rFonts w:hint="eastAsia" w:cs="宋体"/>
                <w:bCs/>
                <w:kern w:val="0"/>
                <w:szCs w:val="21"/>
                <w:highlight w:val="none"/>
                <w:lang w:val="en-US" w:eastAsia="zh-CN"/>
              </w:rPr>
              <w:t>10</w:t>
            </w:r>
            <w:r>
              <w:rPr>
                <w:rFonts w:cs="宋体"/>
                <w:bCs/>
                <w:kern w:val="0"/>
                <w:szCs w:val="21"/>
                <w:highlight w:val="none"/>
              </w:rPr>
              <w:t>m</w:t>
            </w:r>
            <w:r>
              <w:rPr>
                <w:rFonts w:cs="宋体"/>
                <w:bCs/>
                <w:kern w:val="0"/>
                <w:szCs w:val="21"/>
                <w:highlight w:val="none"/>
                <w:vertAlign w:val="superscript"/>
              </w:rPr>
              <w:t>2</w:t>
            </w:r>
            <w:r>
              <w:rPr>
                <w:rFonts w:cs="宋体"/>
                <w:bCs/>
                <w:kern w:val="0"/>
                <w:szCs w:val="21"/>
                <w:highlight w:val="none"/>
              </w:rPr>
              <w:t>危废</w:t>
            </w:r>
            <w:r>
              <w:rPr>
                <w:rFonts w:hint="eastAsia" w:cs="宋体"/>
                <w:bCs/>
                <w:kern w:val="0"/>
                <w:szCs w:val="21"/>
                <w:highlight w:val="none"/>
              </w:rPr>
              <w:t>暂存间1间，贮存场所必须防风、防雨、防晒、防渗漏，确保雨水无法进入，渗漏液也无法外溢进入环境，地面与裙脚要用坚固、防渗的材料建造，防渗层为至少lm 厚粘土层（渗透系数≤10</w:t>
            </w:r>
            <w:r>
              <w:rPr>
                <w:rFonts w:hint="eastAsia" w:cs="宋体"/>
                <w:bCs/>
                <w:kern w:val="0"/>
                <w:szCs w:val="21"/>
                <w:highlight w:val="none"/>
                <w:vertAlign w:val="superscript"/>
              </w:rPr>
              <w:t>-7</w:t>
            </w:r>
            <w:r>
              <w:rPr>
                <w:rFonts w:hint="eastAsia" w:cs="宋体"/>
                <w:bCs/>
                <w:kern w:val="0"/>
                <w:szCs w:val="21"/>
                <w:highlight w:val="none"/>
              </w:rPr>
              <w:t>cm/s），或2mm 厚高密度聚乙烯，或至少2mm 厚的其它人工材料，渗透系数≤10</w:t>
            </w:r>
            <w:r>
              <w:rPr>
                <w:rFonts w:hint="eastAsia" w:cs="宋体"/>
                <w:bCs/>
                <w:kern w:val="0"/>
                <w:szCs w:val="21"/>
                <w:highlight w:val="none"/>
                <w:vertAlign w:val="superscript"/>
              </w:rPr>
              <w:t>-10</w:t>
            </w:r>
            <w:r>
              <w:rPr>
                <w:rFonts w:hint="eastAsia" w:cs="宋体"/>
                <w:bCs/>
                <w:kern w:val="0"/>
                <w:szCs w:val="21"/>
                <w:highlight w:val="none"/>
              </w:rPr>
              <w:t>cm/s，堆放危险废物的高度应根据地面承载能力确定。企业必须做好危险废物的申报登记，建立台帐管理制度，记录上注明危险废物的名称、来源、数量、特征和包装容器的类别、入库时问、存放库位、废物出库日期及接受单位名称。同时在危险废物转运的时候必须报请当地环保局批准同时填写危险废物转运单。</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cs="宋体"/>
                <w:bCs/>
                <w:kern w:val="0"/>
                <w:szCs w:val="21"/>
                <w:highlight w:val="none"/>
              </w:rPr>
            </w:pPr>
            <w:r>
              <w:rPr>
                <w:rFonts w:hint="eastAsia" w:cs="宋体"/>
                <w:bCs/>
                <w:kern w:val="0"/>
                <w:szCs w:val="21"/>
                <w:highlight w:val="none"/>
              </w:rPr>
              <w:t>按照《固体废物污染环境防治法》之规定，“对危险废物的容器和包装物以及收集、贮存、运输、处置危险废物的设施、场所，必须设置危险废物识别标志。产生危险废物的单位必须按照国家有关规定制定危险废物管理计划，并向所在地县级以上地方人民政府环境保护行政主管部门申报危险废物的种类、产生量、流向、贮存、处置等有关资料。前款所称危险废物管理计划应当包括减少危险废物产生量和危害性的措施以及危险废物贮存、利用、处置措施。危险废物管理计划应当报产生危险废物的单位所在地县级以上地方人民政府环境保护行政主管部门备案。本条规定的申报事项或者危险废物管理计划内容有重大改变的，应当及时申报。产生危险废物的单位，必须按照国家有关规定处置危险废物，不得擅自倾倒、堆放。收集、贮存危险废物，必须按照危险废物特性分类进行。禁止混合收集、贮存、运输、处置性质不相容而未经安全性处置的危险废物。”</w:t>
            </w:r>
          </w:p>
          <w:p>
            <w:pPr>
              <w:keepNext w:val="0"/>
              <w:keepLines w:val="0"/>
              <w:pageBreakBefore w:val="0"/>
              <w:widowControl w:val="0"/>
              <w:kinsoku/>
              <w:wordWrap/>
              <w:overflowPunct/>
              <w:topLinePunct w:val="0"/>
              <w:bidi w:val="0"/>
              <w:adjustRightInd/>
              <w:snapToGrid/>
              <w:spacing w:line="360" w:lineRule="auto"/>
              <w:ind w:firstLine="422" w:firstLineChars="200"/>
              <w:textAlignment w:val="auto"/>
              <w:rPr>
                <w:rFonts w:hint="eastAsia" w:eastAsia="宋体" w:cs="宋体"/>
                <w:b/>
                <w:bCs/>
                <w:kern w:val="0"/>
                <w:szCs w:val="21"/>
                <w:highlight w:val="none"/>
                <w:lang w:eastAsia="zh-CN"/>
              </w:rPr>
            </w:pPr>
            <w:r>
              <w:rPr>
                <w:rFonts w:hint="eastAsia" w:cs="宋体"/>
                <w:b/>
                <w:bCs/>
                <w:kern w:val="0"/>
                <w:szCs w:val="21"/>
                <w:highlight w:val="none"/>
              </w:rPr>
              <w:fldChar w:fldCharType="begin"/>
            </w:r>
            <w:r>
              <w:rPr>
                <w:rFonts w:hint="eastAsia" w:cs="宋体"/>
                <w:b/>
                <w:bCs/>
                <w:kern w:val="0"/>
                <w:szCs w:val="21"/>
                <w:highlight w:val="none"/>
              </w:rPr>
              <w:instrText xml:space="preserve"> = 2 \* GB3 \* MERGEFORMAT </w:instrText>
            </w:r>
            <w:r>
              <w:rPr>
                <w:rFonts w:hint="eastAsia" w:cs="宋体"/>
                <w:b/>
                <w:bCs/>
                <w:kern w:val="0"/>
                <w:szCs w:val="21"/>
                <w:highlight w:val="none"/>
              </w:rPr>
              <w:fldChar w:fldCharType="separate"/>
            </w:r>
            <w:r>
              <w:rPr>
                <w:b/>
                <w:bCs/>
              </w:rPr>
              <w:t>②</w:t>
            </w:r>
            <w:r>
              <w:rPr>
                <w:rFonts w:hint="eastAsia" w:cs="宋体"/>
                <w:b/>
                <w:bCs/>
                <w:kern w:val="0"/>
                <w:szCs w:val="21"/>
                <w:highlight w:val="none"/>
              </w:rPr>
              <w:fldChar w:fldCharType="end"/>
            </w:r>
            <w:r>
              <w:rPr>
                <w:rFonts w:hint="eastAsia" w:cs="宋体"/>
                <w:b/>
                <w:bCs/>
                <w:kern w:val="0"/>
                <w:szCs w:val="21"/>
                <w:highlight w:val="none"/>
                <w:lang w:eastAsia="zh-CN"/>
              </w:rPr>
              <w:t>一般固废</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cs="宋体"/>
                <w:bCs/>
                <w:kern w:val="0"/>
                <w:szCs w:val="21"/>
                <w:highlight w:val="none"/>
              </w:rPr>
            </w:pPr>
            <w:r>
              <w:rPr>
                <w:rFonts w:hint="eastAsia" w:cs="宋体"/>
                <w:bCs/>
                <w:kern w:val="0"/>
                <w:szCs w:val="21"/>
                <w:highlight w:val="none"/>
              </w:rPr>
              <w:t>项目一般固体废物主要有原辅材料使用后产生的废包装袋，检验过程的不合格品和注塑过程产生的废边角料等，均属于一般固体废物。其中检验过程的不合格品和注塑过程产生的废边角料均经配套设置的双棍式破碎机破碎后直接回用，产生的废包装袋则经现有工程设置有1间15m2一般固废暂存间暂存后，定期外售于废品回收单位。根据调查可知，该一般固废暂存间一次最大储存一般固废量为10t，固废间内固废每3个月进行一次清理，现有工程一般固废产生量为3.5，本次工程一般固废产生量为7.6t，因此该一般固废暂存间能够满足本次扩建工程一般固废的储存需求，目前该一般固废暂存间已按照《一般工业固体废物贮存、处理场污染控制标准（GB18599-2001）》（2013修订）进行设置，能够满足“防风、防雨、防渗”要求。</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cs="宋体"/>
                <w:bCs/>
                <w:kern w:val="0"/>
                <w:szCs w:val="21"/>
                <w:highlight w:val="none"/>
              </w:rPr>
            </w:pPr>
            <w:r>
              <w:rPr>
                <w:rFonts w:hint="eastAsia" w:cs="宋体"/>
                <w:bCs/>
                <w:kern w:val="0"/>
                <w:szCs w:val="21"/>
                <w:highlight w:val="none"/>
              </w:rPr>
              <w:t>综上，项目各类固废能得到合理利用，妥善处置，不擅自向环境排放，符合国家对固体废物减量化、资源化、无害化的要求，不会对周围环境造成影响，因此本项目固废处置方案可行。</w:t>
            </w:r>
          </w:p>
          <w:p>
            <w:pPr>
              <w:pStyle w:val="2"/>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2" w:firstLineChars="200"/>
              <w:textAlignment w:val="auto"/>
              <w:rPr>
                <w:rFonts w:hint="eastAsia" w:cs="宋体"/>
                <w:b/>
                <w:bCs w:val="0"/>
                <w:kern w:val="0"/>
                <w:szCs w:val="21"/>
                <w:highlight w:val="none"/>
                <w:lang w:val="en-US" w:eastAsia="zh-CN"/>
              </w:rPr>
            </w:pPr>
            <w:r>
              <w:rPr>
                <w:rFonts w:hint="eastAsia" w:cs="宋体"/>
                <w:b/>
                <w:bCs w:val="0"/>
                <w:kern w:val="0"/>
                <w:szCs w:val="21"/>
                <w:highlight w:val="none"/>
                <w:lang w:val="en-US" w:eastAsia="zh-CN"/>
              </w:rPr>
              <w:t>地下水、土壤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lang w:val="en-US" w:eastAsia="zh-CN"/>
              </w:rPr>
            </w:pPr>
            <w:r>
              <w:rPr>
                <w:rFonts w:hint="eastAsia"/>
                <w:lang w:val="en-US" w:eastAsia="zh-CN"/>
              </w:rPr>
              <w:t xml:space="preserve">项目废水主要为生活污水，经厂区化粪池处理后，定期清运；项目生产过程废气主要为非甲烷总烃，通过收集并采用“活性炭吸脱附+催化燃烧装置”处理后，经15m高排气筒排放，不涉及大气沉降污染途径，不会对土壤和地下水环境产生较大影响；项目生产过程中产生的废活性炭、废液压油等分类收集于危废暂存间，危废暂存间按照要求进行防渗处理，正常工况下不涉及入渗污染，评价要求企业对车间地面进行全面硬化，最大限度防止其通过下渗对土壤和地下水环境产生影响，一般固废暂存间按照《一般工业固体废物贮存、处置场污染控制标准》（GB18599－2001）及其2013修改单的要求进行建设，危险废物暂存间按照《危险废物贮存污染控制标准》（GB18597-2001）（2013修改）的要求进行控制，正常情况下，不会发生泄露入渗污染土壤和地下水的现象。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textAlignment w:val="auto"/>
              <w:rPr>
                <w:rFonts w:hint="eastAsia" w:cs="宋体"/>
                <w:b/>
                <w:bCs w:val="0"/>
                <w:kern w:val="0"/>
                <w:szCs w:val="21"/>
                <w:highlight w:val="none"/>
                <w:lang w:val="en-US" w:eastAsia="zh-CN"/>
              </w:rPr>
            </w:pPr>
            <w:r>
              <w:rPr>
                <w:rFonts w:hint="eastAsia" w:cs="宋体"/>
                <w:b/>
                <w:bCs w:val="0"/>
                <w:kern w:val="0"/>
                <w:szCs w:val="21"/>
                <w:highlight w:val="none"/>
                <w:lang w:val="en-US" w:eastAsia="zh-CN"/>
              </w:rPr>
              <w:t>6、生态环境</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textAlignment w:val="auto"/>
              <w:rPr>
                <w:rFonts w:hint="eastAsia" w:cs="宋体"/>
                <w:bCs/>
                <w:kern w:val="0"/>
                <w:szCs w:val="21"/>
                <w:highlight w:val="none"/>
                <w:lang w:val="en-US" w:eastAsia="zh-CN"/>
              </w:rPr>
            </w:pPr>
            <w:r>
              <w:rPr>
                <w:rFonts w:hint="eastAsia" w:cs="宋体"/>
                <w:bCs/>
                <w:kern w:val="0"/>
                <w:szCs w:val="21"/>
                <w:highlight w:val="none"/>
                <w:lang w:val="en-US" w:eastAsia="zh-CN"/>
              </w:rPr>
              <w:t>本次工程为扩建工程，主要利用现有厂区内预留车间进行建设，无新增用地，同时根据调查，目前项目用地范围内无生态环境保护目标，项目建设不会对周边生态环境产生较大影响。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2" w:firstLineChars="200"/>
              <w:textAlignment w:val="auto"/>
              <w:rPr>
                <w:rFonts w:hint="eastAsia" w:cs="宋体"/>
                <w:b/>
                <w:bCs w:val="0"/>
                <w:kern w:val="0"/>
                <w:szCs w:val="21"/>
                <w:highlight w:val="none"/>
                <w:lang w:val="en-US" w:eastAsia="zh-CN"/>
              </w:rPr>
            </w:pPr>
            <w:r>
              <w:rPr>
                <w:rFonts w:hint="eastAsia" w:cs="宋体"/>
                <w:b/>
                <w:bCs w:val="0"/>
                <w:kern w:val="0"/>
                <w:szCs w:val="21"/>
                <w:highlight w:val="none"/>
                <w:lang w:val="en-US" w:eastAsia="zh-CN"/>
              </w:rPr>
              <w:t>7、环境风险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项目所用原料主要为PA66尼龙，所用资源能源为水和电，不涉及使用有毒有害和易燃易爆等危险物质，不涉及环境风险影响。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2" w:firstLineChars="200"/>
              <w:textAlignment w:val="auto"/>
              <w:rPr>
                <w:rFonts w:hint="eastAsia" w:cs="宋体"/>
                <w:b/>
                <w:bCs w:val="0"/>
                <w:kern w:val="0"/>
                <w:szCs w:val="21"/>
                <w:highlight w:val="none"/>
                <w:lang w:val="en-US" w:eastAsia="zh-CN"/>
              </w:rPr>
            </w:pPr>
            <w:r>
              <w:rPr>
                <w:rFonts w:hint="eastAsia" w:cs="宋体"/>
                <w:b/>
                <w:bCs w:val="0"/>
                <w:kern w:val="0"/>
                <w:szCs w:val="21"/>
                <w:highlight w:val="none"/>
                <w:lang w:val="en-US" w:eastAsia="zh-CN"/>
              </w:rPr>
              <w:t>8、电磁辐射</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textAlignment w:val="auto"/>
              <w:rPr>
                <w:rFonts w:hint="eastAsia" w:cs="宋体"/>
                <w:bCs/>
                <w:kern w:val="0"/>
                <w:szCs w:val="21"/>
                <w:highlight w:val="none"/>
                <w:lang w:val="en-US" w:eastAsia="zh-CN"/>
              </w:rPr>
            </w:pPr>
            <w:r>
              <w:rPr>
                <w:rFonts w:hint="eastAsia" w:cs="宋体"/>
                <w:bCs/>
                <w:kern w:val="0"/>
                <w:szCs w:val="21"/>
                <w:highlight w:val="none"/>
                <w:lang w:val="en-US" w:eastAsia="zh-CN"/>
              </w:rPr>
              <w:t>本项目不涉及电磁辐射影响。</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textAlignment w:val="auto"/>
              <w:rPr>
                <w:rFonts w:hint="eastAsia" w:cs="宋体"/>
                <w:bCs/>
                <w:spacing w:val="-10"/>
                <w:szCs w:val="21"/>
                <w:highlight w:val="cyan"/>
              </w:rPr>
            </w:pPr>
            <w:r>
              <w:rPr>
                <w:rFonts w:hint="eastAsia" w:cs="宋体"/>
                <w:bCs/>
                <w:spacing w:val="-10"/>
                <w:szCs w:val="21"/>
                <w:highlight w:val="cyan"/>
              </w:rPr>
              <w:br w:type="textWrapping"/>
            </w:r>
            <w:r>
              <w:rPr>
                <w:rFonts w:hint="eastAsia" w:cs="宋体"/>
                <w:bCs/>
                <w:spacing w:val="-10"/>
                <w:szCs w:val="21"/>
                <w:highlight w:val="cyan"/>
              </w:rPr>
              <w:br w:type="textWrapping"/>
            </w:r>
            <w:r>
              <w:rPr>
                <w:rFonts w:hint="eastAsia" w:cs="宋体"/>
                <w:bCs/>
                <w:spacing w:val="-10"/>
                <w:szCs w:val="21"/>
                <w:highlight w:val="cyan"/>
              </w:rPr>
              <w:br w:type="textWrapping"/>
            </w:r>
            <w:r>
              <w:rPr>
                <w:rFonts w:hint="eastAsia" w:cs="宋体"/>
                <w:bCs/>
                <w:spacing w:val="-10"/>
                <w:szCs w:val="21"/>
                <w:highlight w:val="cyan"/>
              </w:rPr>
              <w:br w:type="textWrapping"/>
            </w:r>
            <w:r>
              <w:rPr>
                <w:rFonts w:hint="eastAsia" w:cs="宋体"/>
                <w:bCs/>
                <w:spacing w:val="-10"/>
                <w:szCs w:val="21"/>
                <w:highlight w:val="cyan"/>
              </w:rPr>
              <w:br w:type="textWrapping"/>
            </w:r>
          </w:p>
        </w:tc>
      </w:tr>
    </w:tbl>
    <w:p>
      <w:pPr>
        <w:adjustRightInd w:val="0"/>
        <w:snapToGrid w:val="0"/>
        <w:spacing w:line="360" w:lineRule="auto"/>
        <w:rPr>
          <w:rFonts w:hint="eastAsia" w:cs="宋体"/>
          <w:b/>
          <w:kern w:val="0"/>
          <w:sz w:val="28"/>
          <w:szCs w:val="28"/>
          <w:highlight w:val="cyan"/>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5"/>
        <w:jc w:val="center"/>
        <w:outlineLvl w:val="0"/>
        <w:rPr>
          <w:rFonts w:ascii="Times New Roman" w:hAnsi="Times New Roman" w:eastAsia="黑体"/>
          <w:snapToGrid w:val="0"/>
          <w:sz w:val="30"/>
          <w:szCs w:val="30"/>
          <w:highlight w:val="none"/>
        </w:rPr>
      </w:pPr>
      <w:r>
        <w:rPr>
          <w:rFonts w:hint="eastAsia" w:ascii="Times New Roman" w:hAnsi="Times New Roman" w:eastAsia="黑体"/>
          <w:snapToGrid w:val="0"/>
          <w:sz w:val="30"/>
          <w:szCs w:val="30"/>
          <w:highlight w:val="none"/>
        </w:rPr>
        <w:t>五、</w:t>
      </w:r>
      <w:bookmarkStart w:id="0" w:name="_Hlk54167917"/>
      <w:r>
        <w:rPr>
          <w:rFonts w:hint="eastAsia" w:ascii="Times New Roman" w:hAnsi="Times New Roman" w:eastAsia="黑体"/>
          <w:snapToGrid w:val="0"/>
          <w:sz w:val="30"/>
          <w:szCs w:val="30"/>
          <w:highlight w:val="none"/>
        </w:rPr>
        <w:t>环境保护措施监督检查清单</w:t>
      </w:r>
      <w:bookmarkEnd w:id="0"/>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842"/>
        <w:gridCol w:w="1418"/>
        <w:gridCol w:w="1953"/>
        <w:gridCol w:w="20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single" w:color="auto" w:sz="4" w:space="0"/>
            </w:tcBorders>
            <w:noWrap w:val="0"/>
            <w:vAlign w:val="top"/>
          </w:tcPr>
          <w:p>
            <w:pPr>
              <w:adjustRightInd w:val="0"/>
              <w:snapToGrid w:val="0"/>
              <w:ind w:firstLine="840"/>
              <w:rPr>
                <w:rFonts w:hint="eastAsia" w:cs="宋体"/>
                <w:szCs w:val="21"/>
                <w:highlight w:val="none"/>
              </w:rPr>
            </w:pPr>
            <w:r>
              <w:rPr>
                <w:rFonts w:hint="eastAsia" w:cs="宋体"/>
                <w:szCs w:val="21"/>
                <w:highlight w:val="none"/>
              </w:rPr>
              <w:t>内容</w:t>
            </w:r>
          </w:p>
          <w:p>
            <w:pPr>
              <w:adjustRightInd w:val="0"/>
              <w:snapToGrid w:val="0"/>
              <w:rPr>
                <w:rFonts w:hint="eastAsia" w:cs="宋体"/>
                <w:szCs w:val="21"/>
                <w:highlight w:val="none"/>
              </w:rPr>
            </w:pPr>
            <w:r>
              <w:rPr>
                <w:rFonts w:hint="eastAsia" w:cs="宋体"/>
                <w:szCs w:val="21"/>
                <w:highlight w:val="none"/>
              </w:rPr>
              <w:t>要素</w:t>
            </w:r>
          </w:p>
        </w:tc>
        <w:tc>
          <w:tcPr>
            <w:tcW w:w="1842" w:type="dxa"/>
            <w:noWrap w:val="0"/>
            <w:vAlign w:val="center"/>
          </w:tcPr>
          <w:p>
            <w:pPr>
              <w:adjustRightInd w:val="0"/>
              <w:snapToGrid w:val="0"/>
              <w:jc w:val="center"/>
              <w:rPr>
                <w:rFonts w:hint="eastAsia" w:cs="宋体"/>
                <w:szCs w:val="21"/>
                <w:highlight w:val="none"/>
              </w:rPr>
            </w:pPr>
            <w:r>
              <w:rPr>
                <w:rFonts w:hint="eastAsia" w:cs="宋体"/>
                <w:szCs w:val="21"/>
                <w:highlight w:val="none"/>
              </w:rPr>
              <w:t>排放口(编号、</w:t>
            </w:r>
          </w:p>
          <w:p>
            <w:pPr>
              <w:adjustRightInd w:val="0"/>
              <w:snapToGrid w:val="0"/>
              <w:jc w:val="center"/>
              <w:rPr>
                <w:rFonts w:hint="eastAsia" w:cs="宋体"/>
                <w:szCs w:val="21"/>
                <w:highlight w:val="none"/>
              </w:rPr>
            </w:pPr>
            <w:r>
              <w:rPr>
                <w:rFonts w:hint="eastAsia" w:cs="宋体"/>
                <w:szCs w:val="21"/>
                <w:highlight w:val="none"/>
              </w:rPr>
              <w:t>名称)/污染源</w:t>
            </w:r>
          </w:p>
        </w:tc>
        <w:tc>
          <w:tcPr>
            <w:tcW w:w="1418" w:type="dxa"/>
            <w:noWrap w:val="0"/>
            <w:vAlign w:val="center"/>
          </w:tcPr>
          <w:p>
            <w:pPr>
              <w:adjustRightInd w:val="0"/>
              <w:snapToGrid w:val="0"/>
              <w:jc w:val="center"/>
              <w:rPr>
                <w:rFonts w:hint="eastAsia" w:cs="宋体"/>
                <w:szCs w:val="21"/>
                <w:highlight w:val="none"/>
              </w:rPr>
            </w:pPr>
            <w:r>
              <w:rPr>
                <w:rFonts w:hint="eastAsia" w:cs="宋体"/>
                <w:szCs w:val="21"/>
                <w:highlight w:val="none"/>
              </w:rPr>
              <w:t>污染物项目</w:t>
            </w:r>
          </w:p>
        </w:tc>
        <w:tc>
          <w:tcPr>
            <w:tcW w:w="1953" w:type="dxa"/>
            <w:noWrap w:val="0"/>
            <w:vAlign w:val="center"/>
          </w:tcPr>
          <w:p>
            <w:pPr>
              <w:adjustRightInd w:val="0"/>
              <w:snapToGrid w:val="0"/>
              <w:jc w:val="center"/>
              <w:rPr>
                <w:rFonts w:hint="eastAsia" w:cs="宋体"/>
                <w:szCs w:val="21"/>
                <w:highlight w:val="none"/>
              </w:rPr>
            </w:pPr>
            <w:r>
              <w:rPr>
                <w:rFonts w:hint="eastAsia" w:cs="宋体"/>
                <w:szCs w:val="21"/>
                <w:highlight w:val="none"/>
              </w:rPr>
              <w:t>环境保护措施</w:t>
            </w:r>
          </w:p>
        </w:tc>
        <w:tc>
          <w:tcPr>
            <w:tcW w:w="2049" w:type="dxa"/>
            <w:noWrap w:val="0"/>
            <w:vAlign w:val="center"/>
          </w:tcPr>
          <w:p>
            <w:pPr>
              <w:adjustRightInd w:val="0"/>
              <w:snapToGrid w:val="0"/>
              <w:jc w:val="center"/>
              <w:rPr>
                <w:rFonts w:hint="eastAsia" w:cs="宋体"/>
                <w:szCs w:val="21"/>
                <w:highlight w:val="none"/>
              </w:rPr>
            </w:pPr>
            <w:r>
              <w:rPr>
                <w:rFonts w:hint="eastAsia" w:cs="宋体"/>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9" w:hRule="atLeast"/>
          <w:jc w:val="center"/>
        </w:trPr>
        <w:tc>
          <w:tcPr>
            <w:tcW w:w="1538" w:type="dxa"/>
            <w:noWrap w:val="0"/>
            <w:vAlign w:val="center"/>
          </w:tcPr>
          <w:p>
            <w:pPr>
              <w:adjustRightInd w:val="0"/>
              <w:snapToGrid w:val="0"/>
              <w:jc w:val="center"/>
              <w:rPr>
                <w:rFonts w:hint="eastAsia" w:cs="宋体"/>
                <w:szCs w:val="21"/>
                <w:highlight w:val="none"/>
              </w:rPr>
            </w:pPr>
            <w:r>
              <w:rPr>
                <w:rFonts w:hint="eastAsia" w:cs="宋体"/>
                <w:szCs w:val="21"/>
                <w:highlight w:val="none"/>
              </w:rPr>
              <w:t>大气环境</w:t>
            </w:r>
          </w:p>
        </w:tc>
        <w:tc>
          <w:tcPr>
            <w:tcW w:w="1842" w:type="dxa"/>
            <w:noWrap w:val="0"/>
            <w:vAlign w:val="center"/>
          </w:tcPr>
          <w:p>
            <w:pPr>
              <w:adjustRightInd w:val="0"/>
              <w:snapToGrid w:val="0"/>
              <w:jc w:val="center"/>
              <w:rPr>
                <w:rFonts w:hint="eastAsia" w:cs="宋体"/>
                <w:szCs w:val="21"/>
                <w:highlight w:val="none"/>
              </w:rPr>
            </w:pPr>
            <w:r>
              <w:rPr>
                <w:rFonts w:hint="eastAsia" w:cs="宋体"/>
                <w:szCs w:val="21"/>
                <w:highlight w:val="none"/>
                <w:lang w:eastAsia="zh-CN"/>
              </w:rPr>
              <w:t>注塑工序</w:t>
            </w:r>
            <w:r>
              <w:rPr>
                <w:rFonts w:hint="eastAsia" w:cs="宋体"/>
                <w:szCs w:val="21"/>
                <w:highlight w:val="none"/>
              </w:rPr>
              <w:t>废气（DA001）</w:t>
            </w:r>
          </w:p>
        </w:tc>
        <w:tc>
          <w:tcPr>
            <w:tcW w:w="1418" w:type="dxa"/>
            <w:noWrap w:val="0"/>
            <w:vAlign w:val="center"/>
          </w:tcPr>
          <w:p>
            <w:pPr>
              <w:adjustRightInd w:val="0"/>
              <w:snapToGrid w:val="0"/>
              <w:jc w:val="center"/>
              <w:rPr>
                <w:rFonts w:hint="eastAsia" w:eastAsia="宋体" w:cs="宋体"/>
                <w:szCs w:val="21"/>
                <w:highlight w:val="none"/>
                <w:lang w:eastAsia="zh-CN"/>
              </w:rPr>
            </w:pPr>
            <w:r>
              <w:rPr>
                <w:rFonts w:hint="eastAsia" w:cs="宋体"/>
                <w:szCs w:val="21"/>
                <w:highlight w:val="none"/>
                <w:lang w:eastAsia="zh-CN"/>
              </w:rPr>
              <w:t>非甲烷总烃</w:t>
            </w:r>
          </w:p>
        </w:tc>
        <w:tc>
          <w:tcPr>
            <w:tcW w:w="1953" w:type="dxa"/>
            <w:noWrap w:val="0"/>
            <w:vAlign w:val="center"/>
          </w:tcPr>
          <w:p>
            <w:pPr>
              <w:adjustRightInd w:val="0"/>
              <w:snapToGrid w:val="0"/>
              <w:jc w:val="center"/>
              <w:rPr>
                <w:rFonts w:hint="eastAsia" w:cs="宋体"/>
                <w:szCs w:val="21"/>
                <w:highlight w:val="none"/>
              </w:rPr>
            </w:pPr>
            <w:r>
              <w:rPr>
                <w:rFonts w:hint="eastAsia" w:cs="宋体"/>
                <w:bCs/>
                <w:szCs w:val="21"/>
                <w:highlight w:val="none"/>
                <w:lang w:eastAsia="zh-CN"/>
              </w:rPr>
              <w:t>密闭间</w:t>
            </w:r>
            <w:r>
              <w:rPr>
                <w:rFonts w:hint="eastAsia" w:cs="宋体"/>
                <w:bCs/>
                <w:szCs w:val="21"/>
                <w:highlight w:val="none"/>
                <w:lang w:val="en-US" w:eastAsia="zh-CN"/>
              </w:rPr>
              <w:t>+集气罩收集后，经1套</w:t>
            </w:r>
            <w:r>
              <w:rPr>
                <w:rFonts w:hint="eastAsia" w:cs="宋体"/>
                <w:bCs/>
                <w:szCs w:val="21"/>
                <w:highlight w:val="none"/>
                <w:lang w:eastAsia="zh-CN"/>
              </w:rPr>
              <w:t>“活性炭吸脱附</w:t>
            </w:r>
            <w:r>
              <w:rPr>
                <w:rFonts w:hint="eastAsia" w:cs="宋体"/>
                <w:bCs/>
                <w:szCs w:val="21"/>
                <w:highlight w:val="none"/>
                <w:lang w:val="en-US" w:eastAsia="zh-CN"/>
              </w:rPr>
              <w:t>+催化燃烧装置</w:t>
            </w:r>
            <w:r>
              <w:rPr>
                <w:rFonts w:hint="eastAsia" w:cs="宋体"/>
                <w:bCs/>
                <w:szCs w:val="21"/>
                <w:highlight w:val="none"/>
                <w:lang w:eastAsia="zh-CN"/>
              </w:rPr>
              <w:t>”</w:t>
            </w:r>
            <w:r>
              <w:rPr>
                <w:rFonts w:hint="eastAsia" w:cs="宋体"/>
                <w:bCs/>
                <w:szCs w:val="21"/>
                <w:highlight w:val="none"/>
                <w:lang w:val="en-US" w:eastAsia="zh-CN"/>
              </w:rPr>
              <w:t>处理</w:t>
            </w:r>
            <w:r>
              <w:rPr>
                <w:rFonts w:hint="eastAsia" w:cs="宋体"/>
                <w:bCs/>
                <w:szCs w:val="21"/>
                <w:highlight w:val="none"/>
              </w:rPr>
              <w:t>，</w:t>
            </w:r>
            <w:r>
              <w:rPr>
                <w:rFonts w:hint="eastAsia" w:cs="宋体"/>
                <w:bCs/>
                <w:szCs w:val="21"/>
                <w:highlight w:val="none"/>
                <w:lang w:eastAsia="zh-CN"/>
              </w:rPr>
              <w:t>最终</w:t>
            </w:r>
            <w:r>
              <w:rPr>
                <w:rFonts w:cs="宋体"/>
                <w:bCs/>
                <w:szCs w:val="21"/>
                <w:highlight w:val="none"/>
              </w:rPr>
              <w:t>经</w:t>
            </w:r>
            <w:r>
              <w:rPr>
                <w:rFonts w:hint="eastAsia" w:cs="宋体"/>
                <w:bCs/>
                <w:szCs w:val="21"/>
                <w:highlight w:val="none"/>
              </w:rPr>
              <w:t>1根</w:t>
            </w:r>
            <w:r>
              <w:rPr>
                <w:rFonts w:hint="eastAsia" w:cs="宋体"/>
                <w:bCs/>
                <w:szCs w:val="21"/>
                <w:highlight w:val="none"/>
                <w:lang w:val="en-US" w:eastAsia="zh-CN"/>
              </w:rPr>
              <w:t>15</w:t>
            </w:r>
            <w:r>
              <w:rPr>
                <w:rFonts w:hint="eastAsia" w:cs="宋体"/>
                <w:bCs/>
                <w:szCs w:val="21"/>
                <w:highlight w:val="none"/>
              </w:rPr>
              <w:t>米</w:t>
            </w:r>
            <w:r>
              <w:rPr>
                <w:rFonts w:cs="宋体"/>
                <w:bCs/>
                <w:szCs w:val="21"/>
                <w:highlight w:val="none"/>
              </w:rPr>
              <w:t>排气筒排放</w:t>
            </w:r>
          </w:p>
        </w:tc>
        <w:tc>
          <w:tcPr>
            <w:tcW w:w="2049" w:type="dxa"/>
            <w:noWrap w:val="0"/>
            <w:vAlign w:val="center"/>
          </w:tcPr>
          <w:p>
            <w:pPr>
              <w:adjustRightInd w:val="0"/>
              <w:snapToGrid w:val="0"/>
              <w:jc w:val="center"/>
              <w:rPr>
                <w:rFonts w:hint="eastAsia" w:cs="宋体"/>
                <w:szCs w:val="21"/>
                <w:highlight w:val="none"/>
              </w:rPr>
            </w:pPr>
            <w:r>
              <w:rPr>
                <w:rFonts w:hint="eastAsia" w:cs="宋体"/>
                <w:szCs w:val="21"/>
                <w:highlight w:val="none"/>
              </w:rPr>
              <w:t>《大气污染物综合排放标准》（GB16297-1996）表2二级标准、</w:t>
            </w:r>
          </w:p>
          <w:p>
            <w:pPr>
              <w:adjustRightInd w:val="0"/>
              <w:snapToGrid w:val="0"/>
              <w:jc w:val="center"/>
              <w:rPr>
                <w:rFonts w:hint="eastAsia" w:cs="宋体"/>
                <w:szCs w:val="21"/>
                <w:highlight w:val="none"/>
              </w:rPr>
            </w:pPr>
            <w:r>
              <w:rPr>
                <w:rFonts w:hint="eastAsia" w:cs="宋体"/>
                <w:szCs w:val="21"/>
                <w:highlight w:val="none"/>
              </w:rPr>
              <w:t>《关于全省开展工业企业挥发性有机物专项治理工作中排放建议值的通知》（豫环攻坚办[2017]162号）、</w:t>
            </w:r>
          </w:p>
          <w:p>
            <w:pPr>
              <w:adjustRightInd w:val="0"/>
              <w:snapToGrid w:val="0"/>
              <w:jc w:val="center"/>
              <w:rPr>
                <w:rFonts w:hint="eastAsia" w:cs="宋体"/>
                <w:szCs w:val="21"/>
                <w:highlight w:val="none"/>
              </w:rPr>
            </w:pPr>
            <w:r>
              <w:rPr>
                <w:rFonts w:hint="eastAsia" w:cs="宋体"/>
                <w:szCs w:val="21"/>
                <w:highlight w:val="none"/>
              </w:rPr>
              <w:t>《挥发性有机物无组织排放控制标准（GB 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noWrap w:val="0"/>
            <w:vAlign w:val="center"/>
          </w:tcPr>
          <w:p>
            <w:pPr>
              <w:adjustRightInd w:val="0"/>
              <w:snapToGrid w:val="0"/>
              <w:jc w:val="center"/>
              <w:rPr>
                <w:rFonts w:hint="eastAsia" w:cs="宋体"/>
                <w:szCs w:val="21"/>
                <w:highlight w:val="none"/>
              </w:rPr>
            </w:pPr>
            <w:r>
              <w:rPr>
                <w:rFonts w:hint="eastAsia" w:cs="宋体"/>
                <w:szCs w:val="21"/>
                <w:highlight w:val="none"/>
              </w:rPr>
              <w:t>地表水环境</w:t>
            </w:r>
          </w:p>
        </w:tc>
        <w:tc>
          <w:tcPr>
            <w:tcW w:w="1842" w:type="dxa"/>
            <w:tcBorders>
              <w:top w:val="single" w:color="auto" w:sz="4" w:space="0"/>
            </w:tcBorders>
            <w:noWrap w:val="0"/>
            <w:vAlign w:val="center"/>
          </w:tcPr>
          <w:p>
            <w:pPr>
              <w:autoSpaceDE w:val="0"/>
              <w:autoSpaceDN w:val="0"/>
              <w:jc w:val="center"/>
              <w:rPr>
                <w:kern w:val="0"/>
                <w:szCs w:val="21"/>
                <w:highlight w:val="none"/>
                <w:lang w:val="zh-CN" w:eastAsia="en-US"/>
              </w:rPr>
            </w:pPr>
            <w:r>
              <w:rPr>
                <w:kern w:val="0"/>
                <w:szCs w:val="21"/>
                <w:highlight w:val="none"/>
                <w:lang w:val="zh-CN" w:eastAsia="en-US"/>
              </w:rPr>
              <w:t>生活废水</w:t>
            </w:r>
          </w:p>
        </w:tc>
        <w:tc>
          <w:tcPr>
            <w:tcW w:w="1418" w:type="dxa"/>
            <w:noWrap w:val="0"/>
            <w:vAlign w:val="center"/>
          </w:tcPr>
          <w:p>
            <w:pPr>
              <w:adjustRightInd w:val="0"/>
              <w:snapToGrid w:val="0"/>
              <w:jc w:val="center"/>
              <w:rPr>
                <w:rFonts w:hint="default"/>
                <w:lang w:val="en-US" w:eastAsia="zh-CN"/>
              </w:rPr>
            </w:pPr>
            <w:r>
              <w:t>COD</w:t>
            </w:r>
            <w:r>
              <w:rPr>
                <w:rFonts w:hint="eastAsia"/>
              </w:rPr>
              <w:t>、、</w:t>
            </w:r>
            <w:r>
              <w:t>SS</w:t>
            </w:r>
            <w:r>
              <w:rPr>
                <w:rFonts w:hint="eastAsia"/>
              </w:rPr>
              <w:t>、</w:t>
            </w:r>
            <w:r>
              <w:t>NH</w:t>
            </w:r>
            <w:r>
              <w:rPr>
                <w:vertAlign w:val="subscript"/>
              </w:rPr>
              <w:t>3</w:t>
            </w:r>
            <w:r>
              <w:t>-N</w:t>
            </w:r>
            <w:r>
              <w:rPr>
                <w:rFonts w:hint="eastAsia"/>
                <w:lang w:val="en-US" w:eastAsia="zh-CN"/>
              </w:rPr>
              <w:t>、TP</w:t>
            </w:r>
          </w:p>
        </w:tc>
        <w:tc>
          <w:tcPr>
            <w:tcW w:w="1953" w:type="dxa"/>
            <w:noWrap w:val="0"/>
            <w:vAlign w:val="center"/>
          </w:tcPr>
          <w:p>
            <w:pPr>
              <w:adjustRightInd w:val="0"/>
              <w:snapToGrid w:val="0"/>
              <w:jc w:val="center"/>
              <w:rPr>
                <w:rFonts w:hint="eastAsia" w:eastAsia="宋体" w:cs="宋体"/>
                <w:szCs w:val="21"/>
                <w:highlight w:val="none"/>
                <w:lang w:eastAsia="zh-CN"/>
              </w:rPr>
            </w:pPr>
            <w:r>
              <w:rPr>
                <w:rFonts w:hint="eastAsia" w:cs="宋体"/>
                <w:szCs w:val="21"/>
                <w:highlight w:val="none"/>
                <w:lang w:eastAsia="zh-CN"/>
              </w:rPr>
              <w:t>化粪池处理后，定期清运</w:t>
            </w:r>
          </w:p>
        </w:tc>
        <w:tc>
          <w:tcPr>
            <w:tcW w:w="2049" w:type="dxa"/>
            <w:vMerge w:val="restart"/>
            <w:noWrap w:val="0"/>
            <w:vAlign w:val="center"/>
          </w:tcPr>
          <w:p>
            <w:pPr>
              <w:adjustRightInd w:val="0"/>
              <w:snapToGrid w:val="0"/>
              <w:jc w:val="center"/>
              <w:rPr>
                <w:rFonts w:hint="eastAsia" w:eastAsia="宋体" w:cs="宋体"/>
                <w:szCs w:val="21"/>
                <w:highlight w:val="none"/>
                <w:lang w:val="en-US" w:eastAsia="zh-CN"/>
              </w:rPr>
            </w:pPr>
            <w:r>
              <w:rPr>
                <w:rFonts w:hint="eastAsia" w:cs="宋体"/>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noWrap w:val="0"/>
            <w:vAlign w:val="center"/>
          </w:tcPr>
          <w:p>
            <w:pPr>
              <w:adjustRightInd w:val="0"/>
              <w:snapToGrid w:val="0"/>
              <w:jc w:val="center"/>
              <w:rPr>
                <w:rFonts w:hint="eastAsia" w:cs="宋体"/>
                <w:szCs w:val="21"/>
                <w:highlight w:val="none"/>
              </w:rPr>
            </w:pPr>
          </w:p>
        </w:tc>
        <w:tc>
          <w:tcPr>
            <w:tcW w:w="1842" w:type="dxa"/>
            <w:noWrap w:val="0"/>
            <w:vAlign w:val="center"/>
          </w:tcPr>
          <w:p>
            <w:pPr>
              <w:autoSpaceDE w:val="0"/>
              <w:autoSpaceDN w:val="0"/>
              <w:jc w:val="center"/>
              <w:rPr>
                <w:kern w:val="0"/>
                <w:szCs w:val="21"/>
                <w:highlight w:val="none"/>
                <w:lang w:val="zh-CN" w:eastAsia="en-US"/>
              </w:rPr>
            </w:pPr>
            <w:r>
              <w:rPr>
                <w:kern w:val="0"/>
                <w:szCs w:val="21"/>
                <w:highlight w:val="none"/>
                <w:lang w:val="zh-CN" w:eastAsia="en-US"/>
              </w:rPr>
              <w:t>冷却塔循环水排水</w:t>
            </w:r>
          </w:p>
        </w:tc>
        <w:tc>
          <w:tcPr>
            <w:tcW w:w="1418" w:type="dxa"/>
            <w:noWrap w:val="0"/>
            <w:vAlign w:val="center"/>
          </w:tcPr>
          <w:p>
            <w:pPr>
              <w:adjustRightInd w:val="0"/>
              <w:snapToGrid w:val="0"/>
              <w:jc w:val="center"/>
              <w:rPr>
                <w:rFonts w:hint="eastAsia" w:cs="宋体"/>
                <w:szCs w:val="21"/>
                <w:highlight w:val="none"/>
              </w:rPr>
            </w:pPr>
            <w:r>
              <w:rPr>
                <w:rFonts w:cs="宋体"/>
                <w:szCs w:val="21"/>
                <w:highlight w:val="none"/>
              </w:rPr>
              <w:t>COD</w:t>
            </w:r>
            <w:r>
              <w:rPr>
                <w:rFonts w:hint="eastAsia" w:cs="宋体"/>
                <w:szCs w:val="21"/>
                <w:highlight w:val="none"/>
              </w:rPr>
              <w:t>、</w:t>
            </w:r>
            <w:r>
              <w:rPr>
                <w:rFonts w:cs="宋体"/>
                <w:szCs w:val="21"/>
                <w:highlight w:val="none"/>
              </w:rPr>
              <w:t>SS</w:t>
            </w:r>
          </w:p>
        </w:tc>
        <w:tc>
          <w:tcPr>
            <w:tcW w:w="1953" w:type="dxa"/>
            <w:noWrap w:val="0"/>
            <w:vAlign w:val="center"/>
          </w:tcPr>
          <w:p>
            <w:pPr>
              <w:adjustRightInd w:val="0"/>
              <w:snapToGrid w:val="0"/>
              <w:jc w:val="center"/>
              <w:rPr>
                <w:rFonts w:hint="eastAsia" w:eastAsia="宋体" w:cs="宋体"/>
                <w:szCs w:val="21"/>
                <w:highlight w:val="none"/>
                <w:lang w:eastAsia="zh-CN"/>
              </w:rPr>
            </w:pPr>
            <w:r>
              <w:rPr>
                <w:rFonts w:hint="eastAsia" w:cs="宋体"/>
                <w:szCs w:val="21"/>
                <w:highlight w:val="none"/>
                <w:lang w:eastAsia="zh-CN"/>
              </w:rPr>
              <w:t>冷却水罐冷却后，循环使用</w:t>
            </w:r>
          </w:p>
        </w:tc>
        <w:tc>
          <w:tcPr>
            <w:tcW w:w="2049" w:type="dxa"/>
            <w:vMerge w:val="continue"/>
            <w:noWrap w:val="0"/>
            <w:vAlign w:val="center"/>
          </w:tcPr>
          <w:p>
            <w:pPr>
              <w:adjustRightInd w:val="0"/>
              <w:snapToGrid w:val="0"/>
              <w:jc w:val="center"/>
              <w:rPr>
                <w:rFonts w:hint="eastAsia" w:cs="宋体"/>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noWrap w:val="0"/>
            <w:vAlign w:val="center"/>
          </w:tcPr>
          <w:p>
            <w:pPr>
              <w:adjustRightInd w:val="0"/>
              <w:snapToGrid w:val="0"/>
              <w:jc w:val="center"/>
              <w:rPr>
                <w:rFonts w:hint="eastAsia" w:cs="宋体"/>
                <w:szCs w:val="21"/>
                <w:highlight w:val="none"/>
              </w:rPr>
            </w:pPr>
            <w:r>
              <w:rPr>
                <w:rFonts w:hint="eastAsia" w:cs="宋体"/>
                <w:szCs w:val="21"/>
                <w:highlight w:val="none"/>
              </w:rPr>
              <w:t>声环境</w:t>
            </w:r>
          </w:p>
        </w:tc>
        <w:tc>
          <w:tcPr>
            <w:tcW w:w="1842" w:type="dxa"/>
            <w:noWrap w:val="0"/>
            <w:vAlign w:val="center"/>
          </w:tcPr>
          <w:p>
            <w:pPr>
              <w:adjustRightInd w:val="0"/>
              <w:snapToGrid w:val="0"/>
              <w:jc w:val="center"/>
              <w:rPr>
                <w:rFonts w:hint="eastAsia" w:cs="宋体"/>
                <w:szCs w:val="21"/>
                <w:highlight w:val="none"/>
              </w:rPr>
            </w:pPr>
            <w:r>
              <w:rPr>
                <w:rFonts w:hint="eastAsia" w:cs="宋体"/>
                <w:szCs w:val="21"/>
                <w:highlight w:val="none"/>
              </w:rPr>
              <w:t>注塑机、上料机、破碎机等设备</w:t>
            </w:r>
          </w:p>
        </w:tc>
        <w:tc>
          <w:tcPr>
            <w:tcW w:w="1418" w:type="dxa"/>
            <w:noWrap w:val="0"/>
            <w:vAlign w:val="center"/>
          </w:tcPr>
          <w:p>
            <w:pPr>
              <w:adjustRightInd w:val="0"/>
              <w:snapToGrid w:val="0"/>
              <w:jc w:val="center"/>
              <w:rPr>
                <w:rFonts w:hint="eastAsia" w:cs="宋体"/>
                <w:szCs w:val="21"/>
                <w:highlight w:val="none"/>
              </w:rPr>
            </w:pPr>
            <w:r>
              <w:rPr>
                <w:rFonts w:hint="eastAsia" w:cs="宋体"/>
                <w:szCs w:val="21"/>
                <w:highlight w:val="none"/>
              </w:rPr>
              <w:t>噪声</w:t>
            </w:r>
          </w:p>
        </w:tc>
        <w:tc>
          <w:tcPr>
            <w:tcW w:w="1953" w:type="dxa"/>
            <w:noWrap w:val="0"/>
            <w:vAlign w:val="center"/>
          </w:tcPr>
          <w:p>
            <w:pPr>
              <w:adjustRightInd w:val="0"/>
              <w:snapToGrid w:val="0"/>
              <w:jc w:val="center"/>
              <w:rPr>
                <w:rFonts w:hint="eastAsia" w:cs="宋体"/>
                <w:szCs w:val="21"/>
                <w:highlight w:val="none"/>
              </w:rPr>
            </w:pPr>
            <w:r>
              <w:rPr>
                <w:rFonts w:cs="宋体"/>
                <w:szCs w:val="21"/>
                <w:highlight w:val="none"/>
              </w:rPr>
              <w:t>低噪声设备、基础减振、厂房隔声</w:t>
            </w:r>
          </w:p>
        </w:tc>
        <w:tc>
          <w:tcPr>
            <w:tcW w:w="2049" w:type="dxa"/>
            <w:vMerge w:val="restart"/>
            <w:noWrap w:val="0"/>
            <w:vAlign w:val="center"/>
          </w:tcPr>
          <w:p>
            <w:pPr>
              <w:adjustRightInd w:val="0"/>
              <w:snapToGrid w:val="0"/>
              <w:jc w:val="center"/>
              <w:rPr>
                <w:rFonts w:hint="eastAsia" w:cs="宋体"/>
                <w:szCs w:val="21"/>
                <w:highlight w:val="none"/>
              </w:rPr>
            </w:pPr>
            <w:r>
              <w:rPr>
                <w:rFonts w:cs="宋体"/>
                <w:szCs w:val="21"/>
                <w:highlight w:val="none"/>
              </w:rPr>
              <w:t>《工业企业厂界环境噪声排放标准》（GB12348-2008）</w:t>
            </w:r>
            <w:r>
              <w:rPr>
                <w:rFonts w:hint="eastAsia" w:cs="宋体"/>
                <w:szCs w:val="21"/>
                <w:highlight w:val="none"/>
                <w:lang w:val="en-US" w:eastAsia="zh-CN"/>
              </w:rPr>
              <w:t>2</w:t>
            </w:r>
            <w:r>
              <w:rPr>
                <w:rFonts w:cs="宋体"/>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noWrap w:val="0"/>
            <w:vAlign w:val="center"/>
          </w:tcPr>
          <w:p>
            <w:pPr>
              <w:adjustRightInd w:val="0"/>
              <w:snapToGrid w:val="0"/>
              <w:jc w:val="center"/>
              <w:rPr>
                <w:rFonts w:hint="eastAsia" w:cs="宋体"/>
                <w:szCs w:val="21"/>
                <w:highlight w:val="cyan"/>
              </w:rPr>
            </w:pPr>
          </w:p>
        </w:tc>
        <w:tc>
          <w:tcPr>
            <w:tcW w:w="1842" w:type="dxa"/>
            <w:noWrap w:val="0"/>
            <w:vAlign w:val="center"/>
          </w:tcPr>
          <w:p>
            <w:pPr>
              <w:adjustRightInd w:val="0"/>
              <w:snapToGrid w:val="0"/>
              <w:jc w:val="center"/>
              <w:rPr>
                <w:rFonts w:hint="eastAsia" w:cs="宋体"/>
                <w:szCs w:val="21"/>
                <w:highlight w:val="none"/>
              </w:rPr>
            </w:pPr>
            <w:r>
              <w:rPr>
                <w:rFonts w:hint="eastAsia" w:cs="宋体"/>
                <w:szCs w:val="21"/>
                <w:highlight w:val="none"/>
                <w:lang w:eastAsia="zh-CN"/>
              </w:rPr>
              <w:t>空压机、</w:t>
            </w:r>
            <w:r>
              <w:rPr>
                <w:rFonts w:hint="eastAsia" w:cs="宋体"/>
                <w:szCs w:val="21"/>
                <w:highlight w:val="none"/>
              </w:rPr>
              <w:t>风机</w:t>
            </w:r>
          </w:p>
        </w:tc>
        <w:tc>
          <w:tcPr>
            <w:tcW w:w="1418" w:type="dxa"/>
            <w:noWrap w:val="0"/>
            <w:vAlign w:val="center"/>
          </w:tcPr>
          <w:p>
            <w:pPr>
              <w:adjustRightInd w:val="0"/>
              <w:snapToGrid w:val="0"/>
              <w:jc w:val="center"/>
              <w:rPr>
                <w:rFonts w:hint="eastAsia" w:cs="宋体"/>
                <w:szCs w:val="21"/>
                <w:highlight w:val="none"/>
              </w:rPr>
            </w:pPr>
            <w:r>
              <w:rPr>
                <w:rFonts w:hint="eastAsia" w:cs="宋体"/>
                <w:szCs w:val="21"/>
                <w:highlight w:val="none"/>
              </w:rPr>
              <w:t>噪声</w:t>
            </w:r>
          </w:p>
        </w:tc>
        <w:tc>
          <w:tcPr>
            <w:tcW w:w="1953" w:type="dxa"/>
            <w:noWrap w:val="0"/>
            <w:vAlign w:val="center"/>
          </w:tcPr>
          <w:p>
            <w:pPr>
              <w:adjustRightInd w:val="0"/>
              <w:snapToGrid w:val="0"/>
              <w:jc w:val="center"/>
              <w:rPr>
                <w:rFonts w:hint="eastAsia" w:cs="宋体"/>
                <w:szCs w:val="21"/>
                <w:highlight w:val="none"/>
              </w:rPr>
            </w:pPr>
            <w:r>
              <w:rPr>
                <w:rFonts w:hint="eastAsia" w:cs="宋体"/>
                <w:szCs w:val="21"/>
                <w:highlight w:val="none"/>
              </w:rPr>
              <w:t>消声</w:t>
            </w:r>
            <w:r>
              <w:rPr>
                <w:rFonts w:cs="宋体"/>
                <w:szCs w:val="21"/>
                <w:highlight w:val="none"/>
              </w:rPr>
              <w:t>、基础减振、厂房隔声</w:t>
            </w:r>
          </w:p>
        </w:tc>
        <w:tc>
          <w:tcPr>
            <w:tcW w:w="2049" w:type="dxa"/>
            <w:vMerge w:val="continue"/>
            <w:noWrap w:val="0"/>
            <w:vAlign w:val="center"/>
          </w:tcPr>
          <w:p>
            <w:pPr>
              <w:adjustRightInd w:val="0"/>
              <w:snapToGrid w:val="0"/>
              <w:jc w:val="center"/>
              <w:rPr>
                <w:rFonts w:hint="eastAsia" w:cs="宋体"/>
                <w:szCs w:val="21"/>
                <w:highlight w:val="cy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固体废物</w:t>
            </w:r>
          </w:p>
        </w:tc>
        <w:tc>
          <w:tcPr>
            <w:tcW w:w="726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eastAsia"/>
                <w:sz w:val="21"/>
                <w:szCs w:val="21"/>
                <w:lang w:eastAsia="zh-CN"/>
              </w:rPr>
            </w:pPr>
            <w:r>
              <w:rPr>
                <w:rFonts w:hint="eastAsia"/>
                <w:sz w:val="21"/>
                <w:szCs w:val="21"/>
              </w:rPr>
              <w:t>检验过程的不合格品和注塑过程产生的废边角料等均属于一般固体废物</w:t>
            </w:r>
            <w:r>
              <w:rPr>
                <w:rFonts w:hint="eastAsia"/>
                <w:sz w:val="21"/>
                <w:szCs w:val="21"/>
                <w:lang w:eastAsia="zh-CN"/>
              </w:rPr>
              <w:t>，经现有工程设置的一般固废暂存间暂存后，定期外售于废品回收单位，一般固废暂存间应严格按照《一般工业固体废物贮存、处理场污染控制标准（GB18599-2001）》（2013修订）进行设置。</w:t>
            </w:r>
          </w:p>
          <w:p>
            <w:pPr>
              <w:pStyle w:val="2"/>
              <w:keepNext w:val="0"/>
              <w:keepLines w:val="0"/>
              <w:pageBreakBefore w:val="0"/>
              <w:widowControl w:val="0"/>
              <w:kinsoku/>
              <w:wordWrap/>
              <w:overflowPunct/>
              <w:topLinePunct w:val="0"/>
              <w:autoSpaceDE/>
              <w:autoSpaceDN/>
              <w:bidi w:val="0"/>
              <w:ind w:left="0" w:leftChars="0" w:firstLine="420" w:firstLineChars="200"/>
              <w:jc w:val="left"/>
              <w:textAlignment w:val="auto"/>
              <w:rPr>
                <w:rFonts w:hint="eastAsia" w:eastAsia="宋体"/>
                <w:sz w:val="21"/>
                <w:szCs w:val="21"/>
                <w:lang w:eastAsia="zh-CN"/>
              </w:rPr>
            </w:pPr>
            <w:r>
              <w:rPr>
                <w:rFonts w:hint="eastAsia"/>
                <w:sz w:val="21"/>
                <w:szCs w:val="21"/>
                <w:lang w:eastAsia="zh-CN"/>
              </w:rPr>
              <w:t>废气治理设施更换的废活性炭和注塑机液压系统更换的废液压油等均属于危险固废废物，经生产车间设置危废暂存间1间暂存后，定期委托有资质的危废单位回收处理，</w:t>
            </w:r>
            <w:r>
              <w:rPr>
                <w:rFonts w:hint="eastAsia" w:cs="宋体"/>
                <w:bCs/>
                <w:sz w:val="21"/>
                <w:szCs w:val="21"/>
              </w:rPr>
              <w:t>危险废物贮存间应严格按照《危险废物贮存污染控制标准》（</w:t>
            </w:r>
            <w:r>
              <w:rPr>
                <w:rFonts w:cs="宋体"/>
                <w:bCs/>
                <w:sz w:val="21"/>
                <w:szCs w:val="21"/>
              </w:rPr>
              <w:t>GBl8597-2001</w:t>
            </w:r>
            <w:r>
              <w:rPr>
                <w:rFonts w:hint="eastAsia" w:cs="宋体"/>
                <w:bCs/>
                <w:sz w:val="21"/>
                <w:szCs w:val="21"/>
              </w:rPr>
              <w:t>）等相关要求</w:t>
            </w:r>
            <w:r>
              <w:rPr>
                <w:rFonts w:hint="eastAsia" w:cs="宋体"/>
                <w:bCs/>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pPr>
              <w:adjustRightInd w:val="0"/>
              <w:snapToGrid w:val="0"/>
              <w:jc w:val="center"/>
              <w:rPr>
                <w:rFonts w:hint="eastAsia" w:cs="宋体"/>
                <w:szCs w:val="21"/>
                <w:highlight w:val="none"/>
              </w:rPr>
            </w:pPr>
            <w:r>
              <w:rPr>
                <w:rFonts w:hint="eastAsia" w:cs="宋体"/>
                <w:szCs w:val="21"/>
                <w:highlight w:val="none"/>
              </w:rPr>
              <w:t>土壤及地下水</w:t>
            </w:r>
          </w:p>
          <w:p>
            <w:pPr>
              <w:adjustRightInd w:val="0"/>
              <w:snapToGrid w:val="0"/>
              <w:jc w:val="center"/>
              <w:rPr>
                <w:rFonts w:hint="eastAsia" w:cs="宋体"/>
                <w:szCs w:val="21"/>
                <w:highlight w:val="none"/>
              </w:rPr>
            </w:pPr>
            <w:r>
              <w:rPr>
                <w:rFonts w:hint="eastAsia" w:cs="宋体"/>
                <w:szCs w:val="21"/>
                <w:highlight w:val="none"/>
              </w:rPr>
              <w:t>污染防治措施</w:t>
            </w:r>
          </w:p>
        </w:tc>
        <w:tc>
          <w:tcPr>
            <w:tcW w:w="726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eastAsia" w:eastAsia="宋体" w:cs="宋体"/>
                <w:szCs w:val="21"/>
                <w:highlight w:val="none"/>
                <w:lang w:val="en-US" w:eastAsia="zh-CN"/>
              </w:rPr>
            </w:pPr>
            <w:r>
              <w:rPr>
                <w:rFonts w:hint="eastAsia" w:cs="宋体"/>
                <w:szCs w:val="21"/>
                <w:highlight w:val="none"/>
                <w:lang w:val="en-US" w:eastAsia="zh-CN"/>
              </w:rPr>
              <w:t>一般固废暂存间按照《一般工业固体废物贮存、处置场污染控制标准》（GB18599－2001）及其2013修改单的要求进行建设，危险废物暂存间按照《危险废物贮存污染控制标准》（GB18597-2001）（2013修改）的要求进行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pPr>
              <w:adjustRightInd w:val="0"/>
              <w:snapToGrid w:val="0"/>
              <w:jc w:val="center"/>
              <w:rPr>
                <w:rFonts w:cs="宋体"/>
                <w:spacing w:val="-8"/>
                <w:szCs w:val="21"/>
                <w:highlight w:val="none"/>
              </w:rPr>
            </w:pPr>
            <w:r>
              <w:rPr>
                <w:rFonts w:hint="eastAsia" w:cs="宋体"/>
                <w:spacing w:val="-8"/>
                <w:szCs w:val="21"/>
                <w:highlight w:val="none"/>
              </w:rPr>
              <w:t>环境风险</w:t>
            </w:r>
          </w:p>
          <w:p>
            <w:pPr>
              <w:adjustRightInd w:val="0"/>
              <w:snapToGrid w:val="0"/>
              <w:jc w:val="center"/>
              <w:rPr>
                <w:rFonts w:hint="eastAsia" w:cs="宋体"/>
                <w:spacing w:val="-8"/>
                <w:szCs w:val="21"/>
                <w:highlight w:val="none"/>
              </w:rPr>
            </w:pPr>
            <w:r>
              <w:rPr>
                <w:rFonts w:hint="eastAsia" w:cs="宋体"/>
                <w:spacing w:val="-8"/>
                <w:szCs w:val="21"/>
                <w:highlight w:val="none"/>
              </w:rPr>
              <w:t>防范措施</w:t>
            </w:r>
          </w:p>
        </w:tc>
        <w:tc>
          <w:tcPr>
            <w:tcW w:w="7262" w:type="dxa"/>
            <w:gridSpan w:val="4"/>
            <w:noWrap w:val="0"/>
            <w:vAlign w:val="center"/>
          </w:tcPr>
          <w:p>
            <w:pPr>
              <w:adjustRightInd w:val="0"/>
              <w:snapToGrid w:val="0"/>
              <w:jc w:val="center"/>
              <w:rPr>
                <w:rFonts w:hint="eastAsia" w:eastAsia="宋体" w:cs="宋体"/>
                <w:szCs w:val="21"/>
                <w:highlight w:val="none"/>
                <w:lang w:val="en-US" w:eastAsia="zh-CN"/>
              </w:rPr>
            </w:pPr>
            <w:r>
              <w:rPr>
                <w:rFonts w:hint="eastAsia" w:cs="宋体"/>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noWrap w:val="0"/>
            <w:vAlign w:val="center"/>
          </w:tcPr>
          <w:p>
            <w:pPr>
              <w:adjustRightInd w:val="0"/>
              <w:snapToGrid w:val="0"/>
              <w:jc w:val="center"/>
              <w:rPr>
                <w:rFonts w:cs="宋体"/>
                <w:spacing w:val="-8"/>
                <w:szCs w:val="21"/>
                <w:highlight w:val="none"/>
              </w:rPr>
            </w:pPr>
            <w:r>
              <w:rPr>
                <w:rFonts w:hint="eastAsia" w:cs="宋体"/>
                <w:spacing w:val="-8"/>
                <w:szCs w:val="21"/>
                <w:highlight w:val="none"/>
              </w:rPr>
              <w:t>其他环境</w:t>
            </w:r>
          </w:p>
          <w:p>
            <w:pPr>
              <w:adjustRightInd w:val="0"/>
              <w:snapToGrid w:val="0"/>
              <w:jc w:val="center"/>
              <w:rPr>
                <w:rFonts w:hint="eastAsia" w:cs="宋体"/>
                <w:spacing w:val="-8"/>
                <w:szCs w:val="21"/>
                <w:highlight w:val="none"/>
              </w:rPr>
            </w:pPr>
            <w:r>
              <w:rPr>
                <w:rFonts w:hint="eastAsia" w:cs="宋体"/>
                <w:spacing w:val="-8"/>
                <w:szCs w:val="21"/>
                <w:highlight w:val="none"/>
              </w:rPr>
              <w:t>管理要求</w:t>
            </w:r>
          </w:p>
        </w:tc>
        <w:tc>
          <w:tcPr>
            <w:tcW w:w="7262" w:type="dxa"/>
            <w:gridSpan w:val="4"/>
            <w:noWrap w:val="0"/>
            <w:vAlign w:val="center"/>
          </w:tcPr>
          <w:p>
            <w:pPr>
              <w:adjustRightInd w:val="0"/>
              <w:snapToGrid w:val="0"/>
              <w:rPr>
                <w:rFonts w:hint="eastAsia" w:cs="宋体"/>
                <w:szCs w:val="21"/>
                <w:highlight w:val="none"/>
              </w:rPr>
            </w:pPr>
            <w:r>
              <w:rPr>
                <w:rFonts w:cs="宋体"/>
                <w:bCs/>
                <w:szCs w:val="21"/>
                <w:highlight w:val="none"/>
              </w:rPr>
              <w:t>总用电控制位置、主要生产设施和污染治理设施安装用电量监控系统终端</w:t>
            </w:r>
            <w:r>
              <w:rPr>
                <w:rFonts w:hint="eastAsia" w:cs="宋体"/>
                <w:bCs/>
                <w:szCs w:val="21"/>
                <w:highlight w:val="none"/>
              </w:rPr>
              <w:t>；</w:t>
            </w:r>
          </w:p>
        </w:tc>
      </w:tr>
    </w:tbl>
    <w:p>
      <w:pPr>
        <w:pStyle w:val="15"/>
        <w:jc w:val="center"/>
        <w:outlineLvl w:val="0"/>
        <w:rPr>
          <w:rFonts w:ascii="Times New Roman" w:hAnsi="Times New Roman" w:eastAsia="黑体"/>
          <w:snapToGrid w:val="0"/>
          <w:sz w:val="30"/>
          <w:szCs w:val="30"/>
          <w:highlight w:val="cyan"/>
        </w:rPr>
      </w:pPr>
      <w:r>
        <w:rPr>
          <w:rFonts w:ascii="Times New Roman" w:hAnsi="Times New Roman"/>
          <w:snapToGrid w:val="0"/>
          <w:highlight w:val="cyan"/>
        </w:rPr>
        <w:br w:type="page"/>
      </w:r>
      <w:r>
        <w:rPr>
          <w:rFonts w:hint="eastAsia" w:ascii="Times New Roman" w:hAnsi="Times New Roman" w:eastAsia="黑体"/>
          <w:snapToGrid w:val="0"/>
          <w:sz w:val="30"/>
          <w:szCs w:val="30"/>
          <w:highlight w:val="none"/>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adjustRightInd w:val="0"/>
              <w:snapToGrid w:val="0"/>
              <w:spacing w:line="360" w:lineRule="auto"/>
              <w:ind w:firstLine="420" w:firstLineChars="200"/>
              <w:rPr>
                <w:rFonts w:cs="宋体"/>
                <w:bCs/>
                <w:kern w:val="0"/>
                <w:szCs w:val="21"/>
                <w:highlight w:val="none"/>
              </w:rPr>
            </w:pPr>
            <w:r>
              <w:rPr>
                <w:rFonts w:hint="eastAsia" w:cs="宋体"/>
                <w:bCs/>
                <w:kern w:val="0"/>
                <w:szCs w:val="21"/>
                <w:highlight w:val="none"/>
              </w:rPr>
              <w:t>新乡市卓越橡塑有限公司产3亿只锂电池密封圈项目</w:t>
            </w:r>
            <w:r>
              <w:rPr>
                <w:rFonts w:cs="宋体"/>
                <w:bCs/>
                <w:kern w:val="0"/>
                <w:szCs w:val="21"/>
                <w:highlight w:val="none"/>
              </w:rPr>
              <w:t>位于</w:t>
            </w:r>
            <w:r>
              <w:rPr>
                <w:rFonts w:hint="eastAsia" w:cs="宋体"/>
                <w:bCs/>
                <w:kern w:val="0"/>
                <w:szCs w:val="21"/>
                <w:highlight w:val="none"/>
              </w:rPr>
              <w:t>新乡市凤泉区大块镇小块村西</w:t>
            </w:r>
            <w:r>
              <w:rPr>
                <w:rFonts w:cs="宋体"/>
                <w:bCs/>
                <w:kern w:val="0"/>
                <w:szCs w:val="21"/>
                <w:highlight w:val="none"/>
              </w:rPr>
              <w:t>，该项目的建设符合国家产业政策及相关规划，符合生态保护红线、资源利用上线、环境质量底线和环境准入负面清单等“三线一单”相关要求；项目采取的环保措施可行，能实现达标排放；各类污染物达标排放，</w:t>
            </w:r>
            <w:r>
              <w:rPr>
                <w:rFonts w:hint="eastAsia" w:cs="宋体"/>
                <w:bCs/>
                <w:kern w:val="0"/>
                <w:szCs w:val="21"/>
                <w:highlight w:val="none"/>
              </w:rPr>
              <w:t>环境</w:t>
            </w:r>
            <w:r>
              <w:rPr>
                <w:rFonts w:cs="宋体"/>
                <w:bCs/>
                <w:kern w:val="0"/>
                <w:szCs w:val="21"/>
                <w:highlight w:val="none"/>
              </w:rPr>
              <w:t>保护措施可行。</w:t>
            </w:r>
          </w:p>
          <w:p>
            <w:pPr>
              <w:adjustRightInd w:val="0"/>
              <w:snapToGrid w:val="0"/>
              <w:spacing w:line="360" w:lineRule="auto"/>
              <w:ind w:firstLine="420" w:firstLineChars="200"/>
              <w:rPr>
                <w:rFonts w:cs="宋体"/>
                <w:bCs/>
                <w:kern w:val="0"/>
                <w:szCs w:val="21"/>
                <w:highlight w:val="none"/>
              </w:rPr>
            </w:pPr>
            <w:r>
              <w:rPr>
                <w:rFonts w:cs="宋体"/>
                <w:bCs/>
                <w:kern w:val="0"/>
                <w:szCs w:val="21"/>
                <w:highlight w:val="none"/>
              </w:rPr>
              <w:t>因此，在建设单位加强项目的环境管理，严格遵守“三同时”等环保制度，严格落实本报告书提出的各项环保措施，确保污染防治设施稳定运行和污染物达标排放前提下，从</w:t>
            </w:r>
            <w:r>
              <w:rPr>
                <w:rFonts w:hint="eastAsia" w:cs="宋体"/>
                <w:bCs/>
                <w:kern w:val="0"/>
                <w:szCs w:val="21"/>
                <w:highlight w:val="none"/>
              </w:rPr>
              <w:t>环境保护角度</w:t>
            </w:r>
            <w:r>
              <w:rPr>
                <w:rFonts w:cs="宋体"/>
                <w:bCs/>
                <w:kern w:val="0"/>
                <w:szCs w:val="21"/>
                <w:highlight w:val="none"/>
              </w:rPr>
              <w:t>，</w:t>
            </w:r>
            <w:r>
              <w:rPr>
                <w:rFonts w:hint="eastAsia" w:cs="宋体"/>
                <w:bCs/>
                <w:kern w:val="0"/>
                <w:szCs w:val="21"/>
                <w:highlight w:val="none"/>
              </w:rPr>
              <w:t>建设项目环境影响可行</w:t>
            </w:r>
            <w:r>
              <w:rPr>
                <w:rFonts w:cs="宋体"/>
                <w:bCs/>
                <w:kern w:val="0"/>
                <w:szCs w:val="21"/>
                <w:highlight w:val="none"/>
              </w:rPr>
              <w:t>。</w:t>
            </w:r>
          </w:p>
          <w:p>
            <w:pPr>
              <w:spacing w:line="360" w:lineRule="auto"/>
              <w:rPr>
                <w:rFonts w:cs="宋体"/>
                <w:sz w:val="24"/>
                <w:highlight w:val="cyan"/>
              </w:rPr>
            </w:pPr>
          </w:p>
        </w:tc>
      </w:tr>
    </w:tbl>
    <w:p>
      <w:pPr>
        <w:rPr>
          <w:highlight w:val="cya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5"/>
        <w:adjustRightInd w:val="0"/>
        <w:snapToGrid w:val="0"/>
        <w:spacing w:before="0" w:beforeAutospacing="0" w:after="0" w:afterAutospacing="0" w:line="648" w:lineRule="auto"/>
        <w:outlineLvl w:val="0"/>
        <w:rPr>
          <w:rFonts w:ascii="Times New Roman" w:hAnsi="Times New Roman" w:eastAsia="黑体"/>
          <w:snapToGrid w:val="0"/>
          <w:sz w:val="32"/>
          <w:szCs w:val="32"/>
          <w:highlight w:val="none"/>
        </w:rPr>
      </w:pPr>
      <w:r>
        <w:rPr>
          <w:rFonts w:hint="eastAsia" w:ascii="Times New Roman" w:hAnsi="Times New Roman" w:eastAsia="黑体"/>
          <w:snapToGrid w:val="0"/>
          <w:sz w:val="32"/>
          <w:szCs w:val="32"/>
          <w:highlight w:val="none"/>
        </w:rPr>
        <w:t>附表</w:t>
      </w:r>
    </w:p>
    <w:p>
      <w:pPr>
        <w:pStyle w:val="15"/>
        <w:adjustRightInd w:val="0"/>
        <w:snapToGrid w:val="0"/>
        <w:spacing w:before="0" w:beforeAutospacing="0" w:after="0" w:afterAutospacing="0" w:line="552" w:lineRule="auto"/>
        <w:jc w:val="center"/>
        <w:outlineLvl w:val="0"/>
        <w:rPr>
          <w:rFonts w:hint="eastAsia" w:ascii="Times New Roman" w:hAnsi="Times New Roman" w:eastAsia="方正小标宋_GBK"/>
          <w:snapToGrid w:val="0"/>
          <w:sz w:val="38"/>
          <w:szCs w:val="38"/>
          <w:highlight w:val="none"/>
        </w:rPr>
      </w:pPr>
      <w:r>
        <w:rPr>
          <w:rFonts w:hint="eastAsia" w:ascii="Times New Roman" w:hAnsi="Times New Roman" w:eastAsia="方正小标宋_GBK"/>
          <w:snapToGrid w:val="0"/>
          <w:sz w:val="38"/>
          <w:szCs w:val="38"/>
          <w:highlight w:val="none"/>
        </w:rPr>
        <w:t>建设项目污染物排放量汇总表</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700"/>
        <w:gridCol w:w="1701"/>
        <w:gridCol w:w="1276"/>
        <w:gridCol w:w="1701"/>
        <w:gridCol w:w="1559"/>
        <w:gridCol w:w="1761"/>
        <w:gridCol w:w="1852"/>
        <w:gridCol w:w="9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05" w:type="dxa"/>
            <w:tcBorders>
              <w:tl2br w:val="single" w:color="auto" w:sz="4" w:space="0"/>
            </w:tcBorders>
            <w:noWrap w:val="0"/>
            <w:tcMar>
              <w:left w:w="28" w:type="dxa"/>
              <w:right w:w="28" w:type="dxa"/>
            </w:tcMar>
            <w:vAlign w:val="center"/>
          </w:tcPr>
          <w:p>
            <w:pPr>
              <w:pStyle w:val="25"/>
              <w:spacing w:beforeLines="0" w:afterLines="0" w:line="240" w:lineRule="auto"/>
              <w:jc w:val="right"/>
              <w:rPr>
                <w:rFonts w:hint="eastAsia" w:ascii="Times New Roman" w:eastAsia="黑体" w:cs="宋体"/>
                <w:snapToGrid w:val="0"/>
                <w:color w:val="000000"/>
                <w:spacing w:val="-6"/>
                <w:kern w:val="21"/>
                <w:szCs w:val="21"/>
                <w:highlight w:val="none"/>
              </w:rPr>
            </w:pPr>
            <w:r>
              <w:rPr>
                <w:rFonts w:hint="eastAsia" w:ascii="Times New Roman" w:eastAsia="黑体" w:cs="宋体"/>
                <w:snapToGrid w:val="0"/>
                <w:color w:val="000000"/>
                <w:spacing w:val="-6"/>
                <w:kern w:val="21"/>
                <w:szCs w:val="21"/>
                <w:highlight w:val="none"/>
              </w:rPr>
              <w:t>项目</w:t>
            </w:r>
          </w:p>
          <w:p>
            <w:pPr>
              <w:pStyle w:val="25"/>
              <w:spacing w:beforeLines="0" w:afterLines="0" w:line="240" w:lineRule="auto"/>
              <w:jc w:val="left"/>
              <w:rPr>
                <w:rFonts w:hint="eastAsia" w:ascii="Times New Roman" w:eastAsia="黑体" w:cs="宋体"/>
                <w:snapToGrid w:val="0"/>
                <w:color w:val="000000"/>
                <w:spacing w:val="-6"/>
                <w:kern w:val="21"/>
                <w:szCs w:val="21"/>
                <w:highlight w:val="none"/>
              </w:rPr>
            </w:pPr>
            <w:r>
              <w:rPr>
                <w:rFonts w:hint="eastAsia" w:ascii="Times New Roman" w:eastAsia="黑体" w:cs="宋体"/>
                <w:snapToGrid w:val="0"/>
                <w:color w:val="000000"/>
                <w:spacing w:val="-6"/>
                <w:kern w:val="21"/>
                <w:szCs w:val="21"/>
                <w:highlight w:val="none"/>
              </w:rPr>
              <w:t>分类</w:t>
            </w:r>
          </w:p>
        </w:tc>
        <w:tc>
          <w:tcPr>
            <w:tcW w:w="1700" w:type="dxa"/>
            <w:noWrap w:val="0"/>
            <w:tcMar>
              <w:left w:w="28" w:type="dxa"/>
              <w:right w:w="28" w:type="dxa"/>
            </w:tcMar>
            <w:vAlign w:val="center"/>
          </w:tcPr>
          <w:p>
            <w:pPr>
              <w:pStyle w:val="25"/>
              <w:spacing w:beforeLines="0" w:afterLines="0" w:line="240" w:lineRule="auto"/>
              <w:rPr>
                <w:rFonts w:hint="eastAsia" w:ascii="Times New Roman" w:eastAsia="黑体" w:cs="宋体"/>
                <w:snapToGrid w:val="0"/>
                <w:color w:val="000000"/>
                <w:spacing w:val="-6"/>
                <w:kern w:val="21"/>
                <w:szCs w:val="21"/>
                <w:highlight w:val="none"/>
              </w:rPr>
            </w:pPr>
            <w:r>
              <w:rPr>
                <w:rFonts w:hint="eastAsia" w:ascii="Times New Roman" w:eastAsia="黑体" w:cs="宋体"/>
                <w:snapToGrid w:val="0"/>
                <w:color w:val="000000"/>
                <w:spacing w:val="-6"/>
                <w:kern w:val="21"/>
                <w:szCs w:val="21"/>
                <w:highlight w:val="none"/>
              </w:rPr>
              <w:t>污染物名称</w:t>
            </w:r>
          </w:p>
        </w:tc>
        <w:tc>
          <w:tcPr>
            <w:tcW w:w="1701" w:type="dxa"/>
            <w:noWrap w:val="0"/>
            <w:tcMar>
              <w:left w:w="28" w:type="dxa"/>
              <w:right w:w="28" w:type="dxa"/>
            </w:tcMar>
            <w:vAlign w:val="center"/>
          </w:tcPr>
          <w:p>
            <w:pPr>
              <w:pStyle w:val="25"/>
              <w:spacing w:beforeLines="0" w:afterLines="0" w:line="240" w:lineRule="auto"/>
              <w:rPr>
                <w:rFonts w:hint="eastAsia"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t>现有工程</w:t>
            </w:r>
          </w:p>
          <w:p>
            <w:pPr>
              <w:pStyle w:val="25"/>
              <w:spacing w:beforeLines="0" w:afterLines="0" w:line="240" w:lineRule="auto"/>
              <w:rPr>
                <w:rFonts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t>排放量（固</w:t>
            </w:r>
            <w:r>
              <w:rPr>
                <w:rFonts w:hint="eastAsia" w:ascii="Times New Roman" w:eastAsia="黑体"/>
                <w:snapToGrid w:val="0"/>
                <w:color w:val="000000"/>
                <w:spacing w:val="-6"/>
                <w:kern w:val="21"/>
                <w:szCs w:val="21"/>
                <w:highlight w:val="none"/>
              </w:rPr>
              <w:t>体</w:t>
            </w:r>
            <w:r>
              <w:rPr>
                <w:rFonts w:ascii="Times New Roman" w:eastAsia="黑体"/>
                <w:snapToGrid w:val="0"/>
                <w:color w:val="000000"/>
                <w:spacing w:val="-6"/>
                <w:kern w:val="21"/>
                <w:szCs w:val="21"/>
                <w:highlight w:val="none"/>
              </w:rPr>
              <w:t>废</w:t>
            </w:r>
            <w:r>
              <w:rPr>
                <w:rFonts w:hint="eastAsia" w:ascii="Times New Roman" w:eastAsia="黑体"/>
                <w:snapToGrid w:val="0"/>
                <w:color w:val="000000"/>
                <w:spacing w:val="-6"/>
                <w:kern w:val="21"/>
                <w:szCs w:val="21"/>
                <w:highlight w:val="none"/>
              </w:rPr>
              <w:t>物</w:t>
            </w:r>
            <w:r>
              <w:rPr>
                <w:rFonts w:ascii="Times New Roman" w:eastAsia="黑体"/>
                <w:snapToGrid w:val="0"/>
                <w:color w:val="000000"/>
                <w:spacing w:val="-6"/>
                <w:kern w:val="21"/>
                <w:szCs w:val="21"/>
                <w:highlight w:val="none"/>
              </w:rPr>
              <w:t>产生量）</w:t>
            </w:r>
            <w:r>
              <w:rPr>
                <w:rFonts w:ascii="Times New Roman" w:eastAsia="黑体"/>
                <w:snapToGrid w:val="0"/>
                <w:color w:val="000000"/>
                <w:spacing w:val="-6"/>
                <w:kern w:val="21"/>
                <w:szCs w:val="21"/>
                <w:highlight w:val="none"/>
              </w:rPr>
              <w:fldChar w:fldCharType="begin"/>
            </w:r>
            <w:r>
              <w:rPr>
                <w:rFonts w:ascii="Times New Roman" w:eastAsia="黑体"/>
                <w:snapToGrid w:val="0"/>
                <w:color w:val="000000"/>
                <w:spacing w:val="-6"/>
                <w:kern w:val="21"/>
                <w:szCs w:val="21"/>
                <w:highlight w:val="none"/>
              </w:rPr>
              <w:instrText xml:space="preserve"> = 1 \* GB3 \* MERGEFORMAT </w:instrText>
            </w:r>
            <w:r>
              <w:rPr>
                <w:rFonts w:ascii="Times New Roman" w:eastAsia="黑体"/>
                <w:snapToGrid w:val="0"/>
                <w:color w:val="000000"/>
                <w:spacing w:val="-6"/>
                <w:kern w:val="21"/>
                <w:szCs w:val="21"/>
                <w:highlight w:val="none"/>
              </w:rPr>
              <w:fldChar w:fldCharType="separate"/>
            </w:r>
            <w:r>
              <w:rPr>
                <w:rFonts w:hint="eastAsia" w:ascii="Times New Roman" w:eastAsia="黑体" w:cs="宋体"/>
                <w:kern w:val="2"/>
                <w:szCs w:val="21"/>
                <w:highlight w:val="none"/>
              </w:rPr>
              <w:t>①</w:t>
            </w:r>
            <w:r>
              <w:rPr>
                <w:rFonts w:ascii="Times New Roman" w:eastAsia="黑体"/>
                <w:snapToGrid w:val="0"/>
                <w:color w:val="000000"/>
                <w:spacing w:val="-6"/>
                <w:kern w:val="21"/>
                <w:szCs w:val="21"/>
                <w:highlight w:val="none"/>
              </w:rPr>
              <w:fldChar w:fldCharType="end"/>
            </w:r>
          </w:p>
        </w:tc>
        <w:tc>
          <w:tcPr>
            <w:tcW w:w="1276" w:type="dxa"/>
            <w:noWrap w:val="0"/>
            <w:tcMar>
              <w:left w:w="28" w:type="dxa"/>
              <w:right w:w="28" w:type="dxa"/>
            </w:tcMar>
            <w:vAlign w:val="center"/>
          </w:tcPr>
          <w:p>
            <w:pPr>
              <w:pStyle w:val="25"/>
              <w:spacing w:beforeLines="0" w:afterLines="0" w:line="240" w:lineRule="auto"/>
              <w:rPr>
                <w:rFonts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t>现有工程</w:t>
            </w:r>
          </w:p>
          <w:p>
            <w:pPr>
              <w:pStyle w:val="25"/>
              <w:spacing w:beforeLines="0" w:afterLines="0" w:line="240" w:lineRule="auto"/>
              <w:rPr>
                <w:rFonts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t>许可排放量</w:t>
            </w:r>
          </w:p>
          <w:p>
            <w:pPr>
              <w:pStyle w:val="25"/>
              <w:spacing w:beforeLines="0" w:afterLines="0"/>
              <w:rPr>
                <w:rFonts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fldChar w:fldCharType="begin"/>
            </w:r>
            <w:r>
              <w:rPr>
                <w:rFonts w:ascii="Times New Roman" w:eastAsia="黑体"/>
                <w:snapToGrid w:val="0"/>
                <w:color w:val="000000"/>
                <w:spacing w:val="-6"/>
                <w:kern w:val="21"/>
                <w:szCs w:val="21"/>
                <w:highlight w:val="none"/>
              </w:rPr>
              <w:instrText xml:space="preserve"> = 2 \* GB3 \* MERGEFORMAT </w:instrText>
            </w:r>
            <w:r>
              <w:rPr>
                <w:rFonts w:ascii="Times New Roman" w:eastAsia="黑体"/>
                <w:snapToGrid w:val="0"/>
                <w:color w:val="000000"/>
                <w:spacing w:val="-6"/>
                <w:kern w:val="21"/>
                <w:szCs w:val="21"/>
                <w:highlight w:val="none"/>
              </w:rPr>
              <w:fldChar w:fldCharType="separate"/>
            </w:r>
            <w:r>
              <w:rPr>
                <w:rFonts w:hint="eastAsia" w:ascii="Times New Roman" w:eastAsia="黑体" w:cs="宋体"/>
                <w:snapToGrid w:val="0"/>
                <w:color w:val="000000"/>
                <w:spacing w:val="-6"/>
                <w:kern w:val="21"/>
                <w:szCs w:val="21"/>
                <w:highlight w:val="none"/>
              </w:rPr>
              <w:t>②</w:t>
            </w:r>
            <w:r>
              <w:rPr>
                <w:rFonts w:ascii="Times New Roman" w:eastAsia="黑体"/>
                <w:snapToGrid w:val="0"/>
                <w:color w:val="000000"/>
                <w:spacing w:val="-6"/>
                <w:kern w:val="21"/>
                <w:szCs w:val="21"/>
                <w:highlight w:val="none"/>
              </w:rPr>
              <w:fldChar w:fldCharType="end"/>
            </w:r>
          </w:p>
        </w:tc>
        <w:tc>
          <w:tcPr>
            <w:tcW w:w="1701" w:type="dxa"/>
            <w:noWrap w:val="0"/>
            <w:tcMar>
              <w:left w:w="28" w:type="dxa"/>
              <w:right w:w="28" w:type="dxa"/>
            </w:tcMar>
            <w:vAlign w:val="center"/>
          </w:tcPr>
          <w:p>
            <w:pPr>
              <w:pStyle w:val="25"/>
              <w:spacing w:beforeLines="0" w:afterLines="0" w:line="240" w:lineRule="auto"/>
              <w:rPr>
                <w:rFonts w:hint="eastAsia"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t>在建工程</w:t>
            </w:r>
          </w:p>
          <w:p>
            <w:pPr>
              <w:pStyle w:val="25"/>
              <w:spacing w:beforeLines="0" w:afterLines="0" w:line="240" w:lineRule="auto"/>
              <w:rPr>
                <w:rFonts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t>排放量（固</w:t>
            </w:r>
            <w:r>
              <w:rPr>
                <w:rFonts w:hint="eastAsia" w:ascii="Times New Roman" w:eastAsia="黑体"/>
                <w:snapToGrid w:val="0"/>
                <w:color w:val="000000"/>
                <w:spacing w:val="-6"/>
                <w:kern w:val="21"/>
                <w:szCs w:val="21"/>
                <w:highlight w:val="none"/>
              </w:rPr>
              <w:t>体</w:t>
            </w:r>
            <w:r>
              <w:rPr>
                <w:rFonts w:ascii="Times New Roman" w:eastAsia="黑体"/>
                <w:snapToGrid w:val="0"/>
                <w:color w:val="000000"/>
                <w:spacing w:val="-6"/>
                <w:kern w:val="21"/>
                <w:szCs w:val="21"/>
                <w:highlight w:val="none"/>
              </w:rPr>
              <w:t>废</w:t>
            </w:r>
            <w:r>
              <w:rPr>
                <w:rFonts w:hint="eastAsia" w:ascii="Times New Roman" w:eastAsia="黑体"/>
                <w:snapToGrid w:val="0"/>
                <w:color w:val="000000"/>
                <w:spacing w:val="-6"/>
                <w:kern w:val="21"/>
                <w:szCs w:val="21"/>
                <w:highlight w:val="none"/>
              </w:rPr>
              <w:t>物</w:t>
            </w:r>
            <w:r>
              <w:rPr>
                <w:rFonts w:ascii="Times New Roman" w:eastAsia="黑体"/>
                <w:snapToGrid w:val="0"/>
                <w:color w:val="000000"/>
                <w:spacing w:val="-6"/>
                <w:kern w:val="21"/>
                <w:szCs w:val="21"/>
                <w:highlight w:val="none"/>
              </w:rPr>
              <w:t>产生量）</w:t>
            </w:r>
            <w:r>
              <w:rPr>
                <w:rFonts w:ascii="Times New Roman" w:eastAsia="黑体"/>
                <w:snapToGrid w:val="0"/>
                <w:color w:val="000000"/>
                <w:spacing w:val="-6"/>
                <w:kern w:val="21"/>
                <w:szCs w:val="21"/>
                <w:highlight w:val="none"/>
              </w:rPr>
              <w:fldChar w:fldCharType="begin"/>
            </w:r>
            <w:r>
              <w:rPr>
                <w:rFonts w:ascii="Times New Roman" w:eastAsia="黑体"/>
                <w:snapToGrid w:val="0"/>
                <w:color w:val="000000"/>
                <w:spacing w:val="-6"/>
                <w:kern w:val="21"/>
                <w:szCs w:val="21"/>
                <w:highlight w:val="none"/>
              </w:rPr>
              <w:instrText xml:space="preserve"> = 3 \* GB3 \* MERGEFORMAT </w:instrText>
            </w:r>
            <w:r>
              <w:rPr>
                <w:rFonts w:ascii="Times New Roman" w:eastAsia="黑体"/>
                <w:snapToGrid w:val="0"/>
                <w:color w:val="000000"/>
                <w:spacing w:val="-6"/>
                <w:kern w:val="21"/>
                <w:szCs w:val="21"/>
                <w:highlight w:val="none"/>
              </w:rPr>
              <w:fldChar w:fldCharType="separate"/>
            </w:r>
            <w:r>
              <w:rPr>
                <w:rFonts w:hint="eastAsia" w:ascii="Times New Roman" w:eastAsia="黑体" w:cs="宋体"/>
                <w:kern w:val="2"/>
                <w:szCs w:val="21"/>
                <w:highlight w:val="none"/>
              </w:rPr>
              <w:t>③</w:t>
            </w:r>
            <w:r>
              <w:rPr>
                <w:rFonts w:ascii="Times New Roman" w:eastAsia="黑体"/>
                <w:snapToGrid w:val="0"/>
                <w:color w:val="000000"/>
                <w:spacing w:val="-6"/>
                <w:kern w:val="21"/>
                <w:szCs w:val="21"/>
                <w:highlight w:val="none"/>
              </w:rPr>
              <w:fldChar w:fldCharType="end"/>
            </w:r>
          </w:p>
        </w:tc>
        <w:tc>
          <w:tcPr>
            <w:tcW w:w="1559" w:type="dxa"/>
            <w:noWrap w:val="0"/>
            <w:tcMar>
              <w:left w:w="28" w:type="dxa"/>
              <w:right w:w="28" w:type="dxa"/>
            </w:tcMar>
            <w:vAlign w:val="center"/>
          </w:tcPr>
          <w:p>
            <w:pPr>
              <w:pStyle w:val="25"/>
              <w:spacing w:beforeLines="0" w:afterLines="0" w:line="240" w:lineRule="auto"/>
              <w:rPr>
                <w:rFonts w:hint="eastAsia"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t>本项目</w:t>
            </w:r>
          </w:p>
          <w:p>
            <w:pPr>
              <w:pStyle w:val="25"/>
              <w:spacing w:beforeLines="0" w:afterLines="0" w:line="240" w:lineRule="auto"/>
              <w:rPr>
                <w:rFonts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t>排放量（固</w:t>
            </w:r>
            <w:r>
              <w:rPr>
                <w:rFonts w:hint="eastAsia" w:ascii="Times New Roman" w:eastAsia="黑体"/>
                <w:snapToGrid w:val="0"/>
                <w:color w:val="000000"/>
                <w:spacing w:val="-6"/>
                <w:kern w:val="21"/>
                <w:szCs w:val="21"/>
                <w:highlight w:val="none"/>
              </w:rPr>
              <w:t>体</w:t>
            </w:r>
            <w:r>
              <w:rPr>
                <w:rFonts w:ascii="Times New Roman" w:eastAsia="黑体"/>
                <w:snapToGrid w:val="0"/>
                <w:color w:val="000000"/>
                <w:spacing w:val="-6"/>
                <w:kern w:val="21"/>
                <w:szCs w:val="21"/>
                <w:highlight w:val="none"/>
              </w:rPr>
              <w:t>废</w:t>
            </w:r>
            <w:r>
              <w:rPr>
                <w:rFonts w:hint="eastAsia" w:ascii="Times New Roman" w:eastAsia="黑体"/>
                <w:snapToGrid w:val="0"/>
                <w:color w:val="000000"/>
                <w:spacing w:val="-6"/>
                <w:kern w:val="21"/>
                <w:szCs w:val="21"/>
                <w:highlight w:val="none"/>
              </w:rPr>
              <w:t>物</w:t>
            </w:r>
            <w:r>
              <w:rPr>
                <w:rFonts w:ascii="Times New Roman" w:eastAsia="黑体"/>
                <w:snapToGrid w:val="0"/>
                <w:color w:val="000000"/>
                <w:spacing w:val="-6"/>
                <w:kern w:val="21"/>
                <w:szCs w:val="21"/>
                <w:highlight w:val="none"/>
              </w:rPr>
              <w:t>产生量）</w:t>
            </w:r>
            <w:r>
              <w:rPr>
                <w:rFonts w:ascii="Times New Roman" w:eastAsia="黑体"/>
                <w:snapToGrid w:val="0"/>
                <w:color w:val="000000"/>
                <w:spacing w:val="-6"/>
                <w:kern w:val="21"/>
                <w:szCs w:val="21"/>
                <w:highlight w:val="none"/>
              </w:rPr>
              <w:fldChar w:fldCharType="begin"/>
            </w:r>
            <w:r>
              <w:rPr>
                <w:rFonts w:ascii="Times New Roman" w:eastAsia="黑体"/>
                <w:snapToGrid w:val="0"/>
                <w:color w:val="000000"/>
                <w:spacing w:val="-6"/>
                <w:kern w:val="21"/>
                <w:szCs w:val="21"/>
                <w:highlight w:val="none"/>
              </w:rPr>
              <w:instrText xml:space="preserve"> = 4 \* GB3 \* MERGEFORMAT </w:instrText>
            </w:r>
            <w:r>
              <w:rPr>
                <w:rFonts w:ascii="Times New Roman" w:eastAsia="黑体"/>
                <w:snapToGrid w:val="0"/>
                <w:color w:val="000000"/>
                <w:spacing w:val="-6"/>
                <w:kern w:val="21"/>
                <w:szCs w:val="21"/>
                <w:highlight w:val="none"/>
              </w:rPr>
              <w:fldChar w:fldCharType="separate"/>
            </w:r>
            <w:r>
              <w:rPr>
                <w:rFonts w:hint="eastAsia" w:ascii="Times New Roman" w:eastAsia="黑体" w:cs="宋体"/>
                <w:kern w:val="2"/>
                <w:szCs w:val="21"/>
                <w:highlight w:val="none"/>
              </w:rPr>
              <w:t>④</w:t>
            </w:r>
            <w:r>
              <w:rPr>
                <w:rFonts w:ascii="Times New Roman" w:eastAsia="黑体"/>
                <w:snapToGrid w:val="0"/>
                <w:color w:val="000000"/>
                <w:spacing w:val="-6"/>
                <w:kern w:val="21"/>
                <w:szCs w:val="21"/>
                <w:highlight w:val="none"/>
              </w:rPr>
              <w:fldChar w:fldCharType="end"/>
            </w:r>
          </w:p>
        </w:tc>
        <w:tc>
          <w:tcPr>
            <w:tcW w:w="1761" w:type="dxa"/>
            <w:noWrap w:val="0"/>
            <w:tcMar>
              <w:left w:w="28" w:type="dxa"/>
              <w:right w:w="28" w:type="dxa"/>
            </w:tcMar>
            <w:vAlign w:val="center"/>
          </w:tcPr>
          <w:p>
            <w:pPr>
              <w:pStyle w:val="25"/>
              <w:spacing w:beforeLines="0" w:afterLines="0" w:line="240" w:lineRule="auto"/>
              <w:rPr>
                <w:rFonts w:hint="eastAsia" w:ascii="Times New Roman" w:eastAsia="黑体"/>
                <w:snapToGrid w:val="0"/>
                <w:color w:val="000000"/>
                <w:spacing w:val="-16"/>
                <w:kern w:val="21"/>
                <w:szCs w:val="21"/>
                <w:highlight w:val="none"/>
              </w:rPr>
            </w:pPr>
            <w:r>
              <w:rPr>
                <w:rFonts w:ascii="Times New Roman" w:eastAsia="黑体"/>
                <w:snapToGrid w:val="0"/>
                <w:color w:val="000000"/>
                <w:spacing w:val="-16"/>
                <w:kern w:val="21"/>
                <w:szCs w:val="21"/>
                <w:highlight w:val="none"/>
              </w:rPr>
              <w:t>以新带老削减量</w:t>
            </w:r>
          </w:p>
          <w:p>
            <w:pPr>
              <w:pStyle w:val="25"/>
              <w:spacing w:beforeLines="0" w:afterLines="0" w:line="240" w:lineRule="auto"/>
              <w:rPr>
                <w:rFonts w:ascii="Times New Roman" w:eastAsia="黑体"/>
                <w:snapToGrid w:val="0"/>
                <w:color w:val="000000"/>
                <w:spacing w:val="-16"/>
                <w:kern w:val="21"/>
                <w:szCs w:val="21"/>
                <w:highlight w:val="none"/>
              </w:rPr>
            </w:pPr>
            <w:r>
              <w:rPr>
                <w:rFonts w:ascii="Times New Roman" w:eastAsia="黑体"/>
                <w:snapToGrid w:val="0"/>
                <w:color w:val="000000"/>
                <w:spacing w:val="-16"/>
                <w:kern w:val="21"/>
                <w:szCs w:val="21"/>
                <w:highlight w:val="none"/>
              </w:rPr>
              <w:t>（新建项目不填）</w:t>
            </w:r>
            <w:r>
              <w:rPr>
                <w:rFonts w:ascii="Times New Roman" w:eastAsia="黑体"/>
                <w:snapToGrid w:val="0"/>
                <w:color w:val="000000"/>
                <w:spacing w:val="-16"/>
                <w:kern w:val="21"/>
                <w:szCs w:val="21"/>
                <w:highlight w:val="none"/>
              </w:rPr>
              <w:fldChar w:fldCharType="begin"/>
            </w:r>
            <w:r>
              <w:rPr>
                <w:rFonts w:ascii="Times New Roman" w:eastAsia="黑体"/>
                <w:snapToGrid w:val="0"/>
                <w:color w:val="000000"/>
                <w:spacing w:val="-16"/>
                <w:kern w:val="21"/>
                <w:szCs w:val="21"/>
                <w:highlight w:val="none"/>
              </w:rPr>
              <w:instrText xml:space="preserve"> = 5 \* GB3 \* MERGEFORMAT </w:instrText>
            </w:r>
            <w:r>
              <w:rPr>
                <w:rFonts w:ascii="Times New Roman" w:eastAsia="黑体"/>
                <w:snapToGrid w:val="0"/>
                <w:color w:val="000000"/>
                <w:spacing w:val="-16"/>
                <w:kern w:val="21"/>
                <w:szCs w:val="21"/>
                <w:highlight w:val="none"/>
              </w:rPr>
              <w:fldChar w:fldCharType="separate"/>
            </w:r>
            <w:r>
              <w:rPr>
                <w:rFonts w:hint="eastAsia" w:ascii="Times New Roman" w:eastAsia="黑体" w:cs="宋体"/>
                <w:kern w:val="2"/>
                <w:szCs w:val="21"/>
                <w:highlight w:val="none"/>
              </w:rPr>
              <w:t>⑤</w:t>
            </w:r>
            <w:r>
              <w:rPr>
                <w:rFonts w:ascii="Times New Roman" w:eastAsia="黑体"/>
                <w:snapToGrid w:val="0"/>
                <w:color w:val="000000"/>
                <w:spacing w:val="-16"/>
                <w:kern w:val="21"/>
                <w:szCs w:val="21"/>
                <w:highlight w:val="none"/>
              </w:rPr>
              <w:fldChar w:fldCharType="end"/>
            </w:r>
          </w:p>
        </w:tc>
        <w:tc>
          <w:tcPr>
            <w:tcW w:w="1852" w:type="dxa"/>
            <w:noWrap w:val="0"/>
            <w:tcMar>
              <w:left w:w="28" w:type="dxa"/>
              <w:right w:w="28" w:type="dxa"/>
            </w:tcMar>
            <w:vAlign w:val="center"/>
          </w:tcPr>
          <w:p>
            <w:pPr>
              <w:pStyle w:val="25"/>
              <w:spacing w:beforeLines="0" w:afterLines="0" w:line="240" w:lineRule="auto"/>
              <w:rPr>
                <w:rFonts w:hint="eastAsia" w:ascii="Times New Roman" w:eastAsia="黑体"/>
                <w:snapToGrid w:val="0"/>
                <w:color w:val="000000"/>
                <w:spacing w:val="-16"/>
                <w:kern w:val="21"/>
                <w:szCs w:val="21"/>
                <w:highlight w:val="none"/>
              </w:rPr>
            </w:pPr>
            <w:r>
              <w:rPr>
                <w:rFonts w:ascii="Times New Roman" w:eastAsia="黑体"/>
                <w:snapToGrid w:val="0"/>
                <w:color w:val="000000"/>
                <w:spacing w:val="-16"/>
                <w:kern w:val="21"/>
                <w:szCs w:val="21"/>
                <w:highlight w:val="none"/>
              </w:rPr>
              <w:t>本项目建成后</w:t>
            </w:r>
          </w:p>
          <w:p>
            <w:pPr>
              <w:pStyle w:val="25"/>
              <w:spacing w:beforeLines="0" w:afterLines="0" w:line="240" w:lineRule="auto"/>
              <w:rPr>
                <w:rFonts w:ascii="Times New Roman" w:eastAsia="黑体"/>
                <w:snapToGrid w:val="0"/>
                <w:color w:val="000000"/>
                <w:spacing w:val="-16"/>
                <w:kern w:val="21"/>
                <w:szCs w:val="21"/>
                <w:highlight w:val="none"/>
              </w:rPr>
            </w:pPr>
            <w:r>
              <w:rPr>
                <w:rFonts w:hint="eastAsia" w:ascii="Times New Roman" w:eastAsia="黑体"/>
                <w:snapToGrid w:val="0"/>
                <w:color w:val="000000"/>
                <w:spacing w:val="-16"/>
                <w:kern w:val="21"/>
                <w:szCs w:val="21"/>
                <w:highlight w:val="none"/>
              </w:rPr>
              <w:t>全厂</w:t>
            </w:r>
            <w:r>
              <w:rPr>
                <w:rFonts w:ascii="Times New Roman" w:eastAsia="黑体"/>
                <w:snapToGrid w:val="0"/>
                <w:color w:val="000000"/>
                <w:spacing w:val="-16"/>
                <w:kern w:val="21"/>
                <w:szCs w:val="21"/>
                <w:highlight w:val="none"/>
              </w:rPr>
              <w:t>排放量（固</w:t>
            </w:r>
            <w:r>
              <w:rPr>
                <w:rFonts w:hint="eastAsia" w:ascii="Times New Roman" w:eastAsia="黑体"/>
                <w:snapToGrid w:val="0"/>
                <w:color w:val="000000"/>
                <w:spacing w:val="-16"/>
                <w:kern w:val="21"/>
                <w:szCs w:val="21"/>
                <w:highlight w:val="none"/>
              </w:rPr>
              <w:t>体</w:t>
            </w:r>
            <w:r>
              <w:rPr>
                <w:rFonts w:ascii="Times New Roman" w:eastAsia="黑体"/>
                <w:snapToGrid w:val="0"/>
                <w:color w:val="000000"/>
                <w:spacing w:val="-16"/>
                <w:kern w:val="21"/>
                <w:szCs w:val="21"/>
                <w:highlight w:val="none"/>
              </w:rPr>
              <w:t>废</w:t>
            </w:r>
            <w:r>
              <w:rPr>
                <w:rFonts w:hint="eastAsia" w:ascii="Times New Roman" w:eastAsia="黑体"/>
                <w:snapToGrid w:val="0"/>
                <w:color w:val="000000"/>
                <w:spacing w:val="-16"/>
                <w:kern w:val="21"/>
                <w:szCs w:val="21"/>
                <w:highlight w:val="none"/>
              </w:rPr>
              <w:t>物</w:t>
            </w:r>
            <w:r>
              <w:rPr>
                <w:rFonts w:ascii="Times New Roman" w:eastAsia="黑体"/>
                <w:snapToGrid w:val="0"/>
                <w:color w:val="000000"/>
                <w:spacing w:val="-16"/>
                <w:kern w:val="21"/>
                <w:szCs w:val="21"/>
                <w:highlight w:val="none"/>
              </w:rPr>
              <w:t>产生量）</w:t>
            </w:r>
            <w:r>
              <w:rPr>
                <w:rFonts w:ascii="Times New Roman" w:eastAsia="黑体"/>
                <w:snapToGrid w:val="0"/>
                <w:color w:val="000000"/>
                <w:spacing w:val="-16"/>
                <w:kern w:val="21"/>
                <w:szCs w:val="21"/>
                <w:highlight w:val="none"/>
              </w:rPr>
              <w:fldChar w:fldCharType="begin"/>
            </w:r>
            <w:r>
              <w:rPr>
                <w:rFonts w:ascii="Times New Roman" w:eastAsia="黑体"/>
                <w:snapToGrid w:val="0"/>
                <w:color w:val="000000"/>
                <w:spacing w:val="-16"/>
                <w:kern w:val="21"/>
                <w:szCs w:val="21"/>
                <w:highlight w:val="none"/>
              </w:rPr>
              <w:instrText xml:space="preserve"> = 6 \* GB3 \* MERGEFORMAT </w:instrText>
            </w:r>
            <w:r>
              <w:rPr>
                <w:rFonts w:ascii="Times New Roman" w:eastAsia="黑体"/>
                <w:snapToGrid w:val="0"/>
                <w:color w:val="000000"/>
                <w:spacing w:val="-16"/>
                <w:kern w:val="21"/>
                <w:szCs w:val="21"/>
                <w:highlight w:val="none"/>
              </w:rPr>
              <w:fldChar w:fldCharType="separate"/>
            </w:r>
            <w:r>
              <w:rPr>
                <w:rFonts w:hint="eastAsia" w:ascii="Times New Roman" w:eastAsia="黑体" w:cs="宋体"/>
                <w:kern w:val="2"/>
                <w:szCs w:val="21"/>
                <w:highlight w:val="none"/>
              </w:rPr>
              <w:t>⑥</w:t>
            </w:r>
            <w:r>
              <w:rPr>
                <w:rFonts w:ascii="Times New Roman" w:eastAsia="黑体"/>
                <w:snapToGrid w:val="0"/>
                <w:color w:val="000000"/>
                <w:spacing w:val="-16"/>
                <w:kern w:val="21"/>
                <w:szCs w:val="21"/>
                <w:highlight w:val="none"/>
              </w:rPr>
              <w:fldChar w:fldCharType="end"/>
            </w:r>
          </w:p>
        </w:tc>
        <w:tc>
          <w:tcPr>
            <w:tcW w:w="933" w:type="dxa"/>
            <w:noWrap w:val="0"/>
            <w:tcMar>
              <w:left w:w="28" w:type="dxa"/>
              <w:right w:w="28" w:type="dxa"/>
            </w:tcMar>
            <w:vAlign w:val="center"/>
          </w:tcPr>
          <w:p>
            <w:pPr>
              <w:pStyle w:val="25"/>
              <w:spacing w:beforeLines="0" w:afterLines="0" w:line="240" w:lineRule="auto"/>
              <w:rPr>
                <w:rFonts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t>变化量</w:t>
            </w:r>
          </w:p>
          <w:p>
            <w:pPr>
              <w:pStyle w:val="25"/>
              <w:spacing w:beforeLines="0" w:afterLines="0" w:line="240" w:lineRule="auto"/>
              <w:rPr>
                <w:rFonts w:ascii="Times New Roman" w:eastAsia="黑体"/>
                <w:snapToGrid w:val="0"/>
                <w:color w:val="000000"/>
                <w:spacing w:val="-6"/>
                <w:kern w:val="21"/>
                <w:szCs w:val="21"/>
                <w:highlight w:val="none"/>
              </w:rPr>
            </w:pPr>
            <w:r>
              <w:rPr>
                <w:rFonts w:ascii="Times New Roman" w:eastAsia="黑体"/>
                <w:snapToGrid w:val="0"/>
                <w:color w:val="000000"/>
                <w:spacing w:val="-6"/>
                <w:kern w:val="21"/>
                <w:szCs w:val="21"/>
                <w:highlight w:val="none"/>
              </w:rPr>
              <w:fldChar w:fldCharType="begin"/>
            </w:r>
            <w:r>
              <w:rPr>
                <w:rFonts w:ascii="Times New Roman" w:eastAsia="黑体"/>
                <w:snapToGrid w:val="0"/>
                <w:color w:val="000000"/>
                <w:spacing w:val="-6"/>
                <w:kern w:val="21"/>
                <w:szCs w:val="21"/>
                <w:highlight w:val="none"/>
              </w:rPr>
              <w:instrText xml:space="preserve"> = 7 \* GB3 \* MERGEFORMAT </w:instrText>
            </w:r>
            <w:r>
              <w:rPr>
                <w:rFonts w:ascii="Times New Roman" w:eastAsia="黑体"/>
                <w:snapToGrid w:val="0"/>
                <w:color w:val="000000"/>
                <w:spacing w:val="-6"/>
                <w:kern w:val="21"/>
                <w:szCs w:val="21"/>
                <w:highlight w:val="none"/>
              </w:rPr>
              <w:fldChar w:fldCharType="separate"/>
            </w:r>
            <w:r>
              <w:rPr>
                <w:rFonts w:hint="eastAsia" w:ascii="Times New Roman" w:eastAsia="黑体" w:cs="宋体"/>
                <w:kern w:val="2"/>
                <w:szCs w:val="21"/>
                <w:highlight w:val="none"/>
              </w:rPr>
              <w:t>⑦</w:t>
            </w:r>
            <w:r>
              <w:rPr>
                <w:rFonts w:ascii="Times New Roman" w:eastAsia="黑体"/>
                <w:snapToGrid w:val="0"/>
                <w:color w:val="000000"/>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5" w:type="dxa"/>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废气</w:t>
            </w:r>
          </w:p>
        </w:tc>
        <w:tc>
          <w:tcPr>
            <w:tcW w:w="1700"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eastAsia="zh-CN"/>
              </w:rPr>
            </w:pPr>
            <w:r>
              <w:rPr>
                <w:rFonts w:hint="default" w:ascii="Times New Roman" w:hAnsi="Times New Roman" w:cs="Times New Roman"/>
                <w:snapToGrid w:val="0"/>
                <w:color w:val="000000"/>
                <w:kern w:val="21"/>
                <w:sz w:val="21"/>
                <w:szCs w:val="21"/>
                <w:highlight w:val="none"/>
                <w:lang w:eastAsia="zh-CN"/>
              </w:rPr>
              <w:t>非甲烷总烃（</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0.1896</w:t>
            </w:r>
          </w:p>
        </w:tc>
        <w:tc>
          <w:tcPr>
            <w:tcW w:w="1276"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559"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0.1352</w:t>
            </w:r>
          </w:p>
        </w:tc>
        <w:tc>
          <w:tcPr>
            <w:tcW w:w="176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0.1728</w:t>
            </w:r>
          </w:p>
        </w:tc>
        <w:tc>
          <w:tcPr>
            <w:tcW w:w="1852"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0.152</w:t>
            </w:r>
          </w:p>
        </w:tc>
        <w:tc>
          <w:tcPr>
            <w:tcW w:w="933"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-0.0376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5" w:type="dxa"/>
            <w:vMerge w:val="restart"/>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废水</w:t>
            </w:r>
          </w:p>
        </w:tc>
        <w:tc>
          <w:tcPr>
            <w:tcW w:w="1700"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COD</w:t>
            </w:r>
            <w:r>
              <w:rPr>
                <w:rFonts w:hint="default" w:ascii="Times New Roman" w:hAnsi="Times New Roman" w:cs="Times New Roman"/>
                <w:snapToGrid w:val="0"/>
                <w:color w:val="000000"/>
                <w:kern w:val="21"/>
                <w:sz w:val="21"/>
                <w:szCs w:val="21"/>
                <w:highlight w:val="none"/>
                <w:lang w:eastAsia="zh-CN"/>
              </w:rPr>
              <w:t>（</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276"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559"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6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852"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933"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5" w:type="dxa"/>
            <w:vMerge w:val="continue"/>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p>
        </w:tc>
        <w:tc>
          <w:tcPr>
            <w:tcW w:w="1700"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NH</w:t>
            </w:r>
            <w:r>
              <w:rPr>
                <w:rFonts w:hint="default" w:ascii="Times New Roman" w:hAnsi="Times New Roman" w:cs="Times New Roman"/>
                <w:snapToGrid w:val="0"/>
                <w:color w:val="000000"/>
                <w:kern w:val="21"/>
                <w:sz w:val="21"/>
                <w:szCs w:val="21"/>
                <w:highlight w:val="none"/>
                <w:vertAlign w:val="subscript"/>
                <w:lang w:val="en-US" w:eastAsia="zh-CN"/>
              </w:rPr>
              <w:t>3</w:t>
            </w:r>
            <w:r>
              <w:rPr>
                <w:rFonts w:hint="default" w:ascii="Times New Roman" w:hAnsi="Times New Roman" w:cs="Times New Roman"/>
                <w:snapToGrid w:val="0"/>
                <w:color w:val="000000"/>
                <w:kern w:val="21"/>
                <w:sz w:val="21"/>
                <w:szCs w:val="21"/>
                <w:highlight w:val="none"/>
                <w:lang w:val="en-US" w:eastAsia="zh-CN"/>
              </w:rPr>
              <w:t>-N</w:t>
            </w:r>
            <w:r>
              <w:rPr>
                <w:rFonts w:hint="default" w:ascii="Times New Roman" w:hAnsi="Times New Roman" w:cs="Times New Roman"/>
                <w:snapToGrid w:val="0"/>
                <w:color w:val="000000"/>
                <w:kern w:val="21"/>
                <w:sz w:val="21"/>
                <w:szCs w:val="21"/>
                <w:highlight w:val="none"/>
                <w:lang w:eastAsia="zh-CN"/>
              </w:rPr>
              <w:t>（</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276"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559"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6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852"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933"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5" w:type="dxa"/>
            <w:vMerge w:val="restart"/>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一般工业</w:t>
            </w:r>
          </w:p>
          <w:p>
            <w:pPr>
              <w:pStyle w:val="2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固体废物</w:t>
            </w:r>
          </w:p>
        </w:tc>
        <w:tc>
          <w:tcPr>
            <w:tcW w:w="1700" w:type="dxa"/>
            <w:noWrap w:val="0"/>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eastAsiaTheme="majorEastAsia"/>
                <w:color w:val="auto"/>
                <w:sz w:val="21"/>
                <w:szCs w:val="21"/>
                <w:highlight w:val="none"/>
                <w:vertAlign w:val="baseline"/>
                <w:lang w:val="en-US" w:eastAsia="zh-CN"/>
              </w:rPr>
              <w:t>废料</w:t>
            </w:r>
            <w:r>
              <w:rPr>
                <w:rFonts w:hint="default" w:ascii="Times New Roman" w:hAnsi="Times New Roman" w:cs="Times New Roman"/>
                <w:snapToGrid w:val="0"/>
                <w:color w:val="000000"/>
                <w:kern w:val="21"/>
                <w:sz w:val="21"/>
                <w:szCs w:val="21"/>
                <w:highlight w:val="none"/>
                <w:lang w:eastAsia="zh-CN"/>
              </w:rPr>
              <w:t>（</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3</w:t>
            </w:r>
          </w:p>
        </w:tc>
        <w:tc>
          <w:tcPr>
            <w:tcW w:w="1276"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559"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2.6</w:t>
            </w:r>
          </w:p>
        </w:tc>
        <w:tc>
          <w:tcPr>
            <w:tcW w:w="176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852"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5.6</w:t>
            </w:r>
          </w:p>
        </w:tc>
        <w:tc>
          <w:tcPr>
            <w:tcW w:w="933"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5" w:type="dxa"/>
            <w:vMerge w:val="continue"/>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p>
        </w:tc>
        <w:tc>
          <w:tcPr>
            <w:tcW w:w="1700" w:type="dxa"/>
            <w:noWrap w:val="0"/>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eastAsiaTheme="majorEastAsia"/>
                <w:color w:val="auto"/>
                <w:sz w:val="21"/>
                <w:szCs w:val="21"/>
                <w:highlight w:val="none"/>
                <w:vertAlign w:val="baseline"/>
                <w:lang w:val="en-US" w:eastAsia="zh-CN"/>
              </w:rPr>
              <w:t>不合格品</w:t>
            </w:r>
            <w:r>
              <w:rPr>
                <w:rFonts w:hint="default" w:ascii="Times New Roman" w:hAnsi="Times New Roman" w:cs="Times New Roman"/>
                <w:snapToGrid w:val="0"/>
                <w:color w:val="000000"/>
                <w:kern w:val="21"/>
                <w:sz w:val="21"/>
                <w:szCs w:val="21"/>
                <w:highlight w:val="none"/>
                <w:lang w:eastAsia="zh-CN"/>
              </w:rPr>
              <w:t>（</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701" w:type="dxa"/>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lang w:val="en-US" w:eastAsia="zh-CN"/>
              </w:rPr>
              <w:t>0.5</w:t>
            </w:r>
          </w:p>
        </w:tc>
        <w:tc>
          <w:tcPr>
            <w:tcW w:w="1276"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559"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1</w:t>
            </w:r>
          </w:p>
        </w:tc>
        <w:tc>
          <w:tcPr>
            <w:tcW w:w="176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852"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1.5</w:t>
            </w:r>
          </w:p>
        </w:tc>
        <w:tc>
          <w:tcPr>
            <w:tcW w:w="933"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5" w:type="dxa"/>
            <w:vMerge w:val="continue"/>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p>
        </w:tc>
        <w:tc>
          <w:tcPr>
            <w:tcW w:w="1700" w:type="dxa"/>
            <w:noWrap w:val="0"/>
            <w:vAlign w:val="center"/>
          </w:tcPr>
          <w:p>
            <w:pPr>
              <w:pStyle w:val="4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ajorEastAsia"/>
                <w:color w:val="auto"/>
                <w:sz w:val="21"/>
                <w:szCs w:val="21"/>
                <w:highlight w:val="none"/>
                <w:vertAlign w:val="baseline"/>
                <w:lang w:val="en-US" w:eastAsia="zh-CN"/>
              </w:rPr>
            </w:pPr>
            <w:r>
              <w:rPr>
                <w:rFonts w:hint="default" w:ascii="Times New Roman" w:hAnsi="Times New Roman" w:cs="Times New Roman" w:eastAsiaTheme="majorEastAsia"/>
                <w:color w:val="auto"/>
                <w:sz w:val="21"/>
                <w:szCs w:val="21"/>
                <w:highlight w:val="none"/>
                <w:vertAlign w:val="baseline"/>
                <w:lang w:val="en-US" w:eastAsia="zh-CN"/>
              </w:rPr>
              <w:t>废包装袋</w:t>
            </w:r>
            <w:r>
              <w:rPr>
                <w:rFonts w:hint="default" w:ascii="Times New Roman" w:hAnsi="Times New Roman" w:cs="Times New Roman"/>
                <w:snapToGrid w:val="0"/>
                <w:color w:val="000000"/>
                <w:kern w:val="21"/>
                <w:sz w:val="21"/>
                <w:szCs w:val="21"/>
                <w:highlight w:val="none"/>
                <w:lang w:eastAsia="zh-CN"/>
              </w:rPr>
              <w:t>（</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701" w:type="dxa"/>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276" w:type="dxa"/>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01" w:type="dxa"/>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559" w:type="dxa"/>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0.5</w:t>
            </w:r>
          </w:p>
        </w:tc>
        <w:tc>
          <w:tcPr>
            <w:tcW w:w="176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852"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0.5</w:t>
            </w:r>
          </w:p>
        </w:tc>
        <w:tc>
          <w:tcPr>
            <w:tcW w:w="933"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5" w:type="dxa"/>
            <w:vMerge w:val="restart"/>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危险废物</w:t>
            </w:r>
          </w:p>
        </w:tc>
        <w:tc>
          <w:tcPr>
            <w:tcW w:w="1700"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eastAsia="zh-CN"/>
              </w:rPr>
            </w:pPr>
            <w:r>
              <w:rPr>
                <w:rFonts w:hint="default" w:ascii="Times New Roman" w:hAnsi="Times New Roman" w:cs="Times New Roman"/>
                <w:snapToGrid w:val="0"/>
                <w:color w:val="000000"/>
                <w:kern w:val="21"/>
                <w:sz w:val="21"/>
                <w:szCs w:val="21"/>
                <w:highlight w:val="none"/>
                <w:lang w:eastAsia="zh-CN"/>
              </w:rPr>
              <w:t>废活性炭（</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276"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559"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0.05</w:t>
            </w:r>
          </w:p>
        </w:tc>
        <w:tc>
          <w:tcPr>
            <w:tcW w:w="176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852" w:type="dxa"/>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lang w:val="en-US" w:eastAsia="zh-CN"/>
              </w:rPr>
              <w:t>0.05</w:t>
            </w:r>
          </w:p>
        </w:tc>
        <w:tc>
          <w:tcPr>
            <w:tcW w:w="933"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 w:val="21"/>
                <w:szCs w:val="21"/>
                <w:highlight w:val="none"/>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5" w:type="dxa"/>
            <w:vMerge w:val="continue"/>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p>
        </w:tc>
        <w:tc>
          <w:tcPr>
            <w:tcW w:w="1700"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eastAsia="zh-CN"/>
              </w:rPr>
            </w:pPr>
            <w:r>
              <w:rPr>
                <w:rFonts w:hint="default" w:ascii="Times New Roman" w:hAnsi="Times New Roman" w:cs="Times New Roman"/>
                <w:snapToGrid w:val="0"/>
                <w:color w:val="000000"/>
                <w:kern w:val="21"/>
                <w:sz w:val="21"/>
                <w:szCs w:val="21"/>
                <w:highlight w:val="none"/>
                <w:lang w:eastAsia="zh-CN"/>
              </w:rPr>
              <w:t>废液压油（</w:t>
            </w:r>
            <w:r>
              <w:rPr>
                <w:rFonts w:hint="default" w:ascii="Times New Roman" w:hAnsi="Times New Roman" w:cs="Times New Roman"/>
                <w:snapToGrid w:val="0"/>
                <w:color w:val="000000"/>
                <w:kern w:val="21"/>
                <w:sz w:val="21"/>
                <w:szCs w:val="21"/>
                <w:highlight w:val="none"/>
                <w:lang w:val="en-US" w:eastAsia="zh-CN"/>
              </w:rPr>
              <w:t>t/a</w:t>
            </w:r>
            <w:r>
              <w:rPr>
                <w:rFonts w:hint="default" w:ascii="Times New Roman" w:hAnsi="Times New Roman" w:cs="Times New Roman"/>
                <w:snapToGrid w:val="0"/>
                <w:color w:val="000000"/>
                <w:kern w:val="21"/>
                <w:sz w:val="21"/>
                <w:szCs w:val="21"/>
                <w:highlight w:val="none"/>
                <w:lang w:eastAsia="zh-CN"/>
              </w:rPr>
              <w:t>）</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276"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70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559"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0.06</w:t>
            </w:r>
          </w:p>
        </w:tc>
        <w:tc>
          <w:tcPr>
            <w:tcW w:w="1761"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p>
        </w:tc>
        <w:tc>
          <w:tcPr>
            <w:tcW w:w="1852" w:type="dxa"/>
            <w:noWrap w:val="0"/>
            <w:vAlign w:val="center"/>
          </w:tcPr>
          <w:p>
            <w:pPr>
              <w:pStyle w:val="2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lang w:val="en-US" w:eastAsia="zh-CN"/>
              </w:rPr>
              <w:t>0.06</w:t>
            </w:r>
          </w:p>
        </w:tc>
        <w:tc>
          <w:tcPr>
            <w:tcW w:w="933" w:type="dxa"/>
            <w:noWrap w:val="0"/>
            <w:vAlign w:val="center"/>
          </w:tcPr>
          <w:p>
            <w:pPr>
              <w:pStyle w:val="2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 w:val="21"/>
                <w:szCs w:val="21"/>
                <w:highlight w:val="none"/>
                <w:lang w:val="en-US" w:eastAsia="zh-CN"/>
              </w:rPr>
              <w:t>+0.06</w:t>
            </w:r>
          </w:p>
        </w:tc>
      </w:tr>
    </w:tbl>
    <w:p>
      <w:pPr>
        <w:pStyle w:val="25"/>
        <w:spacing w:before="192" w:beforeLines="80" w:after="24"/>
        <w:jc w:val="left"/>
        <w:rPr>
          <w:rFonts w:hint="eastAsia" w:ascii="Times New Roman"/>
          <w:snapToGrid w:val="0"/>
          <w:color w:val="000000"/>
          <w:spacing w:val="-6"/>
          <w:kern w:val="21"/>
          <w:szCs w:val="21"/>
          <w:highlight w:val="none"/>
        </w:rPr>
      </w:pPr>
      <w:r>
        <w:rPr>
          <w:rFonts w:ascii="Times New Roman"/>
          <w:snapToGrid w:val="0"/>
          <w:color w:val="000000"/>
          <w:kern w:val="21"/>
          <w:szCs w:val="21"/>
          <w:highlight w:val="none"/>
        </w:rPr>
        <w:t>注：</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6 \* GB3 \* MERGEFORMAT </w:instrText>
      </w:r>
      <w:r>
        <w:rPr>
          <w:rFonts w:ascii="Times New Roman"/>
          <w:snapToGrid w:val="0"/>
          <w:color w:val="000000"/>
          <w:spacing w:val="-16"/>
          <w:kern w:val="21"/>
          <w:szCs w:val="21"/>
          <w:highlight w:val="none"/>
        </w:rPr>
        <w:fldChar w:fldCharType="separate"/>
      </w:r>
      <w:r>
        <w:rPr>
          <w:rFonts w:hint="eastAsia" w:ascii="Times New Roman"/>
          <w:szCs w:val="21"/>
          <w:highlight w:val="none"/>
        </w:rPr>
        <w:t>⑥</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1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①</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3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③</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4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④</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5 \* GB3 \* MERGEFORMAT </w:instrText>
      </w:r>
      <w:r>
        <w:rPr>
          <w:rFonts w:ascii="Times New Roman"/>
          <w:snapToGrid w:val="0"/>
          <w:color w:val="000000"/>
          <w:spacing w:val="-16"/>
          <w:kern w:val="21"/>
          <w:szCs w:val="21"/>
          <w:highlight w:val="none"/>
        </w:rPr>
        <w:fldChar w:fldCharType="separate"/>
      </w:r>
      <w:r>
        <w:rPr>
          <w:rFonts w:hint="eastAsia" w:ascii="Times New Roman"/>
          <w:szCs w:val="21"/>
          <w:highlight w:val="none"/>
        </w:rPr>
        <w:t>⑤</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7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⑦</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6 \* GB3 \* MERGEFORMAT </w:instrText>
      </w:r>
      <w:r>
        <w:rPr>
          <w:rFonts w:ascii="Times New Roman"/>
          <w:snapToGrid w:val="0"/>
          <w:color w:val="000000"/>
          <w:spacing w:val="-16"/>
          <w:kern w:val="21"/>
          <w:szCs w:val="21"/>
          <w:highlight w:val="none"/>
        </w:rPr>
        <w:fldChar w:fldCharType="separate"/>
      </w:r>
      <w:r>
        <w:rPr>
          <w:rFonts w:hint="eastAsia" w:ascii="Times New Roman"/>
          <w:szCs w:val="21"/>
          <w:highlight w:val="none"/>
        </w:rPr>
        <w:t>⑥</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1 \* GB3 \* MERGEFORMAT </w:instrText>
      </w:r>
      <w:r>
        <w:rPr>
          <w:rFonts w:ascii="Times New Roman"/>
          <w:snapToGrid w:val="0"/>
          <w:color w:val="000000"/>
          <w:spacing w:val="-6"/>
          <w:kern w:val="21"/>
          <w:szCs w:val="21"/>
          <w:highlight w:val="none"/>
        </w:rPr>
        <w:fldChar w:fldCharType="separate"/>
      </w:r>
      <w:r>
        <w:rPr>
          <w:rFonts w:hint="eastAsia" w:ascii="Times New Roman"/>
          <w:szCs w:val="21"/>
          <w:highlight w:val="none"/>
        </w:rPr>
        <w:t>①</w:t>
      </w:r>
      <w:r>
        <w:rPr>
          <w:rFonts w:ascii="Times New Roman"/>
          <w:snapToGrid w:val="0"/>
          <w:color w:val="000000"/>
          <w:spacing w:val="-6"/>
          <w:kern w:val="21"/>
          <w:szCs w:val="21"/>
          <w:highlight w:val="none"/>
        </w:rPr>
        <w:fldChar w:fldCharType="end"/>
      </w:r>
    </w:p>
    <w:p>
      <w:pPr>
        <w:rPr>
          <w:rFonts w:hint="eastAsia"/>
          <w:highlight w:val="cyan"/>
        </w:rPr>
      </w:pPr>
    </w:p>
    <w:p>
      <w:pPr>
        <w:rPr>
          <w:rFonts w:hint="eastAsia"/>
          <w:highlight w:val="cyan"/>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sectPr>
          <w:footerReference r:id="rId6" w:type="default"/>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51689984" behindDoc="0" locked="0" layoutInCell="1" allowOverlap="1">
            <wp:simplePos x="0" y="0"/>
            <wp:positionH relativeFrom="column">
              <wp:posOffset>809625</wp:posOffset>
            </wp:positionH>
            <wp:positionV relativeFrom="paragraph">
              <wp:posOffset>26670</wp:posOffset>
            </wp:positionV>
            <wp:extent cx="7393305" cy="5283200"/>
            <wp:effectExtent l="0" t="0" r="17145" b="12700"/>
            <wp:wrapNone/>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3"/>
                    <a:stretch>
                      <a:fillRect/>
                    </a:stretch>
                  </pic:blipFill>
                  <pic:spPr>
                    <a:xfrm>
                      <a:off x="0" y="0"/>
                      <a:ext cx="7393305" cy="5283200"/>
                    </a:xfrm>
                    <a:prstGeom prst="rect">
                      <a:avLst/>
                    </a:prstGeom>
                    <a:noFill/>
                    <a:ln>
                      <a:noFill/>
                    </a:ln>
                  </pic:spPr>
                </pic:pic>
              </a:graphicData>
            </a:graphic>
          </wp:anchor>
        </w:drawing>
      </w:r>
      <w:r>
        <w:rPr>
          <w:sz w:val="24"/>
        </w:rPr>
        <mc:AlternateContent>
          <mc:Choice Requires="wps">
            <w:drawing>
              <wp:anchor distT="0" distB="0" distL="114300" distR="114300" simplePos="0" relativeHeight="251668480" behindDoc="0" locked="0" layoutInCell="1" allowOverlap="1">
                <wp:simplePos x="0" y="0"/>
                <wp:positionH relativeFrom="column">
                  <wp:posOffset>2976880</wp:posOffset>
                </wp:positionH>
                <wp:positionV relativeFrom="paragraph">
                  <wp:posOffset>5313680</wp:posOffset>
                </wp:positionV>
                <wp:extent cx="2762250" cy="348615"/>
                <wp:effectExtent l="0" t="0" r="0" b="13335"/>
                <wp:wrapNone/>
                <wp:docPr id="3" name="文本框 3"/>
                <wp:cNvGraphicFramePr/>
                <a:graphic xmlns:a="http://schemas.openxmlformats.org/drawingml/2006/main">
                  <a:graphicData uri="http://schemas.microsoft.com/office/word/2010/wordprocessingShape">
                    <wps:wsp>
                      <wps:cNvSpPr txBox="1"/>
                      <wps:spPr>
                        <a:xfrm>
                          <a:off x="0" y="0"/>
                          <a:ext cx="2762250" cy="348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附图一</w:t>
                            </w:r>
                            <w:r>
                              <w:rPr>
                                <w:rFonts w:hint="eastAsia" w:ascii="黑体" w:hAnsi="黑体" w:eastAsia="黑体" w:cs="黑体"/>
                                <w:sz w:val="24"/>
                                <w:szCs w:val="24"/>
                                <w:lang w:val="en-US" w:eastAsia="zh-CN"/>
                              </w:rPr>
                              <w:t xml:space="preserve">   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4pt;margin-top:418.4pt;height:27.45pt;width:217.5pt;z-index:251668480;mso-width-relative:page;mso-height-relative:page;" fillcolor="#FFFFFF [3201]" filled="t" stroked="f" coordsize="21600,21600" o:gfxdata="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8vWBdYAAAALAQAADwAAAAAA&#10;AAABACAAAAAiAAAAZHJzL2Rvd25yZXYueG1sUEsBAhQAFAAAAAgAh07iQI6sPe5OAgAAjwQAAA4A&#10;AAAAAAAAAQAgAAAAJQEAAGRycy9lMm9Eb2MueG1sUEsFBgAAAAAGAAYAWQEAAOUFAAAAAA==&#10;">
                <v:fill on="t" focussize="0,0"/>
                <v:stroke on="f" weight="0.5pt"/>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附图一</w:t>
                      </w:r>
                      <w:r>
                        <w:rPr>
                          <w:rFonts w:hint="eastAsia" w:ascii="黑体" w:hAnsi="黑体" w:eastAsia="黑体" w:cs="黑体"/>
                          <w:sz w:val="24"/>
                          <w:szCs w:val="24"/>
                          <w:lang w:val="en-US" w:eastAsia="zh-CN"/>
                        </w:rPr>
                        <w:t xml:space="preserve">   项目地理位置图</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1289685</wp:posOffset>
                </wp:positionH>
                <wp:positionV relativeFrom="paragraph">
                  <wp:posOffset>8155305</wp:posOffset>
                </wp:positionV>
                <wp:extent cx="2489835" cy="36703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489835"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sz w:val="24"/>
                              </w:rPr>
                            </w:pPr>
                            <w:r>
                              <w:rPr>
                                <w:rFonts w:hint="eastAsia" w:ascii="黑体" w:hAnsi="黑体" w:eastAsia="黑体" w:cs="黑体"/>
                                <w:sz w:val="24"/>
                              </w:rPr>
                              <w:t>附图一   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5pt;margin-top:642.15pt;height:28.9pt;width:196.05pt;z-index:251665408;mso-width-relative:page;mso-height-relative:page;" filled="f" stroked="f" coordsize="21600,21600" o:gfxdata="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7yn+x3QAAAA0BAAAPAAAAAAAAAAEAIAAAACIA&#10;AABkcnMvZG93bnJldi54bWxQSwECFAAUAAAACACHTuJA5MOv3T0CAABmBAAADgAAAAAAAAABACAA&#10;AAAsAQAAZHJzL2Uyb0RvYy54bWxQSwUGAAAAAAYABgBZAQAA2wUAAAAA&#10;">
                <v:fill on="f" focussize="0,0"/>
                <v:stroke on="f" weight="0.5pt"/>
                <v:imagedata o:title=""/>
                <o:lock v:ext="edit" aspectratio="f"/>
                <v:textbox>
                  <w:txbxContent>
                    <w:p>
                      <w:pPr>
                        <w:jc w:val="center"/>
                        <w:rPr>
                          <w:rFonts w:ascii="黑体" w:hAnsi="黑体" w:eastAsia="黑体" w:cs="黑体"/>
                          <w:sz w:val="24"/>
                        </w:rPr>
                      </w:pPr>
                      <w:r>
                        <w:rPr>
                          <w:rFonts w:hint="eastAsia" w:ascii="黑体" w:hAnsi="黑体" w:eastAsia="黑体" w:cs="黑体"/>
                          <w:sz w:val="24"/>
                        </w:rPr>
                        <w:t>附图一   项目地理位置图</w:t>
                      </w:r>
                    </w:p>
                  </w:txbxContent>
                </v:textbox>
              </v:shape>
            </w:pict>
          </mc:Fallback>
        </mc:AlternateContent>
      </w:r>
    </w:p>
    <w:p>
      <w:pPr>
        <w:rPr>
          <w:rFonts w:hint="eastAsia" w:eastAsia="宋体"/>
          <w:lang w:eastAsia="zh-CN"/>
        </w:rPr>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51691008" behindDoc="0" locked="0" layoutInCell="1" allowOverlap="1">
            <wp:simplePos x="0" y="0"/>
            <wp:positionH relativeFrom="column">
              <wp:posOffset>285750</wp:posOffset>
            </wp:positionH>
            <wp:positionV relativeFrom="paragraph">
              <wp:posOffset>10160</wp:posOffset>
            </wp:positionV>
            <wp:extent cx="7826375" cy="5133340"/>
            <wp:effectExtent l="0" t="0" r="3175" b="10160"/>
            <wp:wrapNone/>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4"/>
                    <a:stretch>
                      <a:fillRect/>
                    </a:stretch>
                  </pic:blipFill>
                  <pic:spPr>
                    <a:xfrm>
                      <a:off x="0" y="0"/>
                      <a:ext cx="7826375" cy="5133340"/>
                    </a:xfrm>
                    <a:prstGeom prst="rect">
                      <a:avLst/>
                    </a:prstGeom>
                    <a:noFill/>
                    <a:ln>
                      <a:noFill/>
                    </a:ln>
                  </pic:spPr>
                </pic:pic>
              </a:graphicData>
            </a:graphic>
          </wp:anchor>
        </w:drawing>
      </w:r>
      <w:r>
        <w:rPr>
          <w:sz w:val="24"/>
        </w:rPr>
        <mc:AlternateContent>
          <mc:Choice Requires="wps">
            <w:drawing>
              <wp:anchor distT="0" distB="0" distL="114300" distR="114300" simplePos="0" relativeHeight="251664384" behindDoc="0" locked="0" layoutInCell="1" allowOverlap="1">
                <wp:simplePos x="0" y="0"/>
                <wp:positionH relativeFrom="column">
                  <wp:posOffset>3185795</wp:posOffset>
                </wp:positionH>
                <wp:positionV relativeFrom="paragraph">
                  <wp:posOffset>5168265</wp:posOffset>
                </wp:positionV>
                <wp:extent cx="2762250" cy="348615"/>
                <wp:effectExtent l="0" t="0" r="0" b="13335"/>
                <wp:wrapNone/>
                <wp:docPr id="1" name="文本框 1"/>
                <wp:cNvGraphicFramePr/>
                <a:graphic xmlns:a="http://schemas.openxmlformats.org/drawingml/2006/main">
                  <a:graphicData uri="http://schemas.microsoft.com/office/word/2010/wordprocessingShape">
                    <wps:wsp>
                      <wps:cNvSpPr txBox="1"/>
                      <wps:spPr>
                        <a:xfrm>
                          <a:off x="4095750" y="6510655"/>
                          <a:ext cx="2762250" cy="348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附图二</w:t>
                            </w:r>
                            <w:r>
                              <w:rPr>
                                <w:rFonts w:hint="eastAsia" w:ascii="黑体" w:hAnsi="黑体" w:eastAsia="黑体" w:cs="黑体"/>
                                <w:sz w:val="24"/>
                                <w:szCs w:val="24"/>
                                <w:lang w:val="en-US" w:eastAsia="zh-CN"/>
                              </w:rPr>
                              <w:t xml:space="preserve">    项目周边环境示意图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85pt;margin-top:406.95pt;height:27.45pt;width:217.5pt;z-index:251664384;mso-width-relative:page;mso-height-relative:page;" fillcolor="#FFFFFF [3201]" filled="t" stroked="f" coordsize="21600,21600" o:gfxdata="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t1g61QAA&#10;AAsBAAAPAAAAAAAAAAEAIAAAACIAAABkcnMvZG93bnJldi54bWxQSwECFAAUAAAACACHTuJAoU7q&#10;XVoCAACbBAAADgAAAAAAAAABACAAAAAkAQAAZHJzL2Uyb0RvYy54bWxQSwUGAAAAAAYABgBZAQAA&#10;8AUAAAAA&#10;">
                <v:fill on="t" focussize="0,0"/>
                <v:stroke on="f" weight="0.5pt"/>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附图二</w:t>
                      </w:r>
                      <w:r>
                        <w:rPr>
                          <w:rFonts w:hint="eastAsia" w:ascii="黑体" w:hAnsi="黑体" w:eastAsia="黑体" w:cs="黑体"/>
                          <w:sz w:val="24"/>
                          <w:szCs w:val="24"/>
                          <w:lang w:val="en-US" w:eastAsia="zh-CN"/>
                        </w:rPr>
                        <w:t xml:space="preserve">    项目周边环境示意图</w:t>
                      </w:r>
                    </w:p>
                  </w:txbxContent>
                </v:textbox>
              </v:shape>
            </w:pict>
          </mc:Fallback>
        </mc:AlternateContent>
      </w:r>
    </w:p>
    <w:p>
      <w:pPr>
        <w:rPr>
          <w:rFonts w:hint="eastAsia" w:eastAsia="宋体"/>
          <w:lang w:eastAsia="zh-CN"/>
        </w:rPr>
        <w:sectPr>
          <w:pgSz w:w="16838" w:h="11906" w:orient="landscape"/>
          <w:pgMar w:top="1800" w:right="1440" w:bottom="1800" w:left="1440" w:header="851" w:footer="992" w:gutter="0"/>
          <w:cols w:space="425" w:num="1"/>
          <w:docGrid w:type="lines" w:linePitch="312" w:charSpace="0"/>
        </w:sectPr>
      </w:pPr>
      <w:r>
        <w:rPr>
          <w:sz w:val="24"/>
        </w:rPr>
        <mc:AlternateContent>
          <mc:Choice Requires="wps">
            <w:drawing>
              <wp:anchor distT="0" distB="0" distL="114300" distR="114300" simplePos="0" relativeHeight="251667456" behindDoc="0" locked="0" layoutInCell="1" allowOverlap="1">
                <wp:simplePos x="0" y="0"/>
                <wp:positionH relativeFrom="column">
                  <wp:posOffset>2922905</wp:posOffset>
                </wp:positionH>
                <wp:positionV relativeFrom="paragraph">
                  <wp:posOffset>5129530</wp:posOffset>
                </wp:positionV>
                <wp:extent cx="2892425" cy="348615"/>
                <wp:effectExtent l="0" t="0" r="3175" b="13335"/>
                <wp:wrapNone/>
                <wp:docPr id="5" name="文本框 5"/>
                <wp:cNvGraphicFramePr/>
                <a:graphic xmlns:a="http://schemas.openxmlformats.org/drawingml/2006/main">
                  <a:graphicData uri="http://schemas.microsoft.com/office/word/2010/wordprocessingShape">
                    <wps:wsp>
                      <wps:cNvSpPr txBox="1"/>
                      <wps:spPr>
                        <a:xfrm>
                          <a:off x="0" y="0"/>
                          <a:ext cx="2892425" cy="348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附图三</w:t>
                            </w:r>
                            <w:r>
                              <w:rPr>
                                <w:rFonts w:hint="eastAsia" w:ascii="黑体" w:hAnsi="黑体" w:eastAsia="黑体" w:cs="黑体"/>
                                <w:sz w:val="24"/>
                                <w:szCs w:val="24"/>
                                <w:lang w:val="en-US" w:eastAsia="zh-CN"/>
                              </w:rPr>
                              <w:t xml:space="preserve">    现有工程厂区平面布置图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15pt;margin-top:403.9pt;height:27.45pt;width:227.75pt;z-index:251667456;mso-width-relative:page;mso-height-relative:page;" fillcolor="#FFFFFF [3201]" filled="t" stroked="f" coordsize="21600,21600" o:gfxdata="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q8KYg1wAAAAsBAAAP&#10;AAAAAAAAAAEAIAAAACIAAABkcnMvZG93bnJldi54bWxQSwECFAAUAAAACACHTuJAjy0KYFICAACP&#10;BAAADgAAAAAAAAABACAAAAAmAQAAZHJzL2Uyb0RvYy54bWxQSwUGAAAAAAYABgBZAQAA6gUAAAAA&#10;">
                <v:fill on="t" focussize="0,0"/>
                <v:stroke on="f" weight="0.5pt"/>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附图三</w:t>
                      </w:r>
                      <w:r>
                        <w:rPr>
                          <w:rFonts w:hint="eastAsia" w:ascii="黑体" w:hAnsi="黑体" w:eastAsia="黑体" w:cs="黑体"/>
                          <w:sz w:val="24"/>
                          <w:szCs w:val="24"/>
                          <w:lang w:val="en-US" w:eastAsia="zh-CN"/>
                        </w:rPr>
                        <w:t xml:space="preserve">    现有工程厂区平面布置图</w:t>
                      </w:r>
                    </w:p>
                  </w:txbxContent>
                </v:textbox>
              </v:shape>
            </w:pict>
          </mc:Fallback>
        </mc:AlternateContent>
      </w:r>
      <w:r>
        <w:drawing>
          <wp:anchor distT="0" distB="0" distL="114300" distR="114300" simplePos="0" relativeHeight="251693056" behindDoc="0" locked="0" layoutInCell="1" allowOverlap="1">
            <wp:simplePos x="0" y="0"/>
            <wp:positionH relativeFrom="column">
              <wp:posOffset>698500</wp:posOffset>
            </wp:positionH>
            <wp:positionV relativeFrom="paragraph">
              <wp:posOffset>-8255</wp:posOffset>
            </wp:positionV>
            <wp:extent cx="7368540" cy="5121910"/>
            <wp:effectExtent l="0" t="0" r="3810" b="2540"/>
            <wp:wrapNone/>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5"/>
                    <a:stretch>
                      <a:fillRect/>
                    </a:stretch>
                  </pic:blipFill>
                  <pic:spPr>
                    <a:xfrm>
                      <a:off x="0" y="0"/>
                      <a:ext cx="7368540" cy="5121910"/>
                    </a:xfrm>
                    <a:prstGeom prst="rect">
                      <a:avLst/>
                    </a:prstGeom>
                    <a:noFill/>
                    <a:ln>
                      <a:noFill/>
                    </a:ln>
                  </pic:spPr>
                </pic:pic>
              </a:graphicData>
            </a:graphic>
          </wp:anchor>
        </w:drawing>
      </w:r>
      <w:r>
        <w:rPr>
          <w:sz w:val="24"/>
        </w:rPr>
        <mc:AlternateContent>
          <mc:Choice Requires="wps">
            <w:drawing>
              <wp:anchor distT="0" distB="0" distL="114300" distR="114300" simplePos="0" relativeHeight="251672576" behindDoc="0" locked="0" layoutInCell="1" allowOverlap="1">
                <wp:simplePos x="0" y="0"/>
                <wp:positionH relativeFrom="column">
                  <wp:posOffset>2234565</wp:posOffset>
                </wp:positionH>
                <wp:positionV relativeFrom="paragraph">
                  <wp:posOffset>5196205</wp:posOffset>
                </wp:positionV>
                <wp:extent cx="4415790" cy="348615"/>
                <wp:effectExtent l="0" t="0" r="3810" b="13335"/>
                <wp:wrapNone/>
                <wp:docPr id="6" name="文本框 6"/>
                <wp:cNvGraphicFramePr/>
                <a:graphic xmlns:a="http://schemas.openxmlformats.org/drawingml/2006/main">
                  <a:graphicData uri="http://schemas.microsoft.com/office/word/2010/wordprocessingShape">
                    <wps:wsp>
                      <wps:cNvSpPr txBox="1"/>
                      <wps:spPr>
                        <a:xfrm>
                          <a:off x="0" y="0"/>
                          <a:ext cx="4415790" cy="348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w:t>
                            </w:r>
                            <w:r>
                              <w:rPr>
                                <w:rFonts w:hint="eastAsia" w:ascii="黑体" w:hAnsi="黑体" w:eastAsia="黑体" w:cs="黑体"/>
                                <w:sz w:val="24"/>
                                <w:szCs w:val="24"/>
                                <w:lang w:val="en-US" w:eastAsia="zh-CN"/>
                              </w:rPr>
                              <w:t>四    本次工程建成后全厂平面布置图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95pt;margin-top:409.15pt;height:27.45pt;width:347.7pt;z-index:251672576;mso-width-relative:page;mso-height-relative:page;" fillcolor="#FFFFFF [3201]" filled="t" stroked="f" coordsize="21600,21600" o:gfxdata="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ns4LTWAAAADAEAAA8AAAAA&#10;AAAAAQAgAAAAIgAAAGRycy9kb3ducmV2LnhtbFBLAQIUABQAAAAIAIdO4kC9HKjlTwIAAI8EAAAO&#10;AAAAAAAAAAEAIAAAACUBAABkcnMvZTJvRG9jLnhtbFBLBQYAAAAABgAGAFkBAADmBQAAAAA=&#10;">
                <v:fill on="t" focussize="0,0"/>
                <v:stroke on="f" weight="0.5pt"/>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w:t>
                      </w:r>
                      <w:r>
                        <w:rPr>
                          <w:rFonts w:hint="eastAsia" w:ascii="黑体" w:hAnsi="黑体" w:eastAsia="黑体" w:cs="黑体"/>
                          <w:sz w:val="24"/>
                          <w:szCs w:val="24"/>
                          <w:lang w:val="en-US" w:eastAsia="zh-CN"/>
                        </w:rPr>
                        <w:t>四    本次工程建成后全厂平面布置图</w:t>
                      </w:r>
                    </w:p>
                  </w:txbxContent>
                </v:textbox>
              </v:shape>
            </w:pict>
          </mc:Fallback>
        </mc:AlternateContent>
      </w:r>
    </w:p>
    <w:p>
      <w:pPr>
        <w:rPr>
          <w:rFonts w:hint="eastAsia" w:eastAsia="宋体"/>
          <w:lang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3013710</wp:posOffset>
                </wp:positionH>
                <wp:positionV relativeFrom="paragraph">
                  <wp:posOffset>5365115</wp:posOffset>
                </wp:positionV>
                <wp:extent cx="2762250" cy="348615"/>
                <wp:effectExtent l="0" t="0" r="0" b="13335"/>
                <wp:wrapNone/>
                <wp:docPr id="9" name="文本框 9"/>
                <wp:cNvGraphicFramePr/>
                <a:graphic xmlns:a="http://schemas.openxmlformats.org/drawingml/2006/main">
                  <a:graphicData uri="http://schemas.microsoft.com/office/word/2010/wordprocessingShape">
                    <wps:wsp>
                      <wps:cNvSpPr txBox="1"/>
                      <wps:spPr>
                        <a:xfrm>
                          <a:off x="0" y="0"/>
                          <a:ext cx="2762250" cy="348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附图五</w:t>
                            </w:r>
                            <w:r>
                              <w:rPr>
                                <w:rFonts w:hint="eastAsia" w:ascii="黑体" w:hAnsi="黑体" w:eastAsia="黑体" w:cs="黑体"/>
                                <w:sz w:val="24"/>
                                <w:szCs w:val="24"/>
                                <w:lang w:val="en-US" w:eastAsia="zh-CN"/>
                              </w:rPr>
                              <w:t xml:space="preserve">    项目卫生防护距离包络图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3pt;margin-top:422.45pt;height:27.45pt;width:217.5pt;z-index:251669504;mso-width-relative:page;mso-height-relative:page;" fillcolor="#FFFFFF [3201]" filled="t" stroked="f" coordsize="21600,21600" o:gfxdata="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XbaOTWAAAACwEAAA8AAAAA&#10;AAAAAQAgAAAAIgAAAGRycy9kb3ducmV2LnhtbFBLAQIUABQAAAAIAIdO4kCqXjwcTwIAAI8EAAAO&#10;AAAAAAAAAAEAIAAAACUBAABkcnMvZTJvRG9jLnhtbFBLBQYAAAAABgAGAFkBAADmBQAAAAA=&#10;">
                <v:fill on="t" focussize="0,0"/>
                <v:stroke on="f" weight="0.5pt"/>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附图五</w:t>
                      </w:r>
                      <w:r>
                        <w:rPr>
                          <w:rFonts w:hint="eastAsia" w:ascii="黑体" w:hAnsi="黑体" w:eastAsia="黑体" w:cs="黑体"/>
                          <w:sz w:val="24"/>
                          <w:szCs w:val="24"/>
                          <w:lang w:val="en-US" w:eastAsia="zh-CN"/>
                        </w:rPr>
                        <w:t xml:space="preserve">    项目卫生防护距离包络图</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2310765</wp:posOffset>
                </wp:positionH>
                <wp:positionV relativeFrom="paragraph">
                  <wp:posOffset>5141595</wp:posOffset>
                </wp:positionV>
                <wp:extent cx="4516120" cy="379095"/>
                <wp:effectExtent l="0" t="0" r="0" b="0"/>
                <wp:wrapNone/>
                <wp:docPr id="4" name="文本框 4"/>
                <wp:cNvGraphicFramePr/>
                <a:graphic xmlns:a="http://schemas.openxmlformats.org/drawingml/2006/main">
                  <a:graphicData uri="http://schemas.microsoft.com/office/word/2010/wordprocessingShape">
                    <wps:wsp>
                      <wps:cNvSpPr txBox="1"/>
                      <wps:spPr>
                        <a:xfrm>
                          <a:off x="2731135" y="8860790"/>
                          <a:ext cx="4516120" cy="37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lang w:val="en-US" w:eastAsia="zh-CN"/>
                              </w:rPr>
                            </w:pPr>
                            <w:r>
                              <w:rPr>
                                <w:rFonts w:hint="eastAsia" w:ascii="黑体" w:hAnsi="黑体" w:eastAsia="黑体" w:cs="黑体"/>
                                <w:lang w:eastAsia="zh-CN"/>
                              </w:rPr>
                              <w:t>附图八</w:t>
                            </w:r>
                            <w:r>
                              <w:rPr>
                                <w:rFonts w:hint="eastAsia" w:ascii="黑体" w:hAnsi="黑体" w:eastAsia="黑体" w:cs="黑体"/>
                                <w:lang w:val="en-US" w:eastAsia="zh-CN"/>
                              </w:rPr>
                              <w:t xml:space="preserve">   大块镇土地利用总体规划（2010—2020）调整完善图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95pt;margin-top:404.85pt;height:29.85pt;width:355.6pt;z-index:251666432;mso-width-relative:page;mso-height-relative:page;" filled="f" stroked="f" coordsize="21600,21600" o:gfxdata="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5++2d0AAAAMAQAADwAAAAAA&#10;AAABACAAAAAiAAAAZHJzL2Rvd25yZXYueG1sUEsBAhQAFAAAAAgAh07iQHg87xNHAgAAcgQAAA4A&#10;AAAAAAAAAQAgAAAALAEAAGRycy9lMm9Eb2MueG1sUEsFBgAAAAAGAAYAWQEAAOUFAAAAAA==&#10;">
                <v:fill on="f" focussize="0,0"/>
                <v:stroke on="f" weight="0.5pt"/>
                <v:imagedata o:title=""/>
                <o:lock v:ext="edit" aspectratio="f"/>
                <v:textbox>
                  <w:txbxContent>
                    <w:p>
                      <w:pPr>
                        <w:rPr>
                          <w:rFonts w:hint="eastAsia" w:ascii="黑体" w:hAnsi="黑体" w:eastAsia="黑体" w:cs="黑体"/>
                          <w:lang w:val="en-US" w:eastAsia="zh-CN"/>
                        </w:rPr>
                      </w:pPr>
                      <w:r>
                        <w:rPr>
                          <w:rFonts w:hint="eastAsia" w:ascii="黑体" w:hAnsi="黑体" w:eastAsia="黑体" w:cs="黑体"/>
                          <w:lang w:eastAsia="zh-CN"/>
                        </w:rPr>
                        <w:t>附图八</w:t>
                      </w:r>
                      <w:r>
                        <w:rPr>
                          <w:rFonts w:hint="eastAsia" w:ascii="黑体" w:hAnsi="黑体" w:eastAsia="黑体" w:cs="黑体"/>
                          <w:lang w:val="en-US" w:eastAsia="zh-CN"/>
                        </w:rPr>
                        <w:t xml:space="preserve">   大块镇土地利用总体规划（2010—2020）调整完善图</w:t>
                      </w:r>
                    </w:p>
                  </w:txbxContent>
                </v:textbox>
              </v:shape>
            </w:pict>
          </mc:Fallback>
        </mc:AlternateContent>
      </w:r>
    </w:p>
    <w:p>
      <w:pPr>
        <w:spacing w:line="720" w:lineRule="auto"/>
        <w:jc w:val="center"/>
        <w:rPr>
          <w:rFonts w:hint="default" w:ascii="Times New Roman" w:hAnsi="Times New Roman" w:cs="Times New Roman"/>
          <w:b/>
          <w:bCs/>
          <w:sz w:val="40"/>
          <w:szCs w:val="40"/>
        </w:rPr>
      </w:pPr>
      <w:r>
        <w:drawing>
          <wp:inline distT="0" distB="0" distL="114300" distR="114300">
            <wp:extent cx="4438650" cy="6257925"/>
            <wp:effectExtent l="0" t="0" r="0"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6"/>
                    <a:stretch>
                      <a:fillRect/>
                    </a:stretch>
                  </pic:blipFill>
                  <pic:spPr>
                    <a:xfrm>
                      <a:off x="0" y="0"/>
                      <a:ext cx="4438650" cy="6257925"/>
                    </a:xfrm>
                    <a:prstGeom prst="rect">
                      <a:avLst/>
                    </a:prstGeom>
                    <a:noFill/>
                    <a:ln>
                      <a:noFill/>
                    </a:ln>
                  </pic:spPr>
                </pic:pic>
              </a:graphicData>
            </a:graphic>
          </wp:inline>
        </w:drawing>
      </w:r>
      <w:r>
        <w:drawing>
          <wp:anchor distT="0" distB="0" distL="114300" distR="114300" simplePos="0" relativeHeight="251694080" behindDoc="0" locked="0" layoutInCell="1" allowOverlap="1">
            <wp:simplePos x="0" y="0"/>
            <wp:positionH relativeFrom="column">
              <wp:posOffset>-841375</wp:posOffset>
            </wp:positionH>
            <wp:positionV relativeFrom="paragraph">
              <wp:posOffset>-410845</wp:posOffset>
            </wp:positionV>
            <wp:extent cx="6959600" cy="9610725"/>
            <wp:effectExtent l="0" t="0" r="12700" b="9525"/>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7"/>
                    <a:stretch>
                      <a:fillRect/>
                    </a:stretch>
                  </pic:blipFill>
                  <pic:spPr>
                    <a:xfrm>
                      <a:off x="0" y="0"/>
                      <a:ext cx="6959600" cy="9610725"/>
                    </a:xfrm>
                    <a:prstGeom prst="rect">
                      <a:avLst/>
                    </a:prstGeom>
                    <a:noFill/>
                    <a:ln>
                      <a:noFill/>
                    </a:ln>
                  </pic:spPr>
                </pic:pic>
              </a:graphicData>
            </a:graphic>
          </wp:anchor>
        </w:drawing>
      </w:r>
      <w:r>
        <w:rPr>
          <w:sz w:val="24"/>
        </w:rPr>
        <mc:AlternateContent>
          <mc:Choice Requires="wps">
            <w:drawing>
              <wp:anchor distT="0" distB="0" distL="114300" distR="114300" simplePos="0" relativeHeight="251682816" behindDoc="0" locked="0" layoutInCell="1" allowOverlap="1">
                <wp:simplePos x="0" y="0"/>
                <wp:positionH relativeFrom="column">
                  <wp:posOffset>5107940</wp:posOffset>
                </wp:positionH>
                <wp:positionV relativeFrom="paragraph">
                  <wp:posOffset>-273685</wp:posOffset>
                </wp:positionV>
                <wp:extent cx="993140" cy="435610"/>
                <wp:effectExtent l="0" t="0" r="0" b="0"/>
                <wp:wrapNone/>
                <wp:docPr id="10" name="文本框 10"/>
                <wp:cNvGraphicFramePr/>
                <a:graphic xmlns:a="http://schemas.openxmlformats.org/drawingml/2006/main">
                  <a:graphicData uri="http://schemas.microsoft.com/office/word/2010/wordprocessingShape">
                    <wps:wsp>
                      <wps:cNvSpPr txBox="1"/>
                      <wps:spPr>
                        <a:xfrm>
                          <a:off x="5956300" y="500380"/>
                          <a:ext cx="99314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lang w:val="en-US" w:eastAsia="zh-CN"/>
                              </w:rPr>
                            </w:pPr>
                            <w:r>
                              <w:rPr>
                                <w:rFonts w:hint="eastAsia" w:ascii="黑体" w:hAnsi="黑体" w:eastAsia="黑体" w:cs="黑体"/>
                                <w:lang w:val="en-US" w:eastAsia="zh-CN"/>
                              </w:rPr>
                              <w:t>附件一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2.2pt;margin-top:-21.55pt;height:34.3pt;width:78.2pt;z-index:251682816;mso-width-relative:page;mso-height-relative:page;" filled="f" stroked="f" coordsize="21600,21600" o:gfxdata="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n7LFTbAAAACgEAAA8AAAAAAAAAAQAg&#10;AAAAIgAAAGRycy9kb3ducmV2LnhtbFBLAQIUABQAAAAIAIdO4kACc2qvRAIAAHIEAAAOAAAAAAAA&#10;AAEAIAAAACoBAABkcnMvZTJvRG9jLnhtbFBLBQYAAAAABgAGAFkBAADgBQAAAAA=&#10;">
                <v:fill on="f" focussize="0,0"/>
                <v:stroke on="f" weight="0.5pt"/>
                <v:imagedata o:title=""/>
                <o:lock v:ext="edit" aspectratio="f"/>
                <v:textbox>
                  <w:txbxContent>
                    <w:p>
                      <w:pPr>
                        <w:jc w:val="center"/>
                        <w:rPr>
                          <w:rFonts w:hint="eastAsia" w:ascii="黑体" w:hAnsi="黑体" w:eastAsia="黑体" w:cs="黑体"/>
                          <w:lang w:val="en-US" w:eastAsia="zh-CN"/>
                        </w:rPr>
                      </w:pPr>
                      <w:r>
                        <w:rPr>
                          <w:rFonts w:hint="eastAsia" w:ascii="黑体" w:hAnsi="黑体" w:eastAsia="黑体" w:cs="黑体"/>
                          <w:lang w:val="en-US" w:eastAsia="zh-CN"/>
                        </w:rPr>
                        <w:t>附件一</w:t>
                      </w:r>
                    </w:p>
                  </w:txbxContent>
                </v:textbox>
              </v:shape>
            </w:pict>
          </mc:Fallback>
        </mc:AlternateContent>
      </w:r>
    </w:p>
    <w:p>
      <w:pPr>
        <w:rPr>
          <w:rFonts w:hint="eastAsia" w:eastAsia="宋体"/>
          <w:lang w:eastAsia="zh-CN"/>
        </w:rPr>
        <w:sectPr>
          <w:footerReference r:id="rId7" w:type="default"/>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95104" behindDoc="0" locked="0" layoutInCell="1" allowOverlap="1">
            <wp:simplePos x="0" y="0"/>
            <wp:positionH relativeFrom="column">
              <wp:posOffset>-936625</wp:posOffset>
            </wp:positionH>
            <wp:positionV relativeFrom="paragraph">
              <wp:posOffset>-408305</wp:posOffset>
            </wp:positionV>
            <wp:extent cx="6740525" cy="9503410"/>
            <wp:effectExtent l="0" t="0" r="3175" b="2540"/>
            <wp:wrapNone/>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6"/>
                    <a:stretch>
                      <a:fillRect/>
                    </a:stretch>
                  </pic:blipFill>
                  <pic:spPr>
                    <a:xfrm>
                      <a:off x="0" y="0"/>
                      <a:ext cx="6740525" cy="9503410"/>
                    </a:xfrm>
                    <a:prstGeom prst="rect">
                      <a:avLst/>
                    </a:prstGeom>
                    <a:noFill/>
                    <a:ln>
                      <a:noFill/>
                    </a:ln>
                  </pic:spPr>
                </pic:pic>
              </a:graphicData>
            </a:graphic>
          </wp:anchor>
        </w:drawing>
      </w:r>
      <w:r>
        <w:rPr>
          <w:sz w:val="24"/>
        </w:rPr>
        <mc:AlternateContent>
          <mc:Choice Requires="wps">
            <w:drawing>
              <wp:anchor distT="0" distB="0" distL="114300" distR="114300" simplePos="0" relativeHeight="251683840" behindDoc="0" locked="0" layoutInCell="1" allowOverlap="1">
                <wp:simplePos x="0" y="0"/>
                <wp:positionH relativeFrom="column">
                  <wp:posOffset>4935855</wp:posOffset>
                </wp:positionH>
                <wp:positionV relativeFrom="paragraph">
                  <wp:posOffset>-414020</wp:posOffset>
                </wp:positionV>
                <wp:extent cx="993140" cy="43561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9314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lang w:val="en-US" w:eastAsia="zh-CN"/>
                              </w:rPr>
                            </w:pPr>
                            <w:r>
                              <w:rPr>
                                <w:rFonts w:hint="eastAsia" w:ascii="黑体" w:hAnsi="黑体" w:eastAsia="黑体" w:cs="黑体"/>
                                <w:lang w:val="en-US" w:eastAsia="zh-CN"/>
                              </w:rPr>
                              <w:t>附件二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65pt;margin-top:-32.6pt;height:34.3pt;width:78.2pt;z-index:251683840;mso-width-relative:page;mso-height-relative:page;" filled="f" stroked="f" coordsize="21600,21600" o:gfxdata="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&#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S7SmNwAAAAJAQAADwAAAAAAAAABACAAAAAiAAAA&#10;ZHJzL2Rvd25yZXYueG1sUEsBAhQAFAAAAAgAh07iQCagt5w8AgAAZwQAAA4AAAAAAAAAAQAgAAAA&#10;KwEAAGRycy9lMm9Eb2MueG1sUEsFBgAAAAAGAAYAWQEAANkFAAAAAA==&#10;">
                <v:fill on="f" focussize="0,0"/>
                <v:stroke on="f" weight="0.5pt"/>
                <v:imagedata o:title=""/>
                <o:lock v:ext="edit" aspectratio="f"/>
                <v:textbox>
                  <w:txbxContent>
                    <w:p>
                      <w:pPr>
                        <w:jc w:val="center"/>
                        <w:rPr>
                          <w:rFonts w:hint="eastAsia" w:ascii="黑体" w:hAnsi="黑体" w:eastAsia="黑体" w:cs="黑体"/>
                          <w:lang w:val="en-US" w:eastAsia="zh-CN"/>
                        </w:rPr>
                      </w:pPr>
                      <w:r>
                        <w:rPr>
                          <w:rFonts w:hint="eastAsia" w:ascii="黑体" w:hAnsi="黑体" w:eastAsia="黑体" w:cs="黑体"/>
                          <w:lang w:val="en-US" w:eastAsia="zh-CN"/>
                        </w:rPr>
                        <w:t>附件二</w:t>
                      </w:r>
                    </w:p>
                  </w:txbxContent>
                </v:textbox>
              </v:shape>
            </w:pict>
          </mc:Fallback>
        </mc:AlternateContent>
      </w:r>
    </w:p>
    <w:p>
      <w:pPr>
        <w:rPr>
          <w:rFonts w:hint="eastAsia" w:eastAsia="宋体"/>
          <w:lang w:eastAsia="zh-CN"/>
        </w:rPr>
        <w:sectPr>
          <w:pgSz w:w="11906" w:h="16838"/>
          <w:pgMar w:top="1440" w:right="1800" w:bottom="1440" w:left="1800" w:header="851" w:footer="992" w:gutter="0"/>
          <w:cols w:space="425" w:num="1"/>
          <w:docGrid w:type="lines" w:linePitch="312" w:charSpace="0"/>
        </w:sectPr>
      </w:pPr>
    </w:p>
    <w:p>
      <w:pPr>
        <w:pStyle w:val="2"/>
        <w:rPr>
          <w:rFonts w:hint="default" w:ascii="Times New Roman" w:hAnsi="Times New Roman" w:eastAsia="宋体" w:cs="Times New Roman"/>
          <w:color w:val="auto"/>
          <w:lang w:val="en-US" w:eastAsia="zh-CN"/>
        </w:rPr>
        <w:sectPr>
          <w:headerReference r:id="rId8" w:type="default"/>
          <w:footerReference r:id="rId9" w:type="default"/>
          <w:type w:val="continuous"/>
          <w:pgSz w:w="11906" w:h="16838"/>
          <w:pgMar w:top="1134" w:right="1134" w:bottom="1134" w:left="1134" w:header="850" w:footer="850" w:gutter="0"/>
          <w:pgBorders>
            <w:top w:val="none" w:sz="0" w:space="0"/>
            <w:left w:val="none" w:sz="0" w:space="0"/>
            <w:bottom w:val="none" w:sz="0" w:space="0"/>
            <w:right w:val="none" w:sz="0" w:space="0"/>
          </w:pgBorders>
          <w:pgNumType w:fmt="decimal"/>
          <w:cols w:space="720" w:num="1"/>
          <w:rtlGutter w:val="0"/>
          <w:docGrid w:linePitch="0" w:charSpace="0"/>
        </w:sectPr>
      </w:pPr>
      <w:r>
        <w:drawing>
          <wp:anchor distT="0" distB="0" distL="114300" distR="114300" simplePos="0" relativeHeight="251696128" behindDoc="0" locked="0" layoutInCell="1" allowOverlap="1">
            <wp:simplePos x="0" y="0"/>
            <wp:positionH relativeFrom="column">
              <wp:posOffset>-473075</wp:posOffset>
            </wp:positionH>
            <wp:positionV relativeFrom="paragraph">
              <wp:posOffset>-904875</wp:posOffset>
            </wp:positionV>
            <wp:extent cx="6784340" cy="10038715"/>
            <wp:effectExtent l="0" t="0" r="16510" b="635"/>
            <wp:wrapNone/>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8"/>
                    <a:stretch>
                      <a:fillRect/>
                    </a:stretch>
                  </pic:blipFill>
                  <pic:spPr>
                    <a:xfrm>
                      <a:off x="0" y="0"/>
                      <a:ext cx="6784340" cy="10038715"/>
                    </a:xfrm>
                    <a:prstGeom prst="rect">
                      <a:avLst/>
                    </a:prstGeom>
                    <a:noFill/>
                    <a:ln>
                      <a:noFill/>
                    </a:ln>
                  </pic:spPr>
                </pic:pic>
              </a:graphicData>
            </a:graphic>
          </wp:anchor>
        </w:drawing>
      </w:r>
      <w:r>
        <w:rPr>
          <w:rFonts w:hint="default" w:ascii="Times New Roman" w:hAnsi="Times New Roman" w:eastAsia="宋体" w:cs="Times New Roman"/>
          <w:color w:val="auto"/>
          <w:lang w:val="en-US" w:eastAsia="zh-CN"/>
        </w:rPr>
        <w:t xml:space="preserve">                </w:t>
      </w:r>
    </w:p>
    <w:p/>
    <w:sectPr>
      <w:pgSz w:w="11906" w:h="16838"/>
      <w:pgMar w:top="1134" w:right="1134" w:bottom="1134" w:left="1134" w:header="850" w:footer="850" w:gutter="0"/>
      <w:pgBorders>
        <w:top w:val="none" w:sz="0" w:space="0"/>
        <w:left w:val="none" w:sz="0" w:space="0"/>
        <w:bottom w:val="none" w:sz="0" w:space="0"/>
        <w:right w:val="none" w:sz="0" w:space="0"/>
      </w:pgBorders>
      <w:pgNumType w:fmt="decimal"/>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Wingdings 2">
    <w:panose1 w:val="05020102010507070707"/>
    <w:charset w:val="02"/>
    <w:family w:val="roman"/>
    <w:pitch w:val="default"/>
    <w:sig w:usb0="00000000" w:usb1="00000000" w:usb2="00000000" w:usb3="00000000" w:csb0="80000000" w:csb1="00000000"/>
  </w:font>
  <w:font w:name="方正小标宋_GBK">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23</w:t>
    </w:r>
    <w:r>
      <w:rPr>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pPr>
      <w:pStyle w:val="13"/>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68</w:t>
    </w:r>
    <w:r>
      <w:rPr>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5E6077"/>
    <w:multiLevelType w:val="singleLevel"/>
    <w:tmpl w:val="9B5E6077"/>
    <w:lvl w:ilvl="0" w:tentative="0">
      <w:start w:val="1"/>
      <w:numFmt w:val="decimal"/>
      <w:suff w:val="nothing"/>
      <w:lvlText w:val="表%1"/>
      <w:lvlJc w:val="left"/>
      <w:pPr>
        <w:tabs>
          <w:tab w:val="left" w:pos="0"/>
        </w:tabs>
      </w:pPr>
      <w:rPr>
        <w:rFonts w:hint="default" w:ascii="Times New Roman" w:hAnsi="Times New Roman" w:eastAsia="宋体" w:cs="宋体"/>
      </w:rPr>
    </w:lvl>
  </w:abstractNum>
  <w:abstractNum w:abstractNumId="1">
    <w:nsid w:val="065708C8"/>
    <w:multiLevelType w:val="singleLevel"/>
    <w:tmpl w:val="065708C8"/>
    <w:lvl w:ilvl="0" w:tentative="0">
      <w:start w:val="2"/>
      <w:numFmt w:val="decimal"/>
      <w:suff w:val="nothing"/>
      <w:lvlText w:val="（%1）"/>
      <w:lvlJc w:val="left"/>
    </w:lvl>
  </w:abstractNum>
  <w:abstractNum w:abstractNumId="2">
    <w:nsid w:val="0D3E40F8"/>
    <w:multiLevelType w:val="multilevel"/>
    <w:tmpl w:val="0D3E40F8"/>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A5D5822"/>
    <w:multiLevelType w:val="singleLevel"/>
    <w:tmpl w:val="3A5D5822"/>
    <w:lvl w:ilvl="0" w:tentative="0">
      <w:start w:val="1"/>
      <w:numFmt w:val="decimal"/>
      <w:suff w:val="nothing"/>
      <w:lvlText w:val="（%1）"/>
      <w:lvlJc w:val="left"/>
    </w:lvl>
  </w:abstractNum>
  <w:abstractNum w:abstractNumId="4">
    <w:nsid w:val="3E132775"/>
    <w:multiLevelType w:val="multilevel"/>
    <w:tmpl w:val="3E132775"/>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4C87CF6"/>
    <w:multiLevelType w:val="multilevel"/>
    <w:tmpl w:val="44C87CF6"/>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69046E"/>
    <w:multiLevelType w:val="singleLevel"/>
    <w:tmpl w:val="5769046E"/>
    <w:lvl w:ilvl="0" w:tentative="0">
      <w:start w:val="1"/>
      <w:numFmt w:val="decimal"/>
      <w:suff w:val="nothing"/>
      <w:lvlText w:val="（%1）"/>
      <w:lvlJc w:val="left"/>
    </w:lvl>
  </w:abstractNum>
  <w:num w:numId="1">
    <w:abstractNumId w:val="0"/>
  </w:num>
  <w:num w:numId="2">
    <w:abstractNumId w:val="5"/>
  </w:num>
  <w:num w:numId="3">
    <w:abstractNumId w:val="4"/>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forms" w:enforcement="0"/>
  <w:defaultTabStop w:val="419"/>
  <w:hyphenationZone w:val="360"/>
  <w:doNotHyphenateCaps/>
  <w:drawingGridHorizontalSpacing w:val="210"/>
  <w:drawingGridVerticalSpacing w:val="156"/>
  <w:displayHorizontalDrawingGridEvery w:val="1"/>
  <w:displayVerticalDrawingGridEvery w:val="2"/>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07E50"/>
    <w:rsid w:val="00026E08"/>
    <w:rsid w:val="000302E4"/>
    <w:rsid w:val="000327D0"/>
    <w:rsid w:val="00043000"/>
    <w:rsid w:val="0004364B"/>
    <w:rsid w:val="00054221"/>
    <w:rsid w:val="0005554E"/>
    <w:rsid w:val="00061B1F"/>
    <w:rsid w:val="00072FA6"/>
    <w:rsid w:val="000733C4"/>
    <w:rsid w:val="00074783"/>
    <w:rsid w:val="0008070B"/>
    <w:rsid w:val="000810AC"/>
    <w:rsid w:val="000815C3"/>
    <w:rsid w:val="00081A02"/>
    <w:rsid w:val="00082231"/>
    <w:rsid w:val="00085D0C"/>
    <w:rsid w:val="000908BA"/>
    <w:rsid w:val="00092D38"/>
    <w:rsid w:val="0009377B"/>
    <w:rsid w:val="000A02B9"/>
    <w:rsid w:val="000A20C9"/>
    <w:rsid w:val="000A24FF"/>
    <w:rsid w:val="000A68E6"/>
    <w:rsid w:val="000B058F"/>
    <w:rsid w:val="000B25CD"/>
    <w:rsid w:val="000B4467"/>
    <w:rsid w:val="000B4DB9"/>
    <w:rsid w:val="000B6885"/>
    <w:rsid w:val="000C09AC"/>
    <w:rsid w:val="000C3469"/>
    <w:rsid w:val="000C5E85"/>
    <w:rsid w:val="000C668B"/>
    <w:rsid w:val="000C767F"/>
    <w:rsid w:val="000D5A44"/>
    <w:rsid w:val="000D79E4"/>
    <w:rsid w:val="000E10C8"/>
    <w:rsid w:val="000E3ED2"/>
    <w:rsid w:val="000E4493"/>
    <w:rsid w:val="00131F42"/>
    <w:rsid w:val="0013285B"/>
    <w:rsid w:val="001357F1"/>
    <w:rsid w:val="00135F68"/>
    <w:rsid w:val="00140FA8"/>
    <w:rsid w:val="00142FEB"/>
    <w:rsid w:val="00143A2D"/>
    <w:rsid w:val="00145A41"/>
    <w:rsid w:val="001460D7"/>
    <w:rsid w:val="00151675"/>
    <w:rsid w:val="00157435"/>
    <w:rsid w:val="0017504D"/>
    <w:rsid w:val="0017671A"/>
    <w:rsid w:val="00177422"/>
    <w:rsid w:val="00184590"/>
    <w:rsid w:val="001870D1"/>
    <w:rsid w:val="0018781E"/>
    <w:rsid w:val="00190B22"/>
    <w:rsid w:val="0019262D"/>
    <w:rsid w:val="00194AEF"/>
    <w:rsid w:val="001A1B35"/>
    <w:rsid w:val="001A48A2"/>
    <w:rsid w:val="001A6F61"/>
    <w:rsid w:val="001B72B8"/>
    <w:rsid w:val="001C69B3"/>
    <w:rsid w:val="001D5595"/>
    <w:rsid w:val="001D6736"/>
    <w:rsid w:val="001D69B2"/>
    <w:rsid w:val="001D7874"/>
    <w:rsid w:val="001D7F22"/>
    <w:rsid w:val="001E22E0"/>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11E5"/>
    <w:rsid w:val="00284204"/>
    <w:rsid w:val="002870BA"/>
    <w:rsid w:val="00291773"/>
    <w:rsid w:val="002A168C"/>
    <w:rsid w:val="002A2253"/>
    <w:rsid w:val="002A3DC7"/>
    <w:rsid w:val="002B49E2"/>
    <w:rsid w:val="002B7B00"/>
    <w:rsid w:val="002B7C44"/>
    <w:rsid w:val="002C0B4F"/>
    <w:rsid w:val="002C2B17"/>
    <w:rsid w:val="002D3DD0"/>
    <w:rsid w:val="002E1F3A"/>
    <w:rsid w:val="002E298A"/>
    <w:rsid w:val="002E4F2F"/>
    <w:rsid w:val="002F10CC"/>
    <w:rsid w:val="002F35E8"/>
    <w:rsid w:val="00301596"/>
    <w:rsid w:val="00301978"/>
    <w:rsid w:val="0030332C"/>
    <w:rsid w:val="00303688"/>
    <w:rsid w:val="003051C2"/>
    <w:rsid w:val="00312296"/>
    <w:rsid w:val="00314614"/>
    <w:rsid w:val="00314F0E"/>
    <w:rsid w:val="00321D8E"/>
    <w:rsid w:val="00325928"/>
    <w:rsid w:val="003265B2"/>
    <w:rsid w:val="003302DC"/>
    <w:rsid w:val="00332863"/>
    <w:rsid w:val="0033684D"/>
    <w:rsid w:val="00337B42"/>
    <w:rsid w:val="003412F6"/>
    <w:rsid w:val="00341861"/>
    <w:rsid w:val="00341A92"/>
    <w:rsid w:val="00341B42"/>
    <w:rsid w:val="0034348F"/>
    <w:rsid w:val="00356653"/>
    <w:rsid w:val="003570CD"/>
    <w:rsid w:val="0035743F"/>
    <w:rsid w:val="00357BE2"/>
    <w:rsid w:val="0036170C"/>
    <w:rsid w:val="00363C08"/>
    <w:rsid w:val="00366E0F"/>
    <w:rsid w:val="00381A72"/>
    <w:rsid w:val="00384676"/>
    <w:rsid w:val="00390857"/>
    <w:rsid w:val="00390FBC"/>
    <w:rsid w:val="003A4BF3"/>
    <w:rsid w:val="003B420D"/>
    <w:rsid w:val="003C6C16"/>
    <w:rsid w:val="003D103A"/>
    <w:rsid w:val="003D794D"/>
    <w:rsid w:val="003E3058"/>
    <w:rsid w:val="003E76A9"/>
    <w:rsid w:val="003F0809"/>
    <w:rsid w:val="003F6A8C"/>
    <w:rsid w:val="003F755C"/>
    <w:rsid w:val="00402E2F"/>
    <w:rsid w:val="00406F01"/>
    <w:rsid w:val="004076E2"/>
    <w:rsid w:val="0041641A"/>
    <w:rsid w:val="00416B38"/>
    <w:rsid w:val="00416D50"/>
    <w:rsid w:val="00416FD5"/>
    <w:rsid w:val="00417772"/>
    <w:rsid w:val="00420E6A"/>
    <w:rsid w:val="00421AFC"/>
    <w:rsid w:val="00424A21"/>
    <w:rsid w:val="00424D09"/>
    <w:rsid w:val="00425A9E"/>
    <w:rsid w:val="00426D6B"/>
    <w:rsid w:val="00431E6C"/>
    <w:rsid w:val="00433CE7"/>
    <w:rsid w:val="00434115"/>
    <w:rsid w:val="00452738"/>
    <w:rsid w:val="00456091"/>
    <w:rsid w:val="00466321"/>
    <w:rsid w:val="00473C2C"/>
    <w:rsid w:val="00484B9B"/>
    <w:rsid w:val="004855F6"/>
    <w:rsid w:val="0048661E"/>
    <w:rsid w:val="00494670"/>
    <w:rsid w:val="004A3823"/>
    <w:rsid w:val="004B60EC"/>
    <w:rsid w:val="004D49DD"/>
    <w:rsid w:val="004E6946"/>
    <w:rsid w:val="004F1AD8"/>
    <w:rsid w:val="005039CB"/>
    <w:rsid w:val="0050558F"/>
    <w:rsid w:val="00506286"/>
    <w:rsid w:val="00507241"/>
    <w:rsid w:val="00510813"/>
    <w:rsid w:val="00511990"/>
    <w:rsid w:val="00511DE0"/>
    <w:rsid w:val="00514870"/>
    <w:rsid w:val="00514B9B"/>
    <w:rsid w:val="00515AFC"/>
    <w:rsid w:val="00517F02"/>
    <w:rsid w:val="00524303"/>
    <w:rsid w:val="005258A2"/>
    <w:rsid w:val="00530544"/>
    <w:rsid w:val="005401AE"/>
    <w:rsid w:val="00542E07"/>
    <w:rsid w:val="00545424"/>
    <w:rsid w:val="00551F30"/>
    <w:rsid w:val="00554A7B"/>
    <w:rsid w:val="005550E8"/>
    <w:rsid w:val="0055572C"/>
    <w:rsid w:val="005579AE"/>
    <w:rsid w:val="0056106A"/>
    <w:rsid w:val="005720AE"/>
    <w:rsid w:val="00574637"/>
    <w:rsid w:val="0058374D"/>
    <w:rsid w:val="00583829"/>
    <w:rsid w:val="0058514E"/>
    <w:rsid w:val="00592F95"/>
    <w:rsid w:val="00594D77"/>
    <w:rsid w:val="005969E4"/>
    <w:rsid w:val="005A06B7"/>
    <w:rsid w:val="005A1759"/>
    <w:rsid w:val="005A68A7"/>
    <w:rsid w:val="005A7860"/>
    <w:rsid w:val="005D36AB"/>
    <w:rsid w:val="005F6807"/>
    <w:rsid w:val="006042F8"/>
    <w:rsid w:val="00617CC3"/>
    <w:rsid w:val="00635E3A"/>
    <w:rsid w:val="006377A6"/>
    <w:rsid w:val="00637A3D"/>
    <w:rsid w:val="006411EF"/>
    <w:rsid w:val="00650856"/>
    <w:rsid w:val="00655B52"/>
    <w:rsid w:val="006651BE"/>
    <w:rsid w:val="0066627D"/>
    <w:rsid w:val="006748B8"/>
    <w:rsid w:val="006775C3"/>
    <w:rsid w:val="00683099"/>
    <w:rsid w:val="0069290A"/>
    <w:rsid w:val="0069775A"/>
    <w:rsid w:val="00697813"/>
    <w:rsid w:val="006A3EE8"/>
    <w:rsid w:val="006A72BF"/>
    <w:rsid w:val="006B0064"/>
    <w:rsid w:val="006B03F2"/>
    <w:rsid w:val="006B0FCF"/>
    <w:rsid w:val="006B37DC"/>
    <w:rsid w:val="006B4F68"/>
    <w:rsid w:val="006B6329"/>
    <w:rsid w:val="006C0592"/>
    <w:rsid w:val="006C272E"/>
    <w:rsid w:val="006C5479"/>
    <w:rsid w:val="006C63AE"/>
    <w:rsid w:val="006D13B5"/>
    <w:rsid w:val="006D5CE2"/>
    <w:rsid w:val="006D7D80"/>
    <w:rsid w:val="006E12FF"/>
    <w:rsid w:val="006E607E"/>
    <w:rsid w:val="006F7C9C"/>
    <w:rsid w:val="00706C5D"/>
    <w:rsid w:val="007206B7"/>
    <w:rsid w:val="00730CC4"/>
    <w:rsid w:val="00732922"/>
    <w:rsid w:val="007360CF"/>
    <w:rsid w:val="00747594"/>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054B"/>
    <w:rsid w:val="007B1056"/>
    <w:rsid w:val="007B72B8"/>
    <w:rsid w:val="007B7A58"/>
    <w:rsid w:val="007C1741"/>
    <w:rsid w:val="007C21B5"/>
    <w:rsid w:val="007C4FA5"/>
    <w:rsid w:val="007E4BD2"/>
    <w:rsid w:val="007E79B2"/>
    <w:rsid w:val="00801393"/>
    <w:rsid w:val="00802F88"/>
    <w:rsid w:val="0081293E"/>
    <w:rsid w:val="00815465"/>
    <w:rsid w:val="00817E9A"/>
    <w:rsid w:val="00823F79"/>
    <w:rsid w:val="00826E3B"/>
    <w:rsid w:val="008277F7"/>
    <w:rsid w:val="008306BD"/>
    <w:rsid w:val="008318AF"/>
    <w:rsid w:val="00831A80"/>
    <w:rsid w:val="00833743"/>
    <w:rsid w:val="008340A4"/>
    <w:rsid w:val="0084064D"/>
    <w:rsid w:val="00844CFE"/>
    <w:rsid w:val="00851E7D"/>
    <w:rsid w:val="0087135F"/>
    <w:rsid w:val="00872D94"/>
    <w:rsid w:val="00876435"/>
    <w:rsid w:val="00880364"/>
    <w:rsid w:val="00891592"/>
    <w:rsid w:val="00891E9E"/>
    <w:rsid w:val="008A2F68"/>
    <w:rsid w:val="008B4FA6"/>
    <w:rsid w:val="008B5282"/>
    <w:rsid w:val="008B5429"/>
    <w:rsid w:val="008B7C17"/>
    <w:rsid w:val="008C2D01"/>
    <w:rsid w:val="008C40E6"/>
    <w:rsid w:val="008C424F"/>
    <w:rsid w:val="008C6747"/>
    <w:rsid w:val="008D0B58"/>
    <w:rsid w:val="008D0F7A"/>
    <w:rsid w:val="008D68E4"/>
    <w:rsid w:val="008E0506"/>
    <w:rsid w:val="008E0CFF"/>
    <w:rsid w:val="008E5D6B"/>
    <w:rsid w:val="008E76F0"/>
    <w:rsid w:val="008F12C3"/>
    <w:rsid w:val="008F15FE"/>
    <w:rsid w:val="008F2D29"/>
    <w:rsid w:val="008F5187"/>
    <w:rsid w:val="008F60D8"/>
    <w:rsid w:val="00902727"/>
    <w:rsid w:val="0090312B"/>
    <w:rsid w:val="00907F7B"/>
    <w:rsid w:val="00911E34"/>
    <w:rsid w:val="0091736D"/>
    <w:rsid w:val="00925E7E"/>
    <w:rsid w:val="009268FC"/>
    <w:rsid w:val="0093037A"/>
    <w:rsid w:val="00932FAD"/>
    <w:rsid w:val="0094154D"/>
    <w:rsid w:val="00946B22"/>
    <w:rsid w:val="0095155F"/>
    <w:rsid w:val="00954429"/>
    <w:rsid w:val="009563CE"/>
    <w:rsid w:val="0095707D"/>
    <w:rsid w:val="00957F6B"/>
    <w:rsid w:val="00962A67"/>
    <w:rsid w:val="00971415"/>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798F"/>
    <w:rsid w:val="009E227D"/>
    <w:rsid w:val="009E4788"/>
    <w:rsid w:val="009E5019"/>
    <w:rsid w:val="009F66F1"/>
    <w:rsid w:val="00A04F1B"/>
    <w:rsid w:val="00A0501B"/>
    <w:rsid w:val="00A14947"/>
    <w:rsid w:val="00A308EF"/>
    <w:rsid w:val="00A3274E"/>
    <w:rsid w:val="00A32A83"/>
    <w:rsid w:val="00A368DB"/>
    <w:rsid w:val="00A423AA"/>
    <w:rsid w:val="00A5167A"/>
    <w:rsid w:val="00A53EC6"/>
    <w:rsid w:val="00A55C0F"/>
    <w:rsid w:val="00A6280A"/>
    <w:rsid w:val="00A63179"/>
    <w:rsid w:val="00A731F9"/>
    <w:rsid w:val="00A8713F"/>
    <w:rsid w:val="00A90BA1"/>
    <w:rsid w:val="00A97A9A"/>
    <w:rsid w:val="00AA0671"/>
    <w:rsid w:val="00AA2531"/>
    <w:rsid w:val="00AA728E"/>
    <w:rsid w:val="00AA7AD8"/>
    <w:rsid w:val="00AB1E09"/>
    <w:rsid w:val="00AB5330"/>
    <w:rsid w:val="00AB7747"/>
    <w:rsid w:val="00AC14CE"/>
    <w:rsid w:val="00AC1E97"/>
    <w:rsid w:val="00AC2A56"/>
    <w:rsid w:val="00AC6282"/>
    <w:rsid w:val="00AD055E"/>
    <w:rsid w:val="00AD47A7"/>
    <w:rsid w:val="00AD4A34"/>
    <w:rsid w:val="00AE1DEB"/>
    <w:rsid w:val="00AF0CBF"/>
    <w:rsid w:val="00AF257F"/>
    <w:rsid w:val="00AF33CF"/>
    <w:rsid w:val="00AF4D50"/>
    <w:rsid w:val="00AF517A"/>
    <w:rsid w:val="00AF6179"/>
    <w:rsid w:val="00B07785"/>
    <w:rsid w:val="00B10585"/>
    <w:rsid w:val="00B11166"/>
    <w:rsid w:val="00B1218C"/>
    <w:rsid w:val="00B1295A"/>
    <w:rsid w:val="00B20A45"/>
    <w:rsid w:val="00B21A2D"/>
    <w:rsid w:val="00B22C5C"/>
    <w:rsid w:val="00B24B4D"/>
    <w:rsid w:val="00B24F30"/>
    <w:rsid w:val="00B25F51"/>
    <w:rsid w:val="00B2657A"/>
    <w:rsid w:val="00B31ABF"/>
    <w:rsid w:val="00B33BE3"/>
    <w:rsid w:val="00B3401A"/>
    <w:rsid w:val="00B53B5D"/>
    <w:rsid w:val="00B6055E"/>
    <w:rsid w:val="00B6317D"/>
    <w:rsid w:val="00B76659"/>
    <w:rsid w:val="00B7723F"/>
    <w:rsid w:val="00B80534"/>
    <w:rsid w:val="00B8433C"/>
    <w:rsid w:val="00B87491"/>
    <w:rsid w:val="00BA05D6"/>
    <w:rsid w:val="00BA29E9"/>
    <w:rsid w:val="00BA7142"/>
    <w:rsid w:val="00BB237C"/>
    <w:rsid w:val="00BB41A3"/>
    <w:rsid w:val="00BC32DC"/>
    <w:rsid w:val="00BC35B6"/>
    <w:rsid w:val="00BD1B51"/>
    <w:rsid w:val="00BD4596"/>
    <w:rsid w:val="00BE1405"/>
    <w:rsid w:val="00BE312D"/>
    <w:rsid w:val="00BF1C20"/>
    <w:rsid w:val="00BF20B6"/>
    <w:rsid w:val="00C10578"/>
    <w:rsid w:val="00C10A74"/>
    <w:rsid w:val="00C135BC"/>
    <w:rsid w:val="00C15C95"/>
    <w:rsid w:val="00C2596A"/>
    <w:rsid w:val="00C25CE3"/>
    <w:rsid w:val="00C27537"/>
    <w:rsid w:val="00C328FE"/>
    <w:rsid w:val="00C33507"/>
    <w:rsid w:val="00C4409D"/>
    <w:rsid w:val="00C44E72"/>
    <w:rsid w:val="00C45A06"/>
    <w:rsid w:val="00C47E5B"/>
    <w:rsid w:val="00C5252C"/>
    <w:rsid w:val="00C56AD6"/>
    <w:rsid w:val="00C61E4B"/>
    <w:rsid w:val="00C64BFF"/>
    <w:rsid w:val="00C704E9"/>
    <w:rsid w:val="00C727CE"/>
    <w:rsid w:val="00C763C9"/>
    <w:rsid w:val="00C80057"/>
    <w:rsid w:val="00C82232"/>
    <w:rsid w:val="00C82913"/>
    <w:rsid w:val="00C91539"/>
    <w:rsid w:val="00C93560"/>
    <w:rsid w:val="00C94A8B"/>
    <w:rsid w:val="00C972B1"/>
    <w:rsid w:val="00CA2CCE"/>
    <w:rsid w:val="00CA43FD"/>
    <w:rsid w:val="00CA7EF8"/>
    <w:rsid w:val="00CB0A42"/>
    <w:rsid w:val="00CB42AC"/>
    <w:rsid w:val="00CC2240"/>
    <w:rsid w:val="00CC489B"/>
    <w:rsid w:val="00CC7B45"/>
    <w:rsid w:val="00CD2BCD"/>
    <w:rsid w:val="00CD3A4C"/>
    <w:rsid w:val="00CE10E9"/>
    <w:rsid w:val="00CE2910"/>
    <w:rsid w:val="00CE3362"/>
    <w:rsid w:val="00CE3778"/>
    <w:rsid w:val="00CE5393"/>
    <w:rsid w:val="00CF10E9"/>
    <w:rsid w:val="00CF36BE"/>
    <w:rsid w:val="00CF6000"/>
    <w:rsid w:val="00D003F3"/>
    <w:rsid w:val="00D0364F"/>
    <w:rsid w:val="00D06834"/>
    <w:rsid w:val="00D15DB3"/>
    <w:rsid w:val="00D214EB"/>
    <w:rsid w:val="00D26002"/>
    <w:rsid w:val="00D308ED"/>
    <w:rsid w:val="00D36D86"/>
    <w:rsid w:val="00D428AA"/>
    <w:rsid w:val="00D50A34"/>
    <w:rsid w:val="00D53EFA"/>
    <w:rsid w:val="00D6517C"/>
    <w:rsid w:val="00D761B9"/>
    <w:rsid w:val="00D82AB9"/>
    <w:rsid w:val="00D86D43"/>
    <w:rsid w:val="00D94A7C"/>
    <w:rsid w:val="00D95896"/>
    <w:rsid w:val="00D95955"/>
    <w:rsid w:val="00DB2983"/>
    <w:rsid w:val="00DC1257"/>
    <w:rsid w:val="00DC3DC0"/>
    <w:rsid w:val="00DC5B2B"/>
    <w:rsid w:val="00DD318D"/>
    <w:rsid w:val="00DD5A43"/>
    <w:rsid w:val="00DF2E12"/>
    <w:rsid w:val="00DF514A"/>
    <w:rsid w:val="00DF662A"/>
    <w:rsid w:val="00DF6690"/>
    <w:rsid w:val="00DF6804"/>
    <w:rsid w:val="00E0358D"/>
    <w:rsid w:val="00E04323"/>
    <w:rsid w:val="00E070A2"/>
    <w:rsid w:val="00E0764F"/>
    <w:rsid w:val="00E14D92"/>
    <w:rsid w:val="00E25C10"/>
    <w:rsid w:val="00E2656A"/>
    <w:rsid w:val="00E30EC1"/>
    <w:rsid w:val="00E33B2F"/>
    <w:rsid w:val="00E412D0"/>
    <w:rsid w:val="00E56322"/>
    <w:rsid w:val="00E60982"/>
    <w:rsid w:val="00E62C62"/>
    <w:rsid w:val="00E654C1"/>
    <w:rsid w:val="00E65D97"/>
    <w:rsid w:val="00E72A5A"/>
    <w:rsid w:val="00E73354"/>
    <w:rsid w:val="00E74627"/>
    <w:rsid w:val="00E9242D"/>
    <w:rsid w:val="00EA2F6A"/>
    <w:rsid w:val="00EB5255"/>
    <w:rsid w:val="00EB565A"/>
    <w:rsid w:val="00EB5C47"/>
    <w:rsid w:val="00EC1672"/>
    <w:rsid w:val="00ED0639"/>
    <w:rsid w:val="00ED747A"/>
    <w:rsid w:val="00EF4755"/>
    <w:rsid w:val="00EF6951"/>
    <w:rsid w:val="00EF7135"/>
    <w:rsid w:val="00F01ABA"/>
    <w:rsid w:val="00F027DB"/>
    <w:rsid w:val="00F03C1D"/>
    <w:rsid w:val="00F06514"/>
    <w:rsid w:val="00F14A7A"/>
    <w:rsid w:val="00F22985"/>
    <w:rsid w:val="00F31C19"/>
    <w:rsid w:val="00F3383E"/>
    <w:rsid w:val="00F35CDB"/>
    <w:rsid w:val="00F368A1"/>
    <w:rsid w:val="00F465A7"/>
    <w:rsid w:val="00F50B7C"/>
    <w:rsid w:val="00F550E6"/>
    <w:rsid w:val="00F70670"/>
    <w:rsid w:val="00F72B3A"/>
    <w:rsid w:val="00F74345"/>
    <w:rsid w:val="00F767AB"/>
    <w:rsid w:val="00F80A0A"/>
    <w:rsid w:val="00F80ACA"/>
    <w:rsid w:val="00F81904"/>
    <w:rsid w:val="00F82B19"/>
    <w:rsid w:val="00F914C5"/>
    <w:rsid w:val="00F9212D"/>
    <w:rsid w:val="00F965DA"/>
    <w:rsid w:val="00FA406A"/>
    <w:rsid w:val="00FB166C"/>
    <w:rsid w:val="00FB20DD"/>
    <w:rsid w:val="00FB503A"/>
    <w:rsid w:val="00FB516C"/>
    <w:rsid w:val="00FD0236"/>
    <w:rsid w:val="00FD18F4"/>
    <w:rsid w:val="00FD54DB"/>
    <w:rsid w:val="00FD619F"/>
    <w:rsid w:val="00FE2DB2"/>
    <w:rsid w:val="010F2103"/>
    <w:rsid w:val="01290F7E"/>
    <w:rsid w:val="015D1E09"/>
    <w:rsid w:val="02697903"/>
    <w:rsid w:val="02F96569"/>
    <w:rsid w:val="03EA7B21"/>
    <w:rsid w:val="043178A3"/>
    <w:rsid w:val="05F83EAE"/>
    <w:rsid w:val="063E7D85"/>
    <w:rsid w:val="06AA1EA9"/>
    <w:rsid w:val="07293586"/>
    <w:rsid w:val="07295285"/>
    <w:rsid w:val="07636392"/>
    <w:rsid w:val="07770C56"/>
    <w:rsid w:val="092217DD"/>
    <w:rsid w:val="093A7294"/>
    <w:rsid w:val="09B72DB2"/>
    <w:rsid w:val="09C17F9A"/>
    <w:rsid w:val="0A263993"/>
    <w:rsid w:val="0A2D3AC2"/>
    <w:rsid w:val="0AA755DF"/>
    <w:rsid w:val="0ACC310B"/>
    <w:rsid w:val="0B120D44"/>
    <w:rsid w:val="0B9F6207"/>
    <w:rsid w:val="0BD27BF6"/>
    <w:rsid w:val="0C3B3C7D"/>
    <w:rsid w:val="0CAB2EAE"/>
    <w:rsid w:val="0D186A52"/>
    <w:rsid w:val="0D621C7D"/>
    <w:rsid w:val="0DF24FEE"/>
    <w:rsid w:val="0E73034D"/>
    <w:rsid w:val="0E7773FD"/>
    <w:rsid w:val="0F13775A"/>
    <w:rsid w:val="0F5F45FE"/>
    <w:rsid w:val="0F9A112B"/>
    <w:rsid w:val="106D2F64"/>
    <w:rsid w:val="10B63710"/>
    <w:rsid w:val="10E34089"/>
    <w:rsid w:val="10F10820"/>
    <w:rsid w:val="111C2F7A"/>
    <w:rsid w:val="11665CA1"/>
    <w:rsid w:val="11901EB9"/>
    <w:rsid w:val="13951726"/>
    <w:rsid w:val="139648E0"/>
    <w:rsid w:val="14396509"/>
    <w:rsid w:val="14DD2C3C"/>
    <w:rsid w:val="16087E1D"/>
    <w:rsid w:val="17701D14"/>
    <w:rsid w:val="17735226"/>
    <w:rsid w:val="18085A29"/>
    <w:rsid w:val="189F624C"/>
    <w:rsid w:val="18F358AD"/>
    <w:rsid w:val="1953137F"/>
    <w:rsid w:val="19D32A6D"/>
    <w:rsid w:val="1A1C66C0"/>
    <w:rsid w:val="1A2B1E91"/>
    <w:rsid w:val="1A42393B"/>
    <w:rsid w:val="1AAD45DE"/>
    <w:rsid w:val="1AB03EB9"/>
    <w:rsid w:val="1B046F80"/>
    <w:rsid w:val="1B3267B5"/>
    <w:rsid w:val="1B40161D"/>
    <w:rsid w:val="1B441859"/>
    <w:rsid w:val="1B6606B1"/>
    <w:rsid w:val="1BFB328B"/>
    <w:rsid w:val="1C5E7925"/>
    <w:rsid w:val="1CFD070F"/>
    <w:rsid w:val="1D5F6196"/>
    <w:rsid w:val="1D6132A5"/>
    <w:rsid w:val="1D8E56D5"/>
    <w:rsid w:val="1E7A43DA"/>
    <w:rsid w:val="1EFC1643"/>
    <w:rsid w:val="1FE7539E"/>
    <w:rsid w:val="1FF8606C"/>
    <w:rsid w:val="20671BE0"/>
    <w:rsid w:val="20963CB8"/>
    <w:rsid w:val="20A81A1B"/>
    <w:rsid w:val="20B07FB6"/>
    <w:rsid w:val="20B646FB"/>
    <w:rsid w:val="21126595"/>
    <w:rsid w:val="213B74B1"/>
    <w:rsid w:val="215A2310"/>
    <w:rsid w:val="21DE318A"/>
    <w:rsid w:val="21EF5B80"/>
    <w:rsid w:val="22576990"/>
    <w:rsid w:val="22F47480"/>
    <w:rsid w:val="23493EDD"/>
    <w:rsid w:val="23DE1C48"/>
    <w:rsid w:val="23E31727"/>
    <w:rsid w:val="240210CD"/>
    <w:rsid w:val="24BF09F7"/>
    <w:rsid w:val="24DC5C6E"/>
    <w:rsid w:val="24E33221"/>
    <w:rsid w:val="252D53FE"/>
    <w:rsid w:val="25EC2D81"/>
    <w:rsid w:val="26777FCB"/>
    <w:rsid w:val="277057A2"/>
    <w:rsid w:val="2773328F"/>
    <w:rsid w:val="29206EB8"/>
    <w:rsid w:val="29595666"/>
    <w:rsid w:val="29874881"/>
    <w:rsid w:val="29E325E0"/>
    <w:rsid w:val="2A07032C"/>
    <w:rsid w:val="2A452503"/>
    <w:rsid w:val="2BA936A8"/>
    <w:rsid w:val="2BE04F97"/>
    <w:rsid w:val="2C315A5A"/>
    <w:rsid w:val="2C4B1C25"/>
    <w:rsid w:val="2D9E56F5"/>
    <w:rsid w:val="2E667F96"/>
    <w:rsid w:val="2E8226AB"/>
    <w:rsid w:val="2F6E3653"/>
    <w:rsid w:val="2FD065E6"/>
    <w:rsid w:val="2FD96870"/>
    <w:rsid w:val="30580BC9"/>
    <w:rsid w:val="311E2ED7"/>
    <w:rsid w:val="315619EE"/>
    <w:rsid w:val="315C449C"/>
    <w:rsid w:val="31B82709"/>
    <w:rsid w:val="31D05482"/>
    <w:rsid w:val="32400B34"/>
    <w:rsid w:val="329E6876"/>
    <w:rsid w:val="32B41E92"/>
    <w:rsid w:val="333015F2"/>
    <w:rsid w:val="334B6320"/>
    <w:rsid w:val="334F6971"/>
    <w:rsid w:val="33D934D4"/>
    <w:rsid w:val="33FE2F6A"/>
    <w:rsid w:val="340E07E5"/>
    <w:rsid w:val="34235BF7"/>
    <w:rsid w:val="343F5C2E"/>
    <w:rsid w:val="358C5FA8"/>
    <w:rsid w:val="35C15DF1"/>
    <w:rsid w:val="36074A7F"/>
    <w:rsid w:val="36923549"/>
    <w:rsid w:val="36B75FBF"/>
    <w:rsid w:val="36BD0C45"/>
    <w:rsid w:val="379C444F"/>
    <w:rsid w:val="37E00298"/>
    <w:rsid w:val="381736E0"/>
    <w:rsid w:val="381C4A4D"/>
    <w:rsid w:val="38B302F9"/>
    <w:rsid w:val="38F12CD3"/>
    <w:rsid w:val="38F94775"/>
    <w:rsid w:val="392971ED"/>
    <w:rsid w:val="39325651"/>
    <w:rsid w:val="39696938"/>
    <w:rsid w:val="397B00C6"/>
    <w:rsid w:val="3A872856"/>
    <w:rsid w:val="3B3763D1"/>
    <w:rsid w:val="3C2F6E1E"/>
    <w:rsid w:val="3C4F64BA"/>
    <w:rsid w:val="3CDA245A"/>
    <w:rsid w:val="3D1E06B7"/>
    <w:rsid w:val="3E2A1BD2"/>
    <w:rsid w:val="3E927F44"/>
    <w:rsid w:val="3EDA0523"/>
    <w:rsid w:val="403007C6"/>
    <w:rsid w:val="407A6407"/>
    <w:rsid w:val="4200449D"/>
    <w:rsid w:val="423A3BCC"/>
    <w:rsid w:val="424E57D2"/>
    <w:rsid w:val="42B26C49"/>
    <w:rsid w:val="433A6FE6"/>
    <w:rsid w:val="43480868"/>
    <w:rsid w:val="4350713C"/>
    <w:rsid w:val="436653E0"/>
    <w:rsid w:val="43A33741"/>
    <w:rsid w:val="43C4431A"/>
    <w:rsid w:val="43D371DE"/>
    <w:rsid w:val="4487253F"/>
    <w:rsid w:val="44B951CC"/>
    <w:rsid w:val="44CD14E0"/>
    <w:rsid w:val="44F20B0B"/>
    <w:rsid w:val="451B208A"/>
    <w:rsid w:val="452E5F4C"/>
    <w:rsid w:val="45612018"/>
    <w:rsid w:val="457978E4"/>
    <w:rsid w:val="458946E9"/>
    <w:rsid w:val="45A47C0E"/>
    <w:rsid w:val="46577FD6"/>
    <w:rsid w:val="46D955A7"/>
    <w:rsid w:val="46E64E0E"/>
    <w:rsid w:val="47133957"/>
    <w:rsid w:val="47A07E0C"/>
    <w:rsid w:val="4870272E"/>
    <w:rsid w:val="49A17B37"/>
    <w:rsid w:val="49DC7715"/>
    <w:rsid w:val="4A023139"/>
    <w:rsid w:val="4A7B576F"/>
    <w:rsid w:val="4AF561A9"/>
    <w:rsid w:val="4B0C4544"/>
    <w:rsid w:val="4B2556C2"/>
    <w:rsid w:val="4C28799F"/>
    <w:rsid w:val="4C4A0649"/>
    <w:rsid w:val="4C7E5ECA"/>
    <w:rsid w:val="4C876AA5"/>
    <w:rsid w:val="4C896641"/>
    <w:rsid w:val="4D0E00FB"/>
    <w:rsid w:val="4D176606"/>
    <w:rsid w:val="4DEC4FB0"/>
    <w:rsid w:val="4E075D8A"/>
    <w:rsid w:val="4EC00FAD"/>
    <w:rsid w:val="4F9843DC"/>
    <w:rsid w:val="4FBD5A9B"/>
    <w:rsid w:val="4FC62A8C"/>
    <w:rsid w:val="4FE20F0D"/>
    <w:rsid w:val="4FE51552"/>
    <w:rsid w:val="50504C4B"/>
    <w:rsid w:val="509C6E7C"/>
    <w:rsid w:val="5162104E"/>
    <w:rsid w:val="538E107E"/>
    <w:rsid w:val="53A039CC"/>
    <w:rsid w:val="53A1505A"/>
    <w:rsid w:val="54063E08"/>
    <w:rsid w:val="543437E8"/>
    <w:rsid w:val="54F73313"/>
    <w:rsid w:val="54F80955"/>
    <w:rsid w:val="555170A7"/>
    <w:rsid w:val="5587536D"/>
    <w:rsid w:val="559B174B"/>
    <w:rsid w:val="55CE0CF4"/>
    <w:rsid w:val="5623096F"/>
    <w:rsid w:val="56B22A9C"/>
    <w:rsid w:val="57B72A76"/>
    <w:rsid w:val="57C3426C"/>
    <w:rsid w:val="57CE1F93"/>
    <w:rsid w:val="588743D1"/>
    <w:rsid w:val="5887701A"/>
    <w:rsid w:val="59C0439F"/>
    <w:rsid w:val="5A2025FD"/>
    <w:rsid w:val="5ABE2233"/>
    <w:rsid w:val="5BAA7777"/>
    <w:rsid w:val="5BDF5D95"/>
    <w:rsid w:val="5BFE7528"/>
    <w:rsid w:val="5D596E7B"/>
    <w:rsid w:val="5D714477"/>
    <w:rsid w:val="5E2467F1"/>
    <w:rsid w:val="5F1A2B43"/>
    <w:rsid w:val="5FB837BB"/>
    <w:rsid w:val="60CC405A"/>
    <w:rsid w:val="613C5ABE"/>
    <w:rsid w:val="61E215D8"/>
    <w:rsid w:val="621B3775"/>
    <w:rsid w:val="62364782"/>
    <w:rsid w:val="62EF3045"/>
    <w:rsid w:val="6394356A"/>
    <w:rsid w:val="63C61B2C"/>
    <w:rsid w:val="63D40BE9"/>
    <w:rsid w:val="64102431"/>
    <w:rsid w:val="642F6C70"/>
    <w:rsid w:val="644F7C06"/>
    <w:rsid w:val="64837B19"/>
    <w:rsid w:val="64A5243A"/>
    <w:rsid w:val="64F531DE"/>
    <w:rsid w:val="65373578"/>
    <w:rsid w:val="660612C1"/>
    <w:rsid w:val="661F08D8"/>
    <w:rsid w:val="671F124A"/>
    <w:rsid w:val="677A33C6"/>
    <w:rsid w:val="67DE77FE"/>
    <w:rsid w:val="67F27F9B"/>
    <w:rsid w:val="67F61B96"/>
    <w:rsid w:val="681F6961"/>
    <w:rsid w:val="68610A2F"/>
    <w:rsid w:val="68805514"/>
    <w:rsid w:val="69316E2F"/>
    <w:rsid w:val="694E2071"/>
    <w:rsid w:val="69766163"/>
    <w:rsid w:val="697A3B33"/>
    <w:rsid w:val="69D44760"/>
    <w:rsid w:val="6A520EC7"/>
    <w:rsid w:val="6AEF5CA6"/>
    <w:rsid w:val="6AF87E20"/>
    <w:rsid w:val="6B322639"/>
    <w:rsid w:val="6C5B3177"/>
    <w:rsid w:val="6C636C38"/>
    <w:rsid w:val="6CC71DE4"/>
    <w:rsid w:val="6DB34098"/>
    <w:rsid w:val="6DB545B6"/>
    <w:rsid w:val="6DE02FB4"/>
    <w:rsid w:val="6E514CED"/>
    <w:rsid w:val="6EB563D5"/>
    <w:rsid w:val="6ED92677"/>
    <w:rsid w:val="6F225983"/>
    <w:rsid w:val="6F9D0BE3"/>
    <w:rsid w:val="6FFC5590"/>
    <w:rsid w:val="706D1DD0"/>
    <w:rsid w:val="70856B87"/>
    <w:rsid w:val="70D527EE"/>
    <w:rsid w:val="715B5300"/>
    <w:rsid w:val="71D27F8A"/>
    <w:rsid w:val="72263FB5"/>
    <w:rsid w:val="72553024"/>
    <w:rsid w:val="73122968"/>
    <w:rsid w:val="731F5D5E"/>
    <w:rsid w:val="73C51AD5"/>
    <w:rsid w:val="741E793C"/>
    <w:rsid w:val="745E3944"/>
    <w:rsid w:val="752D32DC"/>
    <w:rsid w:val="7635099D"/>
    <w:rsid w:val="765C5EB3"/>
    <w:rsid w:val="77762421"/>
    <w:rsid w:val="77B56B1F"/>
    <w:rsid w:val="77DB6D2E"/>
    <w:rsid w:val="77E9659E"/>
    <w:rsid w:val="77EF0DF1"/>
    <w:rsid w:val="780F09F4"/>
    <w:rsid w:val="78A90480"/>
    <w:rsid w:val="7A364017"/>
    <w:rsid w:val="7A8265E1"/>
    <w:rsid w:val="7B686D42"/>
    <w:rsid w:val="7B7261EF"/>
    <w:rsid w:val="7B841746"/>
    <w:rsid w:val="7C3E26BD"/>
    <w:rsid w:val="7C6C5AC7"/>
    <w:rsid w:val="7CC63562"/>
    <w:rsid w:val="7CC6544B"/>
    <w:rsid w:val="7D0239FF"/>
    <w:rsid w:val="7D225C6A"/>
    <w:rsid w:val="7D476A54"/>
    <w:rsid w:val="7D5A4DF1"/>
    <w:rsid w:val="7D5E40CD"/>
    <w:rsid w:val="7DCD56F2"/>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link w:val="44"/>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37"/>
    <w:unhideWhenUsed/>
    <w:qFormat/>
    <w:locked/>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locked/>
    <w:uiPriority w:val="0"/>
    <w:pPr>
      <w:ind w:firstLine="420" w:firstLineChars="200"/>
    </w:pPr>
  </w:style>
  <w:style w:type="paragraph" w:styleId="6">
    <w:name w:val="caption"/>
    <w:basedOn w:val="1"/>
    <w:next w:val="1"/>
    <w:link w:val="34"/>
    <w:qFormat/>
    <w:locked/>
    <w:uiPriority w:val="35"/>
    <w:pPr>
      <w:spacing w:line="360" w:lineRule="auto"/>
      <w:jc w:val="center"/>
    </w:pPr>
    <w:rPr>
      <w:rFonts w:eastAsia="黑体"/>
      <w:kern w:val="0"/>
      <w:sz w:val="24"/>
      <w:szCs w:val="20"/>
    </w:rPr>
  </w:style>
  <w:style w:type="paragraph" w:styleId="7">
    <w:name w:val="annotation text"/>
    <w:basedOn w:val="1"/>
    <w:link w:val="41"/>
    <w:semiHidden/>
    <w:qFormat/>
    <w:uiPriority w:val="0"/>
    <w:pPr>
      <w:jc w:val="left"/>
    </w:pPr>
    <w:rPr>
      <w:kern w:val="0"/>
      <w:sz w:val="24"/>
      <w:szCs w:val="20"/>
    </w:rPr>
  </w:style>
  <w:style w:type="paragraph" w:styleId="8">
    <w:name w:val="Body Text"/>
    <w:basedOn w:val="1"/>
    <w:link w:val="39"/>
    <w:qFormat/>
    <w:uiPriority w:val="0"/>
    <w:pPr>
      <w:widowControl/>
      <w:snapToGrid w:val="0"/>
      <w:spacing w:before="60" w:after="160" w:line="259" w:lineRule="auto"/>
      <w:ind w:right="113"/>
    </w:pPr>
    <w:rPr>
      <w:kern w:val="0"/>
      <w:sz w:val="18"/>
      <w:szCs w:val="20"/>
    </w:rPr>
  </w:style>
  <w:style w:type="paragraph" w:styleId="9">
    <w:name w:val="Body Text Indent"/>
    <w:basedOn w:val="1"/>
    <w:link w:val="29"/>
    <w:qFormat/>
    <w:uiPriority w:val="0"/>
    <w:pPr>
      <w:spacing w:after="120"/>
      <w:ind w:left="420" w:leftChars="200"/>
    </w:pPr>
    <w:rPr>
      <w:kern w:val="0"/>
      <w:sz w:val="24"/>
      <w:szCs w:val="20"/>
    </w:rPr>
  </w:style>
  <w:style w:type="paragraph" w:styleId="10">
    <w:name w:val="Block Text"/>
    <w:basedOn w:val="1"/>
    <w:next w:val="1"/>
    <w:qFormat/>
    <w:locked/>
    <w:uiPriority w:val="0"/>
    <w:pPr>
      <w:keepNext w:val="0"/>
      <w:keepLines w:val="0"/>
      <w:widowControl w:val="0"/>
      <w:suppressLineNumbers w:val="0"/>
      <w:spacing w:before="0" w:beforeAutospacing="0" w:after="0" w:afterAutospacing="0" w:line="460" w:lineRule="atLeast"/>
      <w:ind w:left="108" w:right="170" w:firstLine="499"/>
      <w:jc w:val="both"/>
    </w:pPr>
    <w:rPr>
      <w:rFonts w:hint="default" w:ascii="Times New Roman" w:hAnsi="Times New Roman" w:eastAsia="宋体" w:cs="Times New Roman"/>
      <w:kern w:val="2"/>
      <w:sz w:val="24"/>
      <w:szCs w:val="20"/>
      <w:lang w:val="en-US" w:eastAsia="zh-CN" w:bidi="ar"/>
    </w:rPr>
  </w:style>
  <w:style w:type="paragraph" w:styleId="11">
    <w:name w:val="Date"/>
    <w:basedOn w:val="1"/>
    <w:next w:val="1"/>
    <w:link w:val="36"/>
    <w:qFormat/>
    <w:uiPriority w:val="0"/>
    <w:pPr>
      <w:ind w:left="100" w:leftChars="2500"/>
    </w:pPr>
    <w:rPr>
      <w:kern w:val="0"/>
      <w:sz w:val="24"/>
      <w:szCs w:val="20"/>
    </w:rPr>
  </w:style>
  <w:style w:type="paragraph" w:styleId="12">
    <w:name w:val="Balloon Text"/>
    <w:basedOn w:val="1"/>
    <w:link w:val="27"/>
    <w:semiHidden/>
    <w:qFormat/>
    <w:uiPriority w:val="0"/>
    <w:rPr>
      <w:kern w:val="0"/>
      <w:sz w:val="18"/>
      <w:szCs w:val="20"/>
    </w:rPr>
  </w:style>
  <w:style w:type="paragraph" w:styleId="13">
    <w:name w:val="footer"/>
    <w:basedOn w:val="1"/>
    <w:link w:val="30"/>
    <w:qFormat/>
    <w:uiPriority w:val="99"/>
    <w:pPr>
      <w:tabs>
        <w:tab w:val="center" w:pos="4153"/>
        <w:tab w:val="right" w:pos="8306"/>
      </w:tabs>
      <w:snapToGrid w:val="0"/>
      <w:jc w:val="left"/>
    </w:pPr>
    <w:rPr>
      <w:kern w:val="0"/>
      <w:sz w:val="18"/>
      <w:szCs w:val="20"/>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Normal (Web)"/>
    <w:basedOn w:val="1"/>
    <w:link w:val="35"/>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7"/>
    <w:next w:val="7"/>
    <w:link w:val="43"/>
    <w:semiHidden/>
    <w:qFormat/>
    <w:uiPriority w:val="0"/>
    <w:rPr>
      <w:b/>
      <w:sz w:val="24"/>
      <w:szCs w:val="20"/>
    </w:rPr>
  </w:style>
  <w:style w:type="paragraph" w:styleId="17">
    <w:name w:val="Body Text First Indent"/>
    <w:basedOn w:val="8"/>
    <w:qFormat/>
    <w:locked/>
    <w:uiPriority w:val="0"/>
    <w:pPr>
      <w:ind w:firstLine="420" w:firstLineChars="100"/>
    </w:pPr>
  </w:style>
  <w:style w:type="table" w:styleId="19">
    <w:name w:val="Table Grid"/>
    <w:basedOn w:val="1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locked/>
    <w:uiPriority w:val="0"/>
  </w:style>
  <w:style w:type="character" w:styleId="22">
    <w:name w:val="annotation reference"/>
    <w:semiHidden/>
    <w:qFormat/>
    <w:uiPriority w:val="0"/>
    <w:rPr>
      <w:sz w:val="21"/>
    </w:rPr>
  </w:style>
  <w:style w:type="paragraph" w:customStyle="1" w:styleId="2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5">
    <w:name w:val="表格"/>
    <w:basedOn w:val="1"/>
    <w:next w:val="1"/>
    <w:link w:val="42"/>
    <w:qFormat/>
    <w:uiPriority w:val="0"/>
    <w:pPr>
      <w:adjustRightInd w:val="0"/>
      <w:snapToGrid w:val="0"/>
      <w:spacing w:beforeLines="10" w:afterLines="10" w:line="259" w:lineRule="auto"/>
      <w:jc w:val="center"/>
    </w:pPr>
    <w:rPr>
      <w:rFonts w:ascii="宋体"/>
      <w:kern w:val="0"/>
      <w:szCs w:val="20"/>
    </w:rPr>
  </w:style>
  <w:style w:type="paragraph" w:customStyle="1" w:styleId="26">
    <w:name w:val="表格中文字"/>
    <w:basedOn w:val="1"/>
    <w:link w:val="31"/>
    <w:qFormat/>
    <w:uiPriority w:val="0"/>
    <w:pPr>
      <w:jc w:val="center"/>
    </w:pPr>
    <w:rPr>
      <w:kern w:val="0"/>
      <w:sz w:val="20"/>
      <w:lang w:val="zh-CN"/>
    </w:rPr>
  </w:style>
  <w:style w:type="character" w:customStyle="1" w:styleId="27">
    <w:name w:val="批注框文本 Char"/>
    <w:link w:val="12"/>
    <w:semiHidden/>
    <w:qFormat/>
    <w:locked/>
    <w:uiPriority w:val="0"/>
    <w:rPr>
      <w:rFonts w:ascii="Times New Roman" w:hAnsi="Times New Roman" w:eastAsia="宋体"/>
      <w:sz w:val="18"/>
    </w:rPr>
  </w:style>
  <w:style w:type="character" w:customStyle="1" w:styleId="28">
    <w:name w:val="页脚 字符"/>
    <w:basedOn w:val="20"/>
    <w:qFormat/>
    <w:uiPriority w:val="99"/>
  </w:style>
  <w:style w:type="character" w:customStyle="1" w:styleId="29">
    <w:name w:val="正文文本缩进 Char"/>
    <w:link w:val="9"/>
    <w:semiHidden/>
    <w:qFormat/>
    <w:locked/>
    <w:uiPriority w:val="0"/>
    <w:rPr>
      <w:rFonts w:ascii="Times New Roman" w:hAnsi="Times New Roman" w:eastAsia="宋体"/>
      <w:sz w:val="24"/>
    </w:rPr>
  </w:style>
  <w:style w:type="character" w:customStyle="1" w:styleId="30">
    <w:name w:val="页脚 Char"/>
    <w:link w:val="13"/>
    <w:qFormat/>
    <w:locked/>
    <w:uiPriority w:val="99"/>
    <w:rPr>
      <w:sz w:val="18"/>
    </w:rPr>
  </w:style>
  <w:style w:type="character" w:customStyle="1" w:styleId="31">
    <w:name w:val="表格中文字 字符"/>
    <w:link w:val="26"/>
    <w:qFormat/>
    <w:uiPriority w:val="0"/>
    <w:rPr>
      <w:szCs w:val="24"/>
      <w:lang w:val="zh-CN"/>
    </w:rPr>
  </w:style>
  <w:style w:type="character" w:customStyle="1" w:styleId="32">
    <w:name w:val="批注文字 字符1"/>
    <w:semiHidden/>
    <w:qFormat/>
    <w:uiPriority w:val="0"/>
    <w:rPr>
      <w:rFonts w:ascii="Times New Roman" w:hAnsi="Times New Roman" w:eastAsia="宋体"/>
      <w:sz w:val="24"/>
    </w:rPr>
  </w:style>
  <w:style w:type="character" w:customStyle="1" w:styleId="33">
    <w:name w:val="页眉 Char"/>
    <w:link w:val="14"/>
    <w:qFormat/>
    <w:locked/>
    <w:uiPriority w:val="0"/>
    <w:rPr>
      <w:sz w:val="18"/>
    </w:rPr>
  </w:style>
  <w:style w:type="character" w:customStyle="1" w:styleId="34">
    <w:name w:val="题注 Char"/>
    <w:link w:val="6"/>
    <w:qFormat/>
    <w:uiPriority w:val="35"/>
    <w:rPr>
      <w:rFonts w:eastAsia="黑体"/>
      <w:sz w:val="24"/>
    </w:rPr>
  </w:style>
  <w:style w:type="character" w:customStyle="1" w:styleId="35">
    <w:name w:val="普通(网站) Char"/>
    <w:link w:val="15"/>
    <w:qFormat/>
    <w:locked/>
    <w:uiPriority w:val="0"/>
    <w:rPr>
      <w:rFonts w:ascii="宋体" w:hAnsi="宋体" w:eastAsia="宋体"/>
      <w:sz w:val="24"/>
    </w:rPr>
  </w:style>
  <w:style w:type="character" w:customStyle="1" w:styleId="36">
    <w:name w:val="日期 Char"/>
    <w:link w:val="11"/>
    <w:qFormat/>
    <w:locked/>
    <w:uiPriority w:val="0"/>
    <w:rPr>
      <w:rFonts w:ascii="Times New Roman" w:hAnsi="Times New Roman" w:eastAsia="宋体"/>
      <w:sz w:val="24"/>
    </w:rPr>
  </w:style>
  <w:style w:type="character" w:customStyle="1" w:styleId="37">
    <w:name w:val="标题 4 Char"/>
    <w:link w:val="5"/>
    <w:semiHidden/>
    <w:qFormat/>
    <w:uiPriority w:val="0"/>
    <w:rPr>
      <w:rFonts w:ascii="Calibri Light" w:hAnsi="Calibri Light" w:eastAsia="宋体" w:cs="Times New Roman"/>
      <w:b/>
      <w:bCs/>
      <w:kern w:val="2"/>
      <w:sz w:val="28"/>
      <w:szCs w:val="28"/>
    </w:rPr>
  </w:style>
  <w:style w:type="character" w:customStyle="1" w:styleId="38">
    <w:name w:val="日期 字符"/>
    <w:semiHidden/>
    <w:qFormat/>
    <w:uiPriority w:val="0"/>
    <w:rPr>
      <w:rFonts w:ascii="Times New Roman" w:hAnsi="Times New Roman" w:eastAsia="宋体"/>
      <w:sz w:val="24"/>
    </w:rPr>
  </w:style>
  <w:style w:type="character" w:customStyle="1" w:styleId="39">
    <w:name w:val="正文文本 Char"/>
    <w:link w:val="8"/>
    <w:qFormat/>
    <w:locked/>
    <w:uiPriority w:val="0"/>
    <w:rPr>
      <w:sz w:val="18"/>
    </w:rPr>
  </w:style>
  <w:style w:type="character" w:customStyle="1" w:styleId="40">
    <w:name w:val="正文文本 字符1"/>
    <w:semiHidden/>
    <w:qFormat/>
    <w:uiPriority w:val="0"/>
    <w:rPr>
      <w:rFonts w:ascii="Times New Roman" w:hAnsi="Times New Roman" w:eastAsia="宋体"/>
      <w:sz w:val="24"/>
    </w:rPr>
  </w:style>
  <w:style w:type="character" w:customStyle="1" w:styleId="41">
    <w:name w:val="批注文字 Char"/>
    <w:link w:val="7"/>
    <w:qFormat/>
    <w:locked/>
    <w:uiPriority w:val="0"/>
    <w:rPr>
      <w:rFonts w:ascii="Times New Roman" w:hAnsi="Times New Roman" w:eastAsia="宋体"/>
      <w:sz w:val="24"/>
    </w:rPr>
  </w:style>
  <w:style w:type="character" w:customStyle="1" w:styleId="42">
    <w:name w:val="表格 Char"/>
    <w:link w:val="25"/>
    <w:qFormat/>
    <w:locked/>
    <w:uiPriority w:val="0"/>
    <w:rPr>
      <w:rFonts w:ascii="宋体"/>
      <w:sz w:val="21"/>
    </w:rPr>
  </w:style>
  <w:style w:type="character" w:customStyle="1" w:styleId="43">
    <w:name w:val="批注主题 Char"/>
    <w:link w:val="16"/>
    <w:semiHidden/>
    <w:qFormat/>
    <w:locked/>
    <w:uiPriority w:val="0"/>
    <w:rPr>
      <w:rFonts w:ascii="Times New Roman" w:hAnsi="Times New Roman" w:eastAsia="宋体"/>
      <w:b/>
      <w:kern w:val="2"/>
      <w:sz w:val="24"/>
    </w:rPr>
  </w:style>
  <w:style w:type="character" w:customStyle="1" w:styleId="44">
    <w:name w:val="标题 3 Char"/>
    <w:link w:val="4"/>
    <w:semiHidden/>
    <w:qFormat/>
    <w:uiPriority w:val="0"/>
    <w:rPr>
      <w:b/>
      <w:bCs/>
      <w:kern w:val="2"/>
      <w:sz w:val="32"/>
      <w:szCs w:val="32"/>
    </w:rPr>
  </w:style>
  <w:style w:type="paragraph" w:customStyle="1" w:styleId="45">
    <w:name w:val="Default"/>
    <w:qFormat/>
    <w:uiPriority w:val="0"/>
    <w:pPr>
      <w:widowControl w:val="0"/>
      <w:autoSpaceDE w:val="0"/>
      <w:autoSpaceDN w:val="0"/>
      <w:adjustRightInd w:val="0"/>
      <w:spacing w:line="460" w:lineRule="exact"/>
      <w:jc w:val="center"/>
    </w:pPr>
    <w:rPr>
      <w:rFonts w:ascii="黑体" w:hAnsi="Times New Roman" w:eastAsia="黑体" w:cs="黑体"/>
      <w:color w:val="000000"/>
      <w:sz w:val="24"/>
      <w:szCs w:val="24"/>
      <w:lang w:val="en-US" w:eastAsia="zh-CN" w:bidi="ar-SA"/>
    </w:rPr>
  </w:style>
  <w:style w:type="paragraph" w:customStyle="1" w:styleId="46">
    <w:name w:val="段落 Char Char"/>
    <w:basedOn w:val="1"/>
    <w:qFormat/>
    <w:uiPriority w:val="0"/>
    <w:pPr>
      <w:spacing w:line="500" w:lineRule="exact"/>
      <w:ind w:firstLine="601"/>
    </w:pPr>
    <w:rPr>
      <w:rFonts w:ascii="宋体"/>
      <w:sz w:val="28"/>
      <w:szCs w:val="28"/>
    </w:rPr>
  </w:style>
  <w:style w:type="paragraph" w:customStyle="1" w:styleId="47">
    <w:name w:val="报告表表格文字"/>
    <w:basedOn w:val="1"/>
    <w:qFormat/>
    <w:uiPriority w:val="0"/>
    <w:pPr>
      <w:autoSpaceDE w:val="0"/>
      <w:autoSpaceDN w:val="0"/>
      <w:adjustRightInd w:val="0"/>
      <w:snapToGrid w:val="0"/>
      <w:spacing w:line="360" w:lineRule="exact"/>
      <w:ind w:firstLine="0" w:firstLineChars="0"/>
      <w:jc w:val="center"/>
      <w:textAlignment w:val="baseline"/>
    </w:pPr>
    <w:rPr>
      <w:color w:val="000000"/>
      <w:kern w:val="0"/>
      <w:sz w:val="21"/>
      <w:szCs w:val="21"/>
    </w:rPr>
  </w:style>
  <w:style w:type="paragraph" w:customStyle="1" w:styleId="48">
    <w:name w:val="msonormalcxspmiddle"/>
    <w:basedOn w:val="1"/>
    <w:qFormat/>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emf"/><Relationship Id="rId21" Type="http://schemas.openxmlformats.org/officeDocument/2006/relationships/oleObject" Target="embeddings/oleObject5.bin"/><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emf"/><Relationship Id="rId16" Type="http://schemas.openxmlformats.org/officeDocument/2006/relationships/oleObject" Target="embeddings/oleObject2.bin"/><Relationship Id="rId15" Type="http://schemas.openxmlformats.org/officeDocument/2006/relationships/image" Target="media/image4.emf"/><Relationship Id="rId14" Type="http://schemas.openxmlformats.org/officeDocument/2006/relationships/oleObject" Target="embeddings/oleObject1.bin"/><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41"/>
    <customShpInfo spid="_x0000_s1042"/>
    <customShpInfo spid="_x0000_s1043"/>
    <customShpInfo spid="_x0000_s1044"/>
    <customShpInfo spid="_x0000_s104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67</Pages>
  <Words>7729</Words>
  <Characters>44056</Characters>
  <Lines>367</Lines>
  <Paragraphs>103</Paragraphs>
  <TotalTime>2</TotalTime>
  <ScaleCrop>false</ScaleCrop>
  <LinksUpToDate>false</LinksUpToDate>
  <CharactersWithSpaces>51682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2021-02-20T02:08:00Z</dcterms:created>
  <dc:creator>lhj</dc:creator>
  <cp:lastModifiedBy>Administrator</cp:lastModifiedBy>
  <cp:lastPrinted>2021-04-09T00:56:00Z</cp:lastPrinted>
  <dcterms:modified xsi:type="dcterms:W3CDTF">2021-04-09T07:20:46Z</dcterms:modified>
  <dc:title>附件2</dc:title>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64F338D4762B41FD80BFA3035760712F</vt:lpwstr>
  </property>
</Properties>
</file>