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jc w:val="center"/>
        <w:outlineLvl w:val="0"/>
        <w:rPr>
          <w:rFonts w:hint="eastAsia" w:ascii="Times New Roman" w:hAnsi="Times New Roman" w:eastAsia="黑体"/>
          <w:snapToGrid w:val="0"/>
          <w:sz w:val="30"/>
          <w:szCs w:val="30"/>
          <w:highlight w:val="none"/>
          <w:lang w:eastAsia="zh-CN"/>
        </w:rPr>
        <w:sectPr>
          <w:footerReference r:id="rId3" w:type="default"/>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r>
        <w:rPr>
          <w:rFonts w:hint="eastAsia" w:ascii="Times New Roman" w:hAnsi="Times New Roman" w:eastAsia="黑体"/>
          <w:snapToGrid w:val="0"/>
          <w:sz w:val="30"/>
          <w:szCs w:val="30"/>
          <w:highlight w:val="none"/>
          <w:lang w:eastAsia="zh-CN"/>
        </w:rPr>
        <w:drawing>
          <wp:anchor distT="0" distB="0" distL="114300" distR="114300" simplePos="0" relativeHeight="251666432" behindDoc="0" locked="0" layoutInCell="1" allowOverlap="1">
            <wp:simplePos x="0" y="0"/>
            <wp:positionH relativeFrom="column">
              <wp:posOffset>-904875</wp:posOffset>
            </wp:positionH>
            <wp:positionV relativeFrom="paragraph">
              <wp:posOffset>-895350</wp:posOffset>
            </wp:positionV>
            <wp:extent cx="7545705" cy="10367645"/>
            <wp:effectExtent l="0" t="0" r="17145" b="1460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6"/>
                    <a:stretch>
                      <a:fillRect/>
                    </a:stretch>
                  </pic:blipFill>
                  <pic:spPr>
                    <a:xfrm>
                      <a:off x="0" y="0"/>
                      <a:ext cx="7545705" cy="10367645"/>
                    </a:xfrm>
                    <a:prstGeom prst="rect">
                      <a:avLst/>
                    </a:prstGeom>
                  </pic:spPr>
                </pic:pic>
              </a:graphicData>
            </a:graphic>
          </wp:anchor>
        </w:drawing>
      </w:r>
    </w:p>
    <w:p>
      <w:pPr>
        <w:pStyle w:val="13"/>
        <w:jc w:val="center"/>
        <w:outlineLvl w:val="0"/>
        <w:rPr>
          <w:rFonts w:hint="eastAsia" w:ascii="Times New Roman" w:hAnsi="Times New Roman" w:eastAsia="黑体"/>
          <w:snapToGrid w:val="0"/>
          <w:sz w:val="30"/>
          <w:szCs w:val="30"/>
          <w:highlight w:val="none"/>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bookmarkStart w:id="6" w:name="_GoBack"/>
      <w:r>
        <w:rPr>
          <w:rFonts w:hint="eastAsia" w:ascii="Times New Roman" w:hAnsi="Times New Roman" w:eastAsia="黑体"/>
          <w:snapToGrid w:val="0"/>
          <w:sz w:val="30"/>
          <w:szCs w:val="30"/>
          <w:highlight w:val="none"/>
          <w:lang w:eastAsia="zh-CN"/>
        </w:rPr>
        <w:drawing>
          <wp:anchor distT="0" distB="0" distL="114300" distR="114300" simplePos="0" relativeHeight="251677696" behindDoc="0" locked="0" layoutInCell="1" allowOverlap="1">
            <wp:simplePos x="0" y="0"/>
            <wp:positionH relativeFrom="column">
              <wp:posOffset>-1156335</wp:posOffset>
            </wp:positionH>
            <wp:positionV relativeFrom="paragraph">
              <wp:posOffset>-911860</wp:posOffset>
            </wp:positionV>
            <wp:extent cx="7582535" cy="10418445"/>
            <wp:effectExtent l="0" t="0" r="18415" b="1905"/>
            <wp:wrapNone/>
            <wp:docPr id="19" name="图片 19" descr="qw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w0002"/>
                    <pic:cNvPicPr>
                      <a:picLocks noChangeAspect="1"/>
                    </pic:cNvPicPr>
                  </pic:nvPicPr>
                  <pic:blipFill>
                    <a:blip r:embed="rId7"/>
                    <a:stretch>
                      <a:fillRect/>
                    </a:stretch>
                  </pic:blipFill>
                  <pic:spPr>
                    <a:xfrm>
                      <a:off x="0" y="0"/>
                      <a:ext cx="7582535" cy="10418445"/>
                    </a:xfrm>
                    <a:prstGeom prst="rect">
                      <a:avLst/>
                    </a:prstGeom>
                  </pic:spPr>
                </pic:pic>
              </a:graphicData>
            </a:graphic>
          </wp:anchor>
        </w:drawing>
      </w:r>
      <w:bookmarkEnd w:id="6"/>
    </w:p>
    <w:p>
      <w:pPr>
        <w:pStyle w:val="13"/>
        <w:jc w:val="center"/>
        <w:outlineLvl w:val="0"/>
        <w:rPr>
          <w:rFonts w:hint="eastAsia" w:ascii="Times New Roman" w:hAnsi="Times New Roman" w:eastAsia="黑体"/>
          <w:snapToGrid w:val="0"/>
          <w:sz w:val="30"/>
          <w:szCs w:val="30"/>
          <w:highlight w:val="none"/>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r>
        <w:rPr>
          <w:rFonts w:hint="eastAsia" w:ascii="Times New Roman" w:hAnsi="Times New Roman" w:eastAsia="黑体"/>
          <w:snapToGrid w:val="0"/>
          <w:sz w:val="30"/>
          <w:szCs w:val="30"/>
          <w:highlight w:val="none"/>
          <w:lang w:eastAsia="zh-CN"/>
        </w:rPr>
        <w:drawing>
          <wp:anchor distT="0" distB="0" distL="114300" distR="114300" simplePos="0" relativeHeight="251676672" behindDoc="0" locked="0" layoutInCell="1" allowOverlap="1">
            <wp:simplePos x="0" y="0"/>
            <wp:positionH relativeFrom="column">
              <wp:posOffset>-1089025</wp:posOffset>
            </wp:positionH>
            <wp:positionV relativeFrom="paragraph">
              <wp:posOffset>-886460</wp:posOffset>
            </wp:positionV>
            <wp:extent cx="7477760" cy="10274300"/>
            <wp:effectExtent l="0" t="0" r="8890" b="12700"/>
            <wp:wrapNone/>
            <wp:docPr id="17" name="图片 17" descr="qw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w0001"/>
                    <pic:cNvPicPr>
                      <a:picLocks noChangeAspect="1"/>
                    </pic:cNvPicPr>
                  </pic:nvPicPr>
                  <pic:blipFill>
                    <a:blip r:embed="rId8"/>
                    <a:stretch>
                      <a:fillRect/>
                    </a:stretch>
                  </pic:blipFill>
                  <pic:spPr>
                    <a:xfrm>
                      <a:off x="0" y="0"/>
                      <a:ext cx="7477760" cy="10274300"/>
                    </a:xfrm>
                    <a:prstGeom prst="rect">
                      <a:avLst/>
                    </a:prstGeom>
                  </pic:spPr>
                </pic:pic>
              </a:graphicData>
            </a:graphic>
          </wp:anchor>
        </w:drawing>
      </w:r>
    </w:p>
    <w:p>
      <w:pPr>
        <w:pStyle w:val="13"/>
        <w:jc w:val="center"/>
        <w:outlineLvl w:val="0"/>
        <w:rPr>
          <w:rFonts w:hint="eastAsia" w:ascii="Times New Roman" w:hAnsi="Times New Roman" w:eastAsia="黑体"/>
          <w:snapToGrid w:val="0"/>
          <w:sz w:val="30"/>
          <w:szCs w:val="30"/>
          <w:highlight w:val="none"/>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r>
        <w:rPr>
          <w:rFonts w:hint="eastAsia" w:ascii="Times New Roman" w:hAnsi="Times New Roman" w:eastAsia="黑体"/>
          <w:snapToGrid w:val="0"/>
          <w:sz w:val="30"/>
          <w:szCs w:val="30"/>
          <w:highlight w:val="none"/>
          <w:lang w:eastAsia="zh-CN"/>
        </w:rPr>
        <w:drawing>
          <wp:anchor distT="0" distB="0" distL="114300" distR="114300" simplePos="0" relativeHeight="251673600" behindDoc="0" locked="0" layoutInCell="1" allowOverlap="1">
            <wp:simplePos x="0" y="0"/>
            <wp:positionH relativeFrom="column">
              <wp:posOffset>-1099820</wp:posOffset>
            </wp:positionH>
            <wp:positionV relativeFrom="paragraph">
              <wp:posOffset>-874395</wp:posOffset>
            </wp:positionV>
            <wp:extent cx="7494905" cy="10298430"/>
            <wp:effectExtent l="0" t="0" r="10795" b="7620"/>
            <wp:wrapNone/>
            <wp:docPr id="14" name="图片 14" descr="as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s0003"/>
                    <pic:cNvPicPr>
                      <a:picLocks noChangeAspect="1"/>
                    </pic:cNvPicPr>
                  </pic:nvPicPr>
                  <pic:blipFill>
                    <a:blip r:embed="rId9"/>
                    <a:stretch>
                      <a:fillRect/>
                    </a:stretch>
                  </pic:blipFill>
                  <pic:spPr>
                    <a:xfrm>
                      <a:off x="0" y="0"/>
                      <a:ext cx="7494905" cy="10298430"/>
                    </a:xfrm>
                    <a:prstGeom prst="rect">
                      <a:avLst/>
                    </a:prstGeom>
                  </pic:spPr>
                </pic:pic>
              </a:graphicData>
            </a:graphic>
          </wp:anchor>
        </w:drawing>
      </w:r>
    </w:p>
    <w:p>
      <w:pPr>
        <w:pStyle w:val="13"/>
        <w:jc w:val="center"/>
        <w:outlineLvl w:val="0"/>
        <w:rPr>
          <w:rFonts w:hint="eastAsia" w:ascii="Times New Roman" w:hAnsi="Times New Roman" w:eastAsia="黑体"/>
          <w:snapToGrid w:val="0"/>
          <w:sz w:val="30"/>
          <w:szCs w:val="30"/>
          <w:highlight w:val="none"/>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r>
        <w:rPr>
          <w:rFonts w:hint="eastAsia" w:ascii="Times New Roman" w:hAnsi="Times New Roman" w:eastAsia="黑体"/>
          <w:snapToGrid w:val="0"/>
          <w:sz w:val="30"/>
          <w:szCs w:val="30"/>
          <w:highlight w:val="none"/>
          <w:lang w:eastAsia="zh-CN"/>
        </w:rPr>
        <w:drawing>
          <wp:anchor distT="0" distB="0" distL="114300" distR="114300" simplePos="0" relativeHeight="251674624" behindDoc="0" locked="0" layoutInCell="1" allowOverlap="1">
            <wp:simplePos x="0" y="0"/>
            <wp:positionH relativeFrom="column">
              <wp:posOffset>-1151255</wp:posOffset>
            </wp:positionH>
            <wp:positionV relativeFrom="paragraph">
              <wp:posOffset>-917575</wp:posOffset>
            </wp:positionV>
            <wp:extent cx="7564755" cy="10394315"/>
            <wp:effectExtent l="0" t="0" r="17145" b="6985"/>
            <wp:wrapNone/>
            <wp:docPr id="15" name="图片 15" descr="as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s0004"/>
                    <pic:cNvPicPr>
                      <a:picLocks noChangeAspect="1"/>
                    </pic:cNvPicPr>
                  </pic:nvPicPr>
                  <pic:blipFill>
                    <a:blip r:embed="rId10"/>
                    <a:stretch>
                      <a:fillRect/>
                    </a:stretch>
                  </pic:blipFill>
                  <pic:spPr>
                    <a:xfrm>
                      <a:off x="0" y="0"/>
                      <a:ext cx="7564755" cy="10394315"/>
                    </a:xfrm>
                    <a:prstGeom prst="rect">
                      <a:avLst/>
                    </a:prstGeom>
                  </pic:spPr>
                </pic:pic>
              </a:graphicData>
            </a:graphic>
          </wp:anchor>
        </w:drawing>
      </w:r>
    </w:p>
    <w:p>
      <w:pPr>
        <w:pStyle w:val="13"/>
        <w:jc w:val="center"/>
        <w:outlineLvl w:val="0"/>
        <w:rPr>
          <w:rFonts w:hint="eastAsia" w:ascii="Times New Roman" w:hAnsi="Times New Roman" w:eastAsia="黑体"/>
          <w:snapToGrid w:val="0"/>
          <w:sz w:val="30"/>
          <w:szCs w:val="30"/>
          <w:highlight w:val="none"/>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r>
        <w:rPr>
          <w:rFonts w:hint="eastAsia" w:ascii="Times New Roman" w:hAnsi="Times New Roman" w:eastAsia="黑体"/>
          <w:snapToGrid w:val="0"/>
          <w:sz w:val="30"/>
          <w:szCs w:val="30"/>
          <w:highlight w:val="none"/>
          <w:lang w:eastAsia="zh-CN"/>
        </w:rPr>
        <w:drawing>
          <wp:anchor distT="0" distB="0" distL="114300" distR="114300" simplePos="0" relativeHeight="251675648" behindDoc="0" locked="0" layoutInCell="1" allowOverlap="1">
            <wp:simplePos x="0" y="0"/>
            <wp:positionH relativeFrom="column">
              <wp:posOffset>-1134745</wp:posOffset>
            </wp:positionH>
            <wp:positionV relativeFrom="paragraph">
              <wp:posOffset>-883285</wp:posOffset>
            </wp:positionV>
            <wp:extent cx="7529195" cy="10345420"/>
            <wp:effectExtent l="0" t="0" r="14605" b="17780"/>
            <wp:wrapNone/>
            <wp:docPr id="16" name="图片 16" descr="as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s0005"/>
                    <pic:cNvPicPr>
                      <a:picLocks noChangeAspect="1"/>
                    </pic:cNvPicPr>
                  </pic:nvPicPr>
                  <pic:blipFill>
                    <a:blip r:embed="rId11"/>
                    <a:stretch>
                      <a:fillRect/>
                    </a:stretch>
                  </pic:blipFill>
                  <pic:spPr>
                    <a:xfrm>
                      <a:off x="0" y="0"/>
                      <a:ext cx="7529195" cy="10345420"/>
                    </a:xfrm>
                    <a:prstGeom prst="rect">
                      <a:avLst/>
                    </a:prstGeom>
                  </pic:spPr>
                </pic:pic>
              </a:graphicData>
            </a:graphic>
          </wp:anchor>
        </w:drawing>
      </w:r>
    </w:p>
    <w:p>
      <w:pPr>
        <w:pStyle w:val="13"/>
        <w:jc w:val="center"/>
        <w:outlineLvl w:val="0"/>
        <w:rPr>
          <w:rFonts w:hint="eastAsia" w:ascii="Times New Roman" w:hAnsi="Times New Roman" w:eastAsia="黑体"/>
          <w:snapToGrid w:val="0"/>
          <w:sz w:val="30"/>
          <w:szCs w:val="30"/>
          <w:highlight w:val="none"/>
        </w:rPr>
      </w:pPr>
      <w:r>
        <w:rPr>
          <w:rFonts w:hint="eastAsia" w:ascii="Times New Roman" w:hAnsi="Times New Roman" w:eastAsia="黑体"/>
          <w:snapToGrid w:val="0"/>
          <w:sz w:val="30"/>
          <w:szCs w:val="30"/>
          <w:highlight w:val="none"/>
        </w:rPr>
        <w:t>一、建设项目基本情况</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40"/>
        <w:gridCol w:w="1817"/>
        <w:gridCol w:w="3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建设项目名称</w:t>
            </w:r>
          </w:p>
        </w:tc>
        <w:tc>
          <w:tcPr>
            <w:tcW w:w="6820" w:type="dxa"/>
            <w:gridSpan w:val="3"/>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highlight w:val="none"/>
                <w:vertAlign w:val="baseline"/>
              </w:rPr>
              <w:t>年产500吨烘焙食品加工项目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项目代码</w:t>
            </w:r>
          </w:p>
        </w:tc>
        <w:tc>
          <w:tcPr>
            <w:tcW w:w="6820" w:type="dxa"/>
            <w:gridSpan w:val="3"/>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highlight w:val="none"/>
                <w:vertAlign w:val="baseline"/>
              </w:rPr>
              <w:t>2019-410704-13-03-062236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eastAsia="宋体" w:cs="宋体"/>
                <w:color w:val="000000"/>
                <w:sz w:val="21"/>
                <w:szCs w:val="21"/>
                <w:highlight w:val="none"/>
                <w:lang w:eastAsia="zh-CN"/>
              </w:rPr>
            </w:pPr>
            <w:r>
              <w:rPr>
                <w:rFonts w:hint="eastAsia" w:cs="宋体"/>
                <w:color w:val="000000"/>
                <w:sz w:val="21"/>
                <w:szCs w:val="21"/>
                <w:highlight w:val="none"/>
                <w:lang w:eastAsia="zh-CN"/>
              </w:rPr>
              <w:t>建设单位法人</w:t>
            </w:r>
          </w:p>
        </w:tc>
        <w:tc>
          <w:tcPr>
            <w:tcW w:w="1540"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sz w:val="21"/>
                <w:szCs w:val="21"/>
                <w:highlight w:val="none"/>
              </w:rPr>
            </w:pPr>
            <w:r>
              <w:rPr>
                <w:rFonts w:hint="eastAsia" w:cs="宋体"/>
                <w:color w:val="000000"/>
                <w:sz w:val="21"/>
                <w:szCs w:val="21"/>
                <w:highlight w:val="none"/>
              </w:rPr>
              <w:t>王瑞敏</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eastAsia="宋体" w:cs="宋体"/>
                <w:color w:val="000000"/>
                <w:sz w:val="21"/>
                <w:szCs w:val="21"/>
                <w:highlight w:val="none"/>
                <w:lang w:eastAsia="zh-CN"/>
              </w:rPr>
            </w:pPr>
            <w:r>
              <w:rPr>
                <w:rFonts w:hint="eastAsia" w:cs="宋体"/>
                <w:color w:val="000000"/>
                <w:sz w:val="21"/>
                <w:szCs w:val="21"/>
                <w:highlight w:val="none"/>
                <w:lang w:eastAsia="zh-CN"/>
              </w:rPr>
              <w:t>身份证号</w:t>
            </w:r>
          </w:p>
        </w:tc>
        <w:tc>
          <w:tcPr>
            <w:tcW w:w="3463"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sz w:val="21"/>
                <w:szCs w:val="21"/>
                <w:highlight w:val="none"/>
              </w:rPr>
            </w:pPr>
            <w:r>
              <w:rPr>
                <w:rFonts w:hint="eastAsia" w:cs="宋体"/>
                <w:color w:val="000000"/>
                <w:sz w:val="21"/>
                <w:szCs w:val="21"/>
                <w:highlight w:val="none"/>
              </w:rPr>
              <w:t>410721195308270517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Times New Roman"/>
                <w:kern w:val="2"/>
                <w:sz w:val="21"/>
                <w:szCs w:val="24"/>
                <w:highlight w:val="none"/>
                <w:vertAlign w:val="baseline"/>
                <w:lang w:val="en-US" w:eastAsia="zh-CN" w:bidi="ar-SA"/>
              </w:rPr>
            </w:pPr>
            <w:r>
              <w:rPr>
                <w:rFonts w:hint="eastAsia" w:cs="宋体"/>
                <w:color w:val="000000"/>
                <w:sz w:val="21"/>
                <w:szCs w:val="21"/>
                <w:highlight w:val="none"/>
              </w:rPr>
              <w:t>建设单位联系人</w:t>
            </w:r>
          </w:p>
        </w:tc>
        <w:tc>
          <w:tcPr>
            <w:tcW w:w="1540"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Times New Roman"/>
                <w:kern w:val="2"/>
                <w:sz w:val="21"/>
                <w:szCs w:val="24"/>
                <w:highlight w:val="none"/>
                <w:vertAlign w:val="baseline"/>
                <w:lang w:val="en-US" w:eastAsia="zh-CN" w:bidi="ar-SA"/>
              </w:rPr>
            </w:pPr>
            <w:r>
              <w:rPr>
                <w:rFonts w:hint="eastAsia" w:ascii="Times New Roman" w:hAnsi="Times New Roman" w:eastAsia="宋体" w:cs="Times New Roman"/>
                <w:kern w:val="2"/>
                <w:sz w:val="21"/>
                <w:szCs w:val="24"/>
                <w:highlight w:val="none"/>
                <w:vertAlign w:val="baseline"/>
                <w:lang w:val="en-US" w:eastAsia="zh-CN" w:bidi="ar-SA"/>
              </w:rPr>
              <w:t>王自卫</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Times New Roman"/>
                <w:kern w:val="2"/>
                <w:sz w:val="21"/>
                <w:szCs w:val="24"/>
                <w:highlight w:val="none"/>
                <w:vertAlign w:val="baseline"/>
                <w:lang w:val="en-US" w:eastAsia="zh-CN" w:bidi="ar-SA"/>
              </w:rPr>
            </w:pPr>
            <w:r>
              <w:rPr>
                <w:rFonts w:hint="eastAsia" w:cs="宋体"/>
                <w:color w:val="000000"/>
                <w:sz w:val="21"/>
                <w:szCs w:val="21"/>
                <w:highlight w:val="none"/>
              </w:rPr>
              <w:t>联系方式</w:t>
            </w:r>
          </w:p>
        </w:tc>
        <w:tc>
          <w:tcPr>
            <w:tcW w:w="3463"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Times New Roman"/>
                <w:kern w:val="2"/>
                <w:sz w:val="21"/>
                <w:szCs w:val="24"/>
                <w:highlight w:val="none"/>
                <w:vertAlign w:val="baseline"/>
                <w:lang w:val="en-US" w:eastAsia="zh-CN" w:bidi="ar-SA"/>
              </w:rPr>
            </w:pPr>
            <w:r>
              <w:rPr>
                <w:rFonts w:hint="eastAsia" w:ascii="Times New Roman" w:hAnsi="Times New Roman" w:eastAsia="宋体" w:cs="Times New Roman"/>
                <w:kern w:val="2"/>
                <w:sz w:val="21"/>
                <w:szCs w:val="24"/>
                <w:highlight w:val="none"/>
                <w:vertAlign w:val="baseline"/>
                <w:lang w:val="en-US" w:eastAsia="zh-CN" w:bidi="ar-SA"/>
              </w:rPr>
              <w:t>15565213738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建设地点</w:t>
            </w:r>
          </w:p>
        </w:tc>
        <w:tc>
          <w:tcPr>
            <w:tcW w:w="6820" w:type="dxa"/>
            <w:gridSpan w:val="3"/>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highlight w:val="none"/>
                <w:vertAlign w:val="baseline"/>
              </w:rPr>
              <w:t>新乡市凤泉区大块镇小块村西800米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highlight w:val="none"/>
                <w:vertAlign w:val="baseline"/>
              </w:rPr>
            </w:pPr>
            <w:r>
              <w:rPr>
                <w:rFonts w:hint="default" w:ascii="Times New Roman" w:hAnsi="Times New Roman" w:cs="Times New Roman"/>
                <w:color w:val="000000"/>
                <w:sz w:val="21"/>
                <w:szCs w:val="21"/>
                <w:highlight w:val="none"/>
              </w:rPr>
              <w:t>地理坐标</w:t>
            </w:r>
          </w:p>
        </w:tc>
        <w:tc>
          <w:tcPr>
            <w:tcW w:w="6820" w:type="dxa"/>
            <w:gridSpan w:val="3"/>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highlight w:val="none"/>
                <w:vertAlign w:val="baseline"/>
              </w:rPr>
            </w:pPr>
            <w:r>
              <w:rPr>
                <w:rFonts w:hint="default" w:ascii="Times New Roman" w:hAnsi="Times New Roman" w:cs="Times New Roman"/>
                <w:color w:val="000000"/>
                <w:sz w:val="21"/>
                <w:szCs w:val="21"/>
                <w:highlight w:val="none"/>
              </w:rPr>
              <w:t>（113°47′42.579″E</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35°23′20.067″N）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sz w:val="21"/>
                <w:szCs w:val="21"/>
                <w:highlight w:val="none"/>
              </w:rPr>
            </w:pPr>
            <w:r>
              <w:rPr>
                <w:rFonts w:hint="eastAsia" w:cs="宋体"/>
                <w:color w:val="000000"/>
                <w:sz w:val="21"/>
                <w:szCs w:val="21"/>
                <w:highlight w:val="none"/>
              </w:rPr>
              <w:t>国民经济</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行业类别</w:t>
            </w:r>
          </w:p>
        </w:tc>
        <w:tc>
          <w:tcPr>
            <w:tcW w:w="1540"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C149其他食品制造</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cs="宋体"/>
                <w:color w:val="000000"/>
                <w:sz w:val="21"/>
                <w:szCs w:val="21"/>
                <w:highlight w:val="none"/>
              </w:rPr>
            </w:pPr>
            <w:r>
              <w:rPr>
                <w:rFonts w:hint="eastAsia" w:cs="宋体"/>
                <w:color w:val="000000"/>
                <w:sz w:val="21"/>
                <w:szCs w:val="21"/>
                <w:highlight w:val="none"/>
              </w:rPr>
              <w:t>建设项目</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行业类别</w:t>
            </w:r>
          </w:p>
        </w:tc>
        <w:tc>
          <w:tcPr>
            <w:tcW w:w="3463"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lang w:val="en-US" w:eastAsia="zh-CN"/>
              </w:rPr>
              <w:t>24</w:t>
            </w:r>
            <w:r>
              <w:rPr>
                <w:rFonts w:hint="eastAsia" w:cs="宋体"/>
                <w:color w:val="000000"/>
                <w:sz w:val="21"/>
                <w:szCs w:val="21"/>
                <w:highlight w:val="none"/>
              </w:rPr>
              <w:t>、</w:t>
            </w:r>
            <w:r>
              <w:rPr>
                <w:rFonts w:hint="eastAsia" w:cs="宋体"/>
                <w:color w:val="000000"/>
                <w:sz w:val="21"/>
                <w:szCs w:val="21"/>
                <w:highlight w:val="none"/>
                <w:lang w:eastAsia="zh-CN"/>
              </w:rPr>
              <w:t>其他食品制造</w:t>
            </w:r>
            <w:r>
              <w:rPr>
                <w:rFonts w:hint="eastAsia" w:cs="宋体"/>
                <w:color w:val="000000"/>
                <w:sz w:val="21"/>
                <w:szCs w:val="21"/>
                <w:highlight w:val="none"/>
                <w:lang w:val="en-US" w:eastAsia="zh-C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建设性质</w:t>
            </w:r>
          </w:p>
        </w:tc>
        <w:tc>
          <w:tcPr>
            <w:tcW w:w="1540"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cs="宋体"/>
                <w:color w:val="000000"/>
                <w:sz w:val="21"/>
                <w:szCs w:val="21"/>
                <w:highlight w:val="none"/>
              </w:rPr>
            </w:pPr>
            <w:r>
              <w:rPr>
                <w:rFonts w:hint="eastAsia" w:cs="宋体"/>
                <w:color w:val="000000"/>
                <w:sz w:val="21"/>
                <w:szCs w:val="21"/>
                <w:highlight w:val="none"/>
              </w:rPr>
              <w:sym w:font="Wingdings 2" w:char="0052"/>
            </w:r>
            <w:r>
              <w:rPr>
                <w:rFonts w:hint="eastAsia" w:cs="宋体"/>
                <w:color w:val="000000"/>
                <w:sz w:val="21"/>
                <w:szCs w:val="21"/>
                <w:highlight w:val="none"/>
              </w:rPr>
              <w:t>新建（迁建）</w:t>
            </w:r>
          </w:p>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eastAsia" w:cs="宋体"/>
                <w:color w:val="000000"/>
                <w:sz w:val="21"/>
                <w:szCs w:val="21"/>
                <w:highlight w:val="none"/>
              </w:rPr>
            </w:pPr>
            <w:r>
              <w:rPr>
                <w:rFonts w:hint="eastAsia" w:cs="宋体"/>
                <w:color w:val="000000"/>
                <w:sz w:val="21"/>
                <w:szCs w:val="21"/>
                <w:highlight w:val="none"/>
              </w:rPr>
              <w:t>□改建</w:t>
            </w:r>
          </w:p>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eastAsia" w:cs="宋体"/>
                <w:color w:val="000000"/>
                <w:sz w:val="21"/>
                <w:szCs w:val="21"/>
                <w:highlight w:val="none"/>
              </w:rPr>
            </w:pPr>
            <w:r>
              <w:rPr>
                <w:rFonts w:ascii="Wingdings 2" w:hAnsi="Wingdings 2"/>
                <w:color w:val="000000"/>
                <w:kern w:val="0"/>
                <w:sz w:val="21"/>
                <w:szCs w:val="21"/>
                <w:highlight w:val="none"/>
                <w:lang w:val="zh-CN"/>
              </w:rPr>
              <w:sym w:font="Wingdings 2" w:char="00A3"/>
            </w:r>
            <w:r>
              <w:rPr>
                <w:rFonts w:hint="eastAsia" w:cs="宋体"/>
                <w:color w:val="000000"/>
                <w:sz w:val="21"/>
                <w:szCs w:val="21"/>
                <w:highlight w:val="none"/>
              </w:rPr>
              <w:t>扩建</w:t>
            </w:r>
          </w:p>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highlight w:val="none"/>
                <w:vertAlign w:val="baseline"/>
              </w:rPr>
            </w:pPr>
            <w:r>
              <w:rPr>
                <w:rFonts w:hint="eastAsia" w:cs="宋体"/>
                <w:color w:val="000000"/>
                <w:sz w:val="21"/>
                <w:szCs w:val="21"/>
                <w:highlight w:val="none"/>
              </w:rPr>
              <w:t>□技术改造</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sz w:val="21"/>
                <w:szCs w:val="21"/>
                <w:highlight w:val="none"/>
              </w:rPr>
            </w:pPr>
            <w:r>
              <w:rPr>
                <w:rFonts w:hint="eastAsia" w:cs="宋体"/>
                <w:color w:val="000000"/>
                <w:sz w:val="21"/>
                <w:szCs w:val="21"/>
                <w:highlight w:val="none"/>
              </w:rPr>
              <w:t>建设项目</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申报情形</w:t>
            </w:r>
          </w:p>
        </w:tc>
        <w:tc>
          <w:tcPr>
            <w:tcW w:w="3463"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cs="宋体"/>
                <w:color w:val="000000"/>
                <w:sz w:val="21"/>
                <w:szCs w:val="21"/>
                <w:highlight w:val="none"/>
              </w:rPr>
            </w:pPr>
            <w:r>
              <w:rPr>
                <w:rFonts w:ascii="Wingdings 2" w:hAnsi="Wingdings 2"/>
                <w:color w:val="000000"/>
                <w:kern w:val="0"/>
                <w:sz w:val="21"/>
                <w:szCs w:val="21"/>
                <w:highlight w:val="none"/>
                <w:lang w:val="zh-CN"/>
              </w:rPr>
              <w:t></w:t>
            </w:r>
            <w:r>
              <w:rPr>
                <w:rFonts w:hint="eastAsia" w:cs="宋体"/>
                <w:color w:val="000000"/>
                <w:sz w:val="21"/>
                <w:szCs w:val="21"/>
                <w:highlight w:val="none"/>
              </w:rPr>
              <w:t>首次申报项目</w:t>
            </w:r>
            <w:r>
              <w:rPr>
                <w:rFonts w:cs="宋体"/>
                <w:color w:val="000000"/>
                <w:sz w:val="21"/>
                <w:szCs w:val="21"/>
                <w:highlight w:val="none"/>
              </w:rPr>
              <w:t xml:space="preserve">             </w:t>
            </w:r>
          </w:p>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cs="宋体"/>
                <w:color w:val="000000"/>
                <w:sz w:val="21"/>
                <w:szCs w:val="21"/>
                <w:highlight w:val="none"/>
              </w:rPr>
            </w:pPr>
            <w:r>
              <w:rPr>
                <w:rFonts w:hint="eastAsia" w:cs="宋体"/>
                <w:color w:val="000000"/>
                <w:sz w:val="21"/>
                <w:szCs w:val="21"/>
                <w:highlight w:val="none"/>
              </w:rPr>
              <w:t>□不予批准后再次申报项目</w:t>
            </w:r>
          </w:p>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cs="宋体"/>
                <w:color w:val="000000"/>
                <w:sz w:val="21"/>
                <w:szCs w:val="21"/>
                <w:highlight w:val="none"/>
              </w:rPr>
            </w:pPr>
            <w:r>
              <w:rPr>
                <w:rFonts w:hint="eastAsia" w:cs="宋体"/>
                <w:color w:val="000000"/>
                <w:sz w:val="21"/>
                <w:szCs w:val="21"/>
                <w:highlight w:val="none"/>
              </w:rPr>
              <w:sym w:font="Wingdings 2" w:char="00A3"/>
            </w:r>
            <w:r>
              <w:rPr>
                <w:rFonts w:hint="eastAsia" w:cs="宋体"/>
                <w:color w:val="000000"/>
                <w:sz w:val="21"/>
                <w:szCs w:val="21"/>
                <w:highlight w:val="none"/>
              </w:rPr>
              <w:t>超五年重新审核项目</w:t>
            </w:r>
            <w:r>
              <w:rPr>
                <w:rFonts w:cs="宋体"/>
                <w:color w:val="000000"/>
                <w:sz w:val="21"/>
                <w:szCs w:val="21"/>
                <w:highlight w:val="none"/>
              </w:rPr>
              <w:t xml:space="preserve">     </w:t>
            </w:r>
          </w:p>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highlight w:val="none"/>
                <w:vertAlign w:val="baseline"/>
              </w:rPr>
            </w:pPr>
            <w:r>
              <w:rPr>
                <w:rFonts w:hint="eastAsia" w:cs="宋体"/>
                <w:color w:val="000000"/>
                <w:sz w:val="21"/>
                <w:szCs w:val="21"/>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sz w:val="21"/>
                <w:szCs w:val="21"/>
                <w:highlight w:val="none"/>
              </w:rPr>
            </w:pPr>
            <w:r>
              <w:rPr>
                <w:rFonts w:hint="eastAsia" w:cs="宋体"/>
                <w:color w:val="000000"/>
                <w:sz w:val="21"/>
                <w:szCs w:val="21"/>
                <w:highlight w:val="none"/>
              </w:rPr>
              <w:t>项目审批（核准</w:t>
            </w:r>
            <w:r>
              <w:rPr>
                <w:rFonts w:cs="宋体"/>
                <w:color w:val="000000"/>
                <w:sz w:val="21"/>
                <w:szCs w:val="21"/>
                <w:highlight w:val="none"/>
              </w:rPr>
              <w:t>/</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备案）部门（选填）</w:t>
            </w:r>
          </w:p>
        </w:tc>
        <w:tc>
          <w:tcPr>
            <w:tcW w:w="1540"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lang w:val="en-US" w:eastAsia="zh-CN"/>
              </w:rPr>
              <w:t>/</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项目审批（核准</w:t>
            </w:r>
            <w:r>
              <w:rPr>
                <w:rFonts w:cs="宋体"/>
                <w:color w:val="000000"/>
                <w:sz w:val="21"/>
                <w:szCs w:val="21"/>
                <w:highlight w:val="none"/>
              </w:rPr>
              <w:t>/</w:t>
            </w:r>
            <w:r>
              <w:rPr>
                <w:rFonts w:hint="eastAsia" w:cs="宋体"/>
                <w:color w:val="000000"/>
                <w:sz w:val="21"/>
                <w:szCs w:val="21"/>
                <w:highlight w:val="none"/>
              </w:rPr>
              <w:t>备案）文号（选填）</w:t>
            </w:r>
          </w:p>
        </w:tc>
        <w:tc>
          <w:tcPr>
            <w:tcW w:w="3463"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总投资（万元）</w:t>
            </w:r>
          </w:p>
        </w:tc>
        <w:tc>
          <w:tcPr>
            <w:tcW w:w="1540"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highlight w:val="none"/>
                <w:vertAlign w:val="baseline"/>
                <w:lang w:val="en-US"/>
              </w:rPr>
            </w:pPr>
            <w:r>
              <w:rPr>
                <w:rFonts w:hint="eastAsia" w:cs="宋体"/>
                <w:color w:val="000000"/>
                <w:sz w:val="21"/>
                <w:szCs w:val="21"/>
                <w:highlight w:val="none"/>
                <w:lang w:val="en-US" w:eastAsia="zh-CN"/>
              </w:rPr>
              <w:t>50</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sz w:val="21"/>
                <w:szCs w:val="21"/>
                <w:highlight w:val="none"/>
              </w:rPr>
            </w:pPr>
            <w:r>
              <w:rPr>
                <w:rFonts w:hint="eastAsia" w:cs="宋体"/>
                <w:color w:val="000000"/>
                <w:sz w:val="21"/>
                <w:szCs w:val="21"/>
                <w:highlight w:val="none"/>
              </w:rPr>
              <w:t>环保投资</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（万元）</w:t>
            </w:r>
          </w:p>
        </w:tc>
        <w:tc>
          <w:tcPr>
            <w:tcW w:w="3463"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eastAsia="宋体"/>
                <w:highlight w:val="none"/>
                <w:vertAlign w:val="baseline"/>
                <w:lang w:val="en-US" w:eastAsia="zh-CN"/>
              </w:rPr>
            </w:pPr>
            <w:r>
              <w:rPr>
                <w:rFonts w:hint="eastAsia"/>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环保投资占比（</w:t>
            </w:r>
            <w:r>
              <w:rPr>
                <w:rFonts w:cs="宋体"/>
                <w:color w:val="000000"/>
                <w:sz w:val="21"/>
                <w:szCs w:val="21"/>
                <w:highlight w:val="none"/>
              </w:rPr>
              <w:t>%</w:t>
            </w:r>
            <w:r>
              <w:rPr>
                <w:rFonts w:hint="eastAsia" w:cs="宋体"/>
                <w:color w:val="000000"/>
                <w:sz w:val="21"/>
                <w:szCs w:val="21"/>
                <w:highlight w:val="none"/>
              </w:rPr>
              <w:t>）</w:t>
            </w:r>
          </w:p>
        </w:tc>
        <w:tc>
          <w:tcPr>
            <w:tcW w:w="1540"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highlight w:val="none"/>
                <w:vertAlign w:val="baseline"/>
                <w:lang w:val="en-US"/>
              </w:rPr>
            </w:pPr>
            <w:r>
              <w:rPr>
                <w:rFonts w:hint="eastAsia" w:cs="宋体"/>
                <w:color w:val="000000"/>
                <w:sz w:val="21"/>
                <w:szCs w:val="21"/>
                <w:highlight w:val="none"/>
                <w:lang w:val="en-US" w:eastAsia="zh-CN"/>
              </w:rPr>
              <w:t>30</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施工工期</w:t>
            </w:r>
          </w:p>
        </w:tc>
        <w:tc>
          <w:tcPr>
            <w:tcW w:w="3463"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 w:val="21"/>
                <w:szCs w:val="21"/>
                <w:highlight w:val="none"/>
              </w:rPr>
              <w:t>是否开工建设</w:t>
            </w:r>
          </w:p>
        </w:tc>
        <w:tc>
          <w:tcPr>
            <w:tcW w:w="1540"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cs="宋体"/>
                <w:color w:val="000000"/>
                <w:sz w:val="21"/>
                <w:szCs w:val="21"/>
                <w:highlight w:val="none"/>
              </w:rPr>
            </w:pPr>
            <w:r>
              <w:rPr>
                <w:rFonts w:hint="eastAsia" w:cs="宋体"/>
                <w:color w:val="000000"/>
                <w:sz w:val="21"/>
                <w:szCs w:val="21"/>
                <w:highlight w:val="none"/>
              </w:rPr>
              <w:sym w:font="Wingdings 2" w:char="0052"/>
            </w:r>
            <w:r>
              <w:rPr>
                <w:rFonts w:hint="eastAsia" w:cs="宋体"/>
                <w:color w:val="000000"/>
                <w:sz w:val="21"/>
                <w:szCs w:val="21"/>
                <w:highlight w:val="none"/>
              </w:rPr>
              <w:t>否</w:t>
            </w:r>
          </w:p>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highlight w:val="none"/>
                <w:vertAlign w:val="baseline"/>
              </w:rPr>
            </w:pPr>
            <w:r>
              <w:rPr>
                <w:rFonts w:hint="eastAsia" w:cs="宋体"/>
                <w:color w:val="000000"/>
                <w:sz w:val="21"/>
                <w:szCs w:val="21"/>
                <w:highlight w:val="none"/>
              </w:rPr>
              <w:sym w:font="Wingdings 2" w:char="00A3"/>
            </w:r>
            <w:r>
              <w:rPr>
                <w:rFonts w:hint="eastAsia" w:cs="宋体"/>
                <w:color w:val="000000"/>
                <w:sz w:val="21"/>
                <w:szCs w:val="21"/>
                <w:highlight w:val="none"/>
              </w:rPr>
              <w:t>是：</w:t>
            </w:r>
            <w:r>
              <w:rPr>
                <w:rFonts w:hint="eastAsia" w:cs="宋体"/>
                <w:color w:val="000000"/>
                <w:sz w:val="21"/>
                <w:szCs w:val="21"/>
                <w:highlight w:val="none"/>
                <w:u w:val="single"/>
              </w:rPr>
              <w:t xml:space="preserve">             </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cs="宋体"/>
                <w:color w:val="000000"/>
                <w:spacing w:val="-6"/>
                <w:sz w:val="21"/>
                <w:szCs w:val="21"/>
                <w:highlight w:val="none"/>
              </w:rPr>
            </w:pPr>
            <w:r>
              <w:rPr>
                <w:rFonts w:hint="eastAsia" w:cs="宋体"/>
                <w:color w:val="000000"/>
                <w:spacing w:val="-6"/>
                <w:sz w:val="21"/>
                <w:szCs w:val="21"/>
                <w:highlight w:val="none"/>
              </w:rPr>
              <w:t>用地（用海）</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pacing w:val="-6"/>
                <w:sz w:val="21"/>
                <w:szCs w:val="21"/>
                <w:highlight w:val="none"/>
              </w:rPr>
              <w:t>面积（</w:t>
            </w:r>
            <w:r>
              <w:rPr>
                <w:rFonts w:cs="宋体"/>
                <w:color w:val="000000"/>
                <w:spacing w:val="-6"/>
                <w:sz w:val="21"/>
                <w:szCs w:val="21"/>
                <w:highlight w:val="none"/>
              </w:rPr>
              <w:t>m</w:t>
            </w:r>
            <w:r>
              <w:rPr>
                <w:rFonts w:cs="宋体"/>
                <w:color w:val="000000"/>
                <w:spacing w:val="-6"/>
                <w:sz w:val="21"/>
                <w:szCs w:val="21"/>
                <w:highlight w:val="none"/>
                <w:vertAlign w:val="superscript"/>
              </w:rPr>
              <w:t>2</w:t>
            </w:r>
            <w:r>
              <w:rPr>
                <w:rFonts w:hint="eastAsia" w:cs="宋体"/>
                <w:color w:val="000000"/>
                <w:spacing w:val="-6"/>
                <w:sz w:val="21"/>
                <w:szCs w:val="21"/>
                <w:highlight w:val="none"/>
              </w:rPr>
              <w:t>）</w:t>
            </w:r>
          </w:p>
        </w:tc>
        <w:tc>
          <w:tcPr>
            <w:tcW w:w="3463"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highlight w:val="none"/>
                <w:vertAlign w:val="baseline"/>
                <w:lang w:val="en-US"/>
              </w:rPr>
            </w:pPr>
            <w:r>
              <w:rPr>
                <w:rFonts w:hint="eastAsia" w:cs="Times New Roman"/>
                <w:color w:val="auto"/>
                <w:highlight w:val="none"/>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Cs w:val="21"/>
                <w:highlight w:val="none"/>
              </w:rPr>
            </w:pPr>
            <w:r>
              <w:rPr>
                <w:rFonts w:hint="eastAsia" w:cs="宋体"/>
                <w:color w:val="000000"/>
                <w:kern w:val="0"/>
                <w:szCs w:val="21"/>
                <w:highlight w:val="none"/>
              </w:rPr>
              <w:t>专项评价</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kern w:val="0"/>
                <w:szCs w:val="21"/>
                <w:highlight w:val="none"/>
              </w:rPr>
              <w:t>设置情况</w:t>
            </w:r>
          </w:p>
        </w:tc>
        <w:tc>
          <w:tcPr>
            <w:tcW w:w="6820"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highlight w:val="none"/>
                <w:vertAlign w:val="baseline"/>
                <w:lang w:val="en-US" w:eastAsia="zh-CN"/>
              </w:rPr>
            </w:pPr>
            <w:r>
              <w:rPr>
                <w:rFonts w:hint="eastAsia"/>
                <w:highlight w:val="none"/>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Cs w:val="21"/>
                <w:highlight w:val="none"/>
              </w:rPr>
              <w:t>规划情况</w:t>
            </w:r>
          </w:p>
        </w:tc>
        <w:tc>
          <w:tcPr>
            <w:tcW w:w="6820"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highlight w:val="none"/>
                <w:vertAlign w:val="baseline"/>
                <w:lang w:eastAsia="zh-CN"/>
              </w:rPr>
            </w:pPr>
            <w:r>
              <w:rPr>
                <w:rFonts w:hint="eastAsia"/>
                <w:highlight w:val="none"/>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cs="宋体"/>
                <w:color w:val="000000"/>
                <w:szCs w:val="21"/>
                <w:highlight w:val="none"/>
              </w:rPr>
            </w:pPr>
            <w:r>
              <w:rPr>
                <w:rFonts w:hint="eastAsia" w:cs="宋体"/>
                <w:color w:val="000000"/>
                <w:szCs w:val="21"/>
                <w:highlight w:val="none"/>
              </w:rPr>
              <w:t>规划环境影响</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highlight w:val="none"/>
                <w:vertAlign w:val="baseline"/>
              </w:rPr>
            </w:pPr>
            <w:r>
              <w:rPr>
                <w:rFonts w:hint="eastAsia" w:cs="宋体"/>
                <w:color w:val="000000"/>
                <w:szCs w:val="21"/>
                <w:highlight w:val="none"/>
              </w:rPr>
              <w:t>评价情况</w:t>
            </w:r>
          </w:p>
        </w:tc>
        <w:tc>
          <w:tcPr>
            <w:tcW w:w="6820"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highlight w:val="none"/>
                <w:vertAlign w:val="baseline"/>
                <w:lang w:eastAsia="zh-CN"/>
              </w:rPr>
            </w:pPr>
            <w:r>
              <w:rPr>
                <w:rFonts w:hint="eastAsia"/>
                <w:highlight w:val="none"/>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 w:val="21"/>
                <w:szCs w:val="21"/>
                <w:highlight w:val="none"/>
              </w:rPr>
            </w:pPr>
            <w:r>
              <w:rPr>
                <w:rFonts w:hint="eastAsia" w:cs="宋体"/>
                <w:color w:val="000000"/>
                <w:kern w:val="0"/>
                <w:sz w:val="21"/>
                <w:szCs w:val="21"/>
                <w:highlight w:val="none"/>
              </w:rPr>
              <w:t>规划及规划环境</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sz w:val="21"/>
                <w:szCs w:val="21"/>
                <w:highlight w:val="none"/>
                <w:vertAlign w:val="baseline"/>
              </w:rPr>
            </w:pPr>
            <w:r>
              <w:rPr>
                <w:rFonts w:hint="eastAsia" w:cs="宋体"/>
                <w:color w:val="000000"/>
                <w:kern w:val="0"/>
                <w:sz w:val="21"/>
                <w:szCs w:val="21"/>
                <w:highlight w:val="none"/>
              </w:rPr>
              <w:t>影响评价符合性分析</w:t>
            </w:r>
          </w:p>
        </w:tc>
        <w:tc>
          <w:tcPr>
            <w:tcW w:w="6820"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sz w:val="21"/>
                <w:szCs w:val="21"/>
                <w:highlight w:val="none"/>
                <w:vertAlign w:val="baseline"/>
                <w:lang w:eastAsia="zh-CN"/>
              </w:rPr>
            </w:pPr>
            <w:r>
              <w:rPr>
                <w:rFonts w:hint="eastAsia"/>
                <w:sz w:val="21"/>
                <w:szCs w:val="21"/>
                <w:highlight w:val="none"/>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eastAsia" w:cs="宋体"/>
                <w:color w:val="000000"/>
                <w:kern w:val="0"/>
                <w:szCs w:val="21"/>
                <w:highlight w:val="none"/>
              </w:rPr>
            </w:pPr>
            <w:r>
              <w:rPr>
                <w:rFonts w:hint="eastAsia" w:cs="宋体"/>
                <w:color w:val="000000"/>
                <w:kern w:val="0"/>
                <w:szCs w:val="21"/>
                <w:highlight w:val="none"/>
              </w:rPr>
              <w:t>其他符合性分析</w:t>
            </w:r>
          </w:p>
        </w:tc>
        <w:tc>
          <w:tcPr>
            <w:tcW w:w="6820"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default" w:ascii="Times New Roman" w:hAnsi="Times New Roman" w:cs="Times New Roman"/>
                <w:b/>
                <w:bCs/>
                <w:color w:val="auto"/>
                <w:highlight w:val="none"/>
              </w:rPr>
            </w:pPr>
            <w:r>
              <w:rPr>
                <w:rFonts w:hint="eastAsia" w:cs="Times New Roman"/>
                <w:b/>
                <w:bCs/>
                <w:color w:val="auto"/>
                <w:highlight w:val="none"/>
                <w:lang w:val="en-US" w:eastAsia="zh-CN"/>
              </w:rPr>
              <w:t>1、</w:t>
            </w:r>
            <w:r>
              <w:rPr>
                <w:rFonts w:hint="default" w:ascii="Times New Roman" w:hAnsi="Times New Roman" w:cs="Times New Roman"/>
                <w:b/>
                <w:bCs/>
                <w:color w:val="auto"/>
                <w:highlight w:val="none"/>
              </w:rPr>
              <w:t>项目与备案的相符性分析</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本项目由新乡市凤泉区发展和改革委员会备案，项目代码为2019-410704-13-03-062236，项目与备案的详细对比如下：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eastAsia="黑体" w:cs="Times New Roman"/>
                <w:color w:val="auto"/>
                <w:sz w:val="18"/>
                <w:szCs w:val="18"/>
                <w:highlight w:val="none"/>
                <w:lang w:val="en-US" w:eastAsia="zh-CN"/>
              </w:rPr>
              <w:t>项目备案相符性分析一览表</w:t>
            </w:r>
          </w:p>
          <w:tbl>
            <w:tblPr>
              <w:tblStyle w:val="16"/>
              <w:tblW w:w="499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46"/>
              <w:gridCol w:w="775"/>
              <w:gridCol w:w="2110"/>
              <w:gridCol w:w="2110"/>
              <w:gridCol w:w="1260"/>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141" w:hRule="atLeast"/>
                <w:jc w:val="center"/>
              </w:trPr>
              <w:tc>
                <w:tcPr>
                  <w:tcW w:w="849" w:type="pct"/>
                  <w:gridSpan w:val="2"/>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名称</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项目基本情况</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项目备案</w:t>
                  </w:r>
                </w:p>
              </w:tc>
              <w:tc>
                <w:tcPr>
                  <w:tcW w:w="954"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项目备案</w:t>
                  </w:r>
                </w:p>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相符性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9" w:type="pct"/>
                  <w:gridSpan w:val="2"/>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建设单位</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新乡市筋多多食品有限公司</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新乡市筋多多食品有限公司</w:t>
                  </w:r>
                </w:p>
              </w:tc>
              <w:tc>
                <w:tcPr>
                  <w:tcW w:w="954"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849" w:type="pct"/>
                  <w:gridSpan w:val="2"/>
                  <w:noWrap w:val="0"/>
                  <w:vAlign w:val="center"/>
                </w:tcPr>
                <w:p>
                  <w:pPr>
                    <w:spacing w:line="280" w:lineRule="exact"/>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建设项目</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年产500吨烘焙食品加工项目</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年产500吨烘焙食品加工项目</w:t>
                  </w:r>
                </w:p>
              </w:tc>
              <w:tc>
                <w:tcPr>
                  <w:tcW w:w="954"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9" w:type="pct"/>
                  <w:gridSpan w:val="2"/>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建设地点</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新乡市凤泉区大块镇小块村西</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新乡市凤泉区大块镇小块村西800米</w:t>
                  </w:r>
                </w:p>
              </w:tc>
              <w:tc>
                <w:tcPr>
                  <w:tcW w:w="954"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849" w:type="pct"/>
                  <w:gridSpan w:val="2"/>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占地面积</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2000平方米</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val="en-US" w:eastAsia="zh-CN"/>
                    </w:rPr>
                    <w:t>2000平方米</w:t>
                  </w:r>
                </w:p>
              </w:tc>
              <w:tc>
                <w:tcPr>
                  <w:tcW w:w="954"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262" w:type="pct"/>
                  <w:vMerge w:val="restart"/>
                  <w:tcBorders>
                    <w:right w:val="single" w:color="auto" w:sz="4" w:space="0"/>
                  </w:tcBorders>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建设内容</w:t>
                  </w:r>
                </w:p>
              </w:tc>
              <w:tc>
                <w:tcPr>
                  <w:tcW w:w="586" w:type="pct"/>
                  <w:tcBorders>
                    <w:left w:val="single" w:color="auto" w:sz="4" w:space="0"/>
                  </w:tcBorders>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产品</w:t>
                  </w:r>
                </w:p>
                <w:p>
                  <w:pPr>
                    <w:spacing w:line="28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rPr>
                    <w:t>规模</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年生产烘焙食品（烤麸）500吨</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lang w:val="en-US" w:eastAsia="zh-CN"/>
                    </w:rPr>
                    <w:t>年生产烘焙食品500吨</w:t>
                  </w:r>
                </w:p>
              </w:tc>
              <w:tc>
                <w:tcPr>
                  <w:tcW w:w="954"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lang w:eastAsia="zh-CN"/>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2" w:type="pct"/>
                  <w:vMerge w:val="continue"/>
                  <w:tcBorders>
                    <w:right w:val="single" w:color="auto" w:sz="4" w:space="0"/>
                  </w:tcBorders>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p>
              </w:tc>
              <w:tc>
                <w:tcPr>
                  <w:tcW w:w="586" w:type="pct"/>
                  <w:tcBorders>
                    <w:left w:val="single" w:color="auto" w:sz="4" w:space="0"/>
                  </w:tcBorders>
                  <w:noWrap w:val="0"/>
                  <w:vAlign w:val="center"/>
                </w:tcPr>
                <w:p>
                  <w:pPr>
                    <w:spacing w:line="28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rPr>
                    <w:t>主要生产工艺</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原料检验-和面-切块装盒-蒸制-切片-烘干--包装-入库</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原料检验-和面-蒸烤-切片-烘干-检验-包装-入库</w:t>
                  </w:r>
                </w:p>
              </w:tc>
              <w:tc>
                <w:tcPr>
                  <w:tcW w:w="954"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基本相符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262" w:type="pct"/>
                  <w:vMerge w:val="continue"/>
                  <w:tcBorders>
                    <w:right w:val="single" w:color="auto" w:sz="4" w:space="0"/>
                  </w:tcBorders>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p>
              </w:tc>
              <w:tc>
                <w:tcPr>
                  <w:tcW w:w="586" w:type="pct"/>
                  <w:tcBorders>
                    <w:left w:val="single" w:color="auto" w:sz="4" w:space="0"/>
                  </w:tcBorders>
                  <w:noWrap w:val="0"/>
                  <w:vAlign w:val="center"/>
                </w:tcPr>
                <w:p>
                  <w:pPr>
                    <w:spacing w:line="28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rPr>
                    <w:t>主要生产设备</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和面机、分切机、蒸箱、切片机、干燥箱、封包机、天然气蒸汽锅炉</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lang w:val="en-US" w:eastAsia="zh-CN"/>
                    </w:rPr>
                    <w:t>和面机、分切机、蒸房、切片机、烘干机、天然气蒸汽锅炉</w:t>
                  </w:r>
                </w:p>
              </w:tc>
              <w:tc>
                <w:tcPr>
                  <w:tcW w:w="954"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基本相符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849" w:type="pct"/>
                  <w:gridSpan w:val="2"/>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投资</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50万元</w:t>
                  </w:r>
                </w:p>
              </w:tc>
              <w:tc>
                <w:tcPr>
                  <w:tcW w:w="1598"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lang w:val="en-US" w:eastAsia="zh-CN"/>
                    </w:rPr>
                    <w:t>50万元</w:t>
                  </w:r>
                </w:p>
              </w:tc>
              <w:tc>
                <w:tcPr>
                  <w:tcW w:w="954" w:type="pct"/>
                  <w:noWrap w:val="0"/>
                  <w:vAlign w:val="center"/>
                </w:tcPr>
                <w:p>
                  <w:pPr>
                    <w:spacing w:line="280" w:lineRule="exact"/>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lang w:eastAsia="zh-CN"/>
                    </w:rPr>
                    <w:t>相符</w:t>
                  </w:r>
                </w:p>
              </w:tc>
            </w:tr>
          </w:tbl>
          <w:p>
            <w:pPr>
              <w:keepNext w:val="0"/>
              <w:keepLines w:val="0"/>
              <w:pageBreakBefore w:val="0"/>
              <w:widowControl w:val="0"/>
              <w:kinsoku/>
              <w:wordWrap/>
              <w:overflowPunct/>
              <w:topLinePunct w:val="0"/>
              <w:bidi w:val="0"/>
              <w:adjustRightInd/>
              <w:snapToGrid/>
              <w:spacing w:line="360" w:lineRule="auto"/>
              <w:ind w:right="0" w:firstLine="42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综上，本项目建设地点、建设规模及主要设备等均与发改委备案基本一致。</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22" w:firstLineChars="200"/>
              <w:jc w:val="left"/>
              <w:textAlignment w:val="auto"/>
              <w:rPr>
                <w:rFonts w:hint="default" w:ascii="Times New Roman" w:hAnsi="Times New Roman" w:cs="Times New Roman"/>
                <w:b/>
                <w:bCs/>
                <w:color w:val="auto"/>
                <w:highlight w:val="none"/>
              </w:rPr>
            </w:pPr>
            <w:r>
              <w:rPr>
                <w:rFonts w:hint="eastAsia" w:cs="Times New Roman"/>
                <w:b/>
                <w:bCs/>
                <w:color w:val="auto"/>
                <w:highlight w:val="none"/>
                <w:lang w:val="en-US" w:eastAsia="zh-CN"/>
              </w:rPr>
              <w:t>2、</w:t>
            </w:r>
            <w:r>
              <w:rPr>
                <w:rFonts w:hint="default" w:ascii="Times New Roman" w:hAnsi="Times New Roman" w:cs="Times New Roman"/>
                <w:b/>
                <w:bCs/>
                <w:color w:val="auto"/>
                <w:highlight w:val="none"/>
              </w:rPr>
              <w:t>与《产业结构调整指导目录（201</w:t>
            </w:r>
            <w:r>
              <w:rPr>
                <w:rFonts w:hint="default" w:ascii="Times New Roman" w:hAnsi="Times New Roman" w:cs="Times New Roman"/>
                <w:b/>
                <w:bCs/>
                <w:color w:val="auto"/>
                <w:highlight w:val="none"/>
                <w:lang w:val="en-US" w:eastAsia="zh-CN"/>
              </w:rPr>
              <w:t>9</w:t>
            </w:r>
            <w:r>
              <w:rPr>
                <w:rFonts w:hint="default" w:ascii="Times New Roman" w:hAnsi="Times New Roman" w:cs="Times New Roman"/>
                <w:b/>
                <w:bCs/>
                <w:color w:val="auto"/>
                <w:highlight w:val="none"/>
              </w:rPr>
              <w:t>年本）》相符性分析</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20" w:firstLineChars="200"/>
              <w:jc w:val="left"/>
              <w:textAlignment w:val="auto"/>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b w:val="0"/>
                <w:bCs w:val="0"/>
                <w:color w:val="auto"/>
                <w:sz w:val="21"/>
                <w:szCs w:val="21"/>
                <w:highlight w:val="none"/>
                <w:u w:val="none"/>
              </w:rPr>
              <w:t>对照《产业结构调整指导目录（20</w:t>
            </w:r>
            <w:r>
              <w:rPr>
                <w:rFonts w:hint="default" w:ascii="Times New Roman" w:hAnsi="Times New Roman" w:cs="Times New Roman"/>
                <w:b w:val="0"/>
                <w:bCs w:val="0"/>
                <w:color w:val="auto"/>
                <w:sz w:val="21"/>
                <w:szCs w:val="21"/>
                <w:highlight w:val="none"/>
                <w:u w:val="none"/>
                <w:lang w:val="en-US" w:eastAsia="zh-CN"/>
              </w:rPr>
              <w:t>19</w:t>
            </w:r>
            <w:r>
              <w:rPr>
                <w:rFonts w:hint="default" w:ascii="Times New Roman" w:hAnsi="Times New Roman" w:cs="Times New Roman"/>
                <w:b w:val="0"/>
                <w:bCs w:val="0"/>
                <w:color w:val="auto"/>
                <w:sz w:val="21"/>
                <w:szCs w:val="21"/>
                <w:highlight w:val="none"/>
                <w:u w:val="none"/>
              </w:rPr>
              <w:t>年本）》，</w:t>
            </w:r>
            <w:r>
              <w:rPr>
                <w:rFonts w:hint="default" w:ascii="Times New Roman" w:hAnsi="Times New Roman" w:cs="Times New Roman" w:eastAsiaTheme="minorEastAsia"/>
                <w:b w:val="0"/>
                <w:bCs w:val="0"/>
                <w:color w:val="auto"/>
                <w:sz w:val="21"/>
                <w:szCs w:val="21"/>
                <w:highlight w:val="none"/>
                <w:u w:val="none"/>
              </w:rPr>
              <w:t>本项目</w:t>
            </w:r>
            <w:r>
              <w:rPr>
                <w:rFonts w:hint="default" w:ascii="Times New Roman" w:hAnsi="Times New Roman" w:cs="Times New Roman" w:eastAsiaTheme="minorEastAsia"/>
                <w:b w:val="0"/>
                <w:bCs w:val="0"/>
                <w:color w:val="auto"/>
                <w:sz w:val="21"/>
                <w:szCs w:val="21"/>
                <w:highlight w:val="none"/>
                <w:u w:val="none"/>
                <w:lang w:eastAsia="zh-CN"/>
              </w:rPr>
              <w:t>不</w:t>
            </w:r>
            <w:r>
              <w:rPr>
                <w:rFonts w:hint="default" w:ascii="Times New Roman" w:hAnsi="Times New Roman" w:cs="Times New Roman" w:eastAsiaTheme="minorEastAsia"/>
                <w:b w:val="0"/>
                <w:bCs w:val="0"/>
                <w:color w:val="auto"/>
                <w:sz w:val="21"/>
                <w:szCs w:val="21"/>
                <w:highlight w:val="none"/>
                <w:u w:val="none"/>
              </w:rPr>
              <w:t>属于</w:t>
            </w:r>
            <w:r>
              <w:rPr>
                <w:rFonts w:hint="default" w:ascii="Times New Roman" w:hAnsi="Times New Roman" w:cs="Times New Roman" w:eastAsiaTheme="minorEastAsia"/>
                <w:b w:val="0"/>
                <w:bCs w:val="0"/>
                <w:color w:val="auto"/>
                <w:sz w:val="21"/>
                <w:szCs w:val="21"/>
                <w:highlight w:val="none"/>
                <w:u w:val="none"/>
                <w:lang w:eastAsia="zh-CN"/>
              </w:rPr>
              <w:t>鼓励类、限制类和淘汰类项目，为允许类项目</w:t>
            </w:r>
            <w:r>
              <w:rPr>
                <w:rFonts w:hint="default" w:ascii="Times New Roman" w:hAnsi="Times New Roman" w:cs="Times New Roman"/>
                <w:b w:val="0"/>
                <w:bCs w:val="0"/>
                <w:color w:val="auto"/>
                <w:sz w:val="21"/>
                <w:szCs w:val="21"/>
                <w:highlight w:val="none"/>
                <w:u w:val="none"/>
              </w:rPr>
              <w:t>，</w:t>
            </w:r>
            <w:r>
              <w:rPr>
                <w:rFonts w:hint="default" w:ascii="Times New Roman" w:hAnsi="Times New Roman" w:cs="Times New Roman"/>
                <w:b w:val="0"/>
                <w:bCs w:val="0"/>
                <w:color w:val="auto"/>
                <w:sz w:val="21"/>
                <w:szCs w:val="21"/>
                <w:highlight w:val="none"/>
                <w:u w:val="none"/>
                <w:lang w:eastAsia="zh-CN"/>
              </w:rPr>
              <w:t>且</w:t>
            </w:r>
            <w:r>
              <w:rPr>
                <w:rFonts w:hint="default" w:ascii="Times New Roman" w:hAnsi="Times New Roman" w:cs="Times New Roman" w:eastAsiaTheme="minorEastAsia"/>
                <w:b w:val="0"/>
                <w:bCs w:val="0"/>
                <w:color w:val="auto"/>
                <w:sz w:val="21"/>
                <w:szCs w:val="21"/>
                <w:highlight w:val="none"/>
                <w:u w:val="none"/>
                <w:lang w:eastAsia="zh-CN"/>
              </w:rPr>
              <w:t>目前</w:t>
            </w:r>
            <w:r>
              <w:rPr>
                <w:rFonts w:hint="default" w:ascii="Times New Roman" w:hAnsi="Times New Roman" w:cs="Times New Roman" w:eastAsiaTheme="minorEastAsia"/>
                <w:b w:val="0"/>
                <w:bCs w:val="0"/>
                <w:color w:val="auto"/>
                <w:sz w:val="21"/>
                <w:szCs w:val="21"/>
                <w:highlight w:val="none"/>
                <w:u w:val="none"/>
              </w:rPr>
              <w:t>已</w:t>
            </w:r>
            <w:r>
              <w:rPr>
                <w:rFonts w:hint="default" w:ascii="Times New Roman" w:hAnsi="Times New Roman" w:cs="Times New Roman" w:eastAsiaTheme="minorEastAsia"/>
                <w:b w:val="0"/>
                <w:bCs w:val="0"/>
                <w:color w:val="auto"/>
                <w:sz w:val="21"/>
                <w:szCs w:val="21"/>
                <w:highlight w:val="none"/>
                <w:u w:val="none"/>
                <w:lang w:eastAsia="zh-CN"/>
              </w:rPr>
              <w:t>通过新乡市凤泉区发展和改革委员会备案，</w:t>
            </w:r>
            <w:r>
              <w:rPr>
                <w:rFonts w:hint="default" w:ascii="Times New Roman" w:hAnsi="Times New Roman" w:cs="Times New Roman"/>
                <w:b w:val="0"/>
                <w:bCs w:val="0"/>
                <w:color w:val="auto"/>
                <w:sz w:val="21"/>
                <w:szCs w:val="21"/>
                <w:highlight w:val="none"/>
                <w:u w:val="none"/>
              </w:rPr>
              <w:t>符合国家有关产业政策。</w:t>
            </w:r>
          </w:p>
          <w:p>
            <w:pPr>
              <w:keepNext w:val="0"/>
              <w:keepLines w:val="0"/>
              <w:pageBreakBefore w:val="0"/>
              <w:widowControl w:val="0"/>
              <w:suppressLineNumbers w:val="0"/>
              <w:kinsoku/>
              <w:wordWrap/>
              <w:overflowPunct/>
              <w:topLinePunct w:val="0"/>
              <w:bidi w:val="0"/>
              <w:adjustRightInd/>
              <w:snapToGrid/>
              <w:spacing w:beforeAutospacing="0" w:after="0" w:afterAutospacing="0" w:line="360" w:lineRule="auto"/>
              <w:ind w:left="0" w:right="0"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本项目情况与产业政策一致性分析见下表。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pt-BR" w:eastAsia="zh-CN"/>
              </w:rPr>
            </w:pPr>
            <w:r>
              <w:rPr>
                <w:rFonts w:hint="eastAsia" w:eastAsia="黑体" w:cs="Times New Roman"/>
                <w:color w:val="auto"/>
                <w:sz w:val="18"/>
                <w:szCs w:val="18"/>
                <w:highlight w:val="none"/>
                <w:lang w:val="en-US" w:eastAsia="zh-CN"/>
              </w:rPr>
              <w:t xml:space="preserve">   </w:t>
            </w:r>
            <w:r>
              <w:rPr>
                <w:rFonts w:hint="default" w:eastAsia="黑体" w:cs="Times New Roman"/>
                <w:color w:val="auto"/>
                <w:sz w:val="18"/>
                <w:szCs w:val="18"/>
                <w:highlight w:val="none"/>
                <w:lang w:val="pt-BR" w:eastAsia="zh-CN"/>
              </w:rPr>
              <w:t>项目与产业政策一致性分析</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3"/>
              <w:gridCol w:w="828"/>
              <w:gridCol w:w="772"/>
              <w:gridCol w:w="2026"/>
              <w:gridCol w:w="1849"/>
              <w:gridCol w:w="8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71" w:type="pct"/>
                  <w:gridSpan w:val="2"/>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类别</w:t>
                  </w:r>
                </w:p>
              </w:tc>
              <w:tc>
                <w:tcPr>
                  <w:tcW w:w="585" w:type="pc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条款</w:t>
                  </w:r>
                </w:p>
              </w:tc>
              <w:tc>
                <w:tcPr>
                  <w:tcW w:w="1534" w:type="pc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内容</w:t>
                  </w:r>
                </w:p>
              </w:tc>
              <w:tc>
                <w:tcPr>
                  <w:tcW w:w="1400" w:type="pc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本项目情况</w:t>
                  </w:r>
                </w:p>
              </w:tc>
              <w:tc>
                <w:tcPr>
                  <w:tcW w:w="608" w:type="pc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1"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鼓励类</w:t>
                  </w:r>
                </w:p>
              </w:tc>
              <w:tc>
                <w:tcPr>
                  <w:tcW w:w="5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十九、轻工第31条</w:t>
                  </w:r>
                </w:p>
              </w:tc>
              <w:tc>
                <w:tcPr>
                  <w:tcW w:w="153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营养健康型大米、小麦粉（食品专用米、发芽糙米、留胚米、食品专用粉、全麦粉及营养强化产品等）及制品的开发生产；传统主食工业化生产；杂粮加工专用设备开发与生产</w:t>
                  </w:r>
                </w:p>
              </w:tc>
              <w:tc>
                <w:tcPr>
                  <w:tcW w:w="140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本项目为烤麸干加工</w:t>
                  </w:r>
                </w:p>
              </w:tc>
              <w:tc>
                <w:tcPr>
                  <w:tcW w:w="60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不属于鼓励类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71"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限制类</w:t>
                  </w:r>
                </w:p>
              </w:tc>
              <w:tc>
                <w:tcPr>
                  <w:tcW w:w="5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十二、轻工</w:t>
                  </w:r>
                </w:p>
              </w:tc>
              <w:tc>
                <w:tcPr>
                  <w:tcW w:w="153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没有查到相关对应条款</w:t>
                  </w:r>
                </w:p>
              </w:tc>
              <w:tc>
                <w:tcPr>
                  <w:tcW w:w="140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本项目为烤麸干加工</w:t>
                  </w:r>
                </w:p>
              </w:tc>
              <w:tc>
                <w:tcPr>
                  <w:tcW w:w="60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不属于限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制类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淘汰类</w:t>
                  </w:r>
                </w:p>
              </w:tc>
              <w:tc>
                <w:tcPr>
                  <w:tcW w:w="626"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落后生产工艺装备</w:t>
                  </w:r>
                </w:p>
              </w:tc>
              <w:tc>
                <w:tcPr>
                  <w:tcW w:w="5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十、机械类</w:t>
                  </w:r>
                </w:p>
              </w:tc>
              <w:tc>
                <w:tcPr>
                  <w:tcW w:w="153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没有查到相关对应条款</w:t>
                  </w:r>
                </w:p>
              </w:tc>
              <w:tc>
                <w:tcPr>
                  <w:tcW w:w="140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搅拌机、蒸笼、切片机、烘干机等</w:t>
                  </w:r>
                </w:p>
              </w:tc>
              <w:tc>
                <w:tcPr>
                  <w:tcW w:w="60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不属于淘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汰类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244" w:type="pct"/>
                  <w:vMerge w:val="continue"/>
                  <w:tcBorders>
                    <w:bottom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p>
              </w:tc>
              <w:tc>
                <w:tcPr>
                  <w:tcW w:w="626" w:type="pct"/>
                  <w:tcBorders>
                    <w:bottom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落后产品</w:t>
                  </w:r>
                </w:p>
              </w:tc>
              <w:tc>
                <w:tcPr>
                  <w:tcW w:w="585" w:type="pct"/>
                  <w:tcBorders>
                    <w:bottom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九、轻工</w:t>
                  </w:r>
                </w:p>
              </w:tc>
              <w:tc>
                <w:tcPr>
                  <w:tcW w:w="1534" w:type="pct"/>
                  <w:tcBorders>
                    <w:bottom w:val="single" w:color="auto" w:sz="8" w:space="0"/>
                  </w:tcBorders>
                  <w:vAlign w:val="center"/>
                </w:tcPr>
                <w:p>
                  <w:pPr>
                    <w:keepNext w:val="0"/>
                    <w:keepLines w:val="0"/>
                    <w:pageBreakBefore w:val="0"/>
                    <w:widowControl w:val="0"/>
                    <w:suppressLineNumbers w:val="0"/>
                    <w:tabs>
                      <w:tab w:val="left" w:pos="1455"/>
                    </w:tabs>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没有查到相关对应条款</w:t>
                  </w:r>
                </w:p>
              </w:tc>
              <w:tc>
                <w:tcPr>
                  <w:tcW w:w="1400" w:type="pct"/>
                  <w:tcBorders>
                    <w:bottom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本项目产品为烤麸干</w:t>
                  </w:r>
                </w:p>
              </w:tc>
              <w:tc>
                <w:tcPr>
                  <w:tcW w:w="608" w:type="pct"/>
                  <w:tcBorders>
                    <w:bottom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不属于落后产品</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22" w:firstLineChars="200"/>
              <w:jc w:val="left"/>
              <w:textAlignment w:val="auto"/>
              <w:rPr>
                <w:rFonts w:hint="default" w:ascii="Times New Roman" w:hAnsi="Times New Roman" w:cs="Times New Roman"/>
                <w:b/>
                <w:bCs/>
                <w:color w:val="auto"/>
                <w:highlight w:val="none"/>
              </w:rPr>
            </w:pPr>
            <w:r>
              <w:rPr>
                <w:rFonts w:hint="eastAsia" w:cs="Times New Roman"/>
                <w:b/>
                <w:bCs/>
                <w:color w:val="auto"/>
                <w:highlight w:val="none"/>
                <w:lang w:val="en-US" w:eastAsia="zh-CN"/>
              </w:rPr>
              <w:t>3、</w:t>
            </w:r>
            <w:r>
              <w:rPr>
                <w:rFonts w:hint="default" w:ascii="Times New Roman" w:hAnsi="Times New Roman" w:cs="Times New Roman"/>
                <w:b/>
                <w:bCs/>
                <w:color w:val="auto"/>
                <w:highlight w:val="none"/>
              </w:rPr>
              <w:t>与《新乡市环保局关于印发深化建设项目环境影响评价审批制度改革实施细则的通知》（新环（2015）342号）相符性分析</w:t>
            </w:r>
            <w:r>
              <w:rPr>
                <w:rFonts w:hint="default" w:ascii="Times New Roman" w:hAnsi="Times New Roman" w:cs="Times New Roman"/>
                <w:b/>
                <w:bCs/>
                <w:color w:val="auto"/>
                <w:highlight w:val="none"/>
              </w:rPr>
              <w:br w:type="textWrapp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eastAsia="黑体" w:cs="Times New Roman"/>
                <w:color w:val="auto"/>
                <w:sz w:val="18"/>
                <w:szCs w:val="18"/>
                <w:highlight w:val="none"/>
                <w:lang w:val="en-US" w:eastAsia="zh-CN"/>
              </w:rPr>
              <w:t>与《实施细则》对比分析一览表</w:t>
            </w:r>
          </w:p>
          <w:tbl>
            <w:tblPr>
              <w:tblStyle w:val="16"/>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1"/>
              <w:gridCol w:w="916"/>
              <w:gridCol w:w="1749"/>
              <w:gridCol w:w="1998"/>
              <w:gridCol w:w="361"/>
              <w:gridCol w:w="7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p>
              </w:tc>
              <w:tc>
                <w:tcPr>
                  <w:tcW w:w="201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与本项目相关条文</w:t>
                  </w:r>
                </w:p>
              </w:tc>
              <w:tc>
                <w:tcPr>
                  <w:tcW w:w="151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8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新乡市主体功能区分</w:t>
                  </w:r>
                </w:p>
              </w:tc>
              <w:tc>
                <w:tcPr>
                  <w:tcW w:w="201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工业准入优先区范围：我市范围内的省级产业集聚区、市级人民政府规范设立的专业园区</w:t>
                  </w:r>
                </w:p>
              </w:tc>
              <w:tc>
                <w:tcPr>
                  <w:tcW w:w="151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rPr>
                    <w:t>项目选址位于新乡市凤泉区大块镇小块村西</w:t>
                  </w:r>
                </w:p>
              </w:tc>
              <w:tc>
                <w:tcPr>
                  <w:tcW w:w="273"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不</w:t>
                  </w:r>
                  <w:r>
                    <w:rPr>
                      <w:rFonts w:hint="default" w:ascii="Times New Roman" w:hAnsi="Times New Roman" w:cs="Times New Roman"/>
                      <w:color w:val="auto"/>
                      <w:sz w:val="18"/>
                      <w:szCs w:val="18"/>
                      <w:highlight w:val="none"/>
                    </w:rPr>
                    <w:t>属于</w:t>
                  </w:r>
                </w:p>
              </w:tc>
              <w:tc>
                <w:tcPr>
                  <w:tcW w:w="556" w:type="pct"/>
                  <w:vMerge w:val="restar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pacing w:val="-4"/>
                      <w:sz w:val="18"/>
                      <w:szCs w:val="18"/>
                      <w:highlight w:val="none"/>
                    </w:rPr>
                    <w:t>项目选址不属于实施细则所列四种类型分区中，根据相关说明第3条，应参照农产品主产区的环境准入政策执行。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201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城市人居功能区范围：新乡市市区（含平原城乡一体示范区）、县城建成区，以及规划区中以居住、商贸、文教科研为主的区域。</w:t>
                  </w:r>
                </w:p>
              </w:tc>
              <w:tc>
                <w:tcPr>
                  <w:tcW w:w="151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项目选址位于新乡市凤泉区大块镇小块村西，</w:t>
                  </w:r>
                  <w:r>
                    <w:rPr>
                      <w:rFonts w:hint="default" w:ascii="Times New Roman" w:hAnsi="Times New Roman" w:cs="Times New Roman"/>
                      <w:color w:val="auto"/>
                      <w:sz w:val="18"/>
                      <w:szCs w:val="18"/>
                      <w:highlight w:val="none"/>
                      <w:lang w:eastAsia="zh-CN"/>
                    </w:rPr>
                    <w:t>不在新乡市</w:t>
                  </w:r>
                  <w:r>
                    <w:rPr>
                      <w:rFonts w:hint="default" w:ascii="Times New Roman" w:hAnsi="Times New Roman" w:cs="Times New Roman"/>
                      <w:color w:val="auto"/>
                      <w:sz w:val="18"/>
                      <w:szCs w:val="18"/>
                      <w:highlight w:val="none"/>
                    </w:rPr>
                    <w:t>市区范围内，县城建成区，以及规划区中以居住、商贸、文教科研为主的区域。</w:t>
                  </w:r>
                  <w:r>
                    <w:rPr>
                      <w:rFonts w:hint="default" w:ascii="Times New Roman" w:hAnsi="Times New Roman" w:cs="Times New Roman"/>
                      <w:color w:val="auto"/>
                      <w:sz w:val="18"/>
                      <w:szCs w:val="18"/>
                      <w:highlight w:val="none"/>
                      <w:lang w:eastAsia="zh-CN"/>
                    </w:rPr>
                    <w:t>不</w:t>
                  </w:r>
                  <w:r>
                    <w:rPr>
                      <w:rFonts w:hint="default" w:ascii="Times New Roman" w:hAnsi="Times New Roman" w:cs="Times New Roman"/>
                      <w:color w:val="auto"/>
                      <w:sz w:val="18"/>
                      <w:szCs w:val="18"/>
                      <w:highlight w:val="none"/>
                    </w:rPr>
                    <w:t>属于城市人居功能区范围</w:t>
                  </w:r>
                </w:p>
              </w:tc>
              <w:tc>
                <w:tcPr>
                  <w:tcW w:w="273"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不</w:t>
                  </w:r>
                  <w:r>
                    <w:rPr>
                      <w:rFonts w:hint="default" w:ascii="Times New Roman" w:hAnsi="Times New Roman" w:cs="Times New Roman"/>
                      <w:color w:val="auto"/>
                      <w:sz w:val="18"/>
                      <w:szCs w:val="18"/>
                      <w:highlight w:val="none"/>
                    </w:rPr>
                    <w:t>属于</w:t>
                  </w:r>
                </w:p>
              </w:tc>
              <w:tc>
                <w:tcPr>
                  <w:tcW w:w="556" w:type="pct"/>
                  <w:vMerge w:val="continue"/>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201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农产品主产区范围：辉县市、获嘉县、原阳县、延津县、封丘县。（不含产业集聚区、专业园区和县城建成区以及规划区中以居住、商贸、文教科研为主的区域）</w:t>
                  </w:r>
                </w:p>
              </w:tc>
              <w:tc>
                <w:tcPr>
                  <w:tcW w:w="151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项目选址位于新乡市凤泉区大块镇小块村西</w:t>
                  </w:r>
                </w:p>
              </w:tc>
              <w:tc>
                <w:tcPr>
                  <w:tcW w:w="273"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不属于</w:t>
                  </w:r>
                </w:p>
              </w:tc>
              <w:tc>
                <w:tcPr>
                  <w:tcW w:w="556" w:type="pct"/>
                  <w:vMerge w:val="continue"/>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201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特殊环境敏感区范围：（1）禁止开发区域：国家、省级自然保护区，世界文化自然遗产，国家、省级风景名胜区，国家，省级森林公园，国家级、省级地质公园，国家、省级湿地公园，国家级、省级水产种植资源保护区；（2）依法划定的集中式饮用水源地一、二级保护区</w:t>
                  </w:r>
                </w:p>
              </w:tc>
              <w:tc>
                <w:tcPr>
                  <w:tcW w:w="151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项目选址周围无自然保护区、森林公园等特殊环境敏感区，厂址不在集中式饮用水水源地保护区范围内</w:t>
                  </w:r>
                </w:p>
              </w:tc>
              <w:tc>
                <w:tcPr>
                  <w:tcW w:w="273"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不属于</w:t>
                  </w:r>
                </w:p>
              </w:tc>
              <w:tc>
                <w:tcPr>
                  <w:tcW w:w="556" w:type="pct"/>
                  <w:vMerge w:val="continue"/>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污染防治（控）重点单元</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水污染</w:t>
                  </w:r>
                </w:p>
              </w:tc>
              <w:tc>
                <w:tcPr>
                  <w:tcW w:w="132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卫河流域：新乡市区、新乡县、卫辉市、辉县市、获嘉县</w:t>
                  </w:r>
                </w:p>
              </w:tc>
              <w:tc>
                <w:tcPr>
                  <w:tcW w:w="151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项目选址位于新乡市凤泉区大块镇小块村西</w:t>
                  </w:r>
                </w:p>
              </w:tc>
              <w:tc>
                <w:tcPr>
                  <w:tcW w:w="8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不</w:t>
                  </w:r>
                  <w:r>
                    <w:rPr>
                      <w:rFonts w:hint="default" w:ascii="Times New Roman" w:hAnsi="Times New Roman" w:cs="Times New Roman"/>
                      <w:color w:val="auto"/>
                      <w:sz w:val="18"/>
                      <w:szCs w:val="18"/>
                      <w:highlight w:val="none"/>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大气污染</w:t>
                  </w:r>
                </w:p>
              </w:tc>
              <w:tc>
                <w:tcPr>
                  <w:tcW w:w="132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新乡市域全部</w:t>
                  </w:r>
                </w:p>
              </w:tc>
              <w:tc>
                <w:tcPr>
                  <w:tcW w:w="15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8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重金属</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w:t>
                  </w:r>
                </w:p>
              </w:tc>
              <w:tc>
                <w:tcPr>
                  <w:tcW w:w="132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新乡县、凤泉区</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（铅镉污染控制区）</w:t>
                  </w:r>
                </w:p>
              </w:tc>
              <w:tc>
                <w:tcPr>
                  <w:tcW w:w="15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8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工业项</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目分类</w:t>
                  </w:r>
                </w:p>
              </w:tc>
              <w:tc>
                <w:tcPr>
                  <w:tcW w:w="2019"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一类工业项目：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bidi="ar-SA"/>
                    </w:rPr>
                  </w:pPr>
                  <w:r>
                    <w:rPr>
                      <w:rFonts w:hint="default" w:ascii="Times New Roman" w:hAnsi="Times New Roman" w:cs="Times New Roman"/>
                      <w:color w:val="auto"/>
                      <w:sz w:val="18"/>
                      <w:szCs w:val="18"/>
                      <w:highlight w:val="none"/>
                    </w:rPr>
                    <w:t>轻工（粮食及饲料加工（不含发酵工艺的）；植物油加工；肉禽类、蛋品加工；乳制品加工；竹、藤、棕、草制品制造（不含化学处理工艺的）；纸制品（不含化学处理工艺的）；工艺品制造（无电镀、喷漆工艺和机加工的））；</w:t>
                  </w:r>
                  <w:r>
                    <w:rPr>
                      <w:rFonts w:hint="default" w:ascii="Times New Roman" w:hAnsi="Times New Roman" w:cs="Times New Roman"/>
                      <w:color w:val="auto"/>
                      <w:sz w:val="18"/>
                      <w:szCs w:val="18"/>
                      <w:highlight w:val="none"/>
                    </w:rPr>
                    <w:br w:type="textWrapping"/>
                  </w:r>
                  <w:r>
                    <w:rPr>
                      <w:rFonts w:hint="default" w:ascii="Times New Roman" w:hAnsi="Times New Roman" w:cs="Times New Roman"/>
                      <w:color w:val="auto"/>
                      <w:sz w:val="18"/>
                      <w:szCs w:val="18"/>
                      <w:highlight w:val="none"/>
                      <w:lang w:eastAsia="zh-CN"/>
                    </w:rPr>
                    <w:t>二类工业项目：</w:t>
                  </w:r>
                  <w:r>
                    <w:rPr>
                      <w:rFonts w:hint="default" w:ascii="Times New Roman" w:hAnsi="Times New Roman" w:cs="Times New Roman"/>
                      <w:color w:val="auto"/>
                      <w:sz w:val="18"/>
                      <w:szCs w:val="18"/>
                      <w:highlight w:val="none"/>
                      <w:lang w:eastAsia="zh-CN"/>
                    </w:rPr>
                    <w:br w:type="textWrapping"/>
                  </w:r>
                  <w:r>
                    <w:rPr>
                      <w:rFonts w:hint="default" w:ascii="Times New Roman" w:hAnsi="Times New Roman" w:cs="Times New Roman"/>
                      <w:color w:val="auto"/>
                      <w:sz w:val="18"/>
                      <w:szCs w:val="18"/>
                      <w:highlight w:val="none"/>
                      <w:lang w:eastAsia="zh-CN"/>
                    </w:rPr>
                    <w:t>轻工（含发酵工艺的粮食及饲料加工；屠宰；调味品、发酵制品制造；酒精饮料及酒类制造；果菜汁及其他软饮料制造；竹、藤、棕、草制品制造（含化学处理工艺的）；商品浆造纸；纸制品（含化学处理工艺的）；工艺品制造（含电镀、喷漆工艺和机加工的）；轮胎制造、再生橡胶制造、橡胶加工）；</w:t>
                  </w:r>
                  <w:r>
                    <w:rPr>
                      <w:rFonts w:hint="default" w:ascii="Times New Roman" w:hAnsi="Times New Roman" w:cs="Times New Roman"/>
                      <w:color w:val="auto"/>
                      <w:sz w:val="18"/>
                      <w:szCs w:val="18"/>
                      <w:highlight w:val="none"/>
                      <w:lang w:eastAsia="zh-CN"/>
                    </w:rPr>
                    <w:br w:type="textWrapping"/>
                  </w:r>
                  <w:r>
                    <w:rPr>
                      <w:rFonts w:hint="default" w:ascii="Times New Roman" w:hAnsi="Times New Roman" w:cs="Times New Roman"/>
                      <w:color w:val="auto"/>
                      <w:sz w:val="18"/>
                      <w:szCs w:val="18"/>
                      <w:highlight w:val="none"/>
                      <w:lang w:eastAsia="zh-CN"/>
                    </w:rPr>
                    <w:t>三类工业项目：</w:t>
                  </w:r>
                  <w:r>
                    <w:rPr>
                      <w:rFonts w:hint="default" w:ascii="Times New Roman" w:hAnsi="Times New Roman" w:cs="Times New Roman"/>
                      <w:color w:val="auto"/>
                      <w:sz w:val="18"/>
                      <w:szCs w:val="18"/>
                      <w:highlight w:val="none"/>
                      <w:lang w:eastAsia="zh-CN"/>
                    </w:rPr>
                    <w:br w:type="textWrapping"/>
                  </w:r>
                  <w:r>
                    <w:rPr>
                      <w:rFonts w:hint="default" w:ascii="Times New Roman" w:hAnsi="Times New Roman" w:cs="Times New Roman"/>
                      <w:color w:val="auto"/>
                      <w:sz w:val="18"/>
                      <w:szCs w:val="18"/>
                      <w:highlight w:val="none"/>
                      <w:lang w:eastAsia="zh-CN"/>
                    </w:rPr>
                    <w:t>轻工（生物质纤维素乙醇制造、制浆制造、造纸（不含商品浆造纸）；含制革、毛皮鞣制的皮革、毛皮、羽毛（绒）制品）；</w:t>
                  </w:r>
                </w:p>
              </w:tc>
              <w:tc>
                <w:tcPr>
                  <w:tcW w:w="15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本项目产品为烤麸</w:t>
                  </w:r>
                  <w:r>
                    <w:rPr>
                      <w:rFonts w:hint="default" w:ascii="Times New Roman" w:hAnsi="Times New Roman" w:cs="Times New Roman"/>
                      <w:color w:val="auto"/>
                      <w:sz w:val="18"/>
                      <w:szCs w:val="18"/>
                      <w:highlight w:val="none"/>
                      <w:lang w:eastAsia="zh-CN"/>
                    </w:rPr>
                    <w:t>，生产工艺主要包括分切、蒸制、烘干、切片等，属于一类工业项目</w:t>
                  </w:r>
                </w:p>
              </w:tc>
              <w:tc>
                <w:tcPr>
                  <w:tcW w:w="8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属于一类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工业项目</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本项目按照农产品主产区的环境准入政策执行，与农产品主产区准入政策具体条款及相符性见下表。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eastAsia="黑体" w:cs="Times New Roman"/>
                <w:color w:val="auto"/>
                <w:sz w:val="18"/>
                <w:szCs w:val="18"/>
                <w:highlight w:val="none"/>
                <w:lang w:val="en-US" w:eastAsia="zh-CN"/>
              </w:rPr>
              <w:t>与农产品主产区规定对照</w:t>
            </w:r>
          </w:p>
          <w:tbl>
            <w:tblPr>
              <w:tblStyle w:val="16"/>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
              <w:gridCol w:w="2970"/>
              <w:gridCol w:w="2120"/>
              <w:gridCol w:w="10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trPr>
              <w:tc>
                <w:tcPr>
                  <w:tcW w:w="3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类别</w:t>
                  </w:r>
                </w:p>
              </w:tc>
              <w:tc>
                <w:tcPr>
                  <w:tcW w:w="22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内容</w:t>
                  </w:r>
                </w:p>
              </w:tc>
              <w:tc>
                <w:tcPr>
                  <w:tcW w:w="16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7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是否符合</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审批条件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农产品主产区</w:t>
                  </w:r>
                </w:p>
              </w:tc>
              <w:tc>
                <w:tcPr>
                  <w:tcW w:w="22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简化部分审批程序。依据环保部《建设项目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加工项目，简化审批程序，即报即受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严控重污染项目。不予审批《工业项目分类清单》中三类工业项目和排放重金属、持久性有机污染物、挥发性有机污染物等影响粮食生产安全的二类工业新建项目（矿产资源点状开发项目和符合省、市重大产业布局的项目除外）。</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rPr>
                    <w:t>、严控部分区域重污染项目。在《水污染防治重点单元》区域内不予审批屠宰、酿造、含发酵工艺的粮食加工等废水排放量大且废水无法进入集中式污水处理厂处理的项目。</w:t>
                  </w:r>
                </w:p>
              </w:tc>
              <w:tc>
                <w:tcPr>
                  <w:tcW w:w="16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本项目应编写环境影响报告表，不属于简化审批程序的项目。</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2、本项目为一类工业项目。</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baseline"/>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rPr>
                    <w:t>、项目选址位于新乡市凤泉区大块镇小块村西，属于水污染防治重点单元，但本项目不属于屠宰、酿造、含发酵工艺的粮食加工等行业，项目</w:t>
                  </w:r>
                  <w:r>
                    <w:rPr>
                      <w:rFonts w:hint="default" w:ascii="Times New Roman" w:hAnsi="Times New Roman" w:cs="Times New Roman"/>
                      <w:color w:val="auto"/>
                      <w:sz w:val="18"/>
                      <w:szCs w:val="18"/>
                      <w:highlight w:val="none"/>
                      <w:lang w:eastAsia="zh-CN"/>
                    </w:rPr>
                    <w:t>产生的废水主要为少量生活污水和清洗废水，经厂区化粪池</w:t>
                  </w:r>
                  <w:r>
                    <w:rPr>
                      <w:rFonts w:hint="default" w:ascii="Times New Roman" w:hAnsi="Times New Roman" w:cs="Times New Roman"/>
                      <w:color w:val="auto"/>
                      <w:sz w:val="18"/>
                      <w:szCs w:val="18"/>
                      <w:highlight w:val="none"/>
                      <w:lang w:val="en-US" w:eastAsia="zh-CN"/>
                    </w:rPr>
                    <w:t>处理后，定期清运；</w:t>
                  </w:r>
                  <w:r>
                    <w:rPr>
                      <w:rFonts w:hint="eastAsia" w:cs="Times New Roman"/>
                      <w:color w:val="auto"/>
                      <w:sz w:val="18"/>
                      <w:szCs w:val="18"/>
                      <w:highlight w:val="none"/>
                      <w:lang w:val="en-US" w:eastAsia="zh-CN"/>
                    </w:rPr>
                    <w:t>锅炉软水制备废水经收集后，用于厂区降尘。</w:t>
                  </w:r>
                </w:p>
              </w:tc>
              <w:tc>
                <w:tcPr>
                  <w:tcW w:w="7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由上表可知，项目所在区域属于农产品主产区，本项目为其他食品制造类项目，属于一类工业项目，属于农产品主产区予以审批项目，符合农产品主产区环境准入政策。因此，项目符合《实施细则》相关要求。</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r>
              <w:rPr>
                <w:rFonts w:hint="default" w:ascii="Times New Roman" w:hAnsi="Times New Roman" w:cs="Times New Roman"/>
                <w:color w:val="auto"/>
                <w:sz w:val="21"/>
                <w:szCs w:val="21"/>
                <w:highlight w:val="none"/>
                <w:lang w:val="en-US" w:eastAsia="zh-CN" w:bidi="ar-SA"/>
              </w:rPr>
              <w:t>4</w:t>
            </w:r>
            <w:r>
              <w:rPr>
                <w:rFonts w:hint="default" w:ascii="Times New Roman" w:hAnsi="Times New Roman" w:eastAsia="宋体" w:cs="Times New Roman"/>
                <w:color w:val="auto"/>
                <w:sz w:val="21"/>
                <w:szCs w:val="21"/>
                <w:highlight w:val="none"/>
                <w:lang w:val="en-US" w:eastAsia="zh-CN" w:bidi="ar-SA"/>
              </w:rPr>
              <w:t>）食品企业通用卫生规范</w:t>
            </w:r>
          </w:p>
          <w:p>
            <w:pPr>
              <w:pStyle w:val="10"/>
              <w:keepNext w:val="0"/>
              <w:keepLines w:val="0"/>
              <w:pageBreakBefore w:val="0"/>
              <w:widowControl w:val="0"/>
              <w:kinsoku/>
              <w:wordWrap/>
              <w:overflowPunct/>
              <w:topLinePunct w:val="0"/>
              <w:bidi w:val="0"/>
              <w:snapToGrid w:val="0"/>
              <w:spacing w:line="36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bidi="ar-SA"/>
              </w:rPr>
              <w:t>《食品企业通用卫生规范》（GB14881-201</w:t>
            </w:r>
            <w:r>
              <w:rPr>
                <w:rFonts w:hint="default" w:ascii="Times New Roman" w:hAnsi="Times New Roman" w:cs="Times New Roman"/>
                <w:color w:val="auto"/>
                <w:sz w:val="21"/>
                <w:szCs w:val="21"/>
                <w:highlight w:val="none"/>
              </w:rPr>
              <w:t>3）中规定了项目选址、厂区平面布置、车间卫生条件要求与采取的保障措施等内容，本项目与其相符性分析见</w:t>
            </w:r>
            <w:r>
              <w:rPr>
                <w:rFonts w:hint="default" w:ascii="Times New Roman" w:hAnsi="Times New Roman" w:cs="Times New Roman"/>
                <w:color w:val="auto"/>
                <w:sz w:val="21"/>
                <w:szCs w:val="21"/>
                <w:highlight w:val="none"/>
                <w:lang w:eastAsia="zh-CN"/>
              </w:rPr>
              <w:t>下表。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eastAsia="黑体" w:cs="Times New Roman"/>
                <w:color w:val="auto"/>
                <w:sz w:val="18"/>
                <w:szCs w:val="18"/>
                <w:highlight w:val="none"/>
                <w:lang w:val="en-US" w:eastAsia="zh-CN"/>
              </w:rPr>
              <w:t>本项目与《食品企业通用卫生规范》（GB14881-2013）相符性分析一览表</w:t>
            </w:r>
          </w:p>
          <w:tbl>
            <w:tblPr>
              <w:tblStyle w:val="1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2"/>
              <w:gridCol w:w="492"/>
              <w:gridCol w:w="2153"/>
              <w:gridCol w:w="2804"/>
              <w:gridCol w:w="6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trPr>
              <w:tc>
                <w:tcPr>
                  <w:tcW w:w="373" w:type="pct"/>
                  <w:noWrap w:val="0"/>
                  <w:tcMar>
                    <w:top w:w="85" w:type="dxa"/>
                    <w:left w:w="113" w:type="dxa"/>
                    <w:bottom w:w="85" w:type="dxa"/>
                    <w:right w:w="113" w:type="dxa"/>
                  </w:tcMar>
                  <w:vAlign w:val="center"/>
                </w:tcPr>
                <w:p>
                  <w:pPr>
                    <w:pStyle w:val="10"/>
                    <w:adjustRightInd w:val="0"/>
                    <w:snapToGrid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项目</w:t>
                  </w: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规定</w:t>
                  </w:r>
                </w:p>
              </w:tc>
              <w:tc>
                <w:tcPr>
                  <w:tcW w:w="2123" w:type="pct"/>
                  <w:noWrap w:val="0"/>
                  <w:tcMar>
                    <w:top w:w="85" w:type="dxa"/>
                    <w:left w:w="113" w:type="dxa"/>
                    <w:bottom w:w="85" w:type="dxa"/>
                    <w:right w:w="113" w:type="dxa"/>
                  </w:tcMar>
                  <w:vAlign w:val="center"/>
                </w:tcPr>
                <w:p>
                  <w:pPr>
                    <w:pStyle w:val="10"/>
                    <w:adjustRightInd w:val="0"/>
                    <w:snapToGrid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本项目</w:t>
                  </w:r>
                </w:p>
              </w:tc>
              <w:tc>
                <w:tcPr>
                  <w:tcW w:w="499" w:type="pct"/>
                  <w:noWrap w:val="0"/>
                  <w:tcMar>
                    <w:top w:w="85" w:type="dxa"/>
                    <w:left w:w="113" w:type="dxa"/>
                    <w:bottom w:w="85" w:type="dxa"/>
                    <w:right w:w="113" w:type="dxa"/>
                  </w:tcMar>
                  <w:vAlign w:val="center"/>
                </w:tcPr>
                <w:p>
                  <w:pPr>
                    <w:pStyle w:val="10"/>
                    <w:adjustRightInd w:val="0"/>
                    <w:snapToGrid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trPr>
              <w:tc>
                <w:tcPr>
                  <w:tcW w:w="373" w:type="pct"/>
                  <w:vMerge w:val="restar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选址</w:t>
                  </w: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厂区不应选择对食品有显著污染的区域；不应选择有害废弃物以及粉尘、有害气体、放射性物质和其他扩散性污染源不能有效清除的地址。</w:t>
                  </w:r>
                </w:p>
              </w:tc>
              <w:tc>
                <w:tcPr>
                  <w:tcW w:w="2123" w:type="pct"/>
                  <w:noWrap w:val="0"/>
                  <w:tcMar>
                    <w:top w:w="85" w:type="dxa"/>
                    <w:left w:w="113" w:type="dxa"/>
                    <w:bottom w:w="85" w:type="dxa"/>
                    <w:right w:w="113" w:type="dxa"/>
                  </w:tcMar>
                  <w:vAlign w:val="center"/>
                </w:tcPr>
                <w:p>
                  <w:pPr>
                    <w:pStyle w:val="10"/>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rPr>
                    <w:t>项目</w:t>
                  </w:r>
                  <w:r>
                    <w:rPr>
                      <w:rFonts w:hint="default" w:ascii="Times New Roman" w:hAnsi="Times New Roman" w:cs="Times New Roman"/>
                      <w:color w:val="auto"/>
                      <w:sz w:val="18"/>
                      <w:szCs w:val="18"/>
                      <w:highlight w:val="none"/>
                      <w:lang w:eastAsia="zh-CN"/>
                    </w:rPr>
                    <w:t>生产车间东侧</w:t>
                  </w:r>
                  <w:r>
                    <w:rPr>
                      <w:rFonts w:hint="default" w:ascii="Times New Roman" w:hAnsi="Times New Roman" w:cs="Times New Roman"/>
                      <w:color w:val="auto"/>
                      <w:sz w:val="18"/>
                      <w:szCs w:val="18"/>
                      <w:highlight w:val="none"/>
                    </w:rPr>
                    <w:t>约86m为</w:t>
                  </w:r>
                  <w:r>
                    <w:rPr>
                      <w:rFonts w:hint="default" w:ascii="Times New Roman" w:hAnsi="Times New Roman" w:cs="Times New Roman"/>
                      <w:color w:val="auto"/>
                      <w:sz w:val="18"/>
                      <w:szCs w:val="18"/>
                      <w:highlight w:val="none"/>
                      <w:lang w:eastAsia="zh-CN"/>
                    </w:rPr>
                    <w:t>新乡市宏基混凝土有限公司</w:t>
                  </w:r>
                  <w:r>
                    <w:rPr>
                      <w:rFonts w:hint="default" w:ascii="Times New Roman" w:hAnsi="Times New Roman" w:cs="Times New Roman"/>
                      <w:color w:val="auto"/>
                      <w:sz w:val="18"/>
                      <w:szCs w:val="18"/>
                      <w:highlight w:val="none"/>
                    </w:rPr>
                    <w:t>，该公司以</w:t>
                  </w:r>
                  <w:r>
                    <w:rPr>
                      <w:rFonts w:hint="default" w:ascii="Times New Roman" w:hAnsi="Times New Roman" w:cs="Times New Roman"/>
                      <w:color w:val="auto"/>
                      <w:sz w:val="18"/>
                      <w:szCs w:val="18"/>
                      <w:highlight w:val="none"/>
                      <w:lang w:eastAsia="zh-CN"/>
                    </w:rPr>
                    <w:t>生产</w:t>
                  </w:r>
                  <w:r>
                    <w:rPr>
                      <w:rFonts w:hint="default" w:ascii="Times New Roman" w:hAnsi="Times New Roman" w:cs="Times New Roman"/>
                      <w:color w:val="auto"/>
                      <w:sz w:val="18"/>
                      <w:szCs w:val="18"/>
                      <w:highlight w:val="none"/>
                    </w:rPr>
                    <w:t>车间为</w:t>
                  </w:r>
                  <w:r>
                    <w:rPr>
                      <w:rFonts w:hint="default" w:ascii="Times New Roman" w:hAnsi="Times New Roman" w:cs="Times New Roman"/>
                      <w:color w:val="auto"/>
                      <w:sz w:val="18"/>
                      <w:szCs w:val="18"/>
                      <w:highlight w:val="none"/>
                      <w:lang w:eastAsia="zh-CN"/>
                    </w:rPr>
                    <w:t>无组织排放源设置有</w:t>
                  </w: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00m防护距离，本项目生产车间位于</w:t>
                  </w:r>
                  <w:r>
                    <w:rPr>
                      <w:rFonts w:hint="default" w:ascii="Times New Roman" w:hAnsi="Times New Roman" w:cs="Times New Roman"/>
                      <w:color w:val="auto"/>
                      <w:sz w:val="18"/>
                      <w:szCs w:val="18"/>
                      <w:highlight w:val="none"/>
                      <w:lang w:eastAsia="zh-CN"/>
                    </w:rPr>
                    <w:t>其</w:t>
                  </w:r>
                  <w:r>
                    <w:rPr>
                      <w:rFonts w:hint="default" w:ascii="Times New Roman" w:hAnsi="Times New Roman" w:cs="Times New Roman"/>
                      <w:color w:val="auto"/>
                      <w:sz w:val="18"/>
                      <w:szCs w:val="18"/>
                      <w:highlight w:val="none"/>
                    </w:rPr>
                    <w:t>设置的卫生防护距离内</w:t>
                  </w:r>
                  <w:r>
                    <w:rPr>
                      <w:rFonts w:hint="default" w:ascii="Times New Roman" w:hAnsi="Times New Roman" w:cs="Times New Roman"/>
                      <w:color w:val="auto"/>
                      <w:sz w:val="18"/>
                      <w:szCs w:val="18"/>
                      <w:highlight w:val="none"/>
                      <w:lang w:eastAsia="zh-CN"/>
                    </w:rPr>
                    <w:t>。为了解该混凝土公司废气对本项目周边环境影响，企业委托河南松筠检测技术有限公司于</w:t>
                  </w:r>
                  <w:r>
                    <w:rPr>
                      <w:rFonts w:hint="default" w:ascii="Times New Roman" w:hAnsi="Times New Roman" w:cs="Times New Roman"/>
                      <w:color w:val="auto"/>
                      <w:sz w:val="18"/>
                      <w:szCs w:val="18"/>
                      <w:highlight w:val="none"/>
                      <w:lang w:val="en-US" w:eastAsia="zh-CN"/>
                    </w:rPr>
                    <w:t>2019年12月18日对项目厂界和车间外颗粒物进行了实测，根据监测结果可知，本项目四厂界颗粒物浓度为0.102mg/m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~0.113mg/m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，生产车间外颗粒物浓度为0.131mg/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vertAlign w:val="baseline"/>
                      <w:lang w:val="en-US" w:eastAsia="zh-CN"/>
                    </w:rPr>
                    <w:t>，项目周边现状颗粒物浓度（PM</w:t>
                  </w:r>
                  <w:r>
                    <w:rPr>
                      <w:rFonts w:hint="default" w:ascii="Times New Roman" w:hAnsi="Times New Roman" w:cs="Times New Roman"/>
                      <w:color w:val="auto"/>
                      <w:sz w:val="18"/>
                      <w:szCs w:val="18"/>
                      <w:highlight w:val="none"/>
                      <w:vertAlign w:val="subscript"/>
                      <w:lang w:val="en-US" w:eastAsia="zh-CN"/>
                    </w:rPr>
                    <w:t>10</w:t>
                  </w:r>
                  <w:r>
                    <w:rPr>
                      <w:rFonts w:hint="default" w:ascii="Times New Roman" w:hAnsi="Times New Roman" w:cs="Times New Roman"/>
                      <w:color w:val="auto"/>
                      <w:sz w:val="18"/>
                      <w:szCs w:val="18"/>
                      <w:highlight w:val="none"/>
                      <w:vertAlign w:val="baseline"/>
                      <w:lang w:val="en-US" w:eastAsia="zh-CN"/>
                    </w:rPr>
                    <w:t>）能够满足《环境空气质量标准》（GB3095-2012）二级标准要求。为了有效</w:t>
                  </w:r>
                  <w:r>
                    <w:rPr>
                      <w:rFonts w:hint="eastAsia" w:ascii="Times New Roman" w:hAnsi="Times New Roman" w:cs="Times New Roman"/>
                      <w:color w:val="auto"/>
                      <w:sz w:val="18"/>
                      <w:szCs w:val="18"/>
                      <w:highlight w:val="none"/>
                      <w:vertAlign w:val="baseline"/>
                      <w:lang w:val="en-US" w:eastAsia="zh-CN"/>
                    </w:rPr>
                    <w:t>减少</w:t>
                  </w:r>
                  <w:r>
                    <w:rPr>
                      <w:rFonts w:hint="default" w:ascii="Times New Roman" w:hAnsi="Times New Roman" w:cs="Times New Roman"/>
                      <w:color w:val="auto"/>
                      <w:sz w:val="18"/>
                      <w:szCs w:val="18"/>
                      <w:highlight w:val="none"/>
                      <w:vertAlign w:val="baseline"/>
                      <w:lang w:val="en-US" w:eastAsia="zh-CN"/>
                    </w:rPr>
                    <w:t>外界环境污染物对本项目生产的影响，本项目生产车间均布置在厂区西侧，同时本项目拟将1#车间内的生产区，2#车间内的包装间采用全封闭洁净车间，车间内设置进风过滤系统和排气系统，保证车间内空气的洁净。通过采取上述措施后，可有效清除混凝土公司产生的颗粒物废气对本项目的影响。</w:t>
                  </w:r>
                </w:p>
              </w:tc>
              <w:tc>
                <w:tcPr>
                  <w:tcW w:w="499" w:type="pct"/>
                  <w:vMerge w:val="restar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4" w:hRule="atLeast"/>
              </w:trPr>
              <w:tc>
                <w:tcPr>
                  <w:tcW w:w="37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厂区不宜择易发生洪涝灾害的地区，难以避开时应设计必要的防范措施。厂区周围不宜有虫害大量孳生的潜在场所，难以避开时应设计必要的防范措施。</w:t>
                  </w:r>
                </w:p>
              </w:tc>
              <w:tc>
                <w:tcPr>
                  <w:tcW w:w="2123" w:type="pc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项目不在易发生洪涝灾害的地区；项目</w:t>
                  </w:r>
                  <w:r>
                    <w:rPr>
                      <w:rFonts w:hint="default" w:ascii="Times New Roman" w:hAnsi="Times New Roman" w:cs="Times New Roman"/>
                      <w:color w:val="auto"/>
                      <w:sz w:val="18"/>
                      <w:szCs w:val="18"/>
                      <w:highlight w:val="none"/>
                      <w:lang w:eastAsia="zh-CN"/>
                    </w:rPr>
                    <w:t>周边不存在</w:t>
                  </w:r>
                  <w:r>
                    <w:rPr>
                      <w:rFonts w:hint="default" w:ascii="Times New Roman" w:hAnsi="Times New Roman" w:cs="Times New Roman"/>
                      <w:color w:val="auto"/>
                      <w:sz w:val="18"/>
                      <w:szCs w:val="18"/>
                      <w:highlight w:val="none"/>
                    </w:rPr>
                    <w:t>有虫害大量孳生的潜在场所。</w:t>
                  </w:r>
                </w:p>
              </w:tc>
              <w:tc>
                <w:tcPr>
                  <w:tcW w:w="499"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restar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厂内环境</w:t>
                  </w: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厂区应合理布局，各功能区域划分明显，并有适当的分离或分隔措施，防止交叉污染。宿舍、食堂、职工娱乐设施等生活区应与生产区保持适当距离或分隔。</w:t>
                  </w:r>
                </w:p>
              </w:tc>
              <w:tc>
                <w:tcPr>
                  <w:tcW w:w="2123" w:type="pc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本项目厂区内，仅有生产区，无宿舍、食堂、职工娱乐设施等生活区</w:t>
                  </w:r>
                </w:p>
              </w:tc>
              <w:tc>
                <w:tcPr>
                  <w:tcW w:w="499"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厂区内的道路应铺设混凝土、沥青、或者其他硬质材料；空地应采取必要措施，如铺设水泥、地砖或铺设草坪等方式，保持环境清洁，防止正常天气下扬尘和积水等现象的发生。厂区绿化应与生产车间保持适当距离，植被应定期维护，以防止虫害的孳生。厂区</w:t>
                  </w:r>
                  <w:r>
                    <w:rPr>
                      <w:rFonts w:hint="default" w:ascii="Times New Roman" w:hAnsi="Times New Roman" w:cs="Times New Roman"/>
                      <w:color w:val="auto"/>
                      <w:sz w:val="18"/>
                      <w:szCs w:val="18"/>
                      <w:highlight w:val="none"/>
                    </w:rPr>
                    <w:cr/>
                  </w:r>
                  <w:r>
                    <w:rPr>
                      <w:rFonts w:hint="default" w:ascii="Times New Roman" w:hAnsi="Times New Roman" w:cs="Times New Roman"/>
                      <w:color w:val="auto"/>
                      <w:sz w:val="18"/>
                      <w:szCs w:val="18"/>
                      <w:highlight w:val="none"/>
                    </w:rPr>
                    <w:t>有适当的排水系统。</w:t>
                  </w:r>
                </w:p>
              </w:tc>
              <w:tc>
                <w:tcPr>
                  <w:tcW w:w="2123" w:type="pc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厂区主干道和进车间道路均进行了水泥硬化，道路平整，不易产尘和集水，同时对厂区内进行了绿化，绿化区均位于厂区西侧、北侧，满足要求。</w:t>
                  </w:r>
                </w:p>
              </w:tc>
              <w:tc>
                <w:tcPr>
                  <w:tcW w:w="499"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restar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总平面布置（布局）</w:t>
                  </w: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厂房和车间的内部设计和布局应满足食品卫生操作要求，避免食品生产中发生交叉污染。厂房和车间的设计应根据生产工艺合理布局，预防和降低产品受污染的风险。</w:t>
                  </w:r>
                </w:p>
              </w:tc>
              <w:tc>
                <w:tcPr>
                  <w:tcW w:w="2123" w:type="pct"/>
                  <w:vMerge w:val="restar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本项目食品车间各工段均进行单独分开，降低了相互交叉污染。生产</w:t>
                  </w:r>
                  <w:r>
                    <w:rPr>
                      <w:rFonts w:hint="default" w:ascii="Times New Roman" w:hAnsi="Times New Roman" w:cs="Times New Roman"/>
                      <w:color w:val="auto"/>
                      <w:sz w:val="18"/>
                      <w:szCs w:val="18"/>
                      <w:highlight w:val="none"/>
                      <w:lang w:eastAsia="zh-CN"/>
                    </w:rPr>
                    <w:t>车</w:t>
                  </w:r>
                  <w:r>
                    <w:rPr>
                      <w:rFonts w:hint="default" w:ascii="Times New Roman" w:hAnsi="Times New Roman" w:cs="Times New Roman"/>
                      <w:color w:val="auto"/>
                      <w:sz w:val="18"/>
                      <w:szCs w:val="18"/>
                      <w:highlight w:val="none"/>
                    </w:rPr>
                    <w:t>间、包装车间、成品库等相互隔离，便于操作和管理</w:t>
                  </w:r>
                  <w:r>
                    <w:rPr>
                      <w:rFonts w:hint="default" w:ascii="Times New Roman" w:hAnsi="Times New Roman" w:cs="Times New Roman"/>
                      <w:color w:val="auto"/>
                      <w:sz w:val="18"/>
                      <w:szCs w:val="18"/>
                      <w:highlight w:val="none"/>
                      <w:lang w:eastAsia="zh-CN"/>
                    </w:rPr>
                    <w:t>。</w:t>
                  </w:r>
                </w:p>
              </w:tc>
              <w:tc>
                <w:tcPr>
                  <w:tcW w:w="499" w:type="pct"/>
                  <w:vMerge w:val="restar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厂房和车间应根据产品特点、生产工艺、生产特性以及生产过程对清洁程度的要求合理划分作业区，并采取有效分离或分隔。厂内设置的检验室应与生产区域分隔。</w:t>
                  </w:r>
                </w:p>
              </w:tc>
              <w:tc>
                <w:tcPr>
                  <w:tcW w:w="212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499"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厂房的面积和空间应与生产能力相适应，便于设备安置、清洁消毒、物料存储及人员操作</w:t>
                  </w:r>
                </w:p>
              </w:tc>
              <w:tc>
                <w:tcPr>
                  <w:tcW w:w="212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499"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顶棚应使用无毒、无味、与生产需求相适应、易于观察清洁状况的材料建造；若直接在屋顶内层喷涂涂料作为顶棚，应使用无毒、无味、防霉、不易脱落、易于清洁的涂料。</w:t>
                  </w:r>
                </w:p>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墙面、隔断应使用无毒、无味的防渗透材料建造，在操作高度范围内的墙面应光滑、不易积累污垢且易于清洁；若使用涂料，应无毒、无味、防霉、不易脱落、易于清洁。</w:t>
                  </w:r>
                </w:p>
              </w:tc>
              <w:tc>
                <w:tcPr>
                  <w:tcW w:w="2123" w:type="pc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本项目生产车间顶棚采用彩钢瓦，不需要加工处理，墙壁为钢板和保温板，不会产生污垢，易于清理。</w:t>
                  </w:r>
                </w:p>
              </w:tc>
              <w:tc>
                <w:tcPr>
                  <w:tcW w:w="499" w:type="pc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地面应使用无毒、无味、不渗透、耐腐蚀的材料建造。地面的结构应有利于排污和清洗的需要。地面应平坦防滑、无裂缝、并易于清洁、消毒，并有适当的措施防止积水。</w:t>
                  </w:r>
                </w:p>
              </w:tc>
              <w:tc>
                <w:tcPr>
                  <w:tcW w:w="2123" w:type="pc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车间内地面平整，采用水泥硬化，满足生产要求。</w:t>
                  </w:r>
                </w:p>
              </w:tc>
              <w:tc>
                <w:tcPr>
                  <w:tcW w:w="499" w:type="pc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给排水：应能保证水质、水压、水量及其他要求符合生产需要。食品加工用水的水质应符合GB5749的规定，对加工用水水质有特殊要求的食品应符合相应规定。间接冷却水、锅炉用水等食品生产用水的水质应符合生产需要。食品加工用水与其他不与食品接触的用水（如间接冷却水、污水或废水等）应以完全分离的管路输送，避免交叉污染。各管路系统应明确标识以便区分。排水系统的设计和建造应保证排水畅通、便于清洁维护；应适应食品生产的需要，保证食品及生产、清洁用水不受污染。</w:t>
                  </w:r>
                </w:p>
              </w:tc>
              <w:tc>
                <w:tcPr>
                  <w:tcW w:w="2123" w:type="pc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本项目</w:t>
                  </w:r>
                  <w:r>
                    <w:rPr>
                      <w:rFonts w:hint="default" w:ascii="Times New Roman" w:hAnsi="Times New Roman" w:cs="Times New Roman"/>
                      <w:color w:val="auto"/>
                      <w:sz w:val="18"/>
                      <w:szCs w:val="18"/>
                      <w:highlight w:val="none"/>
                      <w:lang w:eastAsia="zh-CN"/>
                    </w:rPr>
                    <w:t>用水主要由厂区内自备水井提供，</w:t>
                  </w:r>
                  <w:r>
                    <w:rPr>
                      <w:rFonts w:hint="default" w:ascii="Times New Roman" w:hAnsi="Times New Roman" w:cs="Times New Roman"/>
                      <w:color w:val="auto"/>
                      <w:sz w:val="18"/>
                      <w:szCs w:val="18"/>
                      <w:highlight w:val="none"/>
                    </w:rPr>
                    <w:t>用水符合GB5749的规定</w:t>
                  </w:r>
                  <w:r>
                    <w:rPr>
                      <w:rFonts w:hint="default" w:ascii="Times New Roman" w:hAnsi="Times New Roman" w:cs="Times New Roman"/>
                      <w:color w:val="auto"/>
                      <w:sz w:val="18"/>
                      <w:szCs w:val="18"/>
                      <w:highlight w:val="none"/>
                      <w:lang w:eastAsia="zh-CN"/>
                    </w:rPr>
                    <w:t>；项目生产过程用水主要为锅炉用水，该过程用水由厂区内自备水井提供，产生的蒸汽通过车间管道通入蒸制和烘干工段使用；</w:t>
                  </w:r>
                  <w:r>
                    <w:rPr>
                      <w:rFonts w:hint="default" w:ascii="Times New Roman" w:hAnsi="Times New Roman" w:cs="Times New Roman"/>
                      <w:color w:val="auto"/>
                      <w:sz w:val="18"/>
                      <w:szCs w:val="18"/>
                      <w:highlight w:val="none"/>
                    </w:rPr>
                    <w:t>项目</w:t>
                  </w:r>
                  <w:r>
                    <w:rPr>
                      <w:rFonts w:hint="default" w:ascii="Times New Roman" w:hAnsi="Times New Roman" w:cs="Times New Roman"/>
                      <w:color w:val="auto"/>
                      <w:sz w:val="18"/>
                      <w:szCs w:val="18"/>
                      <w:highlight w:val="none"/>
                      <w:lang w:eastAsia="zh-CN"/>
                    </w:rPr>
                    <w:t>生活污水、</w:t>
                  </w:r>
                  <w:r>
                    <w:rPr>
                      <w:rFonts w:hint="default" w:ascii="Times New Roman" w:hAnsi="Times New Roman" w:cs="Times New Roman"/>
                      <w:color w:val="auto"/>
                      <w:sz w:val="18"/>
                      <w:szCs w:val="18"/>
                      <w:highlight w:val="none"/>
                    </w:rPr>
                    <w:t>设备</w:t>
                  </w:r>
                  <w:r>
                    <w:rPr>
                      <w:rFonts w:hint="default" w:ascii="Times New Roman" w:hAnsi="Times New Roman" w:cs="Times New Roman"/>
                      <w:color w:val="auto"/>
                      <w:sz w:val="18"/>
                      <w:szCs w:val="18"/>
                      <w:highlight w:val="none"/>
                      <w:lang w:eastAsia="zh-CN"/>
                    </w:rPr>
                    <w:t>清洗废水和</w:t>
                  </w:r>
                  <w:r>
                    <w:rPr>
                      <w:rFonts w:hint="default" w:ascii="Times New Roman" w:hAnsi="Times New Roman" w:cs="Times New Roman"/>
                      <w:color w:val="auto"/>
                      <w:sz w:val="18"/>
                      <w:szCs w:val="18"/>
                      <w:highlight w:val="none"/>
                    </w:rPr>
                    <w:t>地面清洗废水</w:t>
                  </w:r>
                  <w:r>
                    <w:rPr>
                      <w:rFonts w:hint="default" w:ascii="Times New Roman" w:hAnsi="Times New Roman" w:cs="Times New Roman"/>
                      <w:color w:val="auto"/>
                      <w:sz w:val="18"/>
                      <w:szCs w:val="18"/>
                      <w:highlight w:val="none"/>
                      <w:lang w:eastAsia="zh-CN"/>
                    </w:rPr>
                    <w:t>均经厂区现有化粪池处理后，</w:t>
                  </w:r>
                  <w:r>
                    <w:rPr>
                      <w:rFonts w:hint="default" w:ascii="Times New Roman" w:hAnsi="Times New Roman" w:cs="Times New Roman"/>
                      <w:color w:val="auto"/>
                      <w:sz w:val="18"/>
                      <w:szCs w:val="18"/>
                      <w:highlight w:val="none"/>
                      <w:lang w:val="en-US" w:eastAsia="zh-CN"/>
                    </w:rPr>
                    <w:t>定期清运</w:t>
                  </w:r>
                  <w:r>
                    <w:rPr>
                      <w:rFonts w:hint="default" w:ascii="Times New Roman" w:hAnsi="Times New Roman" w:cs="Times New Roman"/>
                      <w:color w:val="auto"/>
                      <w:sz w:val="18"/>
                      <w:szCs w:val="18"/>
                      <w:highlight w:val="none"/>
                      <w:lang w:eastAsia="zh-CN"/>
                    </w:rPr>
                    <w:t>；软水制备废水收集后，于厂区地面洒水抑尘。项目用水管道由自备井提供，通过水泵抽至生产车间使用，清洗过程产生的废水管道通过容器收集并通过卫生间配套排水管道排入化粪池，用水管道和废水排放管道完全隔离，且间隔较远，能够确保</w:t>
                  </w:r>
                  <w:r>
                    <w:rPr>
                      <w:rFonts w:hint="default" w:ascii="Times New Roman" w:hAnsi="Times New Roman" w:cs="Times New Roman"/>
                      <w:color w:val="auto"/>
                      <w:sz w:val="18"/>
                      <w:szCs w:val="18"/>
                      <w:highlight w:val="none"/>
                    </w:rPr>
                    <w:t>加工用水与其他不与食品接触的用水</w:t>
                  </w:r>
                  <w:r>
                    <w:rPr>
                      <w:rFonts w:hint="default" w:ascii="Times New Roman" w:hAnsi="Times New Roman" w:cs="Times New Roman"/>
                      <w:color w:val="auto"/>
                      <w:sz w:val="18"/>
                      <w:szCs w:val="18"/>
                      <w:highlight w:val="none"/>
                      <w:lang w:eastAsia="zh-CN"/>
                    </w:rPr>
                    <w:t>无接触，</w:t>
                  </w:r>
                  <w:r>
                    <w:rPr>
                      <w:rFonts w:hint="default" w:ascii="Times New Roman" w:hAnsi="Times New Roman" w:cs="Times New Roman"/>
                      <w:color w:val="auto"/>
                      <w:sz w:val="18"/>
                      <w:szCs w:val="18"/>
                      <w:highlight w:val="none"/>
                    </w:rPr>
                    <w:t>不会对项目食品产生用水产生影响</w:t>
                  </w:r>
                  <w:r>
                    <w:rPr>
                      <w:rFonts w:hint="default" w:ascii="Times New Roman" w:hAnsi="Times New Roman" w:cs="Times New Roman"/>
                      <w:color w:val="auto"/>
                      <w:sz w:val="18"/>
                      <w:szCs w:val="18"/>
                      <w:highlight w:val="none"/>
                      <w:lang w:eastAsia="zh-CN"/>
                    </w:rPr>
                    <w:t>。</w:t>
                  </w:r>
                </w:p>
              </w:tc>
              <w:tc>
                <w:tcPr>
                  <w:tcW w:w="499" w:type="pc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清洁消毒设施：应配备足够的食品、工器具和设备的专用清洁设施，必要时应配备适宜的消毒设施。应采取措施避免清洁、消毒工器具带来的交叉污染。</w:t>
                  </w:r>
                </w:p>
              </w:tc>
              <w:tc>
                <w:tcPr>
                  <w:tcW w:w="2123" w:type="pc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项目更衣室内设置消毒池和洗手台，消毒设施</w:t>
                  </w:r>
                  <w:r>
                    <w:rPr>
                      <w:rFonts w:hint="default" w:ascii="Times New Roman" w:hAnsi="Times New Roman" w:cs="Times New Roman"/>
                      <w:color w:val="auto"/>
                      <w:sz w:val="18"/>
                      <w:szCs w:val="18"/>
                      <w:highlight w:val="none"/>
                      <w:lang w:eastAsia="zh-CN"/>
                    </w:rPr>
                    <w:t>与</w:t>
                  </w:r>
                  <w:r>
                    <w:rPr>
                      <w:rFonts w:hint="default" w:ascii="Times New Roman" w:hAnsi="Times New Roman" w:cs="Times New Roman"/>
                      <w:color w:val="auto"/>
                      <w:sz w:val="18"/>
                      <w:szCs w:val="18"/>
                      <w:highlight w:val="none"/>
                    </w:rPr>
                    <w:t>生产区</w:t>
                  </w:r>
                  <w:r>
                    <w:rPr>
                      <w:rFonts w:hint="default" w:ascii="Times New Roman" w:hAnsi="Times New Roman" w:cs="Times New Roman"/>
                      <w:color w:val="auto"/>
                      <w:sz w:val="18"/>
                      <w:szCs w:val="18"/>
                      <w:highlight w:val="none"/>
                      <w:lang w:eastAsia="zh-CN"/>
                    </w:rPr>
                    <w:t>隔离</w:t>
                  </w:r>
                  <w:r>
                    <w:rPr>
                      <w:rFonts w:hint="default" w:ascii="Times New Roman" w:hAnsi="Times New Roman" w:cs="Times New Roman"/>
                      <w:color w:val="auto"/>
                      <w:sz w:val="18"/>
                      <w:szCs w:val="18"/>
                      <w:highlight w:val="none"/>
                    </w:rPr>
                    <w:t>。</w:t>
                  </w:r>
                </w:p>
              </w:tc>
              <w:tc>
                <w:tcPr>
                  <w:tcW w:w="499" w:type="pc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废弃物存放设施：应配备设计合理、防止渗漏、易于清洁的存放废弃物的专用设施；车间内存放废弃物的设施和容器应标识清晰。必要时应在适当地点设置废弃物临时存放设施，并依废弃物特性分类存放。</w:t>
                  </w:r>
                </w:p>
              </w:tc>
              <w:tc>
                <w:tcPr>
                  <w:tcW w:w="2123" w:type="pc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企业按照本条要求建设一般固废暂存间。</w:t>
                  </w:r>
                </w:p>
              </w:tc>
              <w:tc>
                <w:tcPr>
                  <w:tcW w:w="499" w:type="pc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生产场所或生产车间入口处应设置更衣室；必要时特定的作业区入口处可按需要设置更衣室。更衣室应保证工作服与个人服装及其他物品分开放置。生产车间入口及车间内必要处，应按需设置换鞋（穿戴鞋套）设施或工作鞋靴消毒设施。如设置工作鞋靴消毒设施，其规格尺寸应能满足消毒需要。</w:t>
                  </w:r>
                </w:p>
              </w:tc>
              <w:tc>
                <w:tcPr>
                  <w:tcW w:w="2123" w:type="pct"/>
                  <w:vMerge w:val="restar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车间入口处设置更衣间，更衣室内设置有消毒设施，车间内不设置卫生间，卫生间远离生产区。</w:t>
                  </w:r>
                </w:p>
              </w:tc>
              <w:tc>
                <w:tcPr>
                  <w:tcW w:w="499" w:type="pct"/>
                  <w:vMerge w:val="restart"/>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应根据需要设置卫生间，卫生间的结构、设施与内部材质应易于保持清洁；卫生间内的适当位置应设置洗手设施。卫生间不得与食品生产、包装或贮存等区域直接连通。</w:t>
                  </w:r>
                </w:p>
              </w:tc>
              <w:tc>
                <w:tcPr>
                  <w:tcW w:w="2123"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499" w:type="pct"/>
                  <w:vMerge w:val="continue"/>
                  <w:noWrap w:val="0"/>
                  <w:tcMar>
                    <w:top w:w="85" w:type="dxa"/>
                    <w:left w:w="113" w:type="dxa"/>
                    <w:bottom w:w="85"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57" w:type="dxa"/>
                    <w:left w:w="113" w:type="dxa"/>
                    <w:bottom w:w="57"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57" w:type="dxa"/>
                    <w:left w:w="113" w:type="dxa"/>
                    <w:bottom w:w="57"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应在清洁作业区入口设置洗手、干手和消毒设施；如有需要，应在作业区内适当位置加设洗手和（或）消毒设施；与消毒设</w:t>
                  </w:r>
                  <w:r>
                    <w:rPr>
                      <w:rFonts w:hint="default" w:ascii="Times New Roman" w:hAnsi="Times New Roman" w:cs="Times New Roman"/>
                      <w:color w:val="auto"/>
                      <w:sz w:val="18"/>
                      <w:szCs w:val="18"/>
                      <w:highlight w:val="none"/>
                    </w:rPr>
                    <w:cr/>
                  </w:r>
                  <w:r>
                    <w:rPr>
                      <w:rFonts w:hint="default" w:ascii="Times New Roman" w:hAnsi="Times New Roman" w:cs="Times New Roman"/>
                      <w:color w:val="auto"/>
                      <w:sz w:val="18"/>
                      <w:szCs w:val="18"/>
                      <w:highlight w:val="none"/>
                    </w:rPr>
                    <w:t>配套的水龙头其开关应为非手动式。</w:t>
                  </w:r>
                </w:p>
              </w:tc>
              <w:tc>
                <w:tcPr>
                  <w:tcW w:w="2123" w:type="pct"/>
                  <w:vMerge w:val="continue"/>
                  <w:noWrap w:val="0"/>
                  <w:tcMar>
                    <w:top w:w="57" w:type="dxa"/>
                    <w:left w:w="113" w:type="dxa"/>
                    <w:bottom w:w="57"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499" w:type="pct"/>
                  <w:vMerge w:val="continue"/>
                  <w:noWrap w:val="0"/>
                  <w:tcMar>
                    <w:top w:w="57" w:type="dxa"/>
                    <w:left w:w="113" w:type="dxa"/>
                    <w:bottom w:w="57"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应具有适宜的自然通风或人工通风措施；必要时应通过自然通风或机械设施有效控制生产环境的温度和湿度。通风设施应避免空气从清洁度要求低的作业区域流向清洁度要求高的作业区域。应合理设置进气口位置，进气口与排气口和户外垃圾存放装置等污染源保持适宜的距离和角度。进、排气口应装有防止虫害侵入的网罩等设施。通风排气设施应易于清洁、维修或更换。</w:t>
                  </w:r>
                </w:p>
              </w:tc>
              <w:tc>
                <w:tcPr>
                  <w:tcW w:w="2123" w:type="pc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车间内设置空气循环净化系统，近气和出气均在车间上方，</w:t>
                  </w:r>
                  <w:r>
                    <w:rPr>
                      <w:rFonts w:hint="default" w:ascii="Times New Roman" w:hAnsi="Times New Roman" w:cs="Times New Roman"/>
                      <w:color w:val="auto"/>
                      <w:sz w:val="18"/>
                      <w:szCs w:val="18"/>
                      <w:highlight w:val="none"/>
                    </w:rPr>
                    <w:t>进、排气口应装有防止虫害侵入的网罩等设施。</w:t>
                  </w:r>
                </w:p>
              </w:tc>
              <w:tc>
                <w:tcPr>
                  <w:tcW w:w="499" w:type="pct"/>
                  <w:vMerge w:val="restar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2003" w:type="pct"/>
                  <w:gridSpan w:val="2"/>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原料、半成品、成品、包装材料等应依据性质的不同分设贮存场所、或分区域码放，并有明确标识，防止</w:t>
                  </w:r>
                  <w:r>
                    <w:rPr>
                      <w:rFonts w:hint="default" w:ascii="Times New Roman" w:hAnsi="Times New Roman" w:cs="Times New Roman"/>
                      <w:color w:val="auto"/>
                      <w:sz w:val="18"/>
                      <w:szCs w:val="18"/>
                      <w:highlight w:val="none"/>
                    </w:rPr>
                    <w:cr/>
                  </w:r>
                  <w:r>
                    <w:rPr>
                      <w:rFonts w:hint="default" w:ascii="Times New Roman" w:hAnsi="Times New Roman" w:cs="Times New Roman"/>
                      <w:color w:val="auto"/>
                      <w:sz w:val="18"/>
                      <w:szCs w:val="18"/>
                      <w:highlight w:val="none"/>
                    </w:rPr>
                    <w:t>叉污染。必要时仓库应设有温、湿度控制设施。</w:t>
                  </w:r>
                </w:p>
              </w:tc>
              <w:tc>
                <w:tcPr>
                  <w:tcW w:w="2123" w:type="pc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本项目原料、半成品、成品等分开堆放，不交叉堆放。</w:t>
                  </w:r>
                </w:p>
              </w:tc>
              <w:tc>
                <w:tcPr>
                  <w:tcW w:w="499" w:type="pct"/>
                  <w:vMerge w:val="continue"/>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restar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车间卫生条件要求与采取的保障措施</w:t>
                  </w:r>
                </w:p>
              </w:tc>
              <w:tc>
                <w:tcPr>
                  <w:tcW w:w="373" w:type="pct"/>
                  <w:vMerge w:val="restar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卫生设施</w:t>
                  </w:r>
                </w:p>
              </w:tc>
              <w:tc>
                <w:tcPr>
                  <w:tcW w:w="1630" w:type="pct"/>
                  <w:noWrap w:val="0"/>
                  <w:tcMar>
                    <w:top w:w="74" w:type="dxa"/>
                    <w:left w:w="113" w:type="dxa"/>
                    <w:bottom w:w="74" w:type="dxa"/>
                    <w:right w:w="113" w:type="dxa"/>
                  </w:tcMar>
                  <w:vAlign w:val="center"/>
                </w:tcPr>
                <w:p>
                  <w:pPr>
                    <w:pStyle w:val="10"/>
                    <w:wordWrap w:val="0"/>
                    <w:adjustRightInd w:val="0"/>
                    <w:snapToGrid w:val="0"/>
                    <w:jc w:val="center"/>
                    <w:rPr>
                      <w:rFonts w:hint="default" w:ascii="Times New Roman" w:hAnsi="Times New Roman" w:cs="Times New Roman"/>
                      <w:color w:val="auto"/>
                      <w:spacing w:val="-2"/>
                      <w:sz w:val="18"/>
                      <w:szCs w:val="18"/>
                      <w:highlight w:val="none"/>
                    </w:rPr>
                  </w:pPr>
                  <w:r>
                    <w:rPr>
                      <w:rFonts w:hint="default" w:ascii="Times New Roman" w:hAnsi="Times New Roman" w:cs="Times New Roman"/>
                      <w:color w:val="auto"/>
                      <w:spacing w:val="-2"/>
                      <w:sz w:val="18"/>
                      <w:szCs w:val="18"/>
                      <w:highlight w:val="none"/>
                    </w:rPr>
                    <w:t>洗手、消毒：</w:t>
                  </w:r>
                  <w:r>
                    <w:rPr>
                      <w:rFonts w:hint="default" w:ascii="Times New Roman" w:hAnsi="Times New Roman" w:cs="Times New Roman"/>
                      <w:color w:val="auto"/>
                      <w:spacing w:val="-2"/>
                      <w:kern w:val="0"/>
                      <w:sz w:val="18"/>
                      <w:szCs w:val="18"/>
                      <w:highlight w:val="none"/>
                    </w:rPr>
                    <w:t>洗手设施应分别设置在车间进口处和车间内适当的地点；要配备冷热水混合器，其开关应采用非手动式，龙头设置以每班人数在200人以内者，按每10人1个，200人以上者每增加20人增设1个；洗手设施还应包括干手设备(热风、消毒干毛巾、消毒纸巾等)，根据生产需要，有的车间、部门还应配备消毒手套，同时还应配备足够数量的指甲刀、指甲刷和洗涤剂、消毒液等；生产车间进口，必要时还应设有工作靴鞋消毒池(卫生监督部门认为无需穿靴鞋消毒的车间可免设)；消毒池壁内侧与墙体呈45°坡形，其规格尺寸应根据情况务使工作人员必须通过消毒池才能进入为目的</w:t>
                  </w:r>
                </w:p>
              </w:tc>
              <w:tc>
                <w:tcPr>
                  <w:tcW w:w="2123" w:type="pc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本项目拟按照要求设置洗手、消毒</w:t>
                  </w:r>
                  <w:r>
                    <w:rPr>
                      <w:rFonts w:hint="default" w:ascii="Times New Roman" w:hAnsi="Times New Roman" w:cs="Times New Roman"/>
                      <w:color w:val="auto"/>
                      <w:sz w:val="18"/>
                      <w:szCs w:val="18"/>
                      <w:highlight w:val="none"/>
                      <w:lang w:eastAsia="zh-CN"/>
                    </w:rPr>
                    <w:t>等</w:t>
                  </w:r>
                  <w:r>
                    <w:rPr>
                      <w:rFonts w:hint="default" w:ascii="Times New Roman" w:hAnsi="Times New Roman" w:cs="Times New Roman"/>
                      <w:color w:val="auto"/>
                      <w:sz w:val="18"/>
                      <w:szCs w:val="18"/>
                      <w:highlight w:val="none"/>
                    </w:rPr>
                    <w:t>设施</w:t>
                  </w:r>
                </w:p>
              </w:tc>
              <w:tc>
                <w:tcPr>
                  <w:tcW w:w="499" w:type="pc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373" w:type="pct"/>
                  <w:vMerge w:val="continue"/>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373" w:type="pct"/>
                  <w:vMerge w:val="continue"/>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1630" w:type="pc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更衣室：更衣室应设储衣柜或衣架、鞋箱(架)，衣柜之间要保持一定距离，离地面20cm以上，如采用衣架应另设个人物品存放柜；更衣室还应备有穿衣镜，供工作人员自检用</w:t>
                  </w:r>
                </w:p>
              </w:tc>
              <w:tc>
                <w:tcPr>
                  <w:tcW w:w="2123" w:type="pc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本项目拟按照要求设置更衣室</w:t>
                  </w:r>
                </w:p>
              </w:tc>
              <w:tc>
                <w:tcPr>
                  <w:tcW w:w="499" w:type="pc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373" w:type="pct"/>
                  <w:vMerge w:val="continue"/>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1630" w:type="pc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厕所：厕所设置应有利生产和卫生，其数量和便池坑位应根据生产需要和人员情况适当设置；生产车间的厕所应设置在车间外侧，并一律为水冲式，备有洗手设施和排臭</w:t>
                  </w:r>
                  <w:r>
                    <w:rPr>
                      <w:rFonts w:hint="default" w:ascii="Times New Roman" w:hAnsi="Times New Roman" w:cs="Times New Roman"/>
                      <w:color w:val="auto"/>
                      <w:sz w:val="18"/>
                      <w:szCs w:val="18"/>
                      <w:highlight w:val="none"/>
                    </w:rPr>
                    <w:cr/>
                  </w:r>
                  <w:r>
                    <w:rPr>
                      <w:rFonts w:hint="default" w:ascii="Times New Roman" w:hAnsi="Times New Roman" w:cs="Times New Roman"/>
                      <w:color w:val="auto"/>
                      <w:sz w:val="18"/>
                      <w:szCs w:val="18"/>
                      <w:highlight w:val="none"/>
                    </w:rPr>
                    <w:t>置，其出入口不得正对车间门，要避开通道；其排污管道应与车间排水管道分设；设置坑式厕所</w:t>
                  </w:r>
                  <w:r>
                    <w:rPr>
                      <w:rFonts w:hint="default" w:ascii="Times New Roman" w:hAnsi="Times New Roman" w:cs="Times New Roman"/>
                      <w:color w:val="auto"/>
                      <w:sz w:val="18"/>
                      <w:szCs w:val="18"/>
                      <w:highlight w:val="none"/>
                    </w:rPr>
                    <w:cr/>
                  </w:r>
                  <w:r>
                    <w:rPr>
                      <w:rFonts w:hint="default" w:ascii="Times New Roman" w:hAnsi="Times New Roman" w:cs="Times New Roman"/>
                      <w:color w:val="auto"/>
                      <w:sz w:val="18"/>
                      <w:szCs w:val="18"/>
                      <w:highlight w:val="none"/>
                    </w:rPr>
                    <w:t>，应距生产车间25m以上，并应便于清扫、保洁，还应设防蚊、防蝇设施</w:t>
                  </w:r>
                </w:p>
              </w:tc>
              <w:tc>
                <w:tcPr>
                  <w:tcW w:w="2123" w:type="pc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本项目卫生间单独于厂区</w:t>
                  </w:r>
                  <w:r>
                    <w:rPr>
                      <w:rFonts w:hint="default" w:ascii="Times New Roman" w:hAnsi="Times New Roman" w:cs="Times New Roman"/>
                      <w:color w:val="auto"/>
                      <w:sz w:val="18"/>
                      <w:szCs w:val="18"/>
                      <w:highlight w:val="none"/>
                      <w:lang w:eastAsia="zh-CN"/>
                    </w:rPr>
                    <w:t>东南角</w:t>
                  </w:r>
                  <w:r>
                    <w:rPr>
                      <w:rFonts w:hint="default" w:ascii="Times New Roman" w:hAnsi="Times New Roman" w:cs="Times New Roman"/>
                      <w:color w:val="auto"/>
                      <w:sz w:val="18"/>
                      <w:szCs w:val="18"/>
                      <w:highlight w:val="none"/>
                    </w:rPr>
                    <w:t>设置，</w:t>
                  </w:r>
                  <w:r>
                    <w:rPr>
                      <w:rFonts w:hint="default" w:ascii="Times New Roman" w:hAnsi="Times New Roman" w:cs="Times New Roman"/>
                      <w:color w:val="auto"/>
                      <w:sz w:val="18"/>
                      <w:szCs w:val="18"/>
                      <w:highlight w:val="none"/>
                      <w:lang w:eastAsia="zh-CN"/>
                    </w:rPr>
                    <w:t>距离项目生产车间较远，</w:t>
                  </w:r>
                  <w:r>
                    <w:rPr>
                      <w:rFonts w:hint="default" w:ascii="Times New Roman" w:hAnsi="Times New Roman" w:cs="Times New Roman"/>
                      <w:color w:val="auto"/>
                      <w:sz w:val="18"/>
                      <w:szCs w:val="18"/>
                      <w:highlight w:val="none"/>
                    </w:rPr>
                    <w:t>不影响厂区</w:t>
                  </w:r>
                  <w:r>
                    <w:rPr>
                      <w:rFonts w:hint="default" w:ascii="Times New Roman" w:hAnsi="Times New Roman" w:cs="Times New Roman"/>
                      <w:color w:val="auto"/>
                      <w:sz w:val="18"/>
                      <w:szCs w:val="18"/>
                      <w:highlight w:val="none"/>
                      <w:lang w:eastAsia="zh-CN"/>
                    </w:rPr>
                    <w:t>内生产车间内</w:t>
                  </w:r>
                  <w:r>
                    <w:rPr>
                      <w:rFonts w:hint="default" w:ascii="Times New Roman" w:hAnsi="Times New Roman" w:cs="Times New Roman"/>
                      <w:color w:val="auto"/>
                      <w:sz w:val="18"/>
                      <w:szCs w:val="18"/>
                      <w:highlight w:val="none"/>
                    </w:rPr>
                    <w:t>生产，满足要求</w:t>
                  </w:r>
                </w:p>
              </w:tc>
              <w:tc>
                <w:tcPr>
                  <w:tcW w:w="499" w:type="pc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73" w:type="pct"/>
                  <w:vMerge w:val="continue"/>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373" w:type="pct"/>
                  <w:vMerge w:val="restar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卫生设施管理</w:t>
                  </w:r>
                </w:p>
              </w:tc>
              <w:tc>
                <w:tcPr>
                  <w:tcW w:w="1630" w:type="pct"/>
                  <w:noWrap w:val="0"/>
                  <w:tcMar>
                    <w:top w:w="74" w:type="dxa"/>
                    <w:left w:w="113" w:type="dxa"/>
                    <w:bottom w:w="74" w:type="dxa"/>
                    <w:right w:w="113" w:type="dxa"/>
                  </w:tcMar>
                  <w:vAlign w:val="center"/>
                </w:tcPr>
                <w:p>
                  <w:pPr>
                    <w:pStyle w:val="1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卫生管理制度：应制定食品加工人员和食品生产卫生管理制度以及相应的考核标准，明确岗位职责，实行岗位责任制。根据食品的特点以及生产、贮存过程的卫生要求，建立对保证食品安全具有显著意义的关键控制环节的监控制度，良好实施并定期检查，发现问题及时纠正。</w:t>
                  </w:r>
                </w:p>
              </w:tc>
              <w:tc>
                <w:tcPr>
                  <w:tcW w:w="2123" w:type="pc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该企业拟制定相关企业食品生产管理规范，等项目建成后在车间内明显处进行悬挂公示，并由车间主任进行日常卫生管理。</w:t>
                  </w:r>
                </w:p>
              </w:tc>
              <w:tc>
                <w:tcPr>
                  <w:tcW w:w="499" w:type="pct"/>
                  <w:vMerge w:val="restart"/>
                  <w:noWrap w:val="0"/>
                  <w:tcMar>
                    <w:top w:w="74" w:type="dxa"/>
                    <w:left w:w="113" w:type="dxa"/>
                    <w:bottom w:w="74"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73" w:type="pct"/>
                  <w:vMerge w:val="continue"/>
                  <w:noWrap w:val="0"/>
                  <w:tcMar>
                    <w:top w:w="57" w:type="dxa"/>
                    <w:left w:w="113" w:type="dxa"/>
                    <w:bottom w:w="57"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373" w:type="pct"/>
                  <w:vMerge w:val="continue"/>
                  <w:noWrap w:val="0"/>
                  <w:tcMar>
                    <w:top w:w="57" w:type="dxa"/>
                    <w:left w:w="113" w:type="dxa"/>
                    <w:bottom w:w="57"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c>
                <w:tcPr>
                  <w:tcW w:w="1630" w:type="pct"/>
                  <w:noWrap w:val="0"/>
                  <w:tcMar>
                    <w:top w:w="57" w:type="dxa"/>
                    <w:left w:w="113" w:type="dxa"/>
                    <w:bottom w:w="57" w:type="dxa"/>
                    <w:right w:w="113" w:type="dxa"/>
                  </w:tcMar>
                  <w:vAlign w:val="center"/>
                </w:tcPr>
                <w:p>
                  <w:pPr>
                    <w:pStyle w:val="1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弃物处理：应制定废弃物存放和清除制度，有特殊要求的废弃物其处理方式应符合有关规定。废弃物应定期清除；易腐败的废弃物应尽快清除；必要时应及时清除废弃物。车间外废弃物放置场所应与食品加工场所隔离防止污染；应防止不良气味或有害有毒气体溢出；应防止虫害孳生。</w:t>
                  </w:r>
                </w:p>
              </w:tc>
              <w:tc>
                <w:tcPr>
                  <w:tcW w:w="2123" w:type="pct"/>
                  <w:noWrap w:val="0"/>
                  <w:tcMar>
                    <w:top w:w="57" w:type="dxa"/>
                    <w:left w:w="113" w:type="dxa"/>
                    <w:bottom w:w="57"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本项目设置满足要求的废弃物处理设施</w:t>
                  </w:r>
                </w:p>
              </w:tc>
              <w:tc>
                <w:tcPr>
                  <w:tcW w:w="499" w:type="pct"/>
                  <w:vMerge w:val="continue"/>
                  <w:noWrap w:val="0"/>
                  <w:tcMar>
                    <w:top w:w="57" w:type="dxa"/>
                    <w:left w:w="113" w:type="dxa"/>
                    <w:bottom w:w="57" w:type="dxa"/>
                    <w:right w:w="113" w:type="dxa"/>
                  </w:tcMar>
                  <w:vAlign w:val="center"/>
                </w:tcPr>
                <w:p>
                  <w:pPr>
                    <w:pStyle w:val="10"/>
                    <w:adjustRightInd w:val="0"/>
                    <w:snapToGrid w:val="0"/>
                    <w:jc w:val="center"/>
                    <w:rPr>
                      <w:rFonts w:hint="default" w:ascii="Times New Roman" w:hAnsi="Times New Roman" w:cs="Times New Roman"/>
                      <w:color w:val="auto"/>
                      <w:sz w:val="18"/>
                      <w:szCs w:val="18"/>
                      <w:highlight w:val="none"/>
                    </w:rPr>
                  </w:pPr>
                </w:p>
              </w:tc>
            </w:tr>
          </w:tbl>
          <w:p>
            <w:pPr>
              <w:pStyle w:val="2"/>
              <w:keepNext w:val="0"/>
              <w:keepLines w:val="0"/>
              <w:pageBreakBefore w:val="0"/>
              <w:widowControl w:val="0"/>
              <w:kinsoku/>
              <w:wordWrap/>
              <w:overflowPunct/>
              <w:topLinePunct w:val="0"/>
              <w:bidi w:val="0"/>
              <w:adjustRightInd/>
              <w:snapToGrid/>
              <w:spacing w:line="360" w:lineRule="auto"/>
              <w:ind w:firstLine="404"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）与《新乡市环境污染防治攻坚战三年行动实施方案（2018-2020）》相符性分析</w:t>
            </w:r>
          </w:p>
          <w:p>
            <w:pPr>
              <w:keepNext w:val="0"/>
              <w:keepLines w:val="0"/>
              <w:pageBreakBefore w:val="0"/>
              <w:widowControl w:val="0"/>
              <w:kinsoku/>
              <w:wordWrap/>
              <w:overflowPunct/>
              <w:topLinePunct w:val="0"/>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与《新乡市环境污染防治攻坚战三年行动实施方案（2018-2020年）》（以下简称《三年行动计划》）对照分析见下表。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eastAsia="黑体" w:cs="Times New Roman"/>
                <w:color w:val="auto"/>
                <w:sz w:val="18"/>
                <w:szCs w:val="18"/>
                <w:highlight w:val="none"/>
                <w:lang w:val="en-US" w:eastAsia="zh-CN"/>
              </w:rPr>
              <w:t>与三年行动计划相符性分析</w:t>
            </w:r>
          </w:p>
          <w:tbl>
            <w:tblPr>
              <w:tblStyle w:val="16"/>
              <w:tblW w:w="4998" w:type="pct"/>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207"/>
              <w:gridCol w:w="1915"/>
              <w:gridCol w:w="685"/>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1" w:type="pct"/>
                  <w:tcBorders>
                    <w:top w:val="single" w:color="auto" w:sz="8" w:space="0"/>
                    <w:bottom w:val="single" w:color="auto" w:sz="8" w:space="0"/>
                  </w:tcBorders>
                  <w:noWrap w:val="0"/>
                  <w:vAlign w:val="center"/>
                </w:tcPr>
                <w:p>
                  <w:pPr>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类别</w:t>
                  </w:r>
                </w:p>
              </w:tc>
              <w:tc>
                <w:tcPr>
                  <w:tcW w:w="2428" w:type="pct"/>
                  <w:tcBorders>
                    <w:top w:val="single" w:color="auto" w:sz="8" w:space="0"/>
                    <w:bottom w:val="single" w:color="auto" w:sz="8" w:space="0"/>
                  </w:tcBorders>
                  <w:noWrap w:val="0"/>
                  <w:vAlign w:val="center"/>
                </w:tcPr>
                <w:p>
                  <w:pPr>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与本项目相关条文</w:t>
                  </w:r>
                </w:p>
              </w:tc>
              <w:tc>
                <w:tcPr>
                  <w:tcW w:w="1450" w:type="pct"/>
                  <w:tcBorders>
                    <w:top w:val="single" w:color="auto" w:sz="8" w:space="0"/>
                    <w:bottom w:val="single" w:color="auto" w:sz="8" w:space="0"/>
                  </w:tcBorders>
                  <w:noWrap w:val="0"/>
                  <w:vAlign w:val="center"/>
                </w:tcPr>
                <w:p>
                  <w:pPr>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519" w:type="pct"/>
                  <w:tcBorders>
                    <w:top w:val="single" w:color="auto" w:sz="8" w:space="0"/>
                    <w:bottom w:val="single" w:color="auto" w:sz="8" w:space="0"/>
                  </w:tcBorders>
                  <w:noWrap w:val="0"/>
                  <w:vAlign w:val="center"/>
                </w:tcPr>
                <w:p>
                  <w:pPr>
                    <w:spacing w:line="320" w:lineRule="exact"/>
                    <w:ind w:left="-109" w:leftChars="-52"/>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1" w:type="pct"/>
                  <w:tcBorders>
                    <w:top w:val="single" w:color="auto" w:sz="8" w:space="0"/>
                    <w:bottom w:val="single" w:color="auto" w:sz="4" w:space="0"/>
                  </w:tcBorders>
                  <w:noWrap w:val="0"/>
                  <w:vAlign w:val="center"/>
                </w:tcPr>
                <w:p>
                  <w:pPr>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产业结构优化工程</w:t>
                  </w:r>
                </w:p>
              </w:tc>
              <w:tc>
                <w:tcPr>
                  <w:tcW w:w="2428" w:type="pct"/>
                  <w:tcBorders>
                    <w:top w:val="single" w:color="auto" w:sz="8" w:space="0"/>
                    <w:bottom w:val="single" w:color="auto" w:sz="4" w:space="0"/>
                  </w:tcBorders>
                  <w:noWrap w:val="0"/>
                  <w:vAlign w:val="center"/>
                </w:tcPr>
                <w:p>
                  <w:pPr>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严格环境准入门槛。禁止火电、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禁止建设生产和使用高VOCs含量的溶剂型涂料、油墨、胶黏剂项目。</w:t>
                  </w:r>
                </w:p>
              </w:tc>
              <w:tc>
                <w:tcPr>
                  <w:tcW w:w="1450" w:type="pct"/>
                  <w:tcBorders>
                    <w:top w:val="single" w:color="auto" w:sz="8" w:space="0"/>
                    <w:bottom w:val="single" w:color="auto" w:sz="4" w:space="0"/>
                  </w:tcBorders>
                  <w:noWrap w:val="0"/>
                  <w:vAlign w:val="center"/>
                </w:tcPr>
                <w:p>
                  <w:pPr>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本项目不属于火电、焦化、铸造、传统煤化工（甲醇、合成氨）、电解铝、水泥和平板玻璃等行业，也不属于高VOCs含量的溶剂涂料、油墨、胶黏剂项目，符合环境准入门槛。</w:t>
                  </w:r>
                </w:p>
              </w:tc>
              <w:tc>
                <w:tcPr>
                  <w:tcW w:w="519" w:type="pct"/>
                  <w:tcBorders>
                    <w:top w:val="single" w:color="auto" w:sz="8" w:space="0"/>
                    <w:bottom w:val="single" w:color="auto" w:sz="4" w:space="0"/>
                  </w:tcBorders>
                  <w:noWrap w:val="0"/>
                  <w:vAlign w:val="center"/>
                </w:tcPr>
                <w:p>
                  <w:pPr>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不属于禁止类项目</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1" w:type="pct"/>
                  <w:tcBorders>
                    <w:top w:val="single" w:color="auto" w:sz="4" w:space="0"/>
                    <w:bottom w:val="single" w:color="auto" w:sz="4" w:space="0"/>
                  </w:tcBorders>
                  <w:noWrap w:val="0"/>
                  <w:vAlign w:val="center"/>
                </w:tcPr>
                <w:p>
                  <w:pPr>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工业污染治理工程</w:t>
                  </w:r>
                </w:p>
              </w:tc>
              <w:tc>
                <w:tcPr>
                  <w:tcW w:w="2428" w:type="pct"/>
                  <w:tcBorders>
                    <w:top w:val="single" w:color="auto" w:sz="4" w:space="0"/>
                    <w:bottom w:val="single" w:color="auto" w:sz="4" w:space="0"/>
                  </w:tcBorders>
                  <w:noWrap w:val="0"/>
                  <w:vAlign w:val="center"/>
                </w:tcPr>
                <w:p>
                  <w:pPr>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全面提升锅炉烟气排放标准。推进燃煤、生物质锅炉超低排放改造。2019年底前，全市生物质锅炉及35蒸吨/时以上燃煤锅炉开展超低排放改造，完成超低排放改造后，锅炉废气颗粒物、二氧化硫、氮氧化物排放浓度要分别不高于10毫克/立方米、35毫克/立方米、50毫克/立方米。推进燃气锅炉低氮改造。2019年9月底前，全市4蒸吨/时以上（含）天然气锅炉完成低氮改造，鼓励氮氧化物排放浓度不高于30毫克/立方米；2020年底前，全市所有天然气锅炉完成低氮改造；新建天然气锅炉全部执行氮氧化物不高于30毫克/立方米标准。</w:t>
                  </w:r>
                </w:p>
              </w:tc>
              <w:tc>
                <w:tcPr>
                  <w:tcW w:w="1450" w:type="pct"/>
                  <w:tcBorders>
                    <w:top w:val="single" w:color="auto" w:sz="4" w:space="0"/>
                    <w:bottom w:val="single" w:color="auto" w:sz="4" w:space="0"/>
                  </w:tcBorders>
                  <w:noWrap w:val="0"/>
                  <w:vAlign w:val="center"/>
                </w:tcPr>
                <w:p>
                  <w:pPr>
                    <w:spacing w:line="320" w:lineRule="exact"/>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w:t>
                  </w:r>
                  <w:r>
                    <w:rPr>
                      <w:rFonts w:hint="default" w:ascii="Times New Roman" w:hAnsi="Times New Roman" w:cs="Times New Roman"/>
                      <w:color w:val="auto"/>
                      <w:sz w:val="18"/>
                      <w:szCs w:val="18"/>
                      <w:highlight w:val="none"/>
                      <w:lang w:eastAsia="zh-CN"/>
                    </w:rPr>
                    <w:t>配备</w:t>
                  </w:r>
                  <w:r>
                    <w:rPr>
                      <w:rFonts w:hint="default" w:ascii="Times New Roman" w:hAnsi="Times New Roman" w:cs="Times New Roman"/>
                      <w:color w:val="auto"/>
                      <w:sz w:val="18"/>
                      <w:szCs w:val="18"/>
                      <w:highlight w:val="none"/>
                      <w:lang w:val="en-US" w:eastAsia="zh-CN"/>
                    </w:rPr>
                    <w:t>1台2t/h</w:t>
                  </w:r>
                  <w:r>
                    <w:rPr>
                      <w:rFonts w:hint="default" w:ascii="Times New Roman" w:hAnsi="Times New Roman" w:cs="Times New Roman"/>
                      <w:color w:val="auto"/>
                      <w:sz w:val="18"/>
                      <w:szCs w:val="18"/>
                      <w:highlight w:val="none"/>
                    </w:rPr>
                    <w:t>燃气锅炉</w:t>
                  </w:r>
                  <w:r>
                    <w:rPr>
                      <w:rFonts w:hint="default" w:ascii="Times New Roman" w:hAnsi="Times New Roman" w:cs="Times New Roman"/>
                      <w:color w:val="auto"/>
                      <w:sz w:val="18"/>
                      <w:szCs w:val="18"/>
                      <w:highlight w:val="none"/>
                      <w:lang w:eastAsia="zh-CN"/>
                    </w:rPr>
                    <w:t>，锅炉燃气</w:t>
                  </w:r>
                  <w:r>
                    <w:rPr>
                      <w:rFonts w:hint="default" w:ascii="Times New Roman" w:hAnsi="Times New Roman" w:cs="Times New Roman"/>
                      <w:color w:val="auto"/>
                      <w:sz w:val="18"/>
                      <w:szCs w:val="18"/>
                      <w:highlight w:val="none"/>
                    </w:rPr>
                    <w:t>废气采用低氮燃烧+烟气循环技术处理，</w:t>
                  </w:r>
                  <w:r>
                    <w:rPr>
                      <w:rFonts w:hint="default" w:ascii="Times New Roman" w:hAnsi="Times New Roman" w:cs="Times New Roman"/>
                      <w:bCs/>
                      <w:color w:val="auto"/>
                      <w:sz w:val="18"/>
                      <w:szCs w:val="18"/>
                      <w:highlight w:val="none"/>
                      <w:lang w:bidi="ar"/>
                    </w:rPr>
                    <w:t>烟尘、二氧化硫和氮氧化物排放浓度能够达到</w:t>
                  </w:r>
                  <w:r>
                    <w:rPr>
                      <w:rFonts w:hint="default" w:ascii="Times New Roman" w:hAnsi="Times New Roman" w:cs="Times New Roman"/>
                      <w:color w:val="auto"/>
                      <w:sz w:val="18"/>
                      <w:szCs w:val="18"/>
                      <w:highlight w:val="none"/>
                    </w:rPr>
                    <w:t>不高于5、10、30毫克/立方米的要求。</w:t>
                  </w:r>
                </w:p>
              </w:tc>
              <w:tc>
                <w:tcPr>
                  <w:tcW w:w="519" w:type="pct"/>
                  <w:tcBorders>
                    <w:top w:val="single" w:color="auto" w:sz="4" w:space="0"/>
                    <w:bottom w:val="single" w:color="auto" w:sz="4" w:space="0"/>
                  </w:tcBorders>
                  <w:noWrap w:val="0"/>
                  <w:vAlign w:val="center"/>
                </w:tcPr>
                <w:p>
                  <w:pPr>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由</w:t>
            </w:r>
            <w:r>
              <w:rPr>
                <w:rFonts w:hint="default" w:ascii="Times New Roman" w:hAnsi="Times New Roman" w:cs="Times New Roman"/>
                <w:color w:val="auto"/>
                <w:szCs w:val="24"/>
                <w:highlight w:val="none"/>
                <w:lang w:eastAsia="zh-CN"/>
              </w:rPr>
              <w:t>上表</w:t>
            </w:r>
            <w:r>
              <w:rPr>
                <w:rFonts w:hint="default" w:ascii="Times New Roman" w:hAnsi="Times New Roman" w:cs="Times New Roman"/>
                <w:color w:val="auto"/>
                <w:szCs w:val="24"/>
                <w:highlight w:val="none"/>
              </w:rPr>
              <w:t>可知，本项目符合《新乡市环境污染防治攻坚战三年行动实施方案（2018-2020年）》的相关规定。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6）与《关于印发新乡市2020年大气、水、土壤污染防治攻坚战实施方案的通知》（新环攻坚[2020]10号）</w:t>
            </w:r>
            <w:r>
              <w:rPr>
                <w:rFonts w:hint="default" w:ascii="Times New Roman" w:hAnsi="Times New Roman" w:cs="Times New Roman"/>
                <w:color w:val="auto"/>
                <w:szCs w:val="24"/>
                <w:highlight w:val="none"/>
              </w:rPr>
              <w:t>的对比分析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baseline"/>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本项目与</w:t>
            </w:r>
            <w:r>
              <w:rPr>
                <w:rFonts w:hint="default" w:ascii="Times New Roman" w:hAnsi="Times New Roman" w:cs="Times New Roman"/>
                <w:color w:val="auto"/>
                <w:szCs w:val="24"/>
                <w:highlight w:val="none"/>
                <w:lang w:val="en-US" w:eastAsia="zh-CN"/>
              </w:rPr>
              <w:t>《关于印发新乡市2020年大气、水、土壤污染防治攻坚战实施方案的通知》（新环攻坚[2020]10号）</w:t>
            </w:r>
            <w:r>
              <w:rPr>
                <w:rFonts w:hint="default" w:ascii="Times New Roman" w:hAnsi="Times New Roman" w:cs="Times New Roman"/>
                <w:color w:val="auto"/>
                <w:szCs w:val="24"/>
                <w:highlight w:val="none"/>
              </w:rPr>
              <w:t>对照分析如下。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ascii="Times New Roman" w:hAnsi="Times New Roman" w:eastAsia="黑体" w:cs="Times New Roman"/>
                <w:color w:val="auto"/>
                <w:sz w:val="18"/>
                <w:szCs w:val="18"/>
                <w:highlight w:val="none"/>
                <w:lang w:val="en-US" w:eastAsia="zh-CN"/>
              </w:rPr>
              <w:t>与《新乡市2020年大气、水、土壤污染防治实施方案》对比分析一览表</w:t>
            </w:r>
          </w:p>
          <w:tbl>
            <w:tblPr>
              <w:tblStyle w:val="16"/>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669"/>
              <w:gridCol w:w="3031"/>
              <w:gridCol w:w="1477"/>
              <w:gridCol w:w="7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1" w:type="pct"/>
                  <w:gridSpan w:val="3"/>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与本项目有关的内容</w:t>
                  </w:r>
                </w:p>
              </w:tc>
              <w:tc>
                <w:tcPr>
                  <w:tcW w:w="1118"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579"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对照情况说明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vMerge w:val="restart"/>
                  <w:noWrap w:val="0"/>
                  <w:vAlign w:val="center"/>
                </w:tcPr>
                <w:p>
                  <w:pPr>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新乡市</w:t>
                  </w:r>
                  <w:r>
                    <w:rPr>
                      <w:rFonts w:hint="default" w:ascii="Times New Roman" w:hAnsi="Times New Roman" w:cs="Times New Roman"/>
                      <w:color w:val="auto"/>
                      <w:sz w:val="18"/>
                      <w:szCs w:val="18"/>
                      <w:highlight w:val="none"/>
                    </w:rPr>
                    <w:t>2020年大气污染防治攻坚战实施方案</w:t>
                  </w:r>
                </w:p>
                <w:p>
                  <w:pPr>
                    <w:spacing w:line="320" w:lineRule="exact"/>
                    <w:jc w:val="center"/>
                    <w:rPr>
                      <w:rFonts w:hint="default" w:ascii="Times New Roman" w:hAnsi="Times New Roman" w:cs="Times New Roman"/>
                      <w:color w:val="auto"/>
                      <w:sz w:val="18"/>
                      <w:szCs w:val="18"/>
                      <w:highlight w:val="none"/>
                    </w:rPr>
                  </w:pPr>
                </w:p>
                <w:p>
                  <w:pPr>
                    <w:spacing w:line="320" w:lineRule="exact"/>
                    <w:jc w:val="center"/>
                    <w:rPr>
                      <w:rFonts w:hint="default" w:ascii="Times New Roman" w:hAnsi="Times New Roman" w:cs="Times New Roman"/>
                      <w:color w:val="auto"/>
                      <w:sz w:val="18"/>
                      <w:szCs w:val="18"/>
                      <w:highlight w:val="none"/>
                    </w:rPr>
                  </w:pPr>
                </w:p>
              </w:tc>
              <w:tc>
                <w:tcPr>
                  <w:tcW w:w="507" w:type="pct"/>
                  <w:vMerge w:val="restart"/>
                  <w:noWrap w:val="0"/>
                  <w:vAlign w:val="center"/>
                </w:tcPr>
                <w:p>
                  <w:pPr>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三、主要任务</w:t>
                  </w:r>
                </w:p>
              </w:tc>
              <w:tc>
                <w:tcPr>
                  <w:tcW w:w="2293" w:type="pct"/>
                  <w:noWrap w:val="0"/>
                  <w:vAlign w:val="center"/>
                </w:tcPr>
                <w:p>
                  <w:pPr>
                    <w:adjustRightInd w:val="0"/>
                    <w:snapToGrid w:val="0"/>
                    <w:spacing w:line="300" w:lineRule="exact"/>
                    <w:jc w:val="center"/>
                    <w:rPr>
                      <w:rFonts w:hint="default" w:ascii="Times New Roman" w:hAnsi="Times New Roman" w:cs="Times New Roman"/>
                      <w:color w:val="auto"/>
                      <w:sz w:val="18"/>
                      <w:szCs w:val="18"/>
                      <w:highlight w:val="cyan"/>
                    </w:rPr>
                  </w:pPr>
                  <w:r>
                    <w:rPr>
                      <w:rFonts w:hint="default" w:ascii="Times New Roman" w:hAnsi="Times New Roman" w:cs="Times New Roman"/>
                      <w:color w:val="auto"/>
                      <w:sz w:val="18"/>
                      <w:szCs w:val="18"/>
                      <w:highlight w:val="none"/>
                    </w:rPr>
                    <w:t>5.严格新建项目准入管理。加强区域、流域规划环评管理，强化对项目环评的指导和约束，逐步构建起“三线一单”为空间管控基础、项目环评为环境准入把关、排污许可为企业运行守法依据的管理新框架，从源头预防环境污染和生态破坏。全省原则上禁止新增钢铁、电解铝、水泥、平板玻璃、传统煤化工（甲醇、合成氨）、焦化、铸造、铝用炭素、砖瓦窑、耐火材料等行业产能，原则上禁止新建燃料类煤气发生炉和35蒸吨/时及以下燃煤锅炉。对钢铁、水泥、电解铝、玻璃等行业严格落实国家、省有关产能置换规定，新建涉工业炉窑的建设项目，应进入园区，配套建设高效环保治理设施。</w:t>
                  </w:r>
                </w:p>
              </w:tc>
              <w:tc>
                <w:tcPr>
                  <w:tcW w:w="1118" w:type="pct"/>
                  <w:noWrap w:val="0"/>
                  <w:vAlign w:val="center"/>
                </w:tcPr>
                <w:p>
                  <w:pPr>
                    <w:spacing w:line="320" w:lineRule="exact"/>
                    <w:jc w:val="center"/>
                    <w:rPr>
                      <w:rFonts w:hint="default" w:ascii="Times New Roman" w:hAnsi="Times New Roman" w:eastAsia="宋体" w:cs="Times New Roman"/>
                      <w:color w:val="auto"/>
                      <w:spacing w:val="-4"/>
                      <w:sz w:val="18"/>
                      <w:szCs w:val="18"/>
                      <w:highlight w:val="none"/>
                      <w:lang w:val="en-US" w:eastAsia="zh-CN"/>
                    </w:rPr>
                  </w:pPr>
                  <w:r>
                    <w:rPr>
                      <w:rFonts w:hint="default" w:ascii="Times New Roman" w:hAnsi="Times New Roman" w:cs="Times New Roman"/>
                      <w:color w:val="auto"/>
                      <w:spacing w:val="-4"/>
                      <w:sz w:val="18"/>
                      <w:szCs w:val="18"/>
                      <w:highlight w:val="none"/>
                    </w:rPr>
                    <w:t>本项目</w:t>
                  </w:r>
                  <w:r>
                    <w:rPr>
                      <w:rFonts w:hint="default" w:ascii="Times New Roman" w:hAnsi="Times New Roman" w:cs="Times New Roman"/>
                      <w:color w:val="auto"/>
                      <w:spacing w:val="-4"/>
                      <w:sz w:val="18"/>
                      <w:szCs w:val="18"/>
                      <w:highlight w:val="none"/>
                      <w:lang w:eastAsia="zh-CN"/>
                    </w:rPr>
                    <w:t>属于其他食品制造业，生产所用热源为新乡市华新造纸厂</w:t>
                  </w:r>
                  <w:r>
                    <w:rPr>
                      <w:rFonts w:hint="eastAsia" w:cs="Times New Roman"/>
                      <w:color w:val="auto"/>
                      <w:spacing w:val="-4"/>
                      <w:sz w:val="18"/>
                      <w:szCs w:val="18"/>
                      <w:highlight w:val="none"/>
                      <w:lang w:eastAsia="zh-CN"/>
                    </w:rPr>
                    <w:t>提供</w:t>
                  </w:r>
                  <w:r>
                    <w:rPr>
                      <w:rFonts w:hint="default" w:ascii="Times New Roman" w:hAnsi="Times New Roman" w:cs="Times New Roman"/>
                      <w:color w:val="auto"/>
                      <w:spacing w:val="-4"/>
                      <w:sz w:val="18"/>
                      <w:szCs w:val="18"/>
                      <w:highlight w:val="none"/>
                      <w:lang w:eastAsia="zh-CN"/>
                    </w:rPr>
                    <w:t>现有锅炉提供的蒸汽，</w:t>
                  </w:r>
                  <w:r>
                    <w:rPr>
                      <w:rFonts w:hint="eastAsia" w:cs="Times New Roman"/>
                      <w:color w:val="auto"/>
                      <w:spacing w:val="-4"/>
                      <w:sz w:val="18"/>
                      <w:szCs w:val="18"/>
                      <w:highlight w:val="none"/>
                      <w:lang w:eastAsia="zh-CN"/>
                    </w:rPr>
                    <w:t>在该蒸汽供应管道未接通时，则通过</w:t>
                  </w:r>
                  <w:r>
                    <w:rPr>
                      <w:rFonts w:hint="default" w:ascii="Times New Roman" w:hAnsi="Times New Roman" w:cs="Times New Roman"/>
                      <w:color w:val="auto"/>
                      <w:spacing w:val="-4"/>
                      <w:sz w:val="18"/>
                      <w:szCs w:val="18"/>
                      <w:highlight w:val="none"/>
                      <w:lang w:eastAsia="zh-CN"/>
                    </w:rPr>
                    <w:t>企业配套建设</w:t>
                  </w:r>
                  <w:r>
                    <w:rPr>
                      <w:rFonts w:hint="default" w:ascii="Times New Roman" w:hAnsi="Times New Roman" w:cs="Times New Roman"/>
                      <w:color w:val="auto"/>
                      <w:spacing w:val="-4"/>
                      <w:sz w:val="18"/>
                      <w:szCs w:val="18"/>
                      <w:highlight w:val="none"/>
                      <w:lang w:val="en-US" w:eastAsia="zh-CN"/>
                    </w:rPr>
                    <w:t>1台2t/h锅炉</w:t>
                  </w:r>
                  <w:r>
                    <w:rPr>
                      <w:rFonts w:hint="eastAsia" w:cs="Times New Roman"/>
                      <w:color w:val="auto"/>
                      <w:spacing w:val="-4"/>
                      <w:sz w:val="18"/>
                      <w:szCs w:val="18"/>
                      <w:highlight w:val="none"/>
                      <w:lang w:val="en-US" w:eastAsia="zh-CN"/>
                    </w:rPr>
                    <w:t>提供蒸汽</w:t>
                  </w:r>
                  <w:r>
                    <w:rPr>
                      <w:rFonts w:hint="default" w:ascii="Times New Roman" w:hAnsi="Times New Roman" w:cs="Times New Roman"/>
                      <w:color w:val="auto"/>
                      <w:spacing w:val="-4"/>
                      <w:sz w:val="18"/>
                      <w:szCs w:val="18"/>
                      <w:highlight w:val="none"/>
                      <w:lang w:val="en-US" w:eastAsia="zh-CN"/>
                    </w:rPr>
                    <w:t>，锅炉主要以天然气为能源。</w:t>
                  </w:r>
                </w:p>
              </w:tc>
              <w:tc>
                <w:tcPr>
                  <w:tcW w:w="579"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pct"/>
                  <w:vMerge w:val="continue"/>
                  <w:noWrap w:val="0"/>
                  <w:vAlign w:val="center"/>
                </w:tcPr>
                <w:p>
                  <w:pPr>
                    <w:spacing w:line="320" w:lineRule="exact"/>
                    <w:jc w:val="center"/>
                    <w:rPr>
                      <w:rFonts w:hint="default" w:ascii="Times New Roman" w:hAnsi="Times New Roman" w:cs="Times New Roman"/>
                      <w:color w:val="auto"/>
                      <w:sz w:val="18"/>
                      <w:szCs w:val="18"/>
                      <w:highlight w:val="none"/>
                    </w:rPr>
                  </w:pPr>
                </w:p>
              </w:tc>
              <w:tc>
                <w:tcPr>
                  <w:tcW w:w="507" w:type="pct"/>
                  <w:vMerge w:val="continue"/>
                  <w:noWrap w:val="0"/>
                  <w:vAlign w:val="center"/>
                </w:tcPr>
                <w:p>
                  <w:pPr>
                    <w:spacing w:line="320" w:lineRule="exact"/>
                    <w:jc w:val="center"/>
                    <w:rPr>
                      <w:rFonts w:hint="default" w:ascii="Times New Roman" w:hAnsi="Times New Roman" w:cs="Times New Roman"/>
                      <w:color w:val="auto"/>
                      <w:sz w:val="18"/>
                      <w:szCs w:val="18"/>
                      <w:highlight w:val="none"/>
                    </w:rPr>
                  </w:pPr>
                </w:p>
              </w:tc>
              <w:tc>
                <w:tcPr>
                  <w:tcW w:w="2293" w:type="pct"/>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32.强化锅炉污染治理。2020年9月底前，全省4蒸吨及以上燃气锅炉及燃气直燃机完成低氮改造，改造后在基准氧含量3.5%的条件下，烟尘、二氧化硫、氮氧化物排放浓度分别不高于5、10、50毫克/立方米（新建燃气锅炉氮氧化物排放浓度不高于30毫克/立方米）。</w:t>
                  </w:r>
                </w:p>
              </w:tc>
              <w:tc>
                <w:tcPr>
                  <w:tcW w:w="11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4"/>
                      <w:sz w:val="18"/>
                      <w:szCs w:val="18"/>
                      <w:highlight w:val="none"/>
                      <w:lang w:val="en-US" w:eastAsia="zh-CN"/>
                    </w:rPr>
                  </w:pPr>
                  <w:r>
                    <w:rPr>
                      <w:rFonts w:hint="default" w:ascii="Times New Roman" w:hAnsi="Times New Roman" w:eastAsia="宋体" w:cs="Times New Roman"/>
                      <w:color w:val="auto"/>
                      <w:spacing w:val="-4"/>
                      <w:sz w:val="18"/>
                      <w:szCs w:val="18"/>
                      <w:highlight w:val="none"/>
                      <w:lang w:val="en-US" w:eastAsia="zh-CN"/>
                    </w:rPr>
                    <w:t>本项目新建1台2t/h</w:t>
                  </w:r>
                  <w:r>
                    <w:rPr>
                      <w:rFonts w:hint="default" w:ascii="Times New Roman" w:hAnsi="Times New Roman" w:cs="Times New Roman"/>
                      <w:color w:val="auto"/>
                      <w:spacing w:val="-4"/>
                      <w:sz w:val="18"/>
                      <w:szCs w:val="18"/>
                      <w:highlight w:val="none"/>
                      <w:lang w:val="en-US" w:eastAsia="zh-CN"/>
                    </w:rPr>
                    <w:t>备用</w:t>
                  </w:r>
                  <w:r>
                    <w:rPr>
                      <w:rFonts w:hint="default" w:ascii="Times New Roman" w:hAnsi="Times New Roman" w:eastAsia="宋体" w:cs="Times New Roman"/>
                      <w:color w:val="auto"/>
                      <w:spacing w:val="-4"/>
                      <w:sz w:val="18"/>
                      <w:szCs w:val="18"/>
                      <w:highlight w:val="none"/>
                      <w:lang w:val="en-US" w:eastAsia="zh-CN"/>
                    </w:rPr>
                    <w:t>锅炉，建设时通过采用</w:t>
                  </w:r>
                  <w:r>
                    <w:rPr>
                      <w:rFonts w:hint="default" w:ascii="Times New Roman" w:hAnsi="Times New Roman" w:cs="Times New Roman" w:eastAsiaTheme="majorEastAsia"/>
                      <w:color w:val="auto"/>
                      <w:sz w:val="18"/>
                      <w:szCs w:val="18"/>
                      <w:highlight w:val="none"/>
                      <w:lang w:val="en-US" w:eastAsia="zh-CN"/>
                    </w:rPr>
                    <w:t>低氮燃烧器+烟气循环系统+8m高排气筒排放，能够满足排放要求</w:t>
                  </w:r>
                </w:p>
              </w:tc>
              <w:tc>
                <w:tcPr>
                  <w:tcW w:w="579" w:type="pct"/>
                  <w:noWrap w:val="0"/>
                  <w:vAlign w:val="center"/>
                </w:tcPr>
                <w:p>
                  <w:pPr>
                    <w:spacing w:line="30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trPr>
              <w:tc>
                <w:tcPr>
                  <w:tcW w:w="500" w:type="pct"/>
                  <w:vMerge w:val="continue"/>
                  <w:noWrap w:val="0"/>
                  <w:vAlign w:val="center"/>
                </w:tcPr>
                <w:p>
                  <w:pPr>
                    <w:spacing w:line="320" w:lineRule="exact"/>
                    <w:jc w:val="center"/>
                    <w:rPr>
                      <w:rFonts w:hint="default" w:ascii="Times New Roman" w:hAnsi="Times New Roman" w:cs="Times New Roman"/>
                      <w:color w:val="auto"/>
                      <w:sz w:val="18"/>
                      <w:szCs w:val="18"/>
                      <w:highlight w:val="none"/>
                    </w:rPr>
                  </w:pPr>
                </w:p>
              </w:tc>
              <w:tc>
                <w:tcPr>
                  <w:tcW w:w="507" w:type="pct"/>
                  <w:vMerge w:val="continue"/>
                  <w:noWrap w:val="0"/>
                  <w:vAlign w:val="center"/>
                </w:tcPr>
                <w:p>
                  <w:pPr>
                    <w:spacing w:line="320" w:lineRule="exact"/>
                    <w:jc w:val="center"/>
                    <w:rPr>
                      <w:rFonts w:hint="default" w:ascii="Times New Roman" w:hAnsi="Times New Roman" w:cs="Times New Roman"/>
                      <w:color w:val="auto"/>
                      <w:sz w:val="18"/>
                      <w:szCs w:val="18"/>
                      <w:highlight w:val="none"/>
                    </w:rPr>
                  </w:pPr>
                </w:p>
              </w:tc>
              <w:tc>
                <w:tcPr>
                  <w:tcW w:w="2293" w:type="pct"/>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36.加强废气收集和处理。推进治污设施升级改造，通过采用全密闭、连续化、自动化等生产技术，以及高效工艺与设备等，减少工艺过程无组织排放。提高废气收集率，遵循“应收尽收、分质收集”的原则，科学设计废气收集系统，将无组织排放转变为有组织排放进行控制，采用密闭空间作业的，除行业有特殊要求外，应保持微负压状态，并根据相关规范合理设置通风量</w:t>
                  </w:r>
                </w:p>
              </w:tc>
              <w:tc>
                <w:tcPr>
                  <w:tcW w:w="1118" w:type="pct"/>
                  <w:noWrap w:val="0"/>
                  <w:vAlign w:val="center"/>
                </w:tcPr>
                <w:p>
                  <w:pPr>
                    <w:spacing w:line="320" w:lineRule="exact"/>
                    <w:jc w:val="center"/>
                    <w:rPr>
                      <w:rFonts w:hint="default" w:ascii="Times New Roman" w:hAnsi="Times New Roman" w:eastAsia="宋体" w:cs="Times New Roman"/>
                      <w:color w:val="auto"/>
                      <w:spacing w:val="-4"/>
                      <w:sz w:val="18"/>
                      <w:szCs w:val="18"/>
                      <w:highlight w:val="none"/>
                      <w:lang w:val="en-US" w:eastAsia="zh-CN"/>
                    </w:rPr>
                  </w:pPr>
                  <w:r>
                    <w:rPr>
                      <w:rFonts w:hint="default" w:ascii="Times New Roman" w:hAnsi="Times New Roman" w:cs="Times New Roman"/>
                      <w:color w:val="auto"/>
                      <w:spacing w:val="-4"/>
                      <w:sz w:val="18"/>
                      <w:szCs w:val="18"/>
                      <w:highlight w:val="none"/>
                      <w:lang w:val="en-US" w:eastAsia="zh-CN"/>
                    </w:rPr>
                    <w:t>项目投料搅拌过程在车间内设置单独密闭间进行二次密闭，投料粉尘通过设置负压集气罩收集，并通过1套脉冲袋式除尘器处理后经15m高排气筒排放。</w:t>
                  </w:r>
                </w:p>
              </w:tc>
              <w:tc>
                <w:tcPr>
                  <w:tcW w:w="579" w:type="pct"/>
                  <w:noWrap w:val="0"/>
                  <w:vAlign w:val="center"/>
                </w:tcPr>
                <w:p>
                  <w:pPr>
                    <w:spacing w:line="30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500" w:type="pct"/>
                  <w:vMerge w:val="continue"/>
                  <w:noWrap w:val="0"/>
                  <w:vAlign w:val="center"/>
                </w:tcPr>
                <w:p>
                  <w:pPr>
                    <w:spacing w:line="320" w:lineRule="exact"/>
                    <w:jc w:val="center"/>
                    <w:rPr>
                      <w:rFonts w:hint="default" w:ascii="Times New Roman" w:hAnsi="Times New Roman" w:cs="Times New Roman"/>
                      <w:color w:val="auto"/>
                      <w:sz w:val="18"/>
                      <w:szCs w:val="18"/>
                      <w:highlight w:val="none"/>
                    </w:rPr>
                  </w:pPr>
                </w:p>
              </w:tc>
              <w:tc>
                <w:tcPr>
                  <w:tcW w:w="507" w:type="pct"/>
                  <w:vMerge w:val="restart"/>
                  <w:noWrap w:val="0"/>
                  <w:vAlign w:val="center"/>
                </w:tcPr>
                <w:p>
                  <w:pPr>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（十）提升监测监控能力</w:t>
                  </w:r>
                </w:p>
              </w:tc>
              <w:tc>
                <w:tcPr>
                  <w:tcW w:w="2293" w:type="pct"/>
                  <w:noWrap w:val="0"/>
                  <w:vAlign w:val="center"/>
                </w:tcPr>
                <w:p>
                  <w:pPr>
                    <w:adjustRightInd w:val="0"/>
                    <w:snapToGrid w:val="0"/>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w:t>
                  </w:r>
                  <w:r>
                    <w:rPr>
                      <w:rFonts w:hint="default"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rPr>
                    <w:t>.完善工业企业监测监控体系。强化工业企业科技监管。建立省、市、县三级视频监控平台，持续深化工业企业“一密闭、六到位”建设，充分运用视频监控、空气质量监测站、污染源在线监测、TSP自动监测、降尘缸监测、无人机等科技监管手段，实现全方位、全时段、全过程工业企业污染物排放实时监测监控。</w:t>
                  </w:r>
                </w:p>
              </w:tc>
              <w:tc>
                <w:tcPr>
                  <w:tcW w:w="1118" w:type="pct"/>
                  <w:noWrap w:val="0"/>
                  <w:vAlign w:val="center"/>
                </w:tcPr>
                <w:p>
                  <w:pPr>
                    <w:adjustRightInd w:val="0"/>
                    <w:snapToGrid w:val="0"/>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在厂区设置空气质量监测微型站，TSP自动监测，并在厂区明显位置使用电子显示屏进行公示。</w:t>
                  </w:r>
                </w:p>
              </w:tc>
              <w:tc>
                <w:tcPr>
                  <w:tcW w:w="579"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500" w:type="pct"/>
                  <w:vMerge w:val="continue"/>
                  <w:noWrap w:val="0"/>
                  <w:vAlign w:val="center"/>
                </w:tcPr>
                <w:p>
                  <w:pPr>
                    <w:spacing w:line="320" w:lineRule="exact"/>
                    <w:jc w:val="center"/>
                    <w:rPr>
                      <w:rFonts w:hint="default" w:ascii="Times New Roman" w:hAnsi="Times New Roman" w:cs="Times New Roman"/>
                      <w:color w:val="auto"/>
                      <w:sz w:val="18"/>
                      <w:szCs w:val="18"/>
                      <w:highlight w:val="none"/>
                    </w:rPr>
                  </w:pPr>
                </w:p>
              </w:tc>
              <w:tc>
                <w:tcPr>
                  <w:tcW w:w="507" w:type="pct"/>
                  <w:vMerge w:val="continue"/>
                  <w:noWrap w:val="0"/>
                  <w:vAlign w:val="center"/>
                </w:tcPr>
                <w:p>
                  <w:pPr>
                    <w:spacing w:line="320" w:lineRule="exact"/>
                    <w:jc w:val="center"/>
                    <w:rPr>
                      <w:rFonts w:hint="default" w:ascii="Times New Roman" w:hAnsi="Times New Roman" w:cs="Times New Roman"/>
                      <w:color w:val="auto"/>
                      <w:sz w:val="18"/>
                      <w:szCs w:val="18"/>
                      <w:highlight w:val="none"/>
                    </w:rPr>
                  </w:pPr>
                </w:p>
              </w:tc>
              <w:tc>
                <w:tcPr>
                  <w:tcW w:w="2293" w:type="pct"/>
                  <w:noWrap w:val="0"/>
                  <w:vAlign w:val="center"/>
                </w:tcPr>
                <w:p>
                  <w:pPr>
                    <w:adjustRightInd w:val="0"/>
                    <w:snapToGrid w:val="0"/>
                    <w:spacing w:line="300" w:lineRule="exact"/>
                    <w:jc w:val="center"/>
                    <w:rPr>
                      <w:rFonts w:hint="default" w:ascii="Times New Roman" w:hAnsi="Times New Roman" w:cs="Times New Roman"/>
                      <w:color w:val="auto"/>
                      <w:spacing w:val="-2"/>
                      <w:sz w:val="18"/>
                      <w:szCs w:val="18"/>
                      <w:highlight w:val="none"/>
                    </w:rPr>
                  </w:pPr>
                  <w:r>
                    <w:rPr>
                      <w:rFonts w:hint="default" w:ascii="Times New Roman" w:hAnsi="Times New Roman" w:cs="Times New Roman"/>
                      <w:color w:val="auto"/>
                      <w:spacing w:val="-2"/>
                      <w:sz w:val="18"/>
                      <w:szCs w:val="18"/>
                      <w:highlight w:val="none"/>
                    </w:rPr>
                    <w:t>5</w:t>
                  </w:r>
                  <w:r>
                    <w:rPr>
                      <w:rFonts w:hint="default" w:ascii="Times New Roman" w:hAnsi="Times New Roman" w:cs="Times New Roman"/>
                      <w:color w:val="auto"/>
                      <w:spacing w:val="-2"/>
                      <w:sz w:val="18"/>
                      <w:szCs w:val="18"/>
                      <w:highlight w:val="none"/>
                      <w:lang w:val="en-US" w:eastAsia="zh-CN"/>
                    </w:rPr>
                    <w:t>5</w:t>
                  </w:r>
                  <w:r>
                    <w:rPr>
                      <w:rFonts w:hint="default" w:ascii="Times New Roman" w:hAnsi="Times New Roman" w:cs="Times New Roman"/>
                      <w:color w:val="auto"/>
                      <w:spacing w:val="-2"/>
                      <w:sz w:val="18"/>
                      <w:szCs w:val="18"/>
                      <w:highlight w:val="none"/>
                    </w:rPr>
                    <w:t>.开展涉气排污单位污染治理设施用电监管。继续推进应急管控清单中排污单位用电监管设备安装和联网，管控清单内不能安装自动监控的排污单位要实现用电监管全覆盖、全联网，排污许可证、环评报告、应急管控清单中涉气的生产设施和污染治理设施均应独立安装用电监管设备。</w:t>
                  </w:r>
                </w:p>
              </w:tc>
              <w:tc>
                <w:tcPr>
                  <w:tcW w:w="1118" w:type="pct"/>
                  <w:noWrap w:val="0"/>
                  <w:vAlign w:val="center"/>
                </w:tcPr>
                <w:p>
                  <w:pPr>
                    <w:adjustRightInd w:val="0"/>
                    <w:snapToGrid w:val="0"/>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z w:val="18"/>
                      <w:szCs w:val="18"/>
                      <w:highlight w:val="none"/>
                      <w:lang w:val="en-US" w:eastAsia="zh-CN"/>
                    </w:rPr>
                    <w:t>工程拟</w:t>
                  </w:r>
                  <w:r>
                    <w:rPr>
                      <w:rFonts w:hint="default" w:ascii="Times New Roman" w:hAnsi="Times New Roman" w:cs="Times New Roman"/>
                      <w:color w:val="auto"/>
                      <w:sz w:val="18"/>
                      <w:szCs w:val="18"/>
                      <w:highlight w:val="none"/>
                    </w:rPr>
                    <w:t>在主要生产设施和环保设施位置安装用电监控</w:t>
                  </w:r>
                </w:p>
              </w:tc>
              <w:tc>
                <w:tcPr>
                  <w:tcW w:w="579"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pPr>
              <w:keepNext w:val="0"/>
              <w:keepLines w:val="0"/>
              <w:pageBreakBefore w:val="0"/>
              <w:widowControl w:val="0"/>
              <w:kinsoku/>
              <w:wordWrap/>
              <w:overflowPunct/>
              <w:topLinePunct w:val="0"/>
              <w:autoSpaceDE/>
              <w:autoSpaceDN/>
              <w:bidi w:val="0"/>
              <w:snapToGrid/>
              <w:spacing w:line="360" w:lineRule="auto"/>
              <w:ind w:firstLine="420" w:firstLineChars="20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由上表可知，本项目符合《关于印发河南省2019年大气污染防治攻坚战实施方案的通知》（豫环攻坚办[2019]25号）相关要求。</w:t>
            </w:r>
          </w:p>
          <w:p>
            <w:pPr>
              <w:keepNext w:val="0"/>
              <w:keepLines w:val="0"/>
              <w:pageBreakBefore w:val="0"/>
              <w:widowControl w:val="0"/>
              <w:kinsoku/>
              <w:wordWrap/>
              <w:overflowPunct/>
              <w:topLinePunct w:val="0"/>
              <w:autoSpaceDE/>
              <w:autoSpaceDN/>
              <w:bidi w:val="0"/>
              <w:snapToGrid/>
              <w:spacing w:line="360" w:lineRule="auto"/>
              <w:ind w:firstLine="420" w:firstLineChars="2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rPr>
              <w:t>）与《河南省2019年工业企业无组织排放治理方案》相符性分析</w:t>
            </w:r>
          </w:p>
          <w:p>
            <w:pPr>
              <w:keepNext w:val="0"/>
              <w:keepLines w:val="0"/>
              <w:pageBreakBefore w:val="0"/>
              <w:widowControl w:val="0"/>
              <w:kinsoku/>
              <w:wordWrap/>
              <w:overflowPunct/>
              <w:topLinePunct w:val="0"/>
              <w:autoSpaceDE/>
              <w:autoSpaceDN/>
              <w:bidi w:val="0"/>
              <w:snapToGrid/>
              <w:spacing w:line="360" w:lineRule="auto"/>
              <w:ind w:firstLine="420" w:firstLineChars="200"/>
              <w:jc w:val="left"/>
              <w:textAlignment w:val="baseline"/>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本项目与《河南省2019年工业企业无组织排放治理方案》对照分析如下。</w:t>
            </w:r>
            <w:r>
              <w:rPr>
                <w:rFonts w:hint="default" w:ascii="Times New Roman" w:hAnsi="Times New Roman" w:cs="Times New Roman"/>
                <w:color w:val="auto"/>
                <w:szCs w:val="24"/>
                <w:highlight w:val="none"/>
              </w:rPr>
              <w:br w:type="textWrapping"/>
            </w:r>
            <w:r>
              <w:rPr>
                <w:rFonts w:hint="default" w:ascii="Times New Roman" w:hAnsi="Times New Roman" w:cs="Times New Roman"/>
                <w:color w:val="auto"/>
                <w:szCs w:val="24"/>
                <w:highlight w:val="none"/>
              </w:rPr>
              <w:br w:type="textWrapping"/>
            </w:r>
            <w:r>
              <w:rPr>
                <w:rFonts w:hint="default" w:ascii="Times New Roman" w:hAnsi="Times New Roman" w:cs="Times New Roman"/>
                <w:color w:val="auto"/>
                <w:szCs w:val="24"/>
                <w:highlight w:val="none"/>
              </w:rPr>
              <w:br w:type="textWrapping"/>
            </w:r>
            <w:r>
              <w:rPr>
                <w:rFonts w:hint="default" w:ascii="Times New Roman" w:hAnsi="Times New Roman" w:cs="Times New Roman"/>
                <w:color w:val="auto"/>
                <w:szCs w:val="24"/>
                <w:highlight w:val="none"/>
              </w:rPr>
              <w:br w:type="textWrapping"/>
            </w:r>
            <w:r>
              <w:rPr>
                <w:rFonts w:hint="default" w:ascii="Times New Roman" w:hAnsi="Times New Roman" w:cs="Times New Roman"/>
                <w:color w:val="auto"/>
                <w:szCs w:val="24"/>
                <w:highlight w:val="none"/>
              </w:rPr>
              <w:br w:type="textWrapping"/>
            </w:r>
            <w:r>
              <w:rPr>
                <w:rFonts w:hint="default" w:ascii="Times New Roman" w:hAnsi="Times New Roman" w:cs="Times New Roman"/>
                <w:color w:val="auto"/>
                <w:szCs w:val="24"/>
                <w:highlight w:val="none"/>
              </w:rPr>
              <w:br w:type="textWrapping"/>
            </w:r>
            <w:r>
              <w:rPr>
                <w:rFonts w:hint="default" w:ascii="Times New Roman" w:hAnsi="Times New Roman" w:cs="Times New Roman"/>
                <w:color w:val="auto"/>
                <w:szCs w:val="24"/>
                <w:highlight w:val="none"/>
              </w:rPr>
              <w:br w:type="textWrapp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ascii="Times New Roman" w:hAnsi="Times New Roman" w:eastAsia="黑体" w:cs="Times New Roman"/>
                <w:color w:val="auto"/>
                <w:sz w:val="18"/>
                <w:szCs w:val="18"/>
                <w:highlight w:val="none"/>
                <w:lang w:val="en-US" w:eastAsia="zh-CN"/>
              </w:rPr>
              <w:t>与《河南省2019年工业企业无组织排放治理方案》对比分析一览表</w:t>
            </w:r>
          </w:p>
          <w:tbl>
            <w:tblPr>
              <w:tblStyle w:val="1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4"/>
              <w:gridCol w:w="712"/>
              <w:gridCol w:w="2874"/>
              <w:gridCol w:w="1853"/>
              <w:gridCol w:w="8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983" w:type="pct"/>
                  <w:gridSpan w:val="3"/>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与本项目有关的内容</w:t>
                  </w:r>
                </w:p>
              </w:tc>
              <w:tc>
                <w:tcPr>
                  <w:tcW w:w="1402"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是否符合要求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2" w:hRule="atLeast"/>
              </w:trPr>
              <w:tc>
                <w:tcPr>
                  <w:tcW w:w="2983" w:type="pct"/>
                  <w:gridSpan w:val="3"/>
                  <w:noWrap w:val="0"/>
                  <w:vAlign w:val="center"/>
                </w:tcPr>
                <w:p>
                  <w:pPr>
                    <w:spacing w:line="30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工作目标：针对原料运输、贮存、装卸、混合、转运、加装、工艺过程、产品出料、包装等各个生产环节存在的无组织排放污染问题，进行全流程控制、收集、净化处理，同步安装视频监控和相应的污染物排放监测设备，2019年10月底前，全省工业企业完成物料运输、生产工艺、堆场环节的无组织排放深度治理，全面实现“五到位、一密闭”（生产过程收尘到位，物料运输抑尘到位，厂区道路除尘到位，裸露土地绿化到位，无组织排放监控到位；厂区内贮存的各类易产生粉尘的物料及燃料全部密闭）。全面提升污染治理水平，污染物排放总量显著减少，打造行业标杆，全面提升企业形象，促进全省经济高质量发展。</w:t>
                  </w:r>
                </w:p>
              </w:tc>
              <w:tc>
                <w:tcPr>
                  <w:tcW w:w="1402"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本项目生产过程收尘到位，物料运输抑尘到位，厂区道路除尘到位，裸露土地绿化到位，无组织排放监控到位；厂区内贮存的各类易产生粉尘的物料及燃料全部密闭，严格按照“五到位、一密闭”执行</w:t>
                  </w: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2983" w:type="pct"/>
                  <w:gridSpan w:val="3"/>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明确治理范围：2019年10月底前，全省范围内钢铁、水泥、火电、焦化、铸造、耐火材料、有色冶炼、砖瓦窑等所有涉及无组织排放的工业企业，完成物料运输、生产工艺、堆场环节的无组织排放深度治理，全面实现“五到位、一密闭”。</w:t>
                  </w:r>
                </w:p>
              </w:tc>
              <w:tc>
                <w:tcPr>
                  <w:tcW w:w="1402" w:type="pct"/>
                  <w:noWrap w:val="0"/>
                  <w:vAlign w:val="center"/>
                </w:tcPr>
                <w:p>
                  <w:pPr>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本项目</w:t>
                  </w:r>
                  <w:r>
                    <w:rPr>
                      <w:rFonts w:hint="default" w:ascii="Times New Roman" w:hAnsi="Times New Roman" w:cs="Times New Roman"/>
                      <w:color w:val="auto"/>
                      <w:spacing w:val="-4"/>
                      <w:sz w:val="18"/>
                      <w:szCs w:val="18"/>
                      <w:highlight w:val="none"/>
                      <w:lang w:eastAsia="zh-CN"/>
                    </w:rPr>
                    <w:t>投料、搅拌过程均在车间内设置的单独密闭间内进行</w:t>
                  </w:r>
                  <w:r>
                    <w:rPr>
                      <w:rFonts w:hint="default" w:ascii="Times New Roman" w:hAnsi="Times New Roman" w:cs="Times New Roman"/>
                      <w:color w:val="auto"/>
                      <w:spacing w:val="-4"/>
                      <w:sz w:val="18"/>
                      <w:szCs w:val="18"/>
                      <w:highlight w:val="none"/>
                    </w:rPr>
                    <w:t>，</w:t>
                  </w:r>
                  <w:r>
                    <w:rPr>
                      <w:rFonts w:hint="default" w:ascii="Times New Roman" w:hAnsi="Times New Roman" w:cs="Times New Roman"/>
                      <w:color w:val="auto"/>
                      <w:spacing w:val="-4"/>
                      <w:sz w:val="18"/>
                      <w:szCs w:val="18"/>
                      <w:highlight w:val="none"/>
                      <w:lang w:eastAsia="zh-CN"/>
                    </w:rPr>
                    <w:t>因此生产过程无组织排放粉尘量极少</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eastAsia="zh-CN"/>
                    </w:rPr>
                    <w:t>能够</w:t>
                  </w:r>
                  <w:r>
                    <w:rPr>
                      <w:rFonts w:hint="default" w:ascii="Times New Roman" w:hAnsi="Times New Roman" w:cs="Times New Roman"/>
                      <w:color w:val="auto"/>
                      <w:sz w:val="18"/>
                      <w:szCs w:val="18"/>
                      <w:highlight w:val="none"/>
                    </w:rPr>
                    <w:t>全面实现“五到位、一密闭”。</w:t>
                  </w: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属于治理范围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Merge w:val="restart"/>
                  <w:noWrap w:val="0"/>
                  <w:vAlign w:val="center"/>
                </w:tcPr>
                <w:p>
                  <w:pPr>
                    <w:spacing w:line="30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其它行业无组织排放治理标准</w:t>
                  </w:r>
                </w:p>
                <w:p>
                  <w:pPr>
                    <w:spacing w:line="300" w:lineRule="exact"/>
                    <w:jc w:val="center"/>
                    <w:rPr>
                      <w:rFonts w:hint="default" w:ascii="Times New Roman" w:hAnsi="Times New Roman" w:cs="Times New Roman"/>
                      <w:color w:val="auto"/>
                      <w:sz w:val="18"/>
                      <w:szCs w:val="18"/>
                      <w:highlight w:val="none"/>
                    </w:rPr>
                  </w:pPr>
                </w:p>
                <w:p>
                  <w:pPr>
                    <w:spacing w:line="300" w:lineRule="exact"/>
                    <w:jc w:val="center"/>
                    <w:rPr>
                      <w:rFonts w:hint="default" w:ascii="Times New Roman" w:hAnsi="Times New Roman" w:cs="Times New Roman"/>
                      <w:color w:val="auto"/>
                      <w:sz w:val="18"/>
                      <w:szCs w:val="18"/>
                      <w:highlight w:val="none"/>
                    </w:rPr>
                  </w:pPr>
                </w:p>
              </w:tc>
              <w:tc>
                <w:tcPr>
                  <w:tcW w:w="539" w:type="pct"/>
                  <w:vMerge w:val="restar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（一）料场密闭治理</w:t>
                  </w:r>
                </w:p>
              </w:tc>
              <w:tc>
                <w:tcPr>
                  <w:tcW w:w="2175" w:type="pct"/>
                  <w:noWrap w:val="0"/>
                  <w:vAlign w:val="center"/>
                </w:tcPr>
                <w:p>
                  <w:pPr>
                    <w:spacing w:line="30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所有物料（包括原辅料、半成品、成品）进库存放，厂界内无露天堆放物料。料场安装喷干雾抑尘设施。</w:t>
                  </w:r>
                </w:p>
              </w:tc>
              <w:tc>
                <w:tcPr>
                  <w:tcW w:w="1402" w:type="pct"/>
                  <w:vMerge w:val="restart"/>
                  <w:noWrap w:val="0"/>
                  <w:vAlign w:val="center"/>
                </w:tcPr>
                <w:p>
                  <w:pPr>
                    <w:spacing w:line="300" w:lineRule="exact"/>
                    <w:jc w:val="center"/>
                    <w:rPr>
                      <w:rFonts w:hint="default" w:ascii="Times New Roman" w:hAnsi="Times New Roman" w:eastAsia="宋体" w:cs="Times New Roman"/>
                      <w:color w:val="auto"/>
                      <w:spacing w:val="-4"/>
                      <w:sz w:val="18"/>
                      <w:szCs w:val="18"/>
                      <w:highlight w:val="none"/>
                      <w:lang w:eastAsia="zh-CN"/>
                    </w:rPr>
                  </w:pPr>
                  <w:r>
                    <w:rPr>
                      <w:rFonts w:hint="default" w:ascii="Times New Roman" w:hAnsi="Times New Roman" w:cs="Times New Roman"/>
                      <w:color w:val="auto"/>
                      <w:spacing w:val="-4"/>
                      <w:sz w:val="18"/>
                      <w:szCs w:val="18"/>
                      <w:highlight w:val="none"/>
                    </w:rPr>
                    <w:t>本项目粉状物料</w:t>
                  </w:r>
                  <w:r>
                    <w:rPr>
                      <w:rFonts w:hint="default" w:ascii="Times New Roman" w:hAnsi="Times New Roman" w:cs="Times New Roman"/>
                      <w:color w:val="auto"/>
                      <w:spacing w:val="-4"/>
                      <w:sz w:val="18"/>
                      <w:szCs w:val="18"/>
                      <w:highlight w:val="none"/>
                      <w:lang w:eastAsia="zh-CN"/>
                    </w:rPr>
                    <w:t>主要为面粉，</w:t>
                  </w:r>
                  <w:r>
                    <w:rPr>
                      <w:rFonts w:hint="default" w:ascii="Times New Roman" w:hAnsi="Times New Roman" w:cs="Times New Roman"/>
                      <w:color w:val="auto"/>
                      <w:spacing w:val="-4"/>
                      <w:sz w:val="18"/>
                      <w:szCs w:val="18"/>
                      <w:highlight w:val="none"/>
                    </w:rPr>
                    <w:t>均采用袋装，且均置于密闭仓库内，无散装料场。项目</w:t>
                  </w:r>
                  <w:r>
                    <w:rPr>
                      <w:rFonts w:hint="default" w:ascii="Times New Roman" w:hAnsi="Times New Roman" w:cs="Times New Roman"/>
                      <w:color w:val="auto"/>
                      <w:spacing w:val="-4"/>
                      <w:sz w:val="18"/>
                      <w:szCs w:val="18"/>
                      <w:highlight w:val="none"/>
                      <w:lang w:eastAsia="zh-CN"/>
                    </w:rPr>
                    <w:t>投料、搅拌过程均在车间内设置的单独密闭间内进行</w:t>
                  </w:r>
                  <w:r>
                    <w:rPr>
                      <w:rFonts w:hint="default" w:ascii="Times New Roman" w:hAnsi="Times New Roman" w:cs="Times New Roman"/>
                      <w:color w:val="auto"/>
                      <w:spacing w:val="-4"/>
                      <w:sz w:val="18"/>
                      <w:szCs w:val="18"/>
                      <w:highlight w:val="none"/>
                    </w:rPr>
                    <w:t>，</w:t>
                  </w:r>
                  <w:r>
                    <w:rPr>
                      <w:rFonts w:hint="default" w:ascii="Times New Roman" w:hAnsi="Times New Roman" w:cs="Times New Roman"/>
                      <w:color w:val="auto"/>
                      <w:spacing w:val="-4"/>
                      <w:sz w:val="18"/>
                      <w:szCs w:val="18"/>
                      <w:highlight w:val="none"/>
                      <w:lang w:eastAsia="zh-CN"/>
                    </w:rPr>
                    <w:t>且</w:t>
                  </w:r>
                  <w:r>
                    <w:rPr>
                      <w:rFonts w:hint="default" w:ascii="Times New Roman" w:hAnsi="Times New Roman" w:cs="Times New Roman"/>
                      <w:color w:val="auto"/>
                      <w:spacing w:val="-4"/>
                      <w:sz w:val="18"/>
                      <w:szCs w:val="18"/>
                      <w:highlight w:val="none"/>
                    </w:rPr>
                    <w:t>配套的除尘设施不与其他工序混用。</w:t>
                  </w:r>
                </w:p>
              </w:tc>
              <w:tc>
                <w:tcPr>
                  <w:tcW w:w="614" w:type="pct"/>
                  <w:vMerge w:val="restar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bidi="ar"/>
                    </w:rPr>
                    <w:t>密闭料场必须覆盖所有堆场料区（堆放区、工作区和主通道区）。</w:t>
                  </w:r>
                </w:p>
              </w:tc>
              <w:tc>
                <w:tcPr>
                  <w:tcW w:w="1402" w:type="pct"/>
                  <w:vMerge w:val="continue"/>
                  <w:noWrap w:val="0"/>
                  <w:vAlign w:val="center"/>
                </w:tcPr>
                <w:p>
                  <w:pPr>
                    <w:spacing w:line="300" w:lineRule="exact"/>
                    <w:jc w:val="center"/>
                    <w:rPr>
                      <w:rFonts w:hint="default" w:ascii="Times New Roman" w:hAnsi="Times New Roman" w:cs="Times New Roman"/>
                      <w:color w:val="auto"/>
                      <w:spacing w:val="-4"/>
                      <w:sz w:val="18"/>
                      <w:szCs w:val="18"/>
                      <w:highlight w:val="none"/>
                    </w:rPr>
                  </w:pPr>
                </w:p>
              </w:tc>
              <w:tc>
                <w:tcPr>
                  <w:tcW w:w="614"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eastAsia="宋体" w:cs="Times New Roman"/>
                      <w:color w:val="auto"/>
                      <w:spacing w:val="-4"/>
                      <w:sz w:val="18"/>
                      <w:szCs w:val="18"/>
                      <w:highlight w:val="none"/>
                      <w:lang w:eastAsia="zh-CN"/>
                    </w:rPr>
                  </w:pPr>
                  <w:r>
                    <w:rPr>
                      <w:rFonts w:hint="default" w:ascii="Times New Roman" w:hAnsi="Times New Roman" w:cs="Times New Roman"/>
                      <w:color w:val="auto"/>
                      <w:spacing w:val="-4"/>
                      <w:sz w:val="18"/>
                      <w:szCs w:val="18"/>
                      <w:highlight w:val="none"/>
                      <w:lang w:bidi="ar"/>
                    </w:rPr>
                    <w:t>车间、料库四面密闭，通道口安装卷帘门、推拉门等封闭性良好且便于开关的硬质门，在无车辆出入时将门关闭，保证空气合理流动不产生湍流。</w:t>
                  </w:r>
                </w:p>
              </w:tc>
              <w:tc>
                <w:tcPr>
                  <w:tcW w:w="1402" w:type="pct"/>
                  <w:vMerge w:val="continue"/>
                  <w:noWrap w:val="0"/>
                  <w:vAlign w:val="center"/>
                </w:tcPr>
                <w:p>
                  <w:pPr>
                    <w:spacing w:line="300" w:lineRule="exact"/>
                    <w:jc w:val="center"/>
                    <w:rPr>
                      <w:rFonts w:hint="default" w:ascii="Times New Roman" w:hAnsi="Times New Roman" w:cs="Times New Roman"/>
                      <w:color w:val="auto"/>
                      <w:spacing w:val="-4"/>
                      <w:sz w:val="18"/>
                      <w:szCs w:val="18"/>
                      <w:highlight w:val="none"/>
                    </w:rPr>
                  </w:pPr>
                </w:p>
              </w:tc>
              <w:tc>
                <w:tcPr>
                  <w:tcW w:w="614"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bidi="ar"/>
                    </w:rPr>
                    <w:t>所有地面完成硬化，并保证除物料堆放区域外没有明显积尘。</w:t>
                  </w:r>
                </w:p>
              </w:tc>
              <w:tc>
                <w:tcPr>
                  <w:tcW w:w="1402" w:type="pct"/>
                  <w:vMerge w:val="continue"/>
                  <w:noWrap w:val="0"/>
                  <w:vAlign w:val="center"/>
                </w:tcPr>
                <w:p>
                  <w:pPr>
                    <w:spacing w:line="300" w:lineRule="exact"/>
                    <w:jc w:val="center"/>
                    <w:rPr>
                      <w:rFonts w:hint="default" w:ascii="Times New Roman" w:hAnsi="Times New Roman" w:cs="Times New Roman"/>
                      <w:color w:val="auto"/>
                      <w:spacing w:val="-4"/>
                      <w:sz w:val="18"/>
                      <w:szCs w:val="18"/>
                      <w:highlight w:val="none"/>
                    </w:rPr>
                  </w:pPr>
                </w:p>
              </w:tc>
              <w:tc>
                <w:tcPr>
                  <w:tcW w:w="614"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bidi="ar"/>
                    </w:rPr>
                    <w:t>每个下料口设置独立集气罩，配套的除尘设施不与其他工序混用。</w:t>
                  </w:r>
                </w:p>
              </w:tc>
              <w:tc>
                <w:tcPr>
                  <w:tcW w:w="1402" w:type="pct"/>
                  <w:vMerge w:val="continue"/>
                  <w:noWrap w:val="0"/>
                  <w:vAlign w:val="center"/>
                </w:tcPr>
                <w:p>
                  <w:pPr>
                    <w:spacing w:line="300" w:lineRule="exact"/>
                    <w:jc w:val="center"/>
                    <w:rPr>
                      <w:rFonts w:hint="default" w:ascii="Times New Roman" w:hAnsi="Times New Roman" w:cs="Times New Roman"/>
                      <w:color w:val="auto"/>
                      <w:spacing w:val="-4"/>
                      <w:sz w:val="18"/>
                      <w:szCs w:val="18"/>
                      <w:highlight w:val="none"/>
                    </w:rPr>
                  </w:pPr>
                </w:p>
              </w:tc>
              <w:tc>
                <w:tcPr>
                  <w:tcW w:w="614"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bidi="ar"/>
                    </w:rPr>
                    <w:t>厂房车间各生产工序须功能区化，各功能区安装固定的喷干雾抑尘装置。</w:t>
                  </w:r>
                </w:p>
              </w:tc>
              <w:tc>
                <w:tcPr>
                  <w:tcW w:w="1402" w:type="pct"/>
                  <w:vMerge w:val="continue"/>
                  <w:noWrap w:val="0"/>
                  <w:vAlign w:val="center"/>
                </w:tcPr>
                <w:p>
                  <w:pPr>
                    <w:spacing w:line="300" w:lineRule="exact"/>
                    <w:jc w:val="center"/>
                    <w:rPr>
                      <w:rFonts w:hint="default" w:ascii="Times New Roman" w:hAnsi="Times New Roman" w:cs="Times New Roman"/>
                      <w:color w:val="auto"/>
                      <w:spacing w:val="-4"/>
                      <w:sz w:val="18"/>
                      <w:szCs w:val="18"/>
                      <w:highlight w:val="none"/>
                    </w:rPr>
                  </w:pPr>
                </w:p>
              </w:tc>
              <w:tc>
                <w:tcPr>
                  <w:tcW w:w="614"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cs="Times New Roman"/>
                      <w:color w:val="auto"/>
                      <w:sz w:val="18"/>
                      <w:szCs w:val="18"/>
                      <w:highlight w:val="none"/>
                      <w:lang w:bidi="ar"/>
                    </w:rPr>
                  </w:pPr>
                  <w:r>
                    <w:rPr>
                      <w:rFonts w:hint="default" w:ascii="Times New Roman" w:hAnsi="Times New Roman" w:cs="Times New Roman"/>
                      <w:color w:val="auto"/>
                      <w:sz w:val="18"/>
                      <w:szCs w:val="18"/>
                      <w:highlight w:val="none"/>
                      <w:lang w:bidi="ar"/>
                    </w:rPr>
                    <w:t>厂区出口应安装车辆冲洗装置，保证出场车辆车轮车身干净、运行不起尘。</w:t>
                  </w:r>
                </w:p>
              </w:tc>
              <w:tc>
                <w:tcPr>
                  <w:tcW w:w="1402" w:type="pct"/>
                  <w:vMerge w:val="continue"/>
                  <w:noWrap w:val="0"/>
                  <w:vAlign w:val="center"/>
                </w:tcPr>
                <w:p>
                  <w:pPr>
                    <w:spacing w:line="300" w:lineRule="exact"/>
                    <w:jc w:val="center"/>
                    <w:rPr>
                      <w:rFonts w:hint="default" w:ascii="Times New Roman" w:hAnsi="Times New Roman" w:cs="Times New Roman"/>
                      <w:color w:val="auto"/>
                      <w:spacing w:val="-4"/>
                      <w:sz w:val="18"/>
                      <w:szCs w:val="18"/>
                      <w:highlight w:val="none"/>
                    </w:rPr>
                  </w:pPr>
                </w:p>
              </w:tc>
              <w:tc>
                <w:tcPr>
                  <w:tcW w:w="614"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51"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restar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（二）物料输送环节治理</w:t>
                  </w:r>
                </w:p>
              </w:tc>
              <w:tc>
                <w:tcPr>
                  <w:tcW w:w="2175"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散状物料采用封闭式输送方式，皮带输送机受料点、卸料点应设置密闭罩，并配备除尘设施。</w:t>
                  </w:r>
                </w:p>
              </w:tc>
              <w:tc>
                <w:tcPr>
                  <w:tcW w:w="1402" w:type="pct"/>
                  <w:noWrap w:val="0"/>
                  <w:vAlign w:val="center"/>
                </w:tcPr>
                <w:p>
                  <w:pPr>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项目散状物料</w:t>
                  </w:r>
                  <w:r>
                    <w:rPr>
                      <w:rFonts w:hint="default" w:ascii="Times New Roman" w:hAnsi="Times New Roman" w:cs="Times New Roman"/>
                      <w:color w:val="auto"/>
                      <w:spacing w:val="-4"/>
                      <w:sz w:val="18"/>
                      <w:szCs w:val="18"/>
                      <w:highlight w:val="none"/>
                      <w:lang w:eastAsia="zh-CN"/>
                    </w:rPr>
                    <w:t>主要为面粉，</w:t>
                  </w:r>
                  <w:r>
                    <w:rPr>
                      <w:rFonts w:hint="default" w:ascii="Times New Roman" w:hAnsi="Times New Roman" w:cs="Times New Roman"/>
                      <w:color w:val="auto"/>
                      <w:spacing w:val="-4"/>
                      <w:sz w:val="18"/>
                      <w:szCs w:val="18"/>
                      <w:highlight w:val="none"/>
                    </w:rPr>
                    <w:t>均采用</w:t>
                  </w:r>
                  <w:r>
                    <w:rPr>
                      <w:rFonts w:hint="default" w:ascii="Times New Roman" w:hAnsi="Times New Roman" w:cs="Times New Roman"/>
                      <w:color w:val="auto"/>
                      <w:sz w:val="18"/>
                      <w:szCs w:val="18"/>
                      <w:highlight w:val="none"/>
                      <w:lang w:eastAsia="zh-CN"/>
                    </w:rPr>
                    <w:t>袋装方</w:t>
                  </w:r>
                  <w:r>
                    <w:rPr>
                      <w:rFonts w:hint="default" w:ascii="Times New Roman" w:hAnsi="Times New Roman" w:cs="Times New Roman"/>
                      <w:color w:val="auto"/>
                      <w:sz w:val="18"/>
                      <w:szCs w:val="18"/>
                      <w:highlight w:val="none"/>
                    </w:rPr>
                    <w:t>式输送</w:t>
                  </w:r>
                  <w:r>
                    <w:rPr>
                      <w:rFonts w:hint="default" w:ascii="Times New Roman" w:hAnsi="Times New Roman" w:cs="Times New Roman"/>
                      <w:color w:val="auto"/>
                      <w:sz w:val="18"/>
                      <w:szCs w:val="18"/>
                      <w:highlight w:val="none"/>
                      <w:lang w:eastAsia="zh-CN"/>
                    </w:rPr>
                    <w:t>输送厂区，且</w:t>
                  </w:r>
                  <w:r>
                    <w:rPr>
                      <w:rFonts w:hint="default" w:ascii="Times New Roman" w:hAnsi="Times New Roman" w:cs="Times New Roman"/>
                      <w:color w:val="auto"/>
                      <w:spacing w:val="-4"/>
                      <w:sz w:val="18"/>
                      <w:szCs w:val="18"/>
                      <w:highlight w:val="none"/>
                      <w:lang w:eastAsia="zh-CN"/>
                    </w:rPr>
                    <w:t>投料为人工采用面勺投加，每次投加量较少，同时投料和搅拌过程均在生产车间内设施的单独密闭间内进行</w:t>
                  </w:r>
                  <w:r>
                    <w:rPr>
                      <w:rFonts w:hint="default" w:ascii="Times New Roman" w:hAnsi="Times New Roman" w:cs="Times New Roman"/>
                      <w:color w:val="auto"/>
                      <w:spacing w:val="-4"/>
                      <w:sz w:val="18"/>
                      <w:szCs w:val="18"/>
                      <w:highlight w:val="none"/>
                    </w:rPr>
                    <w:t>，</w:t>
                  </w:r>
                  <w:r>
                    <w:rPr>
                      <w:rFonts w:hint="default" w:ascii="Times New Roman" w:hAnsi="Times New Roman" w:cs="Times New Roman"/>
                      <w:color w:val="auto"/>
                      <w:spacing w:val="-4"/>
                      <w:sz w:val="18"/>
                      <w:szCs w:val="18"/>
                      <w:highlight w:val="none"/>
                      <w:lang w:eastAsia="zh-CN"/>
                    </w:rPr>
                    <w:t>并在密闭间设置</w:t>
                  </w:r>
                  <w:r>
                    <w:rPr>
                      <w:rFonts w:hint="default" w:ascii="Times New Roman" w:hAnsi="Times New Roman" w:cs="Times New Roman"/>
                      <w:color w:val="auto"/>
                      <w:spacing w:val="-4"/>
                      <w:sz w:val="18"/>
                      <w:szCs w:val="18"/>
                      <w:highlight w:val="none"/>
                    </w:rPr>
                    <w:t>集气装置及配备除尘系统。</w:t>
                  </w: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皮带输送机或物料提升机需在密闭廊道内运行，并在所有落料位置设置集尘装置及配备除尘系统。</w:t>
                  </w:r>
                </w:p>
              </w:tc>
              <w:tc>
                <w:tcPr>
                  <w:tcW w:w="1402" w:type="pct"/>
                  <w:noWrap w:val="0"/>
                  <w:vAlign w:val="center"/>
                </w:tcPr>
                <w:p>
                  <w:pPr>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项目</w:t>
                  </w:r>
                  <w:r>
                    <w:rPr>
                      <w:rFonts w:hint="default" w:ascii="Times New Roman" w:hAnsi="Times New Roman" w:cs="Times New Roman"/>
                      <w:color w:val="auto"/>
                      <w:spacing w:val="-4"/>
                      <w:sz w:val="18"/>
                      <w:szCs w:val="18"/>
                      <w:highlight w:val="none"/>
                      <w:lang w:eastAsia="zh-CN"/>
                    </w:rPr>
                    <w:t>投料为人工采用面勺投加，每次投加量较少，同时投料和搅拌过程均在生产车间内设施的单独密闭间内进行</w:t>
                  </w:r>
                  <w:r>
                    <w:rPr>
                      <w:rFonts w:hint="default" w:ascii="Times New Roman" w:hAnsi="Times New Roman" w:cs="Times New Roman"/>
                      <w:color w:val="auto"/>
                      <w:spacing w:val="-4"/>
                      <w:sz w:val="18"/>
                      <w:szCs w:val="18"/>
                      <w:highlight w:val="none"/>
                    </w:rPr>
                    <w:t>，</w:t>
                  </w:r>
                  <w:r>
                    <w:rPr>
                      <w:rFonts w:hint="default" w:ascii="Times New Roman" w:hAnsi="Times New Roman" w:cs="Times New Roman"/>
                      <w:color w:val="auto"/>
                      <w:spacing w:val="-4"/>
                      <w:sz w:val="18"/>
                      <w:szCs w:val="18"/>
                      <w:highlight w:val="none"/>
                      <w:lang w:eastAsia="zh-CN"/>
                    </w:rPr>
                    <w:t>并在密闭间设置</w:t>
                  </w:r>
                  <w:r>
                    <w:rPr>
                      <w:rFonts w:hint="default" w:ascii="Times New Roman" w:hAnsi="Times New Roman" w:cs="Times New Roman"/>
                      <w:color w:val="auto"/>
                      <w:spacing w:val="-4"/>
                      <w:sz w:val="18"/>
                      <w:szCs w:val="18"/>
                      <w:highlight w:val="none"/>
                    </w:rPr>
                    <w:t>集气装置及配备除尘系统。</w:t>
                  </w: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运输车辆装载高度最高点不得超过车辆槽帮上沿40厘米，两侧边缘应当低于槽帮上缘10厘米，车斗应采用苫布覆盖，苫布边缘至少要遮住槽帮上沿以下15厘米，禁止厂内露天转运散状物料。</w:t>
                  </w:r>
                </w:p>
              </w:tc>
              <w:tc>
                <w:tcPr>
                  <w:tcW w:w="1402" w:type="pct"/>
                  <w:noWrap w:val="0"/>
                  <w:vAlign w:val="center"/>
                </w:tcPr>
                <w:p>
                  <w:pPr>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项目原料运输按照方案要求进行，散状物料转运均为密闭转运方式。</w:t>
                  </w:r>
                </w:p>
                <w:p>
                  <w:pPr>
                    <w:spacing w:line="300" w:lineRule="exact"/>
                    <w:jc w:val="center"/>
                    <w:rPr>
                      <w:rFonts w:hint="default" w:ascii="Times New Roman" w:hAnsi="Times New Roman" w:cs="Times New Roman"/>
                      <w:color w:val="auto"/>
                      <w:spacing w:val="-4"/>
                      <w:sz w:val="18"/>
                      <w:szCs w:val="18"/>
                      <w:highlight w:val="none"/>
                    </w:rPr>
                  </w:pP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除尘器卸灰不直接卸落到地面，卸灰区封闭。除尘灰采用气力输送、罐车等密闭方式运输；采用非密闭方式运输的，车辆应苫盖，装卸车时应采取加湿等措施抑尘。</w:t>
                  </w:r>
                </w:p>
              </w:tc>
              <w:tc>
                <w:tcPr>
                  <w:tcW w:w="1402" w:type="pct"/>
                  <w:noWrap w:val="0"/>
                  <w:vAlign w:val="center"/>
                </w:tcPr>
                <w:p>
                  <w:pPr>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项目安装脉冲袋式除尘器，除尘灰自动落料，采用气力输送方式输送。</w:t>
                  </w:r>
                </w:p>
                <w:p>
                  <w:pPr>
                    <w:spacing w:line="300" w:lineRule="exact"/>
                    <w:jc w:val="center"/>
                    <w:rPr>
                      <w:rFonts w:hint="default" w:ascii="Times New Roman" w:hAnsi="Times New Roman" w:cs="Times New Roman"/>
                      <w:color w:val="auto"/>
                      <w:spacing w:val="-4"/>
                      <w:sz w:val="18"/>
                      <w:szCs w:val="18"/>
                      <w:highlight w:val="none"/>
                    </w:rPr>
                  </w:pP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restar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（三）生产环节治理</w:t>
                  </w:r>
                </w:p>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物料上料、破碎、筛分、混料等生产过程中的产尘点应在封闭的厂房内进行二次封闭，并安装集气设施和除尘设施。</w:t>
                  </w:r>
                </w:p>
              </w:tc>
              <w:tc>
                <w:tcPr>
                  <w:tcW w:w="1402" w:type="pct"/>
                  <w:noWrap w:val="0"/>
                  <w:vAlign w:val="center"/>
                </w:tcPr>
                <w:p>
                  <w:pPr>
                    <w:spacing w:line="300" w:lineRule="exact"/>
                    <w:jc w:val="center"/>
                    <w:rPr>
                      <w:rFonts w:hint="default" w:ascii="Times New Roman" w:hAnsi="Times New Roman" w:eastAsia="宋体" w:cs="Times New Roman"/>
                      <w:color w:val="auto"/>
                      <w:spacing w:val="-8"/>
                      <w:sz w:val="18"/>
                      <w:szCs w:val="18"/>
                      <w:highlight w:val="none"/>
                      <w:lang w:eastAsia="zh-CN"/>
                    </w:rPr>
                  </w:pPr>
                  <w:r>
                    <w:rPr>
                      <w:rFonts w:hint="default" w:ascii="Times New Roman" w:hAnsi="Times New Roman" w:cs="Times New Roman"/>
                      <w:color w:val="auto"/>
                      <w:spacing w:val="-8"/>
                      <w:sz w:val="18"/>
                      <w:szCs w:val="18"/>
                      <w:highlight w:val="none"/>
                    </w:rPr>
                    <w:t>本项目</w:t>
                  </w:r>
                  <w:r>
                    <w:rPr>
                      <w:rFonts w:hint="default" w:ascii="Times New Roman" w:hAnsi="Times New Roman" w:cs="Times New Roman"/>
                      <w:color w:val="auto"/>
                      <w:spacing w:val="-8"/>
                      <w:sz w:val="18"/>
                      <w:szCs w:val="18"/>
                      <w:highlight w:val="none"/>
                      <w:lang w:eastAsia="zh-CN"/>
                    </w:rPr>
                    <w:t>投料、搅拌</w:t>
                  </w:r>
                  <w:r>
                    <w:rPr>
                      <w:rFonts w:hint="default" w:ascii="Times New Roman" w:hAnsi="Times New Roman" w:cs="Times New Roman"/>
                      <w:color w:val="auto"/>
                      <w:spacing w:val="-8"/>
                      <w:sz w:val="18"/>
                      <w:szCs w:val="18"/>
                      <w:highlight w:val="none"/>
                    </w:rPr>
                    <w:t>工序均在密闭间进行，并安装集气设施和除尘设施。</w:t>
                  </w: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其他方面：禁止生产车间内散放原料，需采用全封闭式/地下料仓并配备完备的废气收集和处理系统；生产环节必须在密闭良好的车间内运行，并配备完备的废气收集和处理系统。</w:t>
                  </w:r>
                </w:p>
              </w:tc>
              <w:tc>
                <w:tcPr>
                  <w:tcW w:w="1402" w:type="pct"/>
                  <w:noWrap w:val="0"/>
                  <w:vAlign w:val="center"/>
                </w:tcPr>
                <w:p>
                  <w:pPr>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z w:val="18"/>
                      <w:szCs w:val="18"/>
                      <w:highlight w:val="none"/>
                    </w:rPr>
                    <w:t>生产车间内无散放原料；生产环节在密闭良好的车间内运行，并配备完备的废气收集和处理系统。</w:t>
                  </w: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restar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（四）厂区、车辆治理</w:t>
                  </w:r>
                </w:p>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厂区道路硬化，平整无破损，无积尘，厂区无裸露空地，闲置裸露空地绿化。</w:t>
                  </w:r>
                </w:p>
              </w:tc>
              <w:tc>
                <w:tcPr>
                  <w:tcW w:w="1402" w:type="pct"/>
                  <w:noWrap w:val="0"/>
                  <w:vAlign w:val="center"/>
                </w:tcPr>
                <w:p>
                  <w:pPr>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厂区道路均硬化，</w:t>
                  </w:r>
                  <w:r>
                    <w:rPr>
                      <w:rFonts w:hint="default" w:ascii="Times New Roman" w:hAnsi="Times New Roman" w:cs="Times New Roman"/>
                      <w:color w:val="auto"/>
                      <w:sz w:val="18"/>
                      <w:szCs w:val="18"/>
                      <w:highlight w:val="none"/>
                    </w:rPr>
                    <w:t>厂区无裸露空地。</w:t>
                  </w: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对厂区道路定期洒水清扫。</w:t>
                  </w:r>
                </w:p>
              </w:tc>
              <w:tc>
                <w:tcPr>
                  <w:tcW w:w="1402" w:type="pct"/>
                  <w:noWrap w:val="0"/>
                  <w:vAlign w:val="center"/>
                </w:tcPr>
                <w:p>
                  <w:pPr>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要求厂区道路</w:t>
                  </w:r>
                  <w:r>
                    <w:rPr>
                      <w:rFonts w:hint="default" w:ascii="Times New Roman" w:hAnsi="Times New Roman" w:cs="Times New Roman"/>
                      <w:color w:val="auto"/>
                      <w:sz w:val="18"/>
                      <w:szCs w:val="18"/>
                      <w:highlight w:val="none"/>
                    </w:rPr>
                    <w:t>定期洒水清扫。</w:t>
                  </w: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企业出厂口和料场出口处配备高压清洗装置对所有车辆车轮、底盘进行冲洗，严禁带泥上路。洗车平台四周应设置洗车废水收集防治设施。</w:t>
                  </w:r>
                </w:p>
              </w:tc>
              <w:tc>
                <w:tcPr>
                  <w:tcW w:w="1402" w:type="pct"/>
                  <w:noWrap w:val="0"/>
                  <w:vAlign w:val="center"/>
                </w:tcPr>
                <w:p>
                  <w:pPr>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项目无散装料场</w:t>
                  </w: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restar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（五）建设完善监测系统</w:t>
                  </w:r>
                </w:p>
              </w:tc>
              <w:tc>
                <w:tcPr>
                  <w:tcW w:w="2175"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因企制宜安装视频、空气微站、降尘缸、TSP（总悬浮颗粒物）等监控设施。</w:t>
                  </w:r>
                </w:p>
              </w:tc>
              <w:tc>
                <w:tcPr>
                  <w:tcW w:w="1402" w:type="pct"/>
                  <w:noWrap w:val="0"/>
                  <w:vAlign w:val="center"/>
                </w:tcPr>
                <w:p>
                  <w:pPr>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要求企业在各环保治理设置位置安装视频监控设施。</w:t>
                  </w: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268"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539" w:type="pct"/>
                  <w:vMerge w:val="continue"/>
                  <w:noWrap w:val="0"/>
                  <w:vAlign w:val="center"/>
                </w:tcPr>
                <w:p>
                  <w:pPr>
                    <w:spacing w:line="300" w:lineRule="exact"/>
                    <w:jc w:val="center"/>
                    <w:rPr>
                      <w:rFonts w:hint="default" w:ascii="Times New Roman" w:hAnsi="Times New Roman" w:cs="Times New Roman"/>
                      <w:color w:val="auto"/>
                      <w:sz w:val="18"/>
                      <w:szCs w:val="18"/>
                      <w:highlight w:val="none"/>
                    </w:rPr>
                  </w:pPr>
                </w:p>
              </w:tc>
              <w:tc>
                <w:tcPr>
                  <w:tcW w:w="2175"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安装在线监测、监控和空气质量监测等综合监控信息平台，主要排放数据等应在企业显眼位置随时公开。</w:t>
                  </w:r>
                </w:p>
              </w:tc>
              <w:tc>
                <w:tcPr>
                  <w:tcW w:w="1402" w:type="pct"/>
                  <w:noWrap w:val="0"/>
                  <w:vAlign w:val="center"/>
                </w:tcPr>
                <w:p>
                  <w:pPr>
                    <w:spacing w:line="30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要求企业安装无组织排放在线监测系统，并安装视频监控设施。</w:t>
                  </w:r>
                </w:p>
              </w:tc>
              <w:tc>
                <w:tcPr>
                  <w:tcW w:w="614" w:type="pct"/>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rPr>
                <w:rFonts w:hint="default" w:ascii="Times New Roman" w:hAnsi="Times New Roman" w:eastAsia="黑体" w:cs="Times New Roman"/>
                <w:color w:val="auto"/>
                <w:szCs w:val="24"/>
                <w:highlight w:val="none"/>
              </w:rPr>
            </w:pPr>
            <w:r>
              <w:rPr>
                <w:rFonts w:hint="default" w:ascii="Times New Roman" w:hAnsi="Times New Roman" w:cs="Times New Roman"/>
                <w:color w:val="auto"/>
                <w:szCs w:val="24"/>
                <w:highlight w:val="none"/>
              </w:rPr>
              <w:t>由上表可知，本项目符合《河南省2019年工业企业无组织排放治理方案》相关要求。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w:t>
            </w:r>
            <w:r>
              <w:rPr>
                <w:rFonts w:hint="default" w:ascii="Times New Roman" w:hAnsi="Times New Roman" w:cs="Times New Roman"/>
                <w:bCs/>
                <w:color w:val="auto"/>
                <w:szCs w:val="24"/>
                <w:highlight w:val="none"/>
                <w:lang w:val="en-US" w:eastAsia="zh-CN"/>
              </w:rPr>
              <w:t>8</w:t>
            </w:r>
            <w:r>
              <w:rPr>
                <w:rFonts w:hint="default" w:ascii="Times New Roman" w:hAnsi="Times New Roman" w:cs="Times New Roman"/>
                <w:bCs/>
                <w:color w:val="auto"/>
                <w:szCs w:val="24"/>
                <w:highlight w:val="none"/>
              </w:rPr>
              <w:t>）与《河南省2019年度锅炉综合整治方案》的对照分析</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eastAsia="黑体" w:cs="Times New Roman"/>
                <w:color w:val="auto"/>
                <w:sz w:val="18"/>
                <w:szCs w:val="18"/>
                <w:highlight w:val="none"/>
                <w:lang w:val="en-US" w:eastAsia="zh-CN"/>
              </w:rPr>
              <w:t>项目与《河南省2019年度锅炉综合整治方案》相符性分析</w:t>
            </w:r>
          </w:p>
          <w:tbl>
            <w:tblPr>
              <w:tblStyle w:val="16"/>
              <w:tblW w:w="4998"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2"/>
              <w:gridCol w:w="3346"/>
              <w:gridCol w:w="2139"/>
              <w:gridCol w:w="594"/>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396"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类别</w:t>
                  </w:r>
                </w:p>
              </w:tc>
              <w:tc>
                <w:tcPr>
                  <w:tcW w:w="2532"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《河南省2019年度锅炉综合整治方案》有关要求</w:t>
                  </w:r>
                </w:p>
              </w:tc>
              <w:tc>
                <w:tcPr>
                  <w:tcW w:w="1619"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450"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对比结论</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396"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主要任务</w:t>
                  </w:r>
                </w:p>
              </w:tc>
              <w:tc>
                <w:tcPr>
                  <w:tcW w:w="2532" w:type="pct"/>
                  <w:noWrap w:val="0"/>
                  <w:vAlign w:val="center"/>
                </w:tcPr>
                <w:p>
                  <w:pPr>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加强燃气锅炉升级改造。2019年10月底前，各省辖市和县（市）建成区内4蒸吨及以上的燃气锅炉完成低氮改造，改造后在基准氧含量3.5%的条件下，烟尘、二氧化硫、氮氧化物排放浓度分别不高于5、10、50毫克/立方米。新建工业燃气锅炉同步完成低氮改造，氮氧化物排放浓度不高于30毫克/立方米。</w:t>
                  </w:r>
                </w:p>
              </w:tc>
              <w:tc>
                <w:tcPr>
                  <w:tcW w:w="1619"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工程配备</w:t>
                  </w:r>
                  <w:r>
                    <w:rPr>
                      <w:rFonts w:hint="default" w:ascii="Times New Roman" w:hAnsi="Times New Roman" w:cs="Times New Roman"/>
                      <w:color w:val="auto"/>
                      <w:sz w:val="18"/>
                      <w:szCs w:val="18"/>
                      <w:highlight w:val="none"/>
                      <w:lang w:val="en-US" w:eastAsia="zh-CN"/>
                    </w:rPr>
                    <w:t>1台2t/h燃气</w:t>
                  </w:r>
                  <w:r>
                    <w:rPr>
                      <w:rFonts w:hint="default" w:ascii="Times New Roman" w:hAnsi="Times New Roman" w:cs="Times New Roman"/>
                      <w:color w:val="auto"/>
                      <w:sz w:val="18"/>
                      <w:szCs w:val="18"/>
                      <w:highlight w:val="none"/>
                    </w:rPr>
                    <w:t>锅炉</w:t>
                  </w:r>
                  <w:r>
                    <w:rPr>
                      <w:rFonts w:hint="default" w:ascii="Times New Roman" w:hAnsi="Times New Roman" w:cs="Times New Roman"/>
                      <w:color w:val="auto"/>
                      <w:sz w:val="18"/>
                      <w:szCs w:val="18"/>
                      <w:highlight w:val="none"/>
                      <w:lang w:eastAsia="zh-CN"/>
                    </w:rPr>
                    <w:t>，锅炉</w:t>
                  </w:r>
                  <w:r>
                    <w:rPr>
                      <w:rFonts w:hint="default" w:ascii="Times New Roman" w:hAnsi="Times New Roman" w:cs="Times New Roman"/>
                      <w:color w:val="auto"/>
                      <w:sz w:val="18"/>
                      <w:szCs w:val="18"/>
                      <w:highlight w:val="none"/>
                    </w:rPr>
                    <w:t>废气采用低氮燃烧+烟气循环技术处理，</w:t>
                  </w:r>
                  <w:r>
                    <w:rPr>
                      <w:rFonts w:hint="default" w:ascii="Times New Roman" w:hAnsi="Times New Roman" w:cs="Times New Roman"/>
                      <w:bCs/>
                      <w:color w:val="auto"/>
                      <w:sz w:val="18"/>
                      <w:szCs w:val="18"/>
                      <w:highlight w:val="none"/>
                      <w:lang w:bidi="ar"/>
                    </w:rPr>
                    <w:t>烟尘、二氧化硫和氮氧化物排放浓度能够达到</w:t>
                  </w:r>
                  <w:r>
                    <w:rPr>
                      <w:rFonts w:hint="default" w:ascii="Times New Roman" w:hAnsi="Times New Roman" w:cs="Times New Roman"/>
                      <w:color w:val="auto"/>
                      <w:sz w:val="18"/>
                      <w:szCs w:val="18"/>
                      <w:highlight w:val="none"/>
                    </w:rPr>
                    <w:t>不高于5、10、30毫克/立方米的要求。</w:t>
                  </w:r>
                </w:p>
              </w:tc>
              <w:tc>
                <w:tcPr>
                  <w:tcW w:w="450"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本项目燃气锅炉配备低氮燃烧器</w:t>
            </w:r>
            <w:r>
              <w:rPr>
                <w:rFonts w:hint="default" w:ascii="Times New Roman" w:hAnsi="Times New Roman" w:cs="Times New Roman"/>
                <w:bCs/>
                <w:color w:val="auto"/>
                <w:szCs w:val="24"/>
                <w:highlight w:val="none"/>
                <w:lang w:eastAsia="zh-CN"/>
              </w:rPr>
              <w:t>和烟气循环技术</w:t>
            </w:r>
            <w:r>
              <w:rPr>
                <w:rFonts w:hint="default" w:ascii="Times New Roman" w:hAnsi="Times New Roman" w:cs="Times New Roman"/>
                <w:bCs/>
                <w:color w:val="auto"/>
                <w:szCs w:val="24"/>
                <w:highlight w:val="none"/>
              </w:rPr>
              <w:t>，烟尘、二氧化硫和氮氧化物排放浓度能够达到排放要求。</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与《新乡市环境污染防治攻坚指挥部办公室关于印发新乡市加快开展燃气锅炉低氮改造工作实施方案的通知》（新环攻坚办〔2019〕25号）的对照分析</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eastAsia="黑体" w:cs="Times New Roman"/>
                <w:color w:val="auto"/>
                <w:sz w:val="18"/>
                <w:szCs w:val="18"/>
                <w:highlight w:val="none"/>
                <w:lang w:val="en-US" w:eastAsia="zh-CN"/>
              </w:rPr>
              <w:t>项目与《新乡市环境污染防治攻坚指挥部办公室关于印发新乡市加快开展燃气锅炉低氮改造工作实施方案的通知》相符性分析</w:t>
            </w:r>
          </w:p>
          <w:tbl>
            <w:tblPr>
              <w:tblStyle w:val="16"/>
              <w:tblW w:w="4999"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3"/>
              <w:gridCol w:w="2987"/>
              <w:gridCol w:w="2498"/>
              <w:gridCol w:w="595"/>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6"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类别</w:t>
                  </w:r>
                </w:p>
              </w:tc>
              <w:tc>
                <w:tcPr>
                  <w:tcW w:w="2261"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《新乡市环境污染防治攻坚指挥部办公室关于印发新乡市加快开展燃气锅炉低氮改造工作实施方案的通知》有关要求</w:t>
                  </w:r>
                </w:p>
              </w:tc>
              <w:tc>
                <w:tcPr>
                  <w:tcW w:w="1890"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450"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对比结论</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6" w:type="pct"/>
                  <w:vMerge w:val="restar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工作要求</w:t>
                  </w:r>
                </w:p>
              </w:tc>
              <w:tc>
                <w:tcPr>
                  <w:tcW w:w="2261" w:type="pct"/>
                  <w:noWrap w:val="0"/>
                  <w:vAlign w:val="center"/>
                </w:tcPr>
                <w:p>
                  <w:pPr>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bidi="ar"/>
                    </w:rPr>
                    <w:t>达标排放要求。燃气锅炉低氮改造后，在基准含氧量3.5%的条件下烟尘、二氧化硫和氮氧化物排放分别达到5mg/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r>
                    <w:rPr>
                      <w:rFonts w:hint="default" w:ascii="Times New Roman" w:hAnsi="Times New Roman" w:cs="Times New Roman"/>
                      <w:bCs/>
                      <w:color w:val="auto"/>
                      <w:sz w:val="18"/>
                      <w:szCs w:val="18"/>
                      <w:highlight w:val="none"/>
                      <w:lang w:bidi="ar"/>
                    </w:rPr>
                    <w:t>、10mg/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r>
                    <w:rPr>
                      <w:rFonts w:hint="default" w:ascii="Times New Roman" w:hAnsi="Times New Roman" w:cs="Times New Roman"/>
                      <w:bCs/>
                      <w:color w:val="auto"/>
                      <w:sz w:val="18"/>
                      <w:szCs w:val="18"/>
                      <w:highlight w:val="none"/>
                      <w:lang w:bidi="ar"/>
                    </w:rPr>
                    <w:t>、30mg/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r>
                    <w:rPr>
                      <w:rFonts w:hint="default" w:ascii="Times New Roman" w:hAnsi="Times New Roman" w:cs="Times New Roman"/>
                      <w:bCs/>
                      <w:color w:val="auto"/>
                      <w:sz w:val="18"/>
                      <w:szCs w:val="18"/>
                      <w:highlight w:val="none"/>
                      <w:lang w:bidi="ar"/>
                    </w:rPr>
                    <w:t>以下,新建燃气锅炉同步安装低氮燃烧装置并达到排放标准要求。</w:t>
                  </w:r>
                </w:p>
              </w:tc>
              <w:tc>
                <w:tcPr>
                  <w:tcW w:w="1890"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工程配备</w:t>
                  </w:r>
                  <w:r>
                    <w:rPr>
                      <w:rFonts w:hint="default" w:ascii="Times New Roman" w:hAnsi="Times New Roman" w:cs="Times New Roman"/>
                      <w:color w:val="auto"/>
                      <w:sz w:val="18"/>
                      <w:szCs w:val="18"/>
                      <w:highlight w:val="none"/>
                      <w:lang w:val="en-US" w:eastAsia="zh-CN"/>
                    </w:rPr>
                    <w:t>1台2t/h燃气</w:t>
                  </w:r>
                  <w:r>
                    <w:rPr>
                      <w:rFonts w:hint="default" w:ascii="Times New Roman" w:hAnsi="Times New Roman" w:cs="Times New Roman"/>
                      <w:color w:val="auto"/>
                      <w:sz w:val="18"/>
                      <w:szCs w:val="18"/>
                      <w:highlight w:val="none"/>
                    </w:rPr>
                    <w:t>锅炉</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燃气锅炉废气采用低氮燃烧+烟气循环技术处理，</w:t>
                  </w:r>
                  <w:r>
                    <w:rPr>
                      <w:rFonts w:hint="default" w:ascii="Times New Roman" w:hAnsi="Times New Roman" w:cs="Times New Roman"/>
                      <w:bCs/>
                      <w:color w:val="auto"/>
                      <w:sz w:val="18"/>
                      <w:szCs w:val="18"/>
                      <w:highlight w:val="none"/>
                      <w:lang w:bidi="ar"/>
                    </w:rPr>
                    <w:t>烟尘、二氧化硫和氮氧化物排放浓度能够达到</w:t>
                  </w:r>
                  <w:r>
                    <w:rPr>
                      <w:rFonts w:hint="default" w:ascii="Times New Roman" w:hAnsi="Times New Roman" w:cs="Times New Roman"/>
                      <w:color w:val="auto"/>
                      <w:sz w:val="18"/>
                      <w:szCs w:val="18"/>
                      <w:highlight w:val="none"/>
                    </w:rPr>
                    <w:t>不高于5、10、30毫克/立方米的要求。</w:t>
                  </w:r>
                </w:p>
              </w:tc>
              <w:tc>
                <w:tcPr>
                  <w:tcW w:w="450"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6" w:type="pct"/>
                  <w:vMerge w:val="continue"/>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p>
              </w:tc>
              <w:tc>
                <w:tcPr>
                  <w:tcW w:w="2261" w:type="pct"/>
                  <w:noWrap w:val="0"/>
                  <w:vAlign w:val="center"/>
                </w:tcPr>
                <w:p>
                  <w:pPr>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bidi="ar"/>
                    </w:rPr>
                    <w:t>数据监管要求。1蒸吨/小时及以上工业企业燃气锅炉要安装大气污染源自动监控设施，并与市监控中心监控平台联网。其它非工业企业燃气锅炉要安装氮氧化物尾气分析仪，现场检查应能够提供至少一年以上排放监测数据。</w:t>
                  </w:r>
                </w:p>
              </w:tc>
              <w:tc>
                <w:tcPr>
                  <w:tcW w:w="1890"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工程配备</w:t>
                  </w:r>
                  <w:r>
                    <w:rPr>
                      <w:rFonts w:hint="default" w:ascii="Times New Roman" w:hAnsi="Times New Roman" w:cs="Times New Roman"/>
                      <w:color w:val="auto"/>
                      <w:sz w:val="18"/>
                      <w:szCs w:val="18"/>
                      <w:highlight w:val="none"/>
                      <w:lang w:val="en-US" w:eastAsia="zh-CN"/>
                    </w:rPr>
                    <w:t>1台2t/h燃气</w:t>
                  </w:r>
                  <w:r>
                    <w:rPr>
                      <w:rFonts w:hint="default" w:ascii="Times New Roman" w:hAnsi="Times New Roman" w:cs="Times New Roman"/>
                      <w:color w:val="auto"/>
                      <w:sz w:val="18"/>
                      <w:szCs w:val="18"/>
                      <w:highlight w:val="none"/>
                    </w:rPr>
                    <w:t>锅炉</w:t>
                  </w:r>
                  <w:r>
                    <w:rPr>
                      <w:rFonts w:hint="default" w:ascii="Times New Roman" w:hAnsi="Times New Roman" w:cs="Times New Roman"/>
                      <w:color w:val="auto"/>
                      <w:sz w:val="18"/>
                      <w:szCs w:val="18"/>
                      <w:highlight w:val="none"/>
                      <w:lang w:bidi="ar"/>
                    </w:rPr>
                    <w:t>，</w:t>
                  </w:r>
                  <w:r>
                    <w:rPr>
                      <w:rFonts w:hint="default" w:ascii="Times New Roman" w:hAnsi="Times New Roman" w:cs="Times New Roman"/>
                      <w:color w:val="auto"/>
                      <w:sz w:val="18"/>
                      <w:szCs w:val="18"/>
                      <w:highlight w:val="none"/>
                      <w:lang w:eastAsia="zh-CN" w:bidi="ar"/>
                    </w:rPr>
                    <w:t>将</w:t>
                  </w:r>
                  <w:r>
                    <w:rPr>
                      <w:rFonts w:hint="default" w:ascii="Times New Roman" w:hAnsi="Times New Roman" w:cs="Times New Roman"/>
                      <w:color w:val="auto"/>
                      <w:sz w:val="18"/>
                      <w:szCs w:val="18"/>
                      <w:highlight w:val="none"/>
                      <w:lang w:bidi="ar"/>
                    </w:rPr>
                    <w:t>安装要求安装大气污染源自动监控设施，并与市监控中心监控平台联网</w:t>
                  </w:r>
                </w:p>
              </w:tc>
              <w:tc>
                <w:tcPr>
                  <w:tcW w:w="450" w:type="pct"/>
                  <w:noWrap w:val="0"/>
                  <w:vAlign w:val="center"/>
                </w:tcPr>
                <w:p>
                  <w:pPr>
                    <w:widowControl w:val="0"/>
                    <w:adjustRightInd/>
                    <w:snapToGrid/>
                    <w:spacing w:line="240" w:lineRule="auto"/>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黑体" w:cs="Times New Roman"/>
                <w:bCs/>
                <w:color w:val="auto"/>
                <w:szCs w:val="28"/>
                <w:highlight w:val="none"/>
              </w:rPr>
            </w:pPr>
            <w:r>
              <w:rPr>
                <w:rFonts w:hint="default" w:ascii="Times New Roman" w:hAnsi="Times New Roman" w:cs="Times New Roman"/>
                <w:bCs/>
                <w:color w:val="auto"/>
                <w:szCs w:val="24"/>
                <w:highlight w:val="none"/>
              </w:rPr>
              <w:t>本项目燃气锅炉采取低氮燃烧+烟气循环技术处理，安装要求安装大气污染源自动监控设施，并与市监控中心监控平台联网。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w:t>
            </w:r>
            <w:r>
              <w:rPr>
                <w:rFonts w:hint="default" w:ascii="Times New Roman" w:hAnsi="Times New Roman" w:cs="Times New Roman"/>
                <w:bCs/>
                <w:color w:val="auto"/>
                <w:szCs w:val="24"/>
                <w:highlight w:val="none"/>
                <w:lang w:val="en-US" w:eastAsia="zh-CN"/>
              </w:rPr>
              <w:t>10</w:t>
            </w:r>
            <w:r>
              <w:rPr>
                <w:rFonts w:hint="default" w:ascii="Times New Roman" w:hAnsi="Times New Roman" w:cs="Times New Roman"/>
                <w:bCs/>
                <w:color w:val="auto"/>
                <w:szCs w:val="24"/>
                <w:highlight w:val="none"/>
              </w:rPr>
              <w:t>）与《新乡市生态环境局关于部署按照工业企业用电量监控系统的通知》（新环[2019]154号）（以下简称用电量监控通知）的对照分析</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eastAsia="黑体" w:cs="Times New Roman"/>
                <w:color w:val="auto"/>
                <w:sz w:val="18"/>
                <w:szCs w:val="18"/>
                <w:highlight w:val="none"/>
                <w:lang w:val="en-US" w:eastAsia="zh-CN"/>
              </w:rPr>
              <w:t>项目与《用电量监控通知》相符性分析</w:t>
            </w:r>
          </w:p>
          <w:tbl>
            <w:tblPr>
              <w:tblStyle w:val="16"/>
              <w:tblW w:w="4999"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4"/>
              <w:gridCol w:w="2989"/>
              <w:gridCol w:w="2500"/>
              <w:gridCol w:w="590"/>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PrEx>
              <w:trPr>
                <w:trHeight w:val="426" w:hRule="atLeast"/>
              </w:trPr>
              <w:tc>
                <w:tcPr>
                  <w:tcW w:w="397" w:type="pct"/>
                  <w:noWrap w:val="0"/>
                  <w:vAlign w:val="center"/>
                </w:tcPr>
                <w:p>
                  <w:pPr>
                    <w:widowControl w:val="0"/>
                    <w:adjustRightInd/>
                    <w:snapToGrid/>
                    <w:spacing w:line="320" w:lineRule="exact"/>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类别</w:t>
                  </w:r>
                </w:p>
              </w:tc>
              <w:tc>
                <w:tcPr>
                  <w:tcW w:w="2262" w:type="pct"/>
                  <w:noWrap w:val="0"/>
                  <w:vAlign w:val="center"/>
                </w:tcPr>
                <w:p>
                  <w:pPr>
                    <w:widowControl w:val="0"/>
                    <w:adjustRightInd/>
                    <w:snapToGrid/>
                    <w:spacing w:line="320" w:lineRule="exact"/>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《新乡市生态环境局关于部署按照工业企业用电量监控系统的通知》有关要求</w:t>
                  </w:r>
                </w:p>
              </w:tc>
              <w:tc>
                <w:tcPr>
                  <w:tcW w:w="1892" w:type="pct"/>
                  <w:noWrap w:val="0"/>
                  <w:vAlign w:val="center"/>
                </w:tcPr>
                <w:p>
                  <w:pPr>
                    <w:widowControl w:val="0"/>
                    <w:adjustRightInd/>
                    <w:snapToGrid/>
                    <w:spacing w:line="320" w:lineRule="exact"/>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447" w:type="pct"/>
                  <w:noWrap w:val="0"/>
                  <w:vAlign w:val="center"/>
                </w:tcPr>
                <w:p>
                  <w:pPr>
                    <w:widowControl w:val="0"/>
                    <w:adjustRightInd/>
                    <w:snapToGrid/>
                    <w:spacing w:line="320" w:lineRule="exact"/>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对比结论</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97" w:type="pct"/>
                  <w:noWrap w:val="0"/>
                  <w:vAlign w:val="center"/>
                </w:tcPr>
                <w:p>
                  <w:pPr>
                    <w:widowControl w:val="0"/>
                    <w:adjustRightInd/>
                    <w:snapToGrid/>
                    <w:spacing w:line="320" w:lineRule="exact"/>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安装范围</w:t>
                  </w:r>
                </w:p>
              </w:tc>
              <w:tc>
                <w:tcPr>
                  <w:tcW w:w="2262" w:type="pct"/>
                  <w:noWrap w:val="0"/>
                  <w:vAlign w:val="center"/>
                </w:tcPr>
                <w:p>
                  <w:pPr>
                    <w:widowControl w:val="0"/>
                    <w:shd w:val="clear" w:color="auto" w:fill="FFFFFF"/>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一批安装部署用电量监控系统的企业为：新乡市辖区内国控、省控、市控重点监控企业、涉VOCs污染排放的企业、铸造行业、建材行业，然后逐步扩展至新乡市辖区内所有排污企业。所有排污企业的总用电控制位置、主要生产设施和污染治理设施必须安装用电量监控系统终端。</w:t>
                  </w:r>
                </w:p>
              </w:tc>
              <w:tc>
                <w:tcPr>
                  <w:tcW w:w="1892" w:type="pct"/>
                  <w:noWrap w:val="0"/>
                  <w:vAlign w:val="center"/>
                </w:tcPr>
                <w:p>
                  <w:pPr>
                    <w:widowControl w:val="0"/>
                    <w:adjustRightInd/>
                    <w:snapToGrid/>
                    <w:spacing w:line="320" w:lineRule="exact"/>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本项目属于用电量监控系统的安装范围，企业应按照要求在总用电控制位置、主要生产设施和污染治理设施安装用电量监控系统终端。</w:t>
                  </w:r>
                </w:p>
              </w:tc>
              <w:tc>
                <w:tcPr>
                  <w:tcW w:w="447" w:type="pct"/>
                  <w:noWrap w:val="0"/>
                  <w:vAlign w:val="center"/>
                </w:tcPr>
                <w:p>
                  <w:pPr>
                    <w:widowControl w:val="0"/>
                    <w:adjustRightInd/>
                    <w:snapToGrid/>
                    <w:spacing w:line="320" w:lineRule="exact"/>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line="360" w:lineRule="auto"/>
              <w:ind w:firstLine="420" w:firstLineChars="20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本项目应按照要求在总用电控制位置、主要生产设施和污染治理设施安装用电量监控系统终端。</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line="360" w:lineRule="auto"/>
              <w:ind w:firstLine="422" w:firstLineChars="200"/>
              <w:jc w:val="left"/>
              <w:textAlignment w:val="auto"/>
              <w:rPr>
                <w:rFonts w:hint="default" w:ascii="Times New Roman" w:hAnsi="Times New Roman" w:eastAsia="黑体" w:cs="Times New Roman"/>
                <w:color w:val="auto"/>
                <w:kern w:val="2"/>
                <w:sz w:val="21"/>
                <w:szCs w:val="21"/>
                <w:highlight w:val="none"/>
              </w:rPr>
            </w:pPr>
            <w:r>
              <w:rPr>
                <w:rFonts w:hint="eastAsia" w:ascii="Times New Roman" w:hAnsi="Times New Roman" w:eastAsia="宋体" w:cs="Times New Roman"/>
                <w:b/>
                <w:bCs/>
                <w:snapToGrid/>
                <w:color w:val="auto"/>
                <w:kern w:val="2"/>
                <w:sz w:val="21"/>
                <w:szCs w:val="24"/>
                <w:highlight w:val="none"/>
                <w:lang w:val="en-US" w:eastAsia="zh-CN" w:bidi="ar-SA"/>
              </w:rPr>
              <w:t>10、</w:t>
            </w:r>
            <w:r>
              <w:rPr>
                <w:rFonts w:hint="default" w:ascii="Times New Roman" w:hAnsi="Times New Roman" w:eastAsia="宋体" w:cs="Times New Roman"/>
                <w:b/>
                <w:bCs/>
                <w:snapToGrid/>
                <w:color w:val="auto"/>
                <w:kern w:val="2"/>
                <w:sz w:val="21"/>
                <w:szCs w:val="24"/>
                <w:highlight w:val="none"/>
                <w:lang w:val="en-US" w:eastAsia="zh-CN" w:bidi="ar-SA"/>
              </w:rPr>
              <w:t>饮用水源保护区规划</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line="360" w:lineRule="auto"/>
              <w:ind w:firstLine="420" w:firstLineChars="200"/>
              <w:jc w:val="left"/>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rPr>
              <w:t>新乡市饮用水源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《新乡市城市饮用水水源地保护区划分报告》（2007.5）已由河南省人民政府以豫政办[2007]125号文批复，具体划分结果见下表。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ascii="Times New Roman" w:hAnsi="Times New Roman" w:eastAsia="黑体" w:cs="Times New Roman"/>
                <w:color w:val="auto"/>
                <w:sz w:val="18"/>
                <w:szCs w:val="18"/>
                <w:highlight w:val="none"/>
                <w:lang w:val="en-US" w:eastAsia="zh-CN"/>
              </w:rPr>
              <w:t>新乡市城市集中饮用水源地</w:t>
            </w:r>
          </w:p>
          <w:tbl>
            <w:tblPr>
              <w:tblStyle w:val="1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253"/>
              <w:gridCol w:w="2538"/>
              <w:gridCol w:w="21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94"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948"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水源地名称</w:t>
                  </w:r>
                </w:p>
              </w:tc>
              <w:tc>
                <w:tcPr>
                  <w:tcW w:w="1922"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一级保护区</w:t>
                  </w:r>
                </w:p>
              </w:tc>
              <w:tc>
                <w:tcPr>
                  <w:tcW w:w="1634"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二级保护区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4"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948" w:type="pct"/>
                  <w:noWrap w:val="0"/>
                  <w:vAlign w:val="center"/>
                </w:tcPr>
                <w:p>
                  <w:pPr>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rPr>
                    <w:t>四水厂地下水饮用水源保护区</w:t>
                  </w:r>
                </w:p>
              </w:tc>
              <w:tc>
                <w:tcPr>
                  <w:tcW w:w="1922"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西曹和东曹村北以北，2号井和11号井连线向北150米以南，22号井向东150米以西，12—1号井西150米以东以及输水管线两侧10米的区域。</w:t>
                  </w:r>
                </w:p>
              </w:tc>
              <w:tc>
                <w:tcPr>
                  <w:tcW w:w="1634"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西曹、中曹村和余庄南及七里营村北以北，西石碑和东石碑村南及高村和西贾城村北以南，21号桥以西，敦留店村西以东的区域。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4"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948"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凤泉水厂地下水饮用水源保护区</w:t>
                  </w:r>
                </w:p>
              </w:tc>
              <w:tc>
                <w:tcPr>
                  <w:tcW w:w="1922"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以水厂东、西两院的院墙为界向外10米以及输水管线两侧10米的区域。</w:t>
                  </w:r>
                </w:p>
              </w:tc>
              <w:tc>
                <w:tcPr>
                  <w:tcW w:w="1634"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东以团结路为界，其他三面以水厂院墙为界，向外100米的区域。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4"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w:t>
                  </w:r>
                </w:p>
              </w:tc>
              <w:tc>
                <w:tcPr>
                  <w:tcW w:w="948"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卫辉市塔岗水库地表水饮用水源保护区</w:t>
                  </w:r>
                </w:p>
              </w:tc>
              <w:tc>
                <w:tcPr>
                  <w:tcW w:w="1922"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取水口外围300米的水域、正常水位线取水口一侧200米的陆域及输水管道两侧10米的陆域。</w:t>
                  </w:r>
                </w:p>
              </w:tc>
              <w:tc>
                <w:tcPr>
                  <w:tcW w:w="1634"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一级保护区外的水域及山脊线内、入库河流上游3000米的陆域。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80" w:hRule="atLeast"/>
              </w:trPr>
              <w:tc>
                <w:tcPr>
                  <w:tcW w:w="494"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w:t>
                  </w:r>
                </w:p>
              </w:tc>
              <w:tc>
                <w:tcPr>
                  <w:tcW w:w="948"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辉县市段屯地下水饮用水源保护区</w:t>
                  </w:r>
                </w:p>
              </w:tc>
              <w:tc>
                <w:tcPr>
                  <w:tcW w:w="1922"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井群外围线以外30米的区域及输水管道两侧10米的陆域。</w:t>
                  </w:r>
                </w:p>
              </w:tc>
              <w:tc>
                <w:tcPr>
                  <w:tcW w:w="1634" w:type="pct"/>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卫柿路以北，东外环路以东，井群外围线外300米以西和以南的区域。</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根据现场调查，项目厂址均不在上述各水源地的保护范围内。</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2" w:firstLineChars="200"/>
              <w:jc w:val="left"/>
              <w:textAlignment w:val="auto"/>
              <w:rPr>
                <w:rFonts w:cs="宋体"/>
                <w:b/>
                <w:kern w:val="0"/>
                <w:szCs w:val="21"/>
                <w:highlight w:val="none"/>
              </w:rPr>
            </w:pPr>
            <w:r>
              <w:rPr>
                <w:rFonts w:hint="eastAsia" w:cs="宋体"/>
                <w:b/>
                <w:kern w:val="0"/>
                <w:szCs w:val="21"/>
                <w:highlight w:val="none"/>
                <w:lang w:val="en-US" w:eastAsia="zh-CN"/>
              </w:rPr>
              <w:t>11、</w:t>
            </w:r>
            <w:r>
              <w:rPr>
                <w:rFonts w:hint="eastAsia" w:cs="宋体"/>
                <w:b/>
                <w:kern w:val="0"/>
                <w:szCs w:val="21"/>
                <w:highlight w:val="none"/>
              </w:rPr>
              <w:t>与“三线一单”相容性判定</w:t>
            </w:r>
          </w:p>
          <w:p>
            <w:pPr>
              <w:keepNext w:val="0"/>
              <w:keepLines w:val="0"/>
              <w:pageBreakBefore w:val="0"/>
              <w:kinsoku/>
              <w:wordWrap/>
              <w:overflowPunct/>
              <w:topLinePunct w:val="0"/>
              <w:bidi w:val="0"/>
              <w:adjustRightInd/>
              <w:snapToGrid/>
              <w:spacing w:line="360" w:lineRule="auto"/>
              <w:ind w:left="0" w:leftChars="0" w:right="0" w:firstLine="480"/>
            </w:pPr>
            <w:r>
              <w:t>河南省人民政府于2020年12月28日以豫政[2020]37号文发布了，《河南省人民政府关于实施</w:t>
            </w:r>
            <w:r>
              <w:rPr>
                <w:rFonts w:hint="eastAsia"/>
              </w:rPr>
              <w:t>“</w:t>
            </w:r>
            <w:r>
              <w:t>三线一单</w:t>
            </w:r>
            <w:r>
              <w:rPr>
                <w:rFonts w:hint="eastAsia"/>
              </w:rPr>
              <w:t>”</w:t>
            </w:r>
            <w:r>
              <w:t>生态环境分区管控的意见》主要内容如下：</w:t>
            </w:r>
          </w:p>
          <w:p>
            <w:pPr>
              <w:keepNext w:val="0"/>
              <w:keepLines w:val="0"/>
              <w:pageBreakBefore w:val="0"/>
              <w:kinsoku/>
              <w:wordWrap/>
              <w:overflowPunct/>
              <w:topLinePunct w:val="0"/>
              <w:bidi w:val="0"/>
              <w:adjustRightInd/>
              <w:snapToGrid/>
              <w:spacing w:line="360" w:lineRule="auto"/>
              <w:ind w:left="0" w:leftChars="0" w:right="0" w:firstLine="480"/>
            </w:pPr>
            <w:r>
              <w:t>（一）划分生态环境管控单元。按照生态保护红线、环境质量底线、资源利用上线等相关要求，划定全省优先保护单元、重点管控单元和一般管控单元三类生态环境管控单元，并实施分类管控。为确保政策协同，划定的各类生态环境管控单元的数量、面积和地域分布依照国土空间规划明确的空间格局、约束性指标等调整确定。</w:t>
            </w:r>
          </w:p>
          <w:p>
            <w:pPr>
              <w:keepNext w:val="0"/>
              <w:keepLines w:val="0"/>
              <w:pageBreakBefore w:val="0"/>
              <w:kinsoku/>
              <w:wordWrap/>
              <w:overflowPunct/>
              <w:topLinePunct w:val="0"/>
              <w:bidi w:val="0"/>
              <w:adjustRightInd/>
              <w:snapToGrid/>
              <w:spacing w:line="360" w:lineRule="auto"/>
              <w:ind w:left="0" w:leftChars="0" w:right="0" w:firstLine="480"/>
            </w:pPr>
            <w:r>
              <w:t>——优先保护单元。指具有一定生态功能、以生态环境保护为主的区域。突出空间用途管控，以生态环境保护优先为原则，依法禁止或限制有关开发建设活动，优先开展生态保护修复，提高生态系统服务功能，确保生态环境功能不降低。</w:t>
            </w:r>
          </w:p>
          <w:p>
            <w:pPr>
              <w:keepNext w:val="0"/>
              <w:keepLines w:val="0"/>
              <w:pageBreakBefore w:val="0"/>
              <w:kinsoku/>
              <w:wordWrap/>
              <w:overflowPunct/>
              <w:topLinePunct w:val="0"/>
              <w:bidi w:val="0"/>
              <w:adjustRightInd/>
              <w:snapToGrid/>
              <w:spacing w:line="360" w:lineRule="auto"/>
              <w:ind w:left="0" w:leftChars="0" w:right="0" w:firstLine="480"/>
            </w:pPr>
            <w:r>
              <w:t>——重点管控单元。指人口密集、资源开发强度较大、污染物排放强度相对较高的区域。主要推动空间布局优化和产业结构转型升级，深化污染治理，提高资源利用效率，减少污染物排放，防控生态环境风险，守住环境质量底线。</w:t>
            </w:r>
          </w:p>
          <w:p>
            <w:pPr>
              <w:keepNext w:val="0"/>
              <w:keepLines w:val="0"/>
              <w:pageBreakBefore w:val="0"/>
              <w:kinsoku/>
              <w:wordWrap/>
              <w:overflowPunct/>
              <w:topLinePunct w:val="0"/>
              <w:bidi w:val="0"/>
              <w:adjustRightInd/>
              <w:snapToGrid/>
              <w:spacing w:line="360" w:lineRule="auto"/>
              <w:ind w:left="0" w:leftChars="0" w:right="0" w:firstLine="480"/>
            </w:pPr>
            <w:r>
              <w:t>——一般管控单元。指除优先保护单元、重点管控单元以外的其他区域。主要落实生态环境保护的基本要求，生态环境状况得到保持或优化。</w:t>
            </w:r>
          </w:p>
          <w:p>
            <w:pPr>
              <w:keepNext w:val="0"/>
              <w:keepLines w:val="0"/>
              <w:pageBreakBefore w:val="0"/>
              <w:kinsoku/>
              <w:wordWrap/>
              <w:overflowPunct/>
              <w:topLinePunct w:val="0"/>
              <w:bidi w:val="0"/>
              <w:adjustRightInd/>
              <w:snapToGrid/>
              <w:spacing w:line="360" w:lineRule="auto"/>
              <w:ind w:left="0" w:leftChars="0" w:right="0" w:firstLine="480"/>
            </w:pPr>
            <w:r>
              <w:t>（二）制定生态环境准入清单。基于生态环境管控单元，统筹考虑生态保护红线、环境质量底线、资源利用上线等要求，从优化空间布局、管控污染物排放、防控生态环境风险、提高资源利用效率等方面提出管控要求，分类制定生态环境准入清单。</w:t>
            </w:r>
          </w:p>
          <w:p>
            <w:pPr>
              <w:keepNext w:val="0"/>
              <w:keepLines w:val="0"/>
              <w:pageBreakBefore w:val="0"/>
              <w:kinsoku/>
              <w:wordWrap/>
              <w:overflowPunct/>
              <w:topLinePunct w:val="0"/>
              <w:autoSpaceDE w:val="0"/>
              <w:autoSpaceDN w:val="0"/>
              <w:bidi w:val="0"/>
              <w:adjustRightInd/>
              <w:snapToGrid/>
              <w:spacing w:line="360" w:lineRule="auto"/>
              <w:ind w:left="0" w:leftChars="0" w:right="0" w:firstLine="420" w:firstLineChars="200"/>
              <w:rPr>
                <w:rFonts w:hint="eastAsia"/>
              </w:rPr>
            </w:pPr>
            <w:r>
              <w:t>建立</w:t>
            </w:r>
            <w:r>
              <w:rPr>
                <w:rFonts w:hint="eastAsia"/>
              </w:rPr>
              <w:t>“</w:t>
            </w:r>
            <w:r>
              <w:t>1+3+4+18+N</w:t>
            </w:r>
            <w:r>
              <w:rPr>
                <w:rFonts w:hint="eastAsia"/>
              </w:rPr>
              <w:t>”</w:t>
            </w:r>
            <w:r>
              <w:t>生态环境准入清单管控体系，</w:t>
            </w:r>
            <w:r>
              <w:rPr>
                <w:rFonts w:hint="eastAsia"/>
              </w:rPr>
              <w:t>“</w:t>
            </w:r>
            <w:r>
              <w:t>1</w:t>
            </w:r>
            <w:r>
              <w:rPr>
                <w:rFonts w:hint="eastAsia"/>
              </w:rPr>
              <w:t>”</w:t>
            </w:r>
            <w:r>
              <w:t>为全省生态环境总体准入要求；</w:t>
            </w:r>
            <w:r>
              <w:rPr>
                <w:rFonts w:hint="eastAsia"/>
              </w:rPr>
              <w:t>“</w:t>
            </w:r>
            <w:r>
              <w:t>3</w:t>
            </w:r>
            <w:r>
              <w:rPr>
                <w:rFonts w:hint="eastAsia"/>
              </w:rPr>
              <w:t>”</w:t>
            </w:r>
            <w:r>
              <w:t>为我省京津冀及周边地区、汾渭平原、苏皖鲁豫交界地区三大重点区域大气生态环境管控要求；</w:t>
            </w:r>
            <w:r>
              <w:rPr>
                <w:rFonts w:hint="eastAsia"/>
              </w:rPr>
              <w:t>“</w:t>
            </w:r>
            <w:r>
              <w:t>4</w:t>
            </w:r>
            <w:r>
              <w:rPr>
                <w:rFonts w:hint="eastAsia"/>
              </w:rPr>
              <w:t>”</w:t>
            </w:r>
            <w:r>
              <w:t>为省辖黄河流域、淮河流域、海河流域、长江流域四大流域水生态环境管控要求；</w:t>
            </w:r>
            <w:r>
              <w:rPr>
                <w:rFonts w:hint="eastAsia"/>
              </w:rPr>
              <w:t>“</w:t>
            </w:r>
            <w:r>
              <w:t>18</w:t>
            </w:r>
            <w:r>
              <w:rPr>
                <w:rFonts w:hint="eastAsia"/>
              </w:rPr>
              <w:t>”</w:t>
            </w:r>
            <w:r>
              <w:t>为省</w:t>
            </w:r>
            <w:r>
              <w:rPr>
                <w:rFonts w:hint="eastAsia"/>
              </w:rPr>
              <w:t>辖市（含济源示范区）生态环境总体准入要求；“N”为生态环境管控单元准入清单。</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cs="Times New Roman"/>
                <w:b/>
                <w:bCs/>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cs="Times New Roman"/>
                <w:b/>
                <w:bCs/>
                <w:color w:val="auto"/>
                <w:highlight w:val="none"/>
                <w:lang w:eastAsia="zh-CN"/>
              </w:rPr>
            </w:pPr>
            <w:r>
              <w:rPr>
                <w:rFonts w:hint="eastAsia" w:cs="Times New Roman"/>
                <w:b/>
                <w:bCs/>
                <w:color w:val="auto"/>
                <w:highlight w:val="none"/>
                <w:lang w:eastAsia="zh-CN"/>
              </w:rPr>
              <w:t>（</w:t>
            </w:r>
            <w:r>
              <w:rPr>
                <w:rFonts w:hint="eastAsia" w:cs="Times New Roman"/>
                <w:b/>
                <w:bCs/>
                <w:color w:val="auto"/>
                <w:highlight w:val="none"/>
                <w:lang w:val="en-US" w:eastAsia="zh-CN"/>
              </w:rPr>
              <w:t>1</w:t>
            </w:r>
            <w:r>
              <w:rPr>
                <w:rFonts w:hint="eastAsia" w:cs="Times New Roman"/>
                <w:b/>
                <w:bCs/>
                <w:color w:val="auto"/>
                <w:highlight w:val="none"/>
                <w:lang w:eastAsia="zh-CN"/>
              </w:rPr>
              <w:t>）生态保护红线</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cs="宋体"/>
                <w:bCs/>
                <w:kern w:val="0"/>
                <w:szCs w:val="21"/>
                <w:highlight w:val="none"/>
              </w:rPr>
            </w:pPr>
            <w:r>
              <w:rPr>
                <w:rFonts w:cs="宋体"/>
                <w:bCs/>
                <w:kern w:val="0"/>
                <w:szCs w:val="21"/>
                <w:highlight w:val="none"/>
              </w:rPr>
              <w:t>通过</w:t>
            </w:r>
            <w:r>
              <w:rPr>
                <w:rFonts w:hint="eastAsia" w:cs="宋体"/>
                <w:bCs/>
                <w:kern w:val="0"/>
                <w:szCs w:val="21"/>
                <w:highlight w:val="none"/>
              </w:rPr>
              <w:t>咨询</w:t>
            </w:r>
            <w:r>
              <w:rPr>
                <w:rFonts w:cs="宋体"/>
                <w:bCs/>
                <w:kern w:val="0"/>
                <w:szCs w:val="21"/>
                <w:highlight w:val="none"/>
              </w:rPr>
              <w:t>相关部门，</w:t>
            </w:r>
            <w:r>
              <w:rPr>
                <w:rFonts w:hint="eastAsia" w:cs="宋体"/>
                <w:bCs/>
                <w:kern w:val="0"/>
                <w:szCs w:val="21"/>
                <w:highlight w:val="none"/>
                <w:lang w:eastAsia="zh-CN"/>
              </w:rPr>
              <w:t>新乡市凤泉区</w:t>
            </w:r>
            <w:r>
              <w:rPr>
                <w:rFonts w:cs="宋体"/>
                <w:bCs/>
                <w:kern w:val="0"/>
                <w:szCs w:val="21"/>
                <w:highlight w:val="none"/>
              </w:rPr>
              <w:t>生态红线尚在制定中，本项目所在区域内</w:t>
            </w:r>
            <w:r>
              <w:rPr>
                <w:rFonts w:hint="eastAsia" w:cs="宋体"/>
                <w:bCs/>
                <w:kern w:val="0"/>
                <w:szCs w:val="21"/>
                <w:highlight w:val="none"/>
              </w:rPr>
              <w:t>尚未</w:t>
            </w:r>
            <w:r>
              <w:rPr>
                <w:rFonts w:cs="宋体"/>
                <w:bCs/>
                <w:kern w:val="0"/>
                <w:szCs w:val="21"/>
                <w:highlight w:val="none"/>
              </w:rPr>
              <w:t>生态红线区域分布。</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cs="宋体"/>
                <w:bCs/>
                <w:kern w:val="0"/>
                <w:szCs w:val="21"/>
                <w:highlight w:val="none"/>
              </w:rPr>
            </w:pPr>
            <w:r>
              <w:rPr>
                <w:rFonts w:hint="eastAsia" w:cs="宋体"/>
                <w:bCs/>
                <w:kern w:val="0"/>
                <w:szCs w:val="21"/>
                <w:highlight w:val="none"/>
              </w:rPr>
              <w:t>本</w:t>
            </w:r>
            <w:r>
              <w:rPr>
                <w:rFonts w:cs="宋体"/>
                <w:bCs/>
                <w:kern w:val="0"/>
                <w:szCs w:val="21"/>
                <w:highlight w:val="none"/>
              </w:rPr>
              <w:t>项目位于</w:t>
            </w:r>
            <w:r>
              <w:rPr>
                <w:rFonts w:hint="eastAsia" w:cs="宋体"/>
                <w:bCs/>
                <w:kern w:val="0"/>
                <w:szCs w:val="21"/>
                <w:highlight w:val="none"/>
                <w:lang w:eastAsia="zh-CN"/>
              </w:rPr>
              <w:t>新乡市凤泉区大块镇小块村西800米</w:t>
            </w:r>
            <w:r>
              <w:rPr>
                <w:rFonts w:hint="eastAsia" w:cs="宋体"/>
                <w:bCs/>
                <w:kern w:val="0"/>
                <w:szCs w:val="21"/>
                <w:highlight w:val="none"/>
              </w:rPr>
              <w:t>，本项目</w:t>
            </w:r>
            <w:r>
              <w:rPr>
                <w:rFonts w:hint="eastAsia" w:cs="宋体"/>
                <w:bCs/>
                <w:kern w:val="0"/>
                <w:szCs w:val="21"/>
                <w:highlight w:val="none"/>
                <w:lang w:val="en-GB"/>
              </w:rPr>
              <w:t>不在当地饮用水源、风景区、自然保护区等生态保护区内，不在环境功能区划等相关文件划定的生态保护红线范围</w:t>
            </w:r>
            <w:r>
              <w:rPr>
                <w:rFonts w:cs="宋体"/>
                <w:bCs/>
                <w:kern w:val="0"/>
                <w:szCs w:val="21"/>
                <w:highlight w:val="none"/>
                <w:lang w:val="en-GB"/>
              </w:rPr>
              <w:t>内</w:t>
            </w:r>
            <w:r>
              <w:rPr>
                <w:rFonts w:hint="eastAsia" w:cs="宋体"/>
                <w:bCs/>
                <w:kern w:val="0"/>
                <w:szCs w:val="21"/>
                <w:highlight w:val="none"/>
                <w:lang w:val="en-GB"/>
              </w:rPr>
              <w:t>，满足生态保护红线要求</w:t>
            </w:r>
            <w:r>
              <w:rPr>
                <w:rFonts w:cs="宋体"/>
                <w:bCs/>
                <w:kern w:val="0"/>
                <w:szCs w:val="21"/>
                <w:highlight w:val="none"/>
              </w:rPr>
              <w:t>。</w:t>
            </w:r>
          </w:p>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firstLine="422" w:firstLineChars="200"/>
              <w:jc w:val="left"/>
              <w:textAlignment w:val="auto"/>
              <w:rPr>
                <w:rFonts w:cs="宋体"/>
                <w:bCs/>
                <w:kern w:val="0"/>
                <w:szCs w:val="21"/>
                <w:highlight w:val="none"/>
              </w:rPr>
            </w:pPr>
            <w:r>
              <w:rPr>
                <w:rFonts w:hint="eastAsia" w:cs="Times New Roman"/>
                <w:b/>
                <w:bCs/>
                <w:color w:val="auto"/>
                <w:highlight w:val="none"/>
                <w:lang w:eastAsia="zh-CN"/>
              </w:rPr>
              <w:t>环境质量底线</w:t>
            </w:r>
          </w:p>
          <w:p>
            <w:pPr>
              <w:keepNext w:val="0"/>
              <w:keepLines w:val="0"/>
              <w:pageBreakBefore w:val="0"/>
              <w:kinsoku/>
              <w:wordWrap/>
              <w:overflowPunct/>
              <w:topLinePunct w:val="0"/>
              <w:bidi w:val="0"/>
              <w:adjustRightInd/>
              <w:snapToGrid/>
              <w:spacing w:line="360" w:lineRule="auto"/>
              <w:ind w:left="0" w:leftChars="0" w:right="0" w:firstLine="420" w:firstLineChars="200"/>
              <w:rPr>
                <w:rFonts w:hint="eastAsia"/>
                <w:szCs w:val="21"/>
                <w:highlight w:val="none"/>
              </w:rPr>
            </w:pPr>
            <w:r>
              <w:rPr>
                <w:rFonts w:hint="eastAsia"/>
                <w:szCs w:val="21"/>
                <w:highlight w:val="none"/>
              </w:rPr>
              <w:t>本次评价针对评价范围内进行了大气、地表水的环境质量现状监测。</w:t>
            </w:r>
          </w:p>
          <w:p>
            <w:pPr>
              <w:keepNext w:val="0"/>
              <w:keepLines w:val="0"/>
              <w:pageBreakBefore w:val="0"/>
              <w:kinsoku/>
              <w:wordWrap/>
              <w:overflowPunct/>
              <w:topLinePunct w:val="0"/>
              <w:bidi w:val="0"/>
              <w:adjustRightInd/>
              <w:snapToGrid/>
              <w:spacing w:line="360" w:lineRule="auto"/>
              <w:ind w:left="0" w:leftChars="0" w:right="0" w:firstLine="420" w:firstLineChars="200"/>
              <w:rPr>
                <w:rFonts w:hint="eastAsia"/>
                <w:szCs w:val="21"/>
                <w:highlight w:val="none"/>
              </w:rPr>
            </w:pPr>
            <w:r>
              <w:rPr>
                <w:rFonts w:hint="eastAsia"/>
                <w:szCs w:val="21"/>
                <w:highlight w:val="none"/>
              </w:rPr>
              <w:t>①大气</w:t>
            </w:r>
          </w:p>
          <w:p>
            <w:pPr>
              <w:keepNext w:val="0"/>
              <w:keepLines w:val="0"/>
              <w:pageBreakBefore w:val="0"/>
              <w:widowControl w:val="0"/>
              <w:kinsoku/>
              <w:overflowPunct/>
              <w:topLinePunct w:val="0"/>
              <w:bidi w:val="0"/>
              <w:adjustRightInd/>
              <w:snapToGrid/>
              <w:spacing w:line="360" w:lineRule="auto"/>
              <w:ind w:firstLine="420" w:firstLineChars="200"/>
              <w:rPr>
                <w:rFonts w:hint="eastAsia"/>
                <w:szCs w:val="21"/>
                <w:highlight w:val="none"/>
                <w:lang w:val="de-DE"/>
              </w:rPr>
            </w:pPr>
            <w:r>
              <w:rPr>
                <w:rFonts w:hint="default" w:ascii="Times New Roman" w:hAnsi="Times New Roman" w:cs="Times New Roman"/>
                <w:color w:val="auto"/>
                <w:sz w:val="21"/>
                <w:szCs w:val="21"/>
                <w:highlight w:val="none"/>
              </w:rPr>
              <w:t>根据新乡市生态环境局发布的《新乡市</w:t>
            </w:r>
            <w:r>
              <w:rPr>
                <w:rFonts w:hint="default" w:ascii="Times New Roman" w:hAnsi="Times New Roman" w:cs="Times New Roman"/>
                <w:color w:val="auto"/>
                <w:sz w:val="21"/>
                <w:szCs w:val="21"/>
                <w:highlight w:val="none"/>
                <w:lang w:val="en-US" w:eastAsia="zh-CN"/>
              </w:rPr>
              <w:t>2019</w:t>
            </w:r>
            <w:r>
              <w:rPr>
                <w:rFonts w:hint="default" w:ascii="Times New Roman" w:hAnsi="Times New Roman" w:cs="Times New Roman"/>
                <w:color w:val="auto"/>
                <w:sz w:val="21"/>
                <w:szCs w:val="21"/>
                <w:highlight w:val="none"/>
              </w:rPr>
              <w:t>年环境质量年报》</w:t>
            </w:r>
            <w:r>
              <w:rPr>
                <w:rFonts w:hint="eastAsia"/>
                <w:szCs w:val="21"/>
                <w:highlight w:val="none"/>
              </w:rPr>
              <w:t>，</w:t>
            </w:r>
            <w:r>
              <w:rPr>
                <w:szCs w:val="21"/>
                <w:highlight w:val="none"/>
              </w:rPr>
              <w:t>项目所在区域SO</w:t>
            </w:r>
            <w:r>
              <w:rPr>
                <w:szCs w:val="21"/>
                <w:highlight w:val="none"/>
                <w:vertAlign w:val="subscript"/>
              </w:rPr>
              <w:t>2</w:t>
            </w:r>
            <w:r>
              <w:rPr>
                <w:szCs w:val="21"/>
                <w:highlight w:val="none"/>
              </w:rPr>
              <w:t>年均浓度、CO24h平均浓度均可满足《环境空气质量标准》（GB3095-2012）二级标准，</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bscript"/>
                <w:lang w:eastAsia="zh-CN"/>
              </w:rPr>
              <w:t>2</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vertAlign w:val="baseline"/>
                <w:lang w:eastAsia="zh-CN"/>
              </w:rPr>
              <w:t>和</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均不能够满足《环境空气质量标准》（GB3095-2012）二级标准要求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本项目所在区域属于不达标区</w:t>
            </w:r>
            <w:r>
              <w:rPr>
                <w:szCs w:val="21"/>
                <w:highlight w:val="none"/>
              </w:rPr>
              <w:t>。</w:t>
            </w:r>
            <w:r>
              <w:rPr>
                <w:rFonts w:hint="eastAsia"/>
                <w:szCs w:val="21"/>
                <w:highlight w:val="none"/>
                <w:lang w:val="de-DE"/>
              </w:rPr>
              <w:t>本项目实施了较为严格的大气污染防治措施，提出了区域削减源措施，环境影响满足区域环境质量改善目标。</w:t>
            </w:r>
          </w:p>
          <w:p>
            <w:pPr>
              <w:keepNext w:val="0"/>
              <w:keepLines w:val="0"/>
              <w:pageBreakBefore w:val="0"/>
              <w:kinsoku/>
              <w:wordWrap/>
              <w:overflowPunct/>
              <w:topLinePunct w:val="0"/>
              <w:bidi w:val="0"/>
              <w:adjustRightInd/>
              <w:snapToGrid/>
              <w:spacing w:line="360" w:lineRule="auto"/>
              <w:ind w:left="0" w:leftChars="0" w:right="0" w:firstLine="420" w:firstLineChars="200"/>
              <w:rPr>
                <w:rFonts w:hint="eastAsia"/>
                <w:szCs w:val="21"/>
                <w:highlight w:val="none"/>
              </w:rPr>
            </w:pPr>
            <w:r>
              <w:rPr>
                <w:rFonts w:hint="eastAsia" w:ascii="宋体" w:hAnsi="宋体" w:cs="宋体"/>
                <w:szCs w:val="21"/>
                <w:highlight w:val="none"/>
              </w:rPr>
              <w:t>②</w:t>
            </w:r>
            <w:r>
              <w:rPr>
                <w:rFonts w:hint="eastAsia"/>
                <w:szCs w:val="21"/>
                <w:highlight w:val="none"/>
              </w:rPr>
              <w:t>地表水</w:t>
            </w:r>
          </w:p>
          <w:p>
            <w:pPr>
              <w:keepNext w:val="0"/>
              <w:keepLines w:val="0"/>
              <w:pageBreakBefore w:val="0"/>
              <w:kinsoku/>
              <w:wordWrap/>
              <w:overflowPunct/>
              <w:topLinePunct w:val="0"/>
              <w:bidi w:val="0"/>
              <w:adjustRightInd/>
              <w:snapToGrid/>
              <w:spacing w:line="360" w:lineRule="auto"/>
              <w:ind w:left="0" w:leftChars="0" w:right="0" w:firstLine="420" w:firstLineChars="200"/>
              <w:rPr>
                <w:kern w:val="0"/>
                <w:szCs w:val="21"/>
                <w:highlight w:val="none"/>
                <w:lang w:bidi="ar"/>
              </w:rPr>
            </w:pPr>
            <w:r>
              <w:rPr>
                <w:rFonts w:hint="default" w:ascii="Times New Roman" w:hAnsi="Times New Roman" w:cs="Times New Roman"/>
                <w:color w:val="auto"/>
                <w:sz w:val="21"/>
                <w:szCs w:val="21"/>
                <w:highlight w:val="none"/>
                <w:lang w:eastAsia="zh-CN"/>
              </w:rPr>
              <w:t>距离本项目最近的地表水体为西南侧1110m处民生渠，该河流最终汇入共产主义渠内，根据水环境功能区划分，其规划水体功能为V类。</w:t>
            </w:r>
            <w:r>
              <w:rPr>
                <w:rFonts w:hint="eastAsia" w:cs="Times New Roman"/>
                <w:color w:val="auto"/>
                <w:sz w:val="21"/>
                <w:szCs w:val="21"/>
                <w:highlight w:val="none"/>
                <w:lang w:eastAsia="zh-CN"/>
              </w:rPr>
              <w:t>根据</w:t>
            </w:r>
            <w:r>
              <w:rPr>
                <w:rFonts w:hint="default" w:ascii="Times New Roman" w:hAnsi="Times New Roman" w:cs="Times New Roman"/>
                <w:color w:val="auto"/>
                <w:sz w:val="21"/>
                <w:szCs w:val="21"/>
                <w:highlight w:val="none"/>
                <w:lang w:eastAsia="zh-CN"/>
              </w:rPr>
              <w:t>新乡市</w:t>
            </w:r>
            <w:r>
              <w:rPr>
                <w:rFonts w:hint="eastAsia" w:cs="Times New Roman"/>
                <w:color w:val="auto"/>
                <w:sz w:val="21"/>
                <w:szCs w:val="21"/>
                <w:highlight w:val="none"/>
                <w:lang w:eastAsia="zh-CN"/>
              </w:rPr>
              <w:t>生态环境局公布的</w:t>
            </w:r>
            <w:r>
              <w:rPr>
                <w:rFonts w:hint="eastAsia" w:cs="Times New Roman"/>
                <w:color w:val="auto"/>
                <w:sz w:val="21"/>
                <w:szCs w:val="21"/>
                <w:highlight w:val="none"/>
                <w:lang w:val="en-US" w:eastAsia="zh-CN"/>
              </w:rPr>
              <w:t>2020年第9期~第11期新乡市地表水环境责任目标断面水质月报中卫辉下马营断面水质监测数据，区域COD、NH</w:t>
            </w:r>
            <w:r>
              <w:rPr>
                <w:rFonts w:hint="eastAsia" w:cs="Times New Roman"/>
                <w:color w:val="auto"/>
                <w:sz w:val="21"/>
                <w:szCs w:val="21"/>
                <w:highlight w:val="none"/>
                <w:vertAlign w:val="subscript"/>
                <w:lang w:val="en-US" w:eastAsia="zh-CN"/>
              </w:rPr>
              <w:t>3</w:t>
            </w:r>
            <w:r>
              <w:rPr>
                <w:rFonts w:hint="eastAsia" w:cs="Times New Roman"/>
                <w:color w:val="auto"/>
                <w:sz w:val="21"/>
                <w:szCs w:val="21"/>
                <w:highlight w:val="none"/>
                <w:lang w:val="en-US" w:eastAsia="zh-CN"/>
              </w:rPr>
              <w:t>-N、总磷</w:t>
            </w:r>
            <w:r>
              <w:rPr>
                <w:rFonts w:hint="default" w:ascii="Times New Roman" w:hAnsi="Times New Roman" w:cs="Times New Roman"/>
                <w:color w:val="auto"/>
                <w:sz w:val="21"/>
                <w:szCs w:val="21"/>
                <w:highlight w:val="none"/>
              </w:rPr>
              <w:t>水质能够满足《地表水环境质量标准》（GB3838-2002）IV类水质要求</w:t>
            </w:r>
            <w:r>
              <w:rPr>
                <w:rFonts w:hint="eastAsia"/>
                <w:kern w:val="0"/>
                <w:szCs w:val="21"/>
                <w:highlight w:val="none"/>
                <w:lang w:bidi="ar"/>
              </w:rPr>
              <w:t>。</w:t>
            </w:r>
            <w:r>
              <w:rPr>
                <w:kern w:val="0"/>
                <w:szCs w:val="21"/>
                <w:highlight w:val="none"/>
                <w:lang w:bidi="ar"/>
              </w:rPr>
              <w:t>本项目</w:t>
            </w:r>
            <w:r>
              <w:rPr>
                <w:rFonts w:hint="eastAsia"/>
                <w:kern w:val="0"/>
                <w:szCs w:val="21"/>
                <w:highlight w:val="none"/>
                <w:lang w:eastAsia="zh-CN" w:bidi="ar"/>
              </w:rPr>
              <w:t>废水均不外排</w:t>
            </w:r>
            <w:r>
              <w:rPr>
                <w:rFonts w:hint="eastAsia"/>
                <w:kern w:val="0"/>
                <w:szCs w:val="21"/>
                <w:highlight w:val="none"/>
                <w:lang w:bidi="ar"/>
              </w:rPr>
              <w:t>，</w:t>
            </w:r>
            <w:r>
              <w:rPr>
                <w:kern w:val="0"/>
                <w:szCs w:val="21"/>
                <w:highlight w:val="none"/>
                <w:lang w:bidi="ar"/>
              </w:rPr>
              <w:t>故本项目对区域水环境质量的影响较小。</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cs="Times New Roman"/>
                <w:b/>
                <w:bCs/>
                <w:color w:val="auto"/>
                <w:highlight w:val="none"/>
                <w:lang w:eastAsia="zh-CN"/>
              </w:rPr>
            </w:pPr>
            <w:r>
              <w:rPr>
                <w:rFonts w:hint="eastAsia" w:cs="Times New Roman"/>
                <w:b/>
                <w:bCs/>
                <w:color w:val="auto"/>
                <w:highlight w:val="none"/>
                <w:lang w:eastAsia="zh-CN"/>
              </w:rPr>
              <w:t>（</w:t>
            </w:r>
            <w:r>
              <w:rPr>
                <w:rFonts w:hint="eastAsia" w:cs="Times New Roman"/>
                <w:b/>
                <w:bCs/>
                <w:color w:val="auto"/>
                <w:highlight w:val="none"/>
                <w:lang w:val="en-US" w:eastAsia="zh-CN"/>
              </w:rPr>
              <w:t>3</w:t>
            </w:r>
            <w:r>
              <w:rPr>
                <w:rFonts w:hint="eastAsia" w:cs="Times New Roman"/>
                <w:b/>
                <w:bCs/>
                <w:color w:val="auto"/>
                <w:highlight w:val="none"/>
                <w:lang w:eastAsia="zh-CN"/>
              </w:rPr>
              <w:t>）资源利用上线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s="Times New Roman"/>
                <w:b w:val="0"/>
                <w:bCs w:val="0"/>
                <w:color w:val="auto"/>
                <w:highlight w:val="none"/>
                <w:lang w:eastAsia="zh-CN"/>
              </w:rPr>
            </w:pPr>
            <w:r>
              <w:rPr>
                <w:rFonts w:hint="eastAsia" w:cs="Times New Roman"/>
                <w:b w:val="0"/>
                <w:bCs w:val="0"/>
                <w:color w:val="auto"/>
                <w:highlight w:val="none"/>
                <w:lang w:eastAsia="zh-CN"/>
              </w:rPr>
              <w:t>本项目废气、噪声排放不改变区域环境质量功能区划，环境影响可接受。在落实本次评价提出的防渗措施后，日常管理到位、地下水监测井例行监测到位的条件下，可以有效避免非正常工况对周边地下水的影响。经预测，项目对周边大气环境、地表水环境、地下水环境、声环境、土壤环境影响均可接受。</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cs="Times New Roman"/>
                <w:b/>
                <w:bCs/>
                <w:color w:val="auto"/>
                <w:highlight w:val="none"/>
                <w:lang w:eastAsia="zh-CN"/>
              </w:rPr>
            </w:pPr>
            <w:r>
              <w:rPr>
                <w:rFonts w:hint="eastAsia" w:cs="Times New Roman"/>
                <w:b/>
                <w:bCs/>
                <w:color w:val="auto"/>
                <w:highlight w:val="none"/>
                <w:lang w:eastAsia="zh-CN"/>
              </w:rPr>
              <w:t>（</w:t>
            </w:r>
            <w:r>
              <w:rPr>
                <w:rFonts w:hint="eastAsia" w:cs="Times New Roman"/>
                <w:b/>
                <w:bCs/>
                <w:color w:val="auto"/>
                <w:highlight w:val="none"/>
                <w:lang w:val="en-US" w:eastAsia="zh-CN"/>
              </w:rPr>
              <w:t>4</w:t>
            </w:r>
            <w:r>
              <w:rPr>
                <w:rFonts w:hint="eastAsia" w:cs="Times New Roman"/>
                <w:b/>
                <w:bCs/>
                <w:color w:val="auto"/>
                <w:highlight w:val="none"/>
                <w:lang w:eastAsia="zh-CN"/>
              </w:rPr>
              <w:t>）生态环境准入清单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s="Times New Roman"/>
                <w:b w:val="0"/>
                <w:bCs w:val="0"/>
                <w:color w:val="auto"/>
                <w:highlight w:val="none"/>
                <w:lang w:eastAsia="zh-CN"/>
              </w:rPr>
            </w:pPr>
            <w:r>
              <w:rPr>
                <w:rFonts w:hint="eastAsia" w:cs="Times New Roman"/>
                <w:b w:val="0"/>
                <w:bCs w:val="0"/>
                <w:color w:val="auto"/>
                <w:highlight w:val="none"/>
                <w:lang w:eastAsia="zh-CN"/>
              </w:rPr>
              <w:t>本项目与新乡市凤泉区大块镇生态环境准入清单对照情况如下：</w:t>
            </w:r>
            <w:r>
              <w:rPr>
                <w:rFonts w:hint="eastAsia" w:cs="Times New Roman"/>
                <w:b w:val="0"/>
                <w:bCs w:val="0"/>
                <w:color w:val="auto"/>
                <w:highlight w:val="none"/>
                <w:lang w:eastAsia="zh-CN"/>
              </w:rPr>
              <w:br w:type="textWrapping"/>
            </w:r>
            <w:r>
              <w:rPr>
                <w:rFonts w:hint="eastAsia" w:cs="Times New Roman"/>
                <w:b w:val="0"/>
                <w:bCs w:val="0"/>
                <w:color w:val="auto"/>
                <w:highlight w:val="none"/>
                <w:lang w:eastAsia="zh-CN"/>
              </w:rPr>
              <w:br w:type="textWrapping"/>
            </w:r>
            <w:r>
              <w:rPr>
                <w:rFonts w:hint="eastAsia" w:cs="Times New Roman"/>
                <w:b w:val="0"/>
                <w:bCs w:val="0"/>
                <w:color w:val="auto"/>
                <w:highlight w:val="none"/>
                <w:lang w:eastAsia="zh-CN"/>
              </w:rPr>
              <w:br w:type="textWrapp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ascii="Times New Roman" w:hAnsi="Times New Roman" w:eastAsia="黑体" w:cs="Times New Roman"/>
                <w:color w:val="auto"/>
                <w:sz w:val="18"/>
                <w:szCs w:val="18"/>
                <w:highlight w:val="none"/>
                <w:lang w:val="en-US" w:eastAsia="zh-CN"/>
              </w:rPr>
              <w:t>项目与</w:t>
            </w:r>
            <w:r>
              <w:rPr>
                <w:rFonts w:hint="eastAsia" w:eastAsia="黑体" w:cs="Times New Roman"/>
                <w:color w:val="auto"/>
                <w:sz w:val="18"/>
                <w:szCs w:val="18"/>
                <w:highlight w:val="none"/>
                <w:lang w:val="en-US" w:eastAsia="zh-CN"/>
              </w:rPr>
              <w:t>新乡市凤泉区</w:t>
            </w:r>
            <w:r>
              <w:rPr>
                <w:rFonts w:hint="eastAsia" w:ascii="Times New Roman" w:hAnsi="Times New Roman" w:eastAsia="黑体" w:cs="Times New Roman"/>
                <w:color w:val="auto"/>
                <w:sz w:val="18"/>
                <w:szCs w:val="18"/>
                <w:highlight w:val="none"/>
                <w:lang w:val="en-US" w:eastAsia="zh-CN"/>
              </w:rPr>
              <w:t>生态环境准入清单对照情况</w:t>
            </w:r>
          </w:p>
          <w:tbl>
            <w:tblPr>
              <w:tblStyle w:val="16"/>
              <w:tblW w:w="66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5"/>
              <w:gridCol w:w="472"/>
              <w:gridCol w:w="472"/>
              <w:gridCol w:w="472"/>
              <w:gridCol w:w="563"/>
              <w:gridCol w:w="2434"/>
              <w:gridCol w:w="16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07" w:hRule="atLeast"/>
                <w:jc w:val="center"/>
              </w:trPr>
              <w:tc>
                <w:tcPr>
                  <w:tcW w:w="462" w:type="pct"/>
                  <w:tcBorders>
                    <w:tl2br w:val="nil"/>
                    <w:tr2bl w:val="nil"/>
                  </w:tcBorders>
                  <w:vAlign w:val="center"/>
                </w:tcPr>
                <w:p>
                  <w:pPr>
                    <w:pStyle w:val="30"/>
                    <w:jc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环境管控单元编码</w:t>
                  </w:r>
                </w:p>
              </w:tc>
              <w:tc>
                <w:tcPr>
                  <w:tcW w:w="354" w:type="pct"/>
                  <w:tcBorders>
                    <w:tl2br w:val="nil"/>
                    <w:tr2bl w:val="nil"/>
                  </w:tcBorders>
                  <w:vAlign w:val="center"/>
                </w:tcPr>
                <w:p>
                  <w:pPr>
                    <w:pStyle w:val="30"/>
                    <w:jc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环境管控单元名称</w:t>
                  </w:r>
                </w:p>
              </w:tc>
              <w:tc>
                <w:tcPr>
                  <w:tcW w:w="354" w:type="pct"/>
                  <w:tcBorders>
                    <w:tl2br w:val="nil"/>
                    <w:tr2bl w:val="nil"/>
                  </w:tcBorders>
                  <w:vAlign w:val="center"/>
                </w:tcPr>
                <w:p>
                  <w:pPr>
                    <w:pStyle w:val="30"/>
                    <w:jc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管控单元分类</w:t>
                  </w:r>
                </w:p>
              </w:tc>
              <w:tc>
                <w:tcPr>
                  <w:tcW w:w="354" w:type="pct"/>
                  <w:tcBorders>
                    <w:tl2br w:val="nil"/>
                    <w:tr2bl w:val="nil"/>
                  </w:tcBorders>
                  <w:vAlign w:val="center"/>
                </w:tcPr>
                <w:p>
                  <w:pPr>
                    <w:pStyle w:val="30"/>
                    <w:jc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环境要素类别</w:t>
                  </w:r>
                </w:p>
              </w:tc>
              <w:tc>
                <w:tcPr>
                  <w:tcW w:w="2251" w:type="pct"/>
                  <w:gridSpan w:val="2"/>
                  <w:tcBorders>
                    <w:tl2br w:val="nil"/>
                    <w:tr2bl w:val="nil"/>
                  </w:tcBorders>
                  <w:vAlign w:val="center"/>
                </w:tcPr>
                <w:p>
                  <w:pPr>
                    <w:pStyle w:val="30"/>
                    <w:jc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管控要求</w:t>
                  </w:r>
                </w:p>
              </w:tc>
              <w:tc>
                <w:tcPr>
                  <w:tcW w:w="1222" w:type="pct"/>
                  <w:tcBorders>
                    <w:tl2br w:val="nil"/>
                    <w:tr2bl w:val="nil"/>
                  </w:tcBorders>
                  <w:vAlign w:val="center"/>
                </w:tcPr>
                <w:p>
                  <w:pPr>
                    <w:pStyle w:val="30"/>
                    <w:jc w:val="center"/>
                    <w:rPr>
                      <w:rFonts w:hint="default" w:ascii="Times New Roman" w:hAnsi="Times New Roman" w:eastAsia="仿宋" w:cs="Times New Roman"/>
                      <w:b w:val="0"/>
                      <w:bCs w:val="0"/>
                      <w:color w:val="auto"/>
                      <w:sz w:val="18"/>
                      <w:szCs w:val="18"/>
                      <w:highlight w:val="none"/>
                      <w:lang w:eastAsia="zh-CN"/>
                    </w:rPr>
                  </w:pPr>
                  <w:r>
                    <w:rPr>
                      <w:rFonts w:hint="default" w:ascii="Times New Roman" w:hAnsi="Times New Roman" w:cs="Times New Roman"/>
                      <w:b w:val="0"/>
                      <w:bCs w:val="0"/>
                      <w:color w:val="auto"/>
                      <w:sz w:val="18"/>
                      <w:szCs w:val="18"/>
                      <w:highlight w:val="none"/>
                      <w:lang w:eastAsia="zh-CN"/>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2" w:type="pct"/>
                  <w:vMerge w:val="restart"/>
                  <w:tcBorders>
                    <w:tl2br w:val="nil"/>
                    <w:tr2bl w:val="nil"/>
                  </w:tcBorders>
                  <w:vAlign w:val="center"/>
                </w:tcPr>
                <w:p>
                  <w:pPr>
                    <w:pStyle w:val="30"/>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ZH41070420002</w:t>
                  </w:r>
                </w:p>
              </w:tc>
              <w:tc>
                <w:tcPr>
                  <w:tcW w:w="354" w:type="pct"/>
                  <w:vMerge w:val="restart"/>
                  <w:tcBorders>
                    <w:tl2br w:val="nil"/>
                    <w:tr2bl w:val="nil"/>
                  </w:tcBorders>
                  <w:vAlign w:val="center"/>
                </w:tcPr>
                <w:p>
                  <w:pPr>
                    <w:pStyle w:val="30"/>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凤泉区大气高排放区</w:t>
                  </w:r>
                </w:p>
              </w:tc>
              <w:tc>
                <w:tcPr>
                  <w:tcW w:w="354" w:type="pct"/>
                  <w:vMerge w:val="restart"/>
                  <w:tcBorders>
                    <w:tl2br w:val="nil"/>
                    <w:tr2bl w:val="nil"/>
                  </w:tcBorders>
                  <w:vAlign w:val="center"/>
                </w:tcPr>
                <w:p>
                  <w:pPr>
                    <w:pStyle w:val="30"/>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重点管控单元2</w:t>
                  </w:r>
                </w:p>
              </w:tc>
              <w:tc>
                <w:tcPr>
                  <w:tcW w:w="354" w:type="pct"/>
                  <w:vMerge w:val="restart"/>
                  <w:tcBorders>
                    <w:tl2br w:val="nil"/>
                    <w:tr2bl w:val="nil"/>
                  </w:tcBorders>
                  <w:vAlign w:val="center"/>
                </w:tcPr>
                <w:p>
                  <w:pPr>
                    <w:pStyle w:val="30"/>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大气高排放区、大气布局敏感区、大气弱扩散区、建设用地重点管控区</w:t>
                  </w:r>
                </w:p>
              </w:tc>
              <w:tc>
                <w:tcPr>
                  <w:tcW w:w="422" w:type="pct"/>
                  <w:tcBorders>
                    <w:tl2br w:val="nil"/>
                    <w:tr2bl w:val="nil"/>
                  </w:tcBorders>
                  <w:vAlign w:val="center"/>
                </w:tcPr>
                <w:p>
                  <w:pPr>
                    <w:pStyle w:val="30"/>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空间布局约束</w:t>
                  </w:r>
                </w:p>
              </w:tc>
              <w:tc>
                <w:tcPr>
                  <w:tcW w:w="1828" w:type="pct"/>
                  <w:tcBorders>
                    <w:tl2br w:val="nil"/>
                    <w:tr2bl w:val="nil"/>
                  </w:tcBorders>
                  <w:vAlign w:val="center"/>
                </w:tcPr>
                <w:p>
                  <w:pPr>
                    <w:pStyle w:val="31"/>
                    <w:jc w:val="both"/>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1、淘汰不符合国家产业政策的涉重行业企业生产工艺装备。鼓励产能严重过剩行业的涉重金属排放企业主动退出市场。</w:t>
                  </w:r>
                </w:p>
                <w:p>
                  <w:pPr>
                    <w:pStyle w:val="30"/>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2、对列入疑似污染地块名单的地块，未经土壤污染状况调查确定为未污染地块的，不得进入用地程序，自然资源部门不得核发建设工程规划许可证。</w:t>
                  </w:r>
                </w:p>
              </w:tc>
              <w:tc>
                <w:tcPr>
                  <w:tcW w:w="1222" w:type="pct"/>
                  <w:tcBorders>
                    <w:tl2br w:val="nil"/>
                    <w:tr2bl w:val="nil"/>
                  </w:tcBorders>
                  <w:vAlign w:val="center"/>
                </w:tcPr>
                <w:p>
                  <w:pPr>
                    <w:pStyle w:val="30"/>
                    <w:rPr>
                      <w:rFonts w:hint="eastAsia" w:ascii="Times New Roman" w:hAnsi="Times New Roman" w:eastAsia="宋体" w:cs="Times New Roman"/>
                      <w:b w:val="0"/>
                      <w:bCs w:val="0"/>
                      <w:color w:val="auto"/>
                      <w:sz w:val="18"/>
                      <w:szCs w:val="18"/>
                      <w:lang w:eastAsia="zh-CN"/>
                    </w:rPr>
                  </w:pPr>
                  <w:r>
                    <w:rPr>
                      <w:rFonts w:hint="eastAsia" w:cs="Times New Roman"/>
                      <w:b w:val="0"/>
                      <w:bCs w:val="0"/>
                      <w:color w:val="auto"/>
                      <w:sz w:val="18"/>
                      <w:szCs w:val="18"/>
                      <w:lang w:eastAsia="zh-CN"/>
                    </w:rPr>
                    <w:t>本项目属于其他食品制造，不属涉重行和产能过程行业，项目租用现有已建空厂区建设，无新增用地，不在</w:t>
                  </w:r>
                  <w:r>
                    <w:rPr>
                      <w:rFonts w:hint="default" w:ascii="Times New Roman" w:hAnsi="Times New Roman" w:cs="Times New Roman"/>
                      <w:b w:val="0"/>
                      <w:bCs w:val="0"/>
                      <w:color w:val="auto"/>
                      <w:sz w:val="18"/>
                      <w:szCs w:val="18"/>
                    </w:rPr>
                    <w:t>疑似污染地块名单的地块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2" w:type="pct"/>
                  <w:vMerge w:val="continue"/>
                  <w:tcBorders>
                    <w:tl2br w:val="nil"/>
                    <w:tr2bl w:val="nil"/>
                  </w:tcBorders>
                  <w:vAlign w:val="center"/>
                </w:tcPr>
                <w:p>
                  <w:pPr>
                    <w:pStyle w:val="30"/>
                    <w:jc w:val="center"/>
                    <w:rPr>
                      <w:rFonts w:hint="default" w:ascii="Times New Roman" w:hAnsi="Times New Roman" w:cs="Times New Roman"/>
                      <w:b w:val="0"/>
                      <w:bCs w:val="0"/>
                      <w:color w:val="auto"/>
                      <w:sz w:val="18"/>
                      <w:szCs w:val="18"/>
                    </w:rPr>
                  </w:pPr>
                </w:p>
              </w:tc>
              <w:tc>
                <w:tcPr>
                  <w:tcW w:w="354" w:type="pct"/>
                  <w:vMerge w:val="continue"/>
                  <w:tcBorders>
                    <w:tl2br w:val="nil"/>
                    <w:tr2bl w:val="nil"/>
                  </w:tcBorders>
                  <w:vAlign w:val="center"/>
                </w:tcPr>
                <w:p>
                  <w:pPr>
                    <w:pStyle w:val="30"/>
                    <w:jc w:val="center"/>
                    <w:rPr>
                      <w:rFonts w:hint="default" w:ascii="Times New Roman" w:hAnsi="Times New Roman" w:cs="Times New Roman"/>
                      <w:b w:val="0"/>
                      <w:bCs w:val="0"/>
                      <w:color w:val="auto"/>
                      <w:sz w:val="18"/>
                      <w:szCs w:val="18"/>
                    </w:rPr>
                  </w:pPr>
                </w:p>
              </w:tc>
              <w:tc>
                <w:tcPr>
                  <w:tcW w:w="354" w:type="pct"/>
                  <w:vMerge w:val="continue"/>
                  <w:tcBorders>
                    <w:tl2br w:val="nil"/>
                    <w:tr2bl w:val="nil"/>
                  </w:tcBorders>
                  <w:vAlign w:val="center"/>
                </w:tcPr>
                <w:p>
                  <w:pPr>
                    <w:pStyle w:val="30"/>
                    <w:jc w:val="center"/>
                    <w:rPr>
                      <w:rFonts w:hint="default" w:ascii="Times New Roman" w:hAnsi="Times New Roman" w:cs="Times New Roman"/>
                      <w:b w:val="0"/>
                      <w:bCs w:val="0"/>
                      <w:color w:val="auto"/>
                      <w:sz w:val="18"/>
                      <w:szCs w:val="18"/>
                    </w:rPr>
                  </w:pPr>
                </w:p>
              </w:tc>
              <w:tc>
                <w:tcPr>
                  <w:tcW w:w="354" w:type="pct"/>
                  <w:vMerge w:val="continue"/>
                  <w:tcBorders>
                    <w:tl2br w:val="nil"/>
                    <w:tr2bl w:val="nil"/>
                  </w:tcBorders>
                  <w:vAlign w:val="center"/>
                </w:tcPr>
                <w:p>
                  <w:pPr>
                    <w:pStyle w:val="30"/>
                    <w:jc w:val="center"/>
                    <w:rPr>
                      <w:rFonts w:hint="default" w:ascii="Times New Roman" w:hAnsi="Times New Roman" w:cs="Times New Roman"/>
                      <w:b w:val="0"/>
                      <w:bCs w:val="0"/>
                      <w:color w:val="auto"/>
                      <w:sz w:val="18"/>
                      <w:szCs w:val="18"/>
                    </w:rPr>
                  </w:pPr>
                </w:p>
              </w:tc>
              <w:tc>
                <w:tcPr>
                  <w:tcW w:w="422" w:type="pct"/>
                  <w:tcBorders>
                    <w:tl2br w:val="nil"/>
                    <w:tr2bl w:val="nil"/>
                  </w:tcBorders>
                  <w:vAlign w:val="center"/>
                </w:tcPr>
                <w:p>
                  <w:pPr>
                    <w:pStyle w:val="30"/>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污染物排放管控</w:t>
                  </w:r>
                </w:p>
              </w:tc>
              <w:tc>
                <w:tcPr>
                  <w:tcW w:w="1828" w:type="pct"/>
                  <w:tcBorders>
                    <w:tl2br w:val="nil"/>
                    <w:tr2bl w:val="nil"/>
                  </w:tcBorders>
                  <w:vAlign w:val="center"/>
                </w:tcPr>
                <w:p>
                  <w:pPr>
                    <w:pStyle w:val="32"/>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1、严格控制新建、扩建钢铁冶炼、水泥、有色金属冶炼、平板玻璃、化工、建筑陶瓷等行业的高排放、高污染项目。</w:t>
                  </w:r>
                </w:p>
                <w:p>
                  <w:pPr>
                    <w:pStyle w:val="32"/>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2、造纸等重点行业二氧化硫、氮氧化物、颗粒物、VOCs全面执行大气污染物特别排放限值。</w:t>
                  </w:r>
                </w:p>
                <w:p>
                  <w:pPr>
                    <w:pStyle w:val="32"/>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3、加强柴油车车NOx排放监管，严格实施非道路移动机械排放标准，推进重点场所清洁能源机械替代。</w:t>
                  </w:r>
                </w:p>
                <w:p>
                  <w:pPr>
                    <w:pStyle w:val="30"/>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4、禁止含重金属废水进入城市生活污水处理厂。</w:t>
                  </w:r>
                </w:p>
              </w:tc>
              <w:tc>
                <w:tcPr>
                  <w:tcW w:w="1222" w:type="pct"/>
                  <w:tcBorders>
                    <w:tl2br w:val="nil"/>
                    <w:tr2bl w:val="nil"/>
                  </w:tcBorders>
                  <w:vAlign w:val="center"/>
                </w:tcPr>
                <w:p>
                  <w:pPr>
                    <w:pStyle w:val="30"/>
                    <w:rPr>
                      <w:rFonts w:hint="eastAsia" w:ascii="Times New Roman" w:hAnsi="Times New Roman" w:eastAsia="宋体" w:cs="Times New Roman"/>
                      <w:b w:val="0"/>
                      <w:bCs w:val="0"/>
                      <w:color w:val="auto"/>
                      <w:sz w:val="18"/>
                      <w:szCs w:val="18"/>
                      <w:lang w:eastAsia="zh-CN"/>
                    </w:rPr>
                  </w:pPr>
                  <w:r>
                    <w:rPr>
                      <w:rFonts w:hint="eastAsia" w:cs="Times New Roman"/>
                      <w:b w:val="0"/>
                      <w:bCs w:val="0"/>
                      <w:color w:val="auto"/>
                      <w:sz w:val="18"/>
                      <w:szCs w:val="18"/>
                      <w:lang w:eastAsia="zh-CN"/>
                    </w:rPr>
                    <w:t>本项目属于其他食品制造业，不属于</w:t>
                  </w:r>
                  <w:r>
                    <w:rPr>
                      <w:rFonts w:hint="default" w:ascii="Times New Roman" w:hAnsi="Times New Roman" w:cs="Times New Roman"/>
                      <w:b w:val="0"/>
                      <w:bCs w:val="0"/>
                      <w:sz w:val="18"/>
                      <w:szCs w:val="18"/>
                    </w:rPr>
                    <w:t>钢铁冶炼、水泥、有色金属冶炼、平板玻璃、化工、建筑陶瓷等行业</w:t>
                  </w:r>
                  <w:r>
                    <w:rPr>
                      <w:rFonts w:hint="eastAsia" w:cs="Times New Roman"/>
                      <w:b w:val="0"/>
                      <w:bCs w:val="0"/>
                      <w:sz w:val="18"/>
                      <w:szCs w:val="18"/>
                      <w:lang w:eastAsia="zh-CN"/>
                    </w:rPr>
                    <w:t>，不属造纸等重点行业，项目</w:t>
                  </w:r>
                  <w:r>
                    <w:rPr>
                      <w:rFonts w:hint="default" w:ascii="Times New Roman" w:hAnsi="Times New Roman" w:cs="Times New Roman"/>
                      <w:snapToGrid w:val="0"/>
                      <w:color w:val="auto"/>
                      <w:kern w:val="0"/>
                      <w:sz w:val="18"/>
                      <w:szCs w:val="18"/>
                      <w:highlight w:val="none"/>
                      <w:lang w:eastAsia="zh-CN"/>
                    </w:rPr>
                    <w:t>生活污水、设备清洗废水和车间地面清洗废水经厂区化粪池处理后，</w:t>
                  </w:r>
                  <w:r>
                    <w:rPr>
                      <w:rFonts w:hint="default" w:ascii="Times New Roman" w:hAnsi="Times New Roman" w:cs="Times New Roman"/>
                      <w:snapToGrid w:val="0"/>
                      <w:color w:val="auto"/>
                      <w:kern w:val="0"/>
                      <w:sz w:val="18"/>
                      <w:szCs w:val="18"/>
                      <w:highlight w:val="none"/>
                      <w:lang w:val="en-US" w:eastAsia="zh-CN"/>
                    </w:rPr>
                    <w:t>定期清运</w:t>
                  </w:r>
                  <w:r>
                    <w:rPr>
                      <w:rFonts w:hint="eastAsia" w:cs="Times New Roman"/>
                      <w:snapToGrid w:val="0"/>
                      <w:color w:val="auto"/>
                      <w:kern w:val="0"/>
                      <w:sz w:val="18"/>
                      <w:szCs w:val="18"/>
                      <w:highlight w:val="none"/>
                      <w:lang w:val="en-US" w:eastAsia="zh-CN"/>
                    </w:rPr>
                    <w:t>，不外排。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2" w:type="pct"/>
                  <w:vMerge w:val="continue"/>
                  <w:tcBorders>
                    <w:tl2br w:val="nil"/>
                    <w:tr2bl w:val="nil"/>
                  </w:tcBorders>
                  <w:vAlign w:val="center"/>
                </w:tcPr>
                <w:p>
                  <w:pPr>
                    <w:pStyle w:val="30"/>
                    <w:jc w:val="center"/>
                    <w:rPr>
                      <w:rFonts w:hint="default" w:ascii="Times New Roman" w:hAnsi="Times New Roman" w:cs="Times New Roman"/>
                      <w:b w:val="0"/>
                      <w:bCs w:val="0"/>
                      <w:color w:val="auto"/>
                      <w:sz w:val="18"/>
                      <w:szCs w:val="18"/>
                    </w:rPr>
                  </w:pPr>
                </w:p>
              </w:tc>
              <w:tc>
                <w:tcPr>
                  <w:tcW w:w="354" w:type="pct"/>
                  <w:vMerge w:val="continue"/>
                  <w:tcBorders>
                    <w:tl2br w:val="nil"/>
                    <w:tr2bl w:val="nil"/>
                  </w:tcBorders>
                  <w:vAlign w:val="center"/>
                </w:tcPr>
                <w:p>
                  <w:pPr>
                    <w:pStyle w:val="30"/>
                    <w:jc w:val="center"/>
                    <w:rPr>
                      <w:rFonts w:hint="default" w:ascii="Times New Roman" w:hAnsi="Times New Roman" w:cs="Times New Roman"/>
                      <w:b w:val="0"/>
                      <w:bCs w:val="0"/>
                      <w:color w:val="auto"/>
                      <w:sz w:val="18"/>
                      <w:szCs w:val="18"/>
                    </w:rPr>
                  </w:pPr>
                </w:p>
              </w:tc>
              <w:tc>
                <w:tcPr>
                  <w:tcW w:w="354" w:type="pct"/>
                  <w:vMerge w:val="continue"/>
                  <w:tcBorders>
                    <w:tl2br w:val="nil"/>
                    <w:tr2bl w:val="nil"/>
                  </w:tcBorders>
                  <w:vAlign w:val="center"/>
                </w:tcPr>
                <w:p>
                  <w:pPr>
                    <w:pStyle w:val="30"/>
                    <w:jc w:val="center"/>
                    <w:rPr>
                      <w:rFonts w:hint="default" w:ascii="Times New Roman" w:hAnsi="Times New Roman" w:cs="Times New Roman"/>
                      <w:b w:val="0"/>
                      <w:bCs w:val="0"/>
                      <w:color w:val="auto"/>
                      <w:sz w:val="18"/>
                      <w:szCs w:val="18"/>
                    </w:rPr>
                  </w:pPr>
                </w:p>
              </w:tc>
              <w:tc>
                <w:tcPr>
                  <w:tcW w:w="354" w:type="pct"/>
                  <w:vMerge w:val="continue"/>
                  <w:tcBorders>
                    <w:tl2br w:val="nil"/>
                    <w:tr2bl w:val="nil"/>
                  </w:tcBorders>
                  <w:vAlign w:val="center"/>
                </w:tcPr>
                <w:p>
                  <w:pPr>
                    <w:pStyle w:val="30"/>
                    <w:jc w:val="center"/>
                    <w:rPr>
                      <w:rFonts w:hint="default" w:ascii="Times New Roman" w:hAnsi="Times New Roman" w:cs="Times New Roman"/>
                      <w:b w:val="0"/>
                      <w:bCs w:val="0"/>
                      <w:color w:val="auto"/>
                      <w:sz w:val="18"/>
                      <w:szCs w:val="18"/>
                    </w:rPr>
                  </w:pPr>
                </w:p>
              </w:tc>
              <w:tc>
                <w:tcPr>
                  <w:tcW w:w="422" w:type="pct"/>
                  <w:tcBorders>
                    <w:tl2br w:val="nil"/>
                    <w:tr2bl w:val="nil"/>
                  </w:tcBorders>
                  <w:vAlign w:val="center"/>
                </w:tcPr>
                <w:p>
                  <w:pPr>
                    <w:pStyle w:val="30"/>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环境风险防控</w:t>
                  </w:r>
                </w:p>
              </w:tc>
              <w:tc>
                <w:tcPr>
                  <w:tcW w:w="1828" w:type="pct"/>
                  <w:tcBorders>
                    <w:tl2br w:val="nil"/>
                    <w:tr2bl w:val="nil"/>
                  </w:tcBorders>
                  <w:vAlign w:val="center"/>
                </w:tcPr>
                <w:p>
                  <w:pPr>
                    <w:pStyle w:val="32"/>
                    <w:framePr w:hSpace="0" w:wrap="auto" w:vAnchor="margin" w:hAnchor="text" w:yAlign="inline"/>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1、规范产业集聚区建设，对涉重行业企业加强管理，建立土壤和地下水污染隐患排查治理制度、风险防控体系和长效监管机制。</w:t>
                  </w:r>
                </w:p>
                <w:p>
                  <w:pPr>
                    <w:pStyle w:val="30"/>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2、高关注地块划分污染风险等级，纳入优先管控名录。</w:t>
                  </w:r>
                </w:p>
              </w:tc>
              <w:tc>
                <w:tcPr>
                  <w:tcW w:w="1222" w:type="pct"/>
                  <w:tcBorders>
                    <w:tl2br w:val="nil"/>
                    <w:tr2bl w:val="nil"/>
                  </w:tcBorders>
                  <w:vAlign w:val="center"/>
                </w:tcPr>
                <w:p>
                  <w:pPr>
                    <w:pStyle w:val="30"/>
                    <w:rPr>
                      <w:rFonts w:hint="default" w:ascii="Times New Roman" w:hAnsi="Times New Roman" w:cs="Times New Roman"/>
                      <w:b w:val="0"/>
                      <w:bCs w:val="0"/>
                      <w:color w:val="auto"/>
                      <w:sz w:val="18"/>
                      <w:szCs w:val="18"/>
                    </w:rPr>
                  </w:pPr>
                  <w:r>
                    <w:rPr>
                      <w:rFonts w:hint="eastAsia" w:cs="Times New Roman"/>
                      <w:b w:val="0"/>
                      <w:bCs w:val="0"/>
                      <w:color w:val="auto"/>
                      <w:sz w:val="18"/>
                      <w:szCs w:val="18"/>
                      <w:lang w:eastAsia="zh-CN"/>
                    </w:rPr>
                    <w:t>本项目属于其他食品制造，不属涉重行，项目租用现有已建空厂区建设，不在</w:t>
                  </w:r>
                  <w:r>
                    <w:rPr>
                      <w:rFonts w:hint="default" w:ascii="Times New Roman" w:hAnsi="Times New Roman" w:cs="Times New Roman"/>
                      <w:b w:val="0"/>
                      <w:bCs w:val="0"/>
                      <w:color w:val="auto"/>
                      <w:sz w:val="18"/>
                      <w:szCs w:val="18"/>
                    </w:rPr>
                    <w:t>疑似污染地块名单的地块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2" w:type="pct"/>
                  <w:vMerge w:val="continue"/>
                  <w:tcBorders>
                    <w:tl2br w:val="nil"/>
                    <w:tr2bl w:val="nil"/>
                  </w:tcBorders>
                  <w:vAlign w:val="center"/>
                </w:tcPr>
                <w:p>
                  <w:pPr>
                    <w:pStyle w:val="30"/>
                    <w:jc w:val="center"/>
                    <w:rPr>
                      <w:rFonts w:hint="default" w:ascii="Times New Roman" w:hAnsi="Times New Roman" w:cs="Times New Roman"/>
                      <w:b w:val="0"/>
                      <w:bCs w:val="0"/>
                      <w:color w:val="auto"/>
                      <w:sz w:val="18"/>
                      <w:szCs w:val="18"/>
                    </w:rPr>
                  </w:pPr>
                </w:p>
              </w:tc>
              <w:tc>
                <w:tcPr>
                  <w:tcW w:w="354" w:type="pct"/>
                  <w:vMerge w:val="continue"/>
                  <w:tcBorders>
                    <w:tl2br w:val="nil"/>
                    <w:tr2bl w:val="nil"/>
                  </w:tcBorders>
                  <w:vAlign w:val="center"/>
                </w:tcPr>
                <w:p>
                  <w:pPr>
                    <w:pStyle w:val="30"/>
                    <w:jc w:val="center"/>
                    <w:rPr>
                      <w:rFonts w:hint="default" w:ascii="Times New Roman" w:hAnsi="Times New Roman" w:cs="Times New Roman"/>
                      <w:b w:val="0"/>
                      <w:bCs w:val="0"/>
                      <w:color w:val="auto"/>
                      <w:sz w:val="18"/>
                      <w:szCs w:val="18"/>
                    </w:rPr>
                  </w:pPr>
                </w:p>
              </w:tc>
              <w:tc>
                <w:tcPr>
                  <w:tcW w:w="354" w:type="pct"/>
                  <w:vMerge w:val="continue"/>
                  <w:tcBorders>
                    <w:tl2br w:val="nil"/>
                    <w:tr2bl w:val="nil"/>
                  </w:tcBorders>
                  <w:vAlign w:val="center"/>
                </w:tcPr>
                <w:p>
                  <w:pPr>
                    <w:pStyle w:val="30"/>
                    <w:jc w:val="center"/>
                    <w:rPr>
                      <w:rFonts w:hint="default" w:ascii="Times New Roman" w:hAnsi="Times New Roman" w:cs="Times New Roman"/>
                      <w:b w:val="0"/>
                      <w:bCs w:val="0"/>
                      <w:color w:val="auto"/>
                      <w:sz w:val="18"/>
                      <w:szCs w:val="18"/>
                    </w:rPr>
                  </w:pPr>
                </w:p>
              </w:tc>
              <w:tc>
                <w:tcPr>
                  <w:tcW w:w="354" w:type="pct"/>
                  <w:vMerge w:val="continue"/>
                  <w:tcBorders>
                    <w:tl2br w:val="nil"/>
                    <w:tr2bl w:val="nil"/>
                  </w:tcBorders>
                  <w:vAlign w:val="center"/>
                </w:tcPr>
                <w:p>
                  <w:pPr>
                    <w:pStyle w:val="30"/>
                    <w:jc w:val="center"/>
                    <w:rPr>
                      <w:rFonts w:hint="default" w:ascii="Times New Roman" w:hAnsi="Times New Roman" w:cs="Times New Roman"/>
                      <w:b w:val="0"/>
                      <w:bCs w:val="0"/>
                      <w:color w:val="auto"/>
                      <w:sz w:val="18"/>
                      <w:szCs w:val="18"/>
                    </w:rPr>
                  </w:pPr>
                </w:p>
              </w:tc>
              <w:tc>
                <w:tcPr>
                  <w:tcW w:w="422" w:type="pct"/>
                  <w:tcBorders>
                    <w:tl2br w:val="nil"/>
                    <w:tr2bl w:val="nil"/>
                  </w:tcBorders>
                  <w:vAlign w:val="center"/>
                </w:tcPr>
                <w:p>
                  <w:pPr>
                    <w:pStyle w:val="30"/>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资源利用效率要求</w:t>
                  </w:r>
                </w:p>
              </w:tc>
              <w:tc>
                <w:tcPr>
                  <w:tcW w:w="1828" w:type="pct"/>
                  <w:tcBorders>
                    <w:tl2br w:val="nil"/>
                    <w:tr2bl w:val="nil"/>
                  </w:tcBorders>
                  <w:vAlign w:val="center"/>
                </w:tcPr>
                <w:p>
                  <w:pPr>
                    <w:pStyle w:val="30"/>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w:t>
                  </w:r>
                </w:p>
              </w:tc>
              <w:tc>
                <w:tcPr>
                  <w:tcW w:w="1222" w:type="pct"/>
                  <w:tcBorders>
                    <w:tl2br w:val="nil"/>
                    <w:tr2bl w:val="nil"/>
                  </w:tcBorders>
                  <w:vAlign w:val="center"/>
                </w:tcPr>
                <w:p>
                  <w:pPr>
                    <w:pStyle w:val="30"/>
                    <w:jc w:val="center"/>
                    <w:rPr>
                      <w:rFonts w:hint="eastAsia"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w:t>
                  </w:r>
                </w:p>
              </w:tc>
            </w:tr>
          </w:tbl>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left"/>
              <w:textAlignment w:val="auto"/>
              <w:rPr>
                <w:rFonts w:hint="eastAsia"/>
                <w:highlight w:val="none"/>
                <w:lang w:eastAsia="zh-CN"/>
              </w:rPr>
            </w:pPr>
            <w:r>
              <w:rPr>
                <w:rFonts w:hint="eastAsia"/>
                <w:highlight w:val="none"/>
                <w:lang w:eastAsia="zh-CN"/>
              </w:rPr>
              <w:t>综上所述，本项目总体上能够符合“三线一单”的管理要求。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eastAsia="宋体"/>
                <w:highlight w:val="cyan"/>
                <w:vertAlign w:val="baseline"/>
                <w:lang w:eastAsia="zh-CN"/>
              </w:rPr>
            </w:pPr>
            <w:r>
              <w:rPr>
                <w:rFonts w:hint="eastAsia" w:cs="Times New Roman"/>
                <w:color w:val="auto"/>
                <w:highlight w:val="cyan"/>
                <w:lang w:eastAsia="zh-CN"/>
              </w:rPr>
              <w:br w:type="textWrapping"/>
            </w:r>
            <w:r>
              <w:rPr>
                <w:rFonts w:hint="eastAsia" w:cs="Times New Roman"/>
                <w:color w:val="auto"/>
                <w:highlight w:val="cyan"/>
                <w:lang w:eastAsia="zh-CN"/>
              </w:rPr>
              <w:br w:type="textWrapping"/>
            </w:r>
            <w:r>
              <w:rPr>
                <w:rFonts w:hint="eastAsia" w:cs="Times New Roman"/>
                <w:color w:val="auto"/>
                <w:highlight w:val="cyan"/>
                <w:lang w:eastAsia="zh-CN"/>
              </w:rPr>
              <w:br w:type="textWrapping"/>
            </w:r>
            <w:r>
              <w:rPr>
                <w:rFonts w:hint="eastAsia" w:cs="Times New Roman"/>
                <w:color w:val="auto"/>
                <w:highlight w:val="cyan"/>
                <w:lang w:eastAsia="zh-CN"/>
              </w:rPr>
              <w:br w:type="textWrapping"/>
            </w:r>
            <w:r>
              <w:rPr>
                <w:rFonts w:hint="eastAsia" w:cs="Times New Roman"/>
                <w:color w:val="auto"/>
                <w:highlight w:val="cyan"/>
                <w:lang w:eastAsia="zh-CN"/>
              </w:rPr>
              <w:br w:type="textWrapping"/>
            </w:r>
            <w:r>
              <w:rPr>
                <w:rFonts w:hint="eastAsia" w:cs="Times New Roman"/>
                <w:color w:val="auto"/>
                <w:highlight w:val="cyan"/>
                <w:lang w:eastAsia="zh-CN"/>
              </w:rPr>
              <w:br w:type="textWrapping"/>
            </w:r>
            <w:r>
              <w:rPr>
                <w:rFonts w:hint="eastAsia" w:cs="Times New Roman"/>
                <w:color w:val="auto"/>
                <w:highlight w:val="cyan"/>
                <w:lang w:eastAsia="zh-CN"/>
              </w:rPr>
              <w:br w:type="textWrapping"/>
            </w:r>
            <w:r>
              <w:rPr>
                <w:rFonts w:hint="eastAsia" w:cs="Times New Roman"/>
                <w:color w:val="auto"/>
                <w:highlight w:val="cyan"/>
                <w:lang w:eastAsia="zh-CN"/>
              </w:rPr>
              <w:br w:type="textWrapping"/>
            </w:r>
            <w:r>
              <w:rPr>
                <w:rFonts w:hint="eastAsia" w:cs="Times New Roman"/>
                <w:color w:val="auto"/>
                <w:highlight w:val="cyan"/>
                <w:lang w:eastAsia="zh-CN"/>
              </w:rPr>
              <w:br w:type="textWrapping"/>
            </w:r>
            <w:r>
              <w:rPr>
                <w:rFonts w:hint="eastAsia" w:cs="Times New Roman"/>
                <w:color w:val="auto"/>
                <w:highlight w:val="cyan"/>
                <w:lang w:eastAsia="zh-CN"/>
              </w:rPr>
              <w:br w:type="textWrapping"/>
            </w:r>
            <w:r>
              <w:rPr>
                <w:rFonts w:hint="eastAsia" w:cs="Times New Roman"/>
                <w:color w:val="auto"/>
                <w:highlight w:val="cyan"/>
                <w:lang w:eastAsia="zh-CN"/>
              </w:rPr>
              <w:br w:type="textWrapping"/>
            </w:r>
          </w:p>
        </w:tc>
      </w:tr>
    </w:tbl>
    <w:p>
      <w:pPr>
        <w:pStyle w:val="13"/>
        <w:jc w:val="center"/>
        <w:outlineLvl w:val="0"/>
        <w:rPr>
          <w:rFonts w:ascii="Times New Roman" w:hAnsi="Times New Roman" w:eastAsia="黑体"/>
          <w:snapToGrid w:val="0"/>
          <w:sz w:val="30"/>
          <w:szCs w:val="30"/>
          <w:highlight w:val="none"/>
        </w:rPr>
      </w:pPr>
      <w:r>
        <w:rPr>
          <w:rFonts w:hint="eastAsia" w:ascii="Times New Roman" w:hAnsi="Times New Roman" w:eastAsia="黑体"/>
          <w:snapToGrid w:val="0"/>
          <w:sz w:val="30"/>
          <w:szCs w:val="30"/>
          <w:highlight w:val="none"/>
        </w:rPr>
        <w:t>二、建设项目工程分析</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7822"/>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07" w:type="pct"/>
            <w:vAlign w:val="center"/>
          </w:tcPr>
          <w:p>
            <w:pPr>
              <w:pStyle w:val="1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highlight w:val="cyan"/>
                <w:vertAlign w:val="baseline"/>
              </w:rPr>
            </w:pPr>
            <w:r>
              <w:rPr>
                <w:rFonts w:hint="eastAsia" w:ascii="Times New Roman" w:hAnsi="Times New Roman" w:cs="宋体"/>
                <w:sz w:val="21"/>
                <w:szCs w:val="21"/>
                <w:highlight w:val="none"/>
              </w:rPr>
              <w:t>建设内容</w:t>
            </w:r>
          </w:p>
        </w:tc>
        <w:tc>
          <w:tcPr>
            <w:tcW w:w="4592" w:type="pct"/>
            <w:gridSpan w:val="2"/>
            <w:vAlign w:val="center"/>
          </w:tcPr>
          <w:p>
            <w:pPr>
              <w:pStyle w:val="15"/>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2" w:firstLineChars="200"/>
              <w:jc w:val="left"/>
              <w:textAlignment w:val="auto"/>
              <w:rPr>
                <w:rFonts w:hint="eastAsia"/>
                <w:b/>
                <w:bCs/>
                <w:highlight w:val="none"/>
                <w:lang w:eastAsia="zh-CN"/>
              </w:rPr>
            </w:pPr>
            <w:r>
              <w:rPr>
                <w:rFonts w:hint="eastAsia"/>
                <w:b/>
                <w:bCs/>
                <w:highlight w:val="none"/>
                <w:lang w:val="en-US" w:eastAsia="zh-CN"/>
              </w:rPr>
              <w:t>1</w:t>
            </w:r>
            <w:r>
              <w:rPr>
                <w:rFonts w:hint="eastAsia"/>
                <w:b/>
                <w:bCs/>
                <w:highlight w:val="none"/>
                <w:lang w:eastAsia="zh-CN"/>
              </w:rPr>
              <w:t>、项目概况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eastAsia="宋体"/>
                <w:highlight w:val="none"/>
                <w:lang w:eastAsia="zh-CN"/>
              </w:rPr>
            </w:pPr>
            <w:r>
              <w:rPr>
                <w:rFonts w:hint="eastAsia"/>
                <w:highlight w:val="none"/>
              </w:rPr>
              <w:t>新乡市筋多多食品有限公司</w:t>
            </w:r>
            <w:r>
              <w:rPr>
                <w:rFonts w:hint="eastAsia"/>
                <w:highlight w:val="none"/>
                <w:lang w:eastAsia="zh-CN"/>
              </w:rPr>
              <w:t>成立于成立于2019年11月05日，公司选址位于河南省新乡市凤泉区大块镇小块村西800米，拟投资</w:t>
            </w:r>
            <w:r>
              <w:rPr>
                <w:rFonts w:hint="eastAsia"/>
                <w:highlight w:val="none"/>
                <w:lang w:val="en-US" w:eastAsia="zh-CN"/>
              </w:rPr>
              <w:t>50万元</w:t>
            </w:r>
            <w:r>
              <w:rPr>
                <w:rFonts w:hint="eastAsia"/>
                <w:highlight w:val="none"/>
                <w:lang w:eastAsia="zh-CN"/>
              </w:rPr>
              <w:t>建设年产500吨烘焙食品加工项目，项目产品主要为烤麸，是以生面筋为原料，经保温、发酵、高温蒸制而成，为常见的素食食材。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rPr>
            </w:pPr>
            <w:r>
              <w:rPr>
                <w:rFonts w:hint="eastAsia"/>
                <w:highlight w:val="none"/>
              </w:rPr>
              <w:t>本项目的基本情况见</w:t>
            </w:r>
            <w:r>
              <w:rPr>
                <w:rFonts w:hint="eastAsia"/>
                <w:highlight w:val="none"/>
                <w:lang w:eastAsia="zh-CN"/>
              </w:rPr>
              <w:t>下表</w:t>
            </w:r>
            <w:r>
              <w:rPr>
                <w:rFonts w:hint="eastAsia"/>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 xml:space="preserve">    项目基本情况一览表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661"/>
              <w:gridCol w:w="53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05"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序号</w:t>
                  </w:r>
                </w:p>
              </w:tc>
              <w:tc>
                <w:tcPr>
                  <w:tcW w:w="1091"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项目情况</w:t>
                  </w:r>
                </w:p>
              </w:tc>
              <w:tc>
                <w:tcPr>
                  <w:tcW w:w="3503"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内    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1091"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项目名称</w:t>
                  </w:r>
                </w:p>
              </w:tc>
              <w:tc>
                <w:tcPr>
                  <w:tcW w:w="3503"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年产500吨烘焙食品加工项目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1091"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建设单位</w:t>
                  </w:r>
                </w:p>
              </w:tc>
              <w:tc>
                <w:tcPr>
                  <w:tcW w:w="3503"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新乡市筋多多食品有限公司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3</w:t>
                  </w:r>
                </w:p>
              </w:tc>
              <w:tc>
                <w:tcPr>
                  <w:tcW w:w="1091"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 w:val="18"/>
                      <w:szCs w:val="18"/>
                      <w:highlight w:val="none"/>
                      <w:lang w:eastAsia="zh-CN"/>
                    </w:rPr>
                  </w:pPr>
                  <w:r>
                    <w:rPr>
                      <w:rFonts w:hint="eastAsia" w:cs="Times New Roman"/>
                      <w:color w:val="auto"/>
                      <w:sz w:val="18"/>
                      <w:szCs w:val="18"/>
                      <w:highlight w:val="none"/>
                      <w:lang w:eastAsia="zh-CN"/>
                    </w:rPr>
                    <w:t>建设性质</w:t>
                  </w:r>
                </w:p>
              </w:tc>
              <w:tc>
                <w:tcPr>
                  <w:tcW w:w="3503"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4</w:t>
                  </w:r>
                </w:p>
              </w:tc>
              <w:tc>
                <w:tcPr>
                  <w:tcW w:w="1091"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建设地点</w:t>
                  </w:r>
                </w:p>
              </w:tc>
              <w:tc>
                <w:tcPr>
                  <w:tcW w:w="3503"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新乡市凤泉区大块镇小块村西800米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5</w:t>
                  </w:r>
                </w:p>
              </w:tc>
              <w:tc>
                <w:tcPr>
                  <w:tcW w:w="1091"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占地面积</w:t>
                  </w:r>
                </w:p>
              </w:tc>
              <w:tc>
                <w:tcPr>
                  <w:tcW w:w="3503"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6</w:t>
                  </w:r>
                </w:p>
              </w:tc>
              <w:tc>
                <w:tcPr>
                  <w:tcW w:w="1091"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投资总额</w:t>
                  </w:r>
                </w:p>
              </w:tc>
              <w:tc>
                <w:tcPr>
                  <w:tcW w:w="3503"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50</w:t>
                  </w:r>
                  <w:r>
                    <w:rPr>
                      <w:rFonts w:hint="default" w:ascii="Times New Roman" w:hAnsi="Times New Roman" w:cs="Times New Roman"/>
                      <w:color w:val="auto"/>
                      <w:sz w:val="18"/>
                      <w:szCs w:val="18"/>
                      <w:highlight w:val="none"/>
                    </w:rPr>
                    <w:t>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7</w:t>
                  </w:r>
                </w:p>
              </w:tc>
              <w:tc>
                <w:tcPr>
                  <w:tcW w:w="1091"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产品规模</w:t>
                  </w:r>
                </w:p>
              </w:tc>
              <w:tc>
                <w:tcPr>
                  <w:tcW w:w="3503"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年生产烤麸500吨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8</w:t>
                  </w:r>
                </w:p>
              </w:tc>
              <w:tc>
                <w:tcPr>
                  <w:tcW w:w="1091"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工作制度</w:t>
                  </w:r>
                </w:p>
              </w:tc>
              <w:tc>
                <w:tcPr>
                  <w:tcW w:w="3503"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年工作</w:t>
                  </w:r>
                  <w:r>
                    <w:rPr>
                      <w:rFonts w:hint="default" w:ascii="Times New Roman" w:hAnsi="Times New Roman" w:cs="Times New Roman"/>
                      <w:color w:val="auto"/>
                      <w:sz w:val="18"/>
                      <w:szCs w:val="18"/>
                      <w:highlight w:val="none"/>
                      <w:lang w:val="en-US" w:eastAsia="zh-CN"/>
                    </w:rPr>
                    <w:t>300</w:t>
                  </w:r>
                  <w:r>
                    <w:rPr>
                      <w:rFonts w:hint="default" w:ascii="Times New Roman" w:hAnsi="Times New Roman" w:cs="Times New Roman"/>
                      <w:color w:val="auto"/>
                      <w:sz w:val="18"/>
                      <w:szCs w:val="18"/>
                      <w:highlight w:val="none"/>
                    </w:rPr>
                    <w:t>天，</w:t>
                  </w:r>
                  <w:r>
                    <w:rPr>
                      <w:rFonts w:hint="default" w:ascii="Times New Roman" w:hAnsi="Times New Roman" w:cs="Times New Roman"/>
                      <w:color w:val="auto"/>
                      <w:sz w:val="18"/>
                      <w:szCs w:val="18"/>
                      <w:highlight w:val="none"/>
                      <w:lang w:eastAsia="zh-CN"/>
                    </w:rPr>
                    <w:t>每天一</w:t>
                  </w:r>
                  <w:r>
                    <w:rPr>
                      <w:rFonts w:hint="default" w:ascii="Times New Roman" w:hAnsi="Times New Roman" w:cs="Times New Roman"/>
                      <w:color w:val="auto"/>
                      <w:sz w:val="18"/>
                      <w:szCs w:val="18"/>
                      <w:highlight w:val="none"/>
                    </w:rPr>
                    <w:t>班制，每班8小时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w:t>
                  </w:r>
                </w:p>
              </w:tc>
              <w:tc>
                <w:tcPr>
                  <w:tcW w:w="1091"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劳动定员</w:t>
                  </w:r>
                </w:p>
              </w:tc>
              <w:tc>
                <w:tcPr>
                  <w:tcW w:w="3503" w:type="pct"/>
                  <w:tcBorders>
                    <w:tl2br w:val="nil"/>
                    <w:tr2bl w:val="nil"/>
                  </w:tcBorders>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劳动定员为5</w:t>
                  </w:r>
                  <w:r>
                    <w:rPr>
                      <w:rFonts w:hint="default" w:ascii="Times New Roman" w:hAnsi="Times New Roman" w:cs="Times New Roman"/>
                      <w:color w:val="auto"/>
                      <w:sz w:val="18"/>
                      <w:szCs w:val="18"/>
                      <w:highlight w:val="none"/>
                    </w:rPr>
                    <w:t>人</w:t>
                  </w:r>
                </w:p>
              </w:tc>
            </w:tr>
          </w:tbl>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b/>
                <w:bCs/>
                <w:color w:val="auto"/>
                <w:highlight w:val="none"/>
              </w:rPr>
            </w:pPr>
            <w:r>
              <w:rPr>
                <w:rFonts w:hint="eastAsia"/>
                <w:highlight w:val="none"/>
                <w:lang w:eastAsia="zh-CN"/>
              </w:rPr>
              <w:t xml:space="preserve"> </w:t>
            </w:r>
            <w:r>
              <w:rPr>
                <w:rFonts w:hint="eastAsia" w:ascii="Times New Roman" w:hAnsi="Times New Roman" w:eastAsia="宋体" w:cs="Times New Roman"/>
                <w:b/>
                <w:bCs/>
                <w:color w:val="auto"/>
                <w:kern w:val="2"/>
                <w:sz w:val="21"/>
                <w:szCs w:val="24"/>
                <w:highlight w:val="none"/>
                <w:lang w:val="en-US" w:eastAsia="zh-CN" w:bidi="ar-SA"/>
              </w:rPr>
              <w:t>2</w:t>
            </w:r>
            <w:r>
              <w:rPr>
                <w:rFonts w:hint="default" w:ascii="Times New Roman" w:hAnsi="Times New Roman" w:eastAsia="宋体" w:cs="Times New Roman"/>
                <w:b/>
                <w:bCs/>
                <w:color w:val="auto"/>
                <w:kern w:val="2"/>
                <w:sz w:val="21"/>
                <w:szCs w:val="24"/>
                <w:highlight w:val="none"/>
                <w:lang w:val="en-US" w:eastAsia="zh-CN" w:bidi="ar-SA"/>
              </w:rPr>
              <w:t>、工程建设内容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项目建设内容主要包括主体工程、</w:t>
            </w:r>
            <w:r>
              <w:rPr>
                <w:rFonts w:hint="default" w:ascii="Times New Roman" w:hAnsi="Times New Roman" w:cs="Times New Roman"/>
                <w:color w:val="auto"/>
                <w:highlight w:val="none"/>
                <w:lang w:eastAsia="zh-CN"/>
              </w:rPr>
              <w:t>辅助工程、</w:t>
            </w:r>
            <w:r>
              <w:rPr>
                <w:rFonts w:hint="default" w:ascii="Times New Roman" w:hAnsi="Times New Roman" w:cs="Times New Roman"/>
                <w:color w:val="auto"/>
                <w:highlight w:val="none"/>
              </w:rPr>
              <w:t>公用工程</w:t>
            </w:r>
            <w:r>
              <w:rPr>
                <w:rFonts w:hint="default" w:ascii="Times New Roman" w:hAnsi="Times New Roman" w:cs="Times New Roman"/>
                <w:color w:val="auto"/>
                <w:highlight w:val="none"/>
                <w:lang w:eastAsia="zh-CN"/>
              </w:rPr>
              <w:t>和</w:t>
            </w:r>
            <w:r>
              <w:rPr>
                <w:rFonts w:hint="default" w:ascii="Times New Roman" w:hAnsi="Times New Roman" w:cs="Times New Roman"/>
                <w:color w:val="auto"/>
                <w:highlight w:val="none"/>
              </w:rPr>
              <w:t>环保工程。主要建设内容见</w:t>
            </w:r>
            <w:r>
              <w:rPr>
                <w:rFonts w:hint="default" w:ascii="Times New Roman" w:hAnsi="Times New Roman" w:cs="Times New Roman"/>
                <w:color w:val="auto"/>
                <w:highlight w:val="none"/>
                <w:lang w:eastAsia="zh-CN"/>
              </w:rPr>
              <w:t>下表</w:t>
            </w:r>
            <w:r>
              <w:rPr>
                <w:rFonts w:hint="default" w:ascii="Times New Roman" w:hAnsi="Times New Roman" w:cs="Times New Roman"/>
                <w:color w:val="auto"/>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 xml:space="preserve">    项目建设内容一览表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03"/>
              <w:gridCol w:w="973"/>
              <w:gridCol w:w="4761"/>
              <w:gridCol w:w="8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5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snapToGrid w:val="0"/>
                      <w:color w:val="auto"/>
                      <w:kern w:val="0"/>
                      <w:sz w:val="18"/>
                      <w:szCs w:val="18"/>
                      <w:highlight w:val="none"/>
                    </w:rPr>
                  </w:pPr>
                  <w:r>
                    <w:rPr>
                      <w:rFonts w:hint="default" w:ascii="Times New Roman" w:hAnsi="Times New Roman" w:cs="Times New Roman" w:eastAsiaTheme="majorEastAsia"/>
                      <w:snapToGrid w:val="0"/>
                      <w:color w:val="auto"/>
                      <w:kern w:val="0"/>
                      <w:sz w:val="18"/>
                      <w:szCs w:val="18"/>
                      <w:highlight w:val="none"/>
                      <w:lang w:val="zh-CN"/>
                    </w:rPr>
                    <w:t>类别</w:t>
                  </w: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snapToGrid w:val="0"/>
                      <w:color w:val="auto"/>
                      <w:kern w:val="0"/>
                      <w:sz w:val="18"/>
                      <w:szCs w:val="18"/>
                      <w:highlight w:val="none"/>
                    </w:rPr>
                  </w:pPr>
                  <w:r>
                    <w:rPr>
                      <w:rFonts w:hint="default" w:ascii="Times New Roman" w:hAnsi="Times New Roman" w:cs="Times New Roman" w:eastAsiaTheme="majorEastAsia"/>
                      <w:snapToGrid w:val="0"/>
                      <w:color w:val="auto"/>
                      <w:kern w:val="0"/>
                      <w:sz w:val="18"/>
                      <w:szCs w:val="18"/>
                      <w:highlight w:val="none"/>
                      <w:lang w:val="zh-CN"/>
                    </w:rPr>
                    <w:t>名称</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snapToGrid w:val="0"/>
                      <w:color w:val="auto"/>
                      <w:kern w:val="0"/>
                      <w:sz w:val="18"/>
                      <w:szCs w:val="18"/>
                      <w:highlight w:val="none"/>
                    </w:rPr>
                  </w:pPr>
                  <w:r>
                    <w:rPr>
                      <w:rFonts w:hint="default" w:ascii="Times New Roman" w:hAnsi="Times New Roman" w:cs="Times New Roman" w:eastAsiaTheme="majorEastAsia"/>
                      <w:snapToGrid w:val="0"/>
                      <w:color w:val="auto"/>
                      <w:kern w:val="0"/>
                      <w:sz w:val="18"/>
                      <w:szCs w:val="18"/>
                      <w:highlight w:val="none"/>
                      <w:lang w:val="zh-CN"/>
                    </w:rPr>
                    <w:t>建设内容</w:t>
                  </w:r>
                </w:p>
              </w:tc>
              <w:tc>
                <w:tcPr>
                  <w:tcW w:w="573"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snapToGrid w:val="0"/>
                      <w:color w:val="auto"/>
                      <w:kern w:val="0"/>
                      <w:sz w:val="18"/>
                      <w:szCs w:val="18"/>
                      <w:highlight w:val="none"/>
                      <w:lang w:val="zh-CN"/>
                    </w:rPr>
                  </w:pPr>
                  <w:r>
                    <w:rPr>
                      <w:rFonts w:hint="default" w:ascii="Times New Roman" w:hAnsi="Times New Roman" w:cs="Times New Roman" w:eastAsiaTheme="majorEastAsia"/>
                      <w:snapToGrid w:val="0"/>
                      <w:color w:val="auto"/>
                      <w:kern w:val="0"/>
                      <w:sz w:val="18"/>
                      <w:szCs w:val="18"/>
                      <w:highlight w:val="none"/>
                      <w:lang w:val="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59" w:type="pct"/>
                  <w:vMerge w:val="restar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lang w:val="zh-CN"/>
                    </w:rPr>
                    <w:t>主体工程</w:t>
                  </w: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val="en-US" w:eastAsia="zh-CN"/>
                    </w:rPr>
                    <w:t>1#</w:t>
                  </w:r>
                  <w:r>
                    <w:rPr>
                      <w:rFonts w:hint="default" w:ascii="Times New Roman" w:hAnsi="Times New Roman" w:cs="Times New Roman"/>
                      <w:snapToGrid w:val="0"/>
                      <w:color w:val="auto"/>
                      <w:kern w:val="0"/>
                      <w:sz w:val="18"/>
                      <w:szCs w:val="18"/>
                      <w:highlight w:val="none"/>
                      <w:lang w:eastAsia="zh-CN"/>
                    </w:rPr>
                    <w:t>生产车间</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snapToGrid w:val="0"/>
                      <w:color w:val="auto"/>
                      <w:kern w:val="0"/>
                      <w:sz w:val="18"/>
                      <w:szCs w:val="18"/>
                      <w:highlight w:val="none"/>
                      <w:u w:val="none"/>
                      <w:lang w:val="en-US" w:eastAsia="zh-CN"/>
                    </w:rPr>
                  </w:pPr>
                  <w:r>
                    <w:rPr>
                      <w:rFonts w:hint="default" w:ascii="Times New Roman" w:hAnsi="Times New Roman" w:cs="Times New Roman"/>
                      <w:b w:val="0"/>
                      <w:bCs w:val="0"/>
                      <w:snapToGrid w:val="0"/>
                      <w:color w:val="auto"/>
                      <w:kern w:val="0"/>
                      <w:sz w:val="18"/>
                      <w:szCs w:val="18"/>
                      <w:highlight w:val="none"/>
                      <w:u w:val="none"/>
                      <w:lang w:val="en-US" w:eastAsia="zh-CN"/>
                    </w:rPr>
                    <w:t>1座1层，</w:t>
                  </w:r>
                  <w:r>
                    <w:rPr>
                      <w:rFonts w:hint="default" w:ascii="Times New Roman" w:hAnsi="Times New Roman" w:cs="Times New Roman"/>
                      <w:b w:val="0"/>
                      <w:bCs w:val="0"/>
                      <w:snapToGrid w:val="0"/>
                      <w:color w:val="auto"/>
                      <w:kern w:val="0"/>
                      <w:sz w:val="18"/>
                      <w:szCs w:val="18"/>
                      <w:highlight w:val="none"/>
                      <w:u w:val="none"/>
                      <w:lang w:eastAsia="zh-CN"/>
                    </w:rPr>
                    <w:t>建筑面积</w:t>
                  </w:r>
                  <w:r>
                    <w:rPr>
                      <w:rFonts w:hint="default" w:ascii="Times New Roman" w:hAnsi="Times New Roman" w:cs="Times New Roman"/>
                      <w:b w:val="0"/>
                      <w:bCs w:val="0"/>
                      <w:snapToGrid w:val="0"/>
                      <w:color w:val="auto"/>
                      <w:kern w:val="0"/>
                      <w:sz w:val="18"/>
                      <w:szCs w:val="18"/>
                      <w:highlight w:val="none"/>
                      <w:u w:val="none"/>
                      <w:lang w:val="en-US" w:eastAsia="zh-CN"/>
                    </w:rPr>
                    <w:t>160m</w:t>
                  </w:r>
                  <w:r>
                    <w:rPr>
                      <w:rFonts w:hint="default" w:ascii="Times New Roman" w:hAnsi="Times New Roman" w:cs="Times New Roman"/>
                      <w:b w:val="0"/>
                      <w:bCs w:val="0"/>
                      <w:snapToGrid w:val="0"/>
                      <w:color w:val="auto"/>
                      <w:kern w:val="0"/>
                      <w:sz w:val="18"/>
                      <w:szCs w:val="18"/>
                      <w:highlight w:val="none"/>
                      <w:u w:val="none"/>
                      <w:vertAlign w:val="superscript"/>
                      <w:lang w:val="en-US" w:eastAsia="zh-CN"/>
                    </w:rPr>
                    <w:t>2</w:t>
                  </w:r>
                  <w:r>
                    <w:rPr>
                      <w:rFonts w:hint="default" w:ascii="Times New Roman" w:hAnsi="Times New Roman" w:cs="Times New Roman"/>
                      <w:b w:val="0"/>
                      <w:bCs w:val="0"/>
                      <w:snapToGrid w:val="0"/>
                      <w:color w:val="auto"/>
                      <w:kern w:val="0"/>
                      <w:sz w:val="18"/>
                      <w:szCs w:val="18"/>
                      <w:highlight w:val="none"/>
                      <w:u w:val="none"/>
                      <w:lang w:val="en-US" w:eastAsia="zh-CN"/>
                    </w:rPr>
                    <w:t>，根据生产功能分为：更衣消毒间（10m</w:t>
                  </w:r>
                  <w:r>
                    <w:rPr>
                      <w:rFonts w:hint="default" w:ascii="Times New Roman" w:hAnsi="Times New Roman" w:cs="Times New Roman"/>
                      <w:b w:val="0"/>
                      <w:bCs w:val="0"/>
                      <w:snapToGrid w:val="0"/>
                      <w:color w:val="auto"/>
                      <w:kern w:val="0"/>
                      <w:sz w:val="18"/>
                      <w:szCs w:val="18"/>
                      <w:highlight w:val="none"/>
                      <w:u w:val="none"/>
                      <w:vertAlign w:val="superscript"/>
                      <w:lang w:val="en-US" w:eastAsia="zh-CN"/>
                    </w:rPr>
                    <w:t>2</w:t>
                  </w:r>
                  <w:r>
                    <w:rPr>
                      <w:rFonts w:hint="default" w:ascii="Times New Roman" w:hAnsi="Times New Roman" w:cs="Times New Roman"/>
                      <w:b w:val="0"/>
                      <w:bCs w:val="0"/>
                      <w:snapToGrid w:val="0"/>
                      <w:color w:val="auto"/>
                      <w:kern w:val="0"/>
                      <w:sz w:val="18"/>
                      <w:szCs w:val="18"/>
                      <w:highlight w:val="none"/>
                      <w:u w:val="none"/>
                      <w:lang w:val="en-US" w:eastAsia="zh-CN"/>
                    </w:rPr>
                    <w:t>），原料区（20m</w:t>
                  </w:r>
                  <w:r>
                    <w:rPr>
                      <w:rFonts w:hint="default" w:ascii="Times New Roman" w:hAnsi="Times New Roman" w:cs="Times New Roman"/>
                      <w:b w:val="0"/>
                      <w:bCs w:val="0"/>
                      <w:snapToGrid w:val="0"/>
                      <w:color w:val="auto"/>
                      <w:kern w:val="0"/>
                      <w:sz w:val="18"/>
                      <w:szCs w:val="18"/>
                      <w:highlight w:val="none"/>
                      <w:u w:val="none"/>
                      <w:vertAlign w:val="superscript"/>
                      <w:lang w:val="en-US" w:eastAsia="zh-CN"/>
                    </w:rPr>
                    <w:t>2</w:t>
                  </w:r>
                  <w:r>
                    <w:rPr>
                      <w:rFonts w:hint="default" w:ascii="Times New Roman" w:hAnsi="Times New Roman" w:cs="Times New Roman"/>
                      <w:b w:val="0"/>
                      <w:bCs w:val="0"/>
                      <w:snapToGrid w:val="0"/>
                      <w:color w:val="auto"/>
                      <w:kern w:val="0"/>
                      <w:sz w:val="18"/>
                      <w:szCs w:val="18"/>
                      <w:highlight w:val="none"/>
                      <w:u w:val="none"/>
                      <w:lang w:val="en-US" w:eastAsia="zh-CN"/>
                    </w:rPr>
                    <w:t>），搅拌间（20m</w:t>
                  </w:r>
                  <w:r>
                    <w:rPr>
                      <w:rFonts w:hint="default" w:ascii="Times New Roman" w:hAnsi="Times New Roman" w:cs="Times New Roman"/>
                      <w:b w:val="0"/>
                      <w:bCs w:val="0"/>
                      <w:snapToGrid w:val="0"/>
                      <w:color w:val="auto"/>
                      <w:kern w:val="0"/>
                      <w:sz w:val="18"/>
                      <w:szCs w:val="18"/>
                      <w:highlight w:val="none"/>
                      <w:u w:val="none"/>
                      <w:vertAlign w:val="superscript"/>
                      <w:lang w:val="en-US" w:eastAsia="zh-CN"/>
                    </w:rPr>
                    <w:t>2</w:t>
                  </w:r>
                  <w:r>
                    <w:rPr>
                      <w:rFonts w:hint="default" w:ascii="Times New Roman" w:hAnsi="Times New Roman" w:cs="Times New Roman"/>
                      <w:b w:val="0"/>
                      <w:bCs w:val="0"/>
                      <w:snapToGrid w:val="0"/>
                      <w:color w:val="auto"/>
                      <w:kern w:val="0"/>
                      <w:sz w:val="18"/>
                      <w:szCs w:val="18"/>
                      <w:highlight w:val="none"/>
                      <w:u w:val="none"/>
                      <w:lang w:val="en-US" w:eastAsia="zh-CN"/>
                    </w:rPr>
                    <w:t>），分切区（20m</w:t>
                  </w:r>
                  <w:r>
                    <w:rPr>
                      <w:rFonts w:hint="default" w:ascii="Times New Roman" w:hAnsi="Times New Roman" w:cs="Times New Roman"/>
                      <w:b w:val="0"/>
                      <w:bCs w:val="0"/>
                      <w:snapToGrid w:val="0"/>
                      <w:color w:val="auto"/>
                      <w:kern w:val="0"/>
                      <w:sz w:val="18"/>
                      <w:szCs w:val="18"/>
                      <w:highlight w:val="none"/>
                      <w:u w:val="none"/>
                      <w:vertAlign w:val="superscript"/>
                      <w:lang w:val="en-US" w:eastAsia="zh-CN"/>
                    </w:rPr>
                    <w:t>2</w:t>
                  </w:r>
                  <w:r>
                    <w:rPr>
                      <w:rFonts w:hint="default" w:ascii="Times New Roman" w:hAnsi="Times New Roman" w:cs="Times New Roman"/>
                      <w:b w:val="0"/>
                      <w:bCs w:val="0"/>
                      <w:snapToGrid w:val="0"/>
                      <w:color w:val="auto"/>
                      <w:kern w:val="0"/>
                      <w:sz w:val="18"/>
                      <w:szCs w:val="18"/>
                      <w:highlight w:val="none"/>
                      <w:u w:val="none"/>
                      <w:lang w:val="en-US" w:eastAsia="zh-CN"/>
                    </w:rPr>
                    <w:t>），蒸烤区（20m</w:t>
                  </w:r>
                  <w:r>
                    <w:rPr>
                      <w:rFonts w:hint="default" w:ascii="Times New Roman" w:hAnsi="Times New Roman" w:cs="Times New Roman"/>
                      <w:b w:val="0"/>
                      <w:bCs w:val="0"/>
                      <w:snapToGrid w:val="0"/>
                      <w:color w:val="auto"/>
                      <w:kern w:val="0"/>
                      <w:sz w:val="18"/>
                      <w:szCs w:val="18"/>
                      <w:highlight w:val="none"/>
                      <w:u w:val="none"/>
                      <w:vertAlign w:val="superscript"/>
                      <w:lang w:val="en-US" w:eastAsia="zh-CN"/>
                    </w:rPr>
                    <w:t>2</w:t>
                  </w:r>
                  <w:r>
                    <w:rPr>
                      <w:rFonts w:hint="default" w:ascii="Times New Roman" w:hAnsi="Times New Roman" w:cs="Times New Roman"/>
                      <w:b w:val="0"/>
                      <w:bCs w:val="0"/>
                      <w:snapToGrid w:val="0"/>
                      <w:color w:val="auto"/>
                      <w:kern w:val="0"/>
                      <w:sz w:val="18"/>
                      <w:szCs w:val="18"/>
                      <w:highlight w:val="none"/>
                      <w:u w:val="none"/>
                      <w:lang w:val="en-US" w:eastAsia="zh-CN"/>
                    </w:rPr>
                    <w:t>），成品库（50m</w:t>
                  </w:r>
                  <w:r>
                    <w:rPr>
                      <w:rFonts w:hint="default" w:ascii="Times New Roman" w:hAnsi="Times New Roman" w:cs="Times New Roman"/>
                      <w:b w:val="0"/>
                      <w:bCs w:val="0"/>
                      <w:snapToGrid w:val="0"/>
                      <w:color w:val="auto"/>
                      <w:kern w:val="0"/>
                      <w:sz w:val="18"/>
                      <w:szCs w:val="18"/>
                      <w:highlight w:val="none"/>
                      <w:u w:val="none"/>
                      <w:vertAlign w:val="superscript"/>
                      <w:lang w:val="en-US" w:eastAsia="zh-CN"/>
                    </w:rPr>
                    <w:t>2</w:t>
                  </w:r>
                  <w:r>
                    <w:rPr>
                      <w:rFonts w:hint="default" w:ascii="Times New Roman" w:hAnsi="Times New Roman" w:cs="Times New Roman"/>
                      <w:b w:val="0"/>
                      <w:bCs w:val="0"/>
                      <w:snapToGrid w:val="0"/>
                      <w:color w:val="auto"/>
                      <w:kern w:val="0"/>
                      <w:sz w:val="18"/>
                      <w:szCs w:val="18"/>
                      <w:highlight w:val="none"/>
                      <w:u w:val="none"/>
                      <w:lang w:val="en-US" w:eastAsia="zh-CN"/>
                    </w:rPr>
                    <w:t>），周转及过道区（20m</w:t>
                  </w:r>
                  <w:r>
                    <w:rPr>
                      <w:rFonts w:hint="default" w:ascii="Times New Roman" w:hAnsi="Times New Roman" w:cs="Times New Roman"/>
                      <w:b w:val="0"/>
                      <w:bCs w:val="0"/>
                      <w:snapToGrid w:val="0"/>
                      <w:color w:val="auto"/>
                      <w:kern w:val="0"/>
                      <w:sz w:val="18"/>
                      <w:szCs w:val="18"/>
                      <w:highlight w:val="none"/>
                      <w:u w:val="none"/>
                      <w:vertAlign w:val="superscript"/>
                      <w:lang w:val="en-US" w:eastAsia="zh-CN"/>
                    </w:rPr>
                    <w:t>2</w:t>
                  </w:r>
                  <w:r>
                    <w:rPr>
                      <w:rFonts w:hint="default" w:ascii="Times New Roman" w:hAnsi="Times New Roman" w:cs="Times New Roman"/>
                      <w:b w:val="0"/>
                      <w:bCs w:val="0"/>
                      <w:snapToGrid w:val="0"/>
                      <w:color w:val="auto"/>
                      <w:kern w:val="0"/>
                      <w:sz w:val="18"/>
                      <w:szCs w:val="18"/>
                      <w:highlight w:val="none"/>
                      <w:u w:val="none"/>
                      <w:lang w:val="en-US" w:eastAsia="zh-CN"/>
                    </w:rPr>
                    <w:t>）</w:t>
                  </w:r>
                  <w:r>
                    <w:rPr>
                      <w:rFonts w:hint="eastAsia" w:cs="Times New Roman"/>
                      <w:b w:val="0"/>
                      <w:bCs w:val="0"/>
                      <w:snapToGrid w:val="0"/>
                      <w:color w:val="auto"/>
                      <w:kern w:val="0"/>
                      <w:sz w:val="18"/>
                      <w:szCs w:val="18"/>
                      <w:highlight w:val="none"/>
                      <w:u w:val="none"/>
                      <w:lang w:val="en-US" w:eastAsia="zh-CN"/>
                    </w:rPr>
                    <w:t>，设置为全封闭、洁净生产车间。</w:t>
                  </w:r>
                </w:p>
              </w:tc>
              <w:tc>
                <w:tcPr>
                  <w:tcW w:w="573"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2#生产车间</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b w:val="0"/>
                      <w:bCs w:val="0"/>
                      <w:snapToGrid w:val="0"/>
                      <w:color w:val="auto"/>
                      <w:kern w:val="0"/>
                      <w:sz w:val="18"/>
                      <w:szCs w:val="18"/>
                      <w:highlight w:val="none"/>
                      <w:u w:val="none"/>
                      <w:lang w:val="en-US" w:eastAsia="zh-CN"/>
                    </w:rPr>
                  </w:pPr>
                  <w:r>
                    <w:rPr>
                      <w:rFonts w:hint="default" w:ascii="Times New Roman" w:hAnsi="Times New Roman" w:cs="Times New Roman"/>
                      <w:b w:val="0"/>
                      <w:bCs w:val="0"/>
                      <w:snapToGrid w:val="0"/>
                      <w:color w:val="auto"/>
                      <w:kern w:val="0"/>
                      <w:sz w:val="18"/>
                      <w:szCs w:val="18"/>
                      <w:highlight w:val="none"/>
                      <w:u w:val="none"/>
                      <w:lang w:val="en-US" w:eastAsia="zh-CN"/>
                    </w:rPr>
                    <w:t>1座1层，建筑面积320m</w:t>
                  </w:r>
                  <w:r>
                    <w:rPr>
                      <w:rFonts w:hint="default" w:ascii="Times New Roman" w:hAnsi="Times New Roman" w:cs="Times New Roman"/>
                      <w:b w:val="0"/>
                      <w:bCs w:val="0"/>
                      <w:snapToGrid w:val="0"/>
                      <w:color w:val="auto"/>
                      <w:kern w:val="0"/>
                      <w:sz w:val="18"/>
                      <w:szCs w:val="18"/>
                      <w:highlight w:val="none"/>
                      <w:u w:val="none"/>
                      <w:vertAlign w:val="superscript"/>
                      <w:lang w:val="en-US" w:eastAsia="zh-CN"/>
                    </w:rPr>
                    <w:t>2</w:t>
                  </w:r>
                  <w:r>
                    <w:rPr>
                      <w:rFonts w:hint="default" w:ascii="Times New Roman" w:hAnsi="Times New Roman" w:cs="Times New Roman"/>
                      <w:b w:val="0"/>
                      <w:bCs w:val="0"/>
                      <w:snapToGrid w:val="0"/>
                      <w:color w:val="auto"/>
                      <w:kern w:val="0"/>
                      <w:sz w:val="18"/>
                      <w:szCs w:val="18"/>
                      <w:highlight w:val="none"/>
                      <w:u w:val="none"/>
                      <w:lang w:val="en-US" w:eastAsia="zh-CN"/>
                    </w:rPr>
                    <w:t>，根据生产功能分为：周转间（60m</w:t>
                  </w:r>
                  <w:r>
                    <w:rPr>
                      <w:rFonts w:hint="default" w:ascii="Times New Roman" w:hAnsi="Times New Roman" w:cs="Times New Roman"/>
                      <w:b w:val="0"/>
                      <w:bCs w:val="0"/>
                      <w:snapToGrid w:val="0"/>
                      <w:color w:val="auto"/>
                      <w:kern w:val="0"/>
                      <w:sz w:val="18"/>
                      <w:szCs w:val="18"/>
                      <w:highlight w:val="none"/>
                      <w:u w:val="none"/>
                      <w:vertAlign w:val="superscript"/>
                      <w:lang w:val="en-US" w:eastAsia="zh-CN"/>
                    </w:rPr>
                    <w:t>2</w:t>
                  </w:r>
                  <w:r>
                    <w:rPr>
                      <w:rFonts w:hint="default" w:ascii="Times New Roman" w:hAnsi="Times New Roman" w:cs="Times New Roman"/>
                      <w:b w:val="0"/>
                      <w:bCs w:val="0"/>
                      <w:snapToGrid w:val="0"/>
                      <w:color w:val="auto"/>
                      <w:kern w:val="0"/>
                      <w:sz w:val="18"/>
                      <w:szCs w:val="18"/>
                      <w:highlight w:val="none"/>
                      <w:u w:val="none"/>
                      <w:lang w:val="en-US" w:eastAsia="zh-CN"/>
                    </w:rPr>
                    <w:t>），烘干间（120m</w:t>
                  </w:r>
                  <w:r>
                    <w:rPr>
                      <w:rFonts w:hint="default" w:ascii="Times New Roman" w:hAnsi="Times New Roman" w:cs="Times New Roman"/>
                      <w:b w:val="0"/>
                      <w:bCs w:val="0"/>
                      <w:snapToGrid w:val="0"/>
                      <w:color w:val="auto"/>
                      <w:kern w:val="0"/>
                      <w:sz w:val="18"/>
                      <w:szCs w:val="18"/>
                      <w:highlight w:val="none"/>
                      <w:u w:val="none"/>
                      <w:vertAlign w:val="superscript"/>
                      <w:lang w:val="en-US" w:eastAsia="zh-CN"/>
                    </w:rPr>
                    <w:t>2</w:t>
                  </w:r>
                  <w:r>
                    <w:rPr>
                      <w:rFonts w:hint="default" w:ascii="Times New Roman" w:hAnsi="Times New Roman" w:cs="Times New Roman"/>
                      <w:b w:val="0"/>
                      <w:bCs w:val="0"/>
                      <w:snapToGrid w:val="0"/>
                      <w:color w:val="auto"/>
                      <w:kern w:val="0"/>
                      <w:sz w:val="18"/>
                      <w:szCs w:val="18"/>
                      <w:highlight w:val="none"/>
                      <w:u w:val="none"/>
                      <w:lang w:val="en-US" w:eastAsia="zh-CN"/>
                    </w:rPr>
                    <w:t>），包装间（120m</w:t>
                  </w:r>
                  <w:r>
                    <w:rPr>
                      <w:rFonts w:hint="default" w:ascii="Times New Roman" w:hAnsi="Times New Roman" w:cs="Times New Roman"/>
                      <w:b w:val="0"/>
                      <w:bCs w:val="0"/>
                      <w:snapToGrid w:val="0"/>
                      <w:color w:val="auto"/>
                      <w:kern w:val="0"/>
                      <w:sz w:val="18"/>
                      <w:szCs w:val="18"/>
                      <w:highlight w:val="none"/>
                      <w:u w:val="none"/>
                      <w:vertAlign w:val="superscript"/>
                      <w:lang w:val="en-US" w:eastAsia="zh-CN"/>
                    </w:rPr>
                    <w:t>2</w:t>
                  </w:r>
                  <w:r>
                    <w:rPr>
                      <w:rFonts w:hint="default" w:ascii="Times New Roman" w:hAnsi="Times New Roman" w:cs="Times New Roman"/>
                      <w:b w:val="0"/>
                      <w:bCs w:val="0"/>
                      <w:snapToGrid w:val="0"/>
                      <w:color w:val="auto"/>
                      <w:kern w:val="0"/>
                      <w:sz w:val="18"/>
                      <w:szCs w:val="18"/>
                      <w:highlight w:val="none"/>
                      <w:u w:val="none"/>
                      <w:lang w:val="en-US" w:eastAsia="zh-CN"/>
                    </w:rPr>
                    <w:t>）</w:t>
                  </w:r>
                  <w:r>
                    <w:rPr>
                      <w:rFonts w:hint="default" w:ascii="Times New Roman" w:hAnsi="Times New Roman" w:cs="Times New Roman"/>
                      <w:b w:val="0"/>
                      <w:bCs w:val="0"/>
                      <w:snapToGrid w:val="0"/>
                      <w:color w:val="auto"/>
                      <w:kern w:val="0"/>
                      <w:sz w:val="18"/>
                      <w:szCs w:val="18"/>
                      <w:highlight w:val="none"/>
                      <w:u w:val="none"/>
                      <w:lang w:val="en-US" w:eastAsia="zh-CN"/>
                    </w:rPr>
                    <w:br w:type="textWrapping"/>
                  </w:r>
                  <w:r>
                    <w:rPr>
                      <w:rFonts w:hint="eastAsia" w:cs="Times New Roman"/>
                      <w:b w:val="0"/>
                      <w:bCs w:val="0"/>
                      <w:snapToGrid w:val="0"/>
                      <w:color w:val="auto"/>
                      <w:kern w:val="0"/>
                      <w:sz w:val="18"/>
                      <w:szCs w:val="18"/>
                      <w:highlight w:val="none"/>
                      <w:u w:val="none"/>
                      <w:lang w:val="en-US" w:eastAsia="zh-CN"/>
                    </w:rPr>
                    <w:t>设置为全封闭、洁净生产车间。</w:t>
                  </w:r>
                </w:p>
              </w:tc>
              <w:tc>
                <w:tcPr>
                  <w:tcW w:w="573"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利用现有厂房改造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59" w:type="pct"/>
                  <w:vMerge w:val="restar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辅助工程</w:t>
                  </w: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包装材料库</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1间1层，建筑面积140m</w:t>
                  </w:r>
                  <w:r>
                    <w:rPr>
                      <w:rFonts w:hint="default" w:ascii="Times New Roman" w:hAnsi="Times New Roman" w:cs="Times New Roman"/>
                      <w:snapToGrid w:val="0"/>
                      <w:color w:val="auto"/>
                      <w:kern w:val="0"/>
                      <w:sz w:val="18"/>
                      <w:szCs w:val="18"/>
                      <w:highlight w:val="none"/>
                      <w:vertAlign w:val="superscript"/>
                      <w:lang w:val="en-US" w:eastAsia="zh-CN"/>
                    </w:rPr>
                    <w:t>2</w:t>
                  </w:r>
                </w:p>
              </w:tc>
              <w:tc>
                <w:tcPr>
                  <w:tcW w:w="573" w:type="pct"/>
                  <w:vMerge w:val="restar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利用所租厂区现有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zh-CN"/>
                    </w:rPr>
                  </w:pP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zh-CN"/>
                    </w:rPr>
                    <w:t>杂物间</w:t>
                  </w:r>
                  <w:r>
                    <w:rPr>
                      <w:rFonts w:hint="default" w:ascii="Times New Roman" w:hAnsi="Times New Roman" w:cs="Times New Roman"/>
                      <w:snapToGrid w:val="0"/>
                      <w:color w:val="auto"/>
                      <w:kern w:val="0"/>
                      <w:sz w:val="18"/>
                      <w:szCs w:val="18"/>
                      <w:highlight w:val="none"/>
                      <w:lang w:val="en-US" w:eastAsia="zh-CN"/>
                    </w:rPr>
                    <w:t>1</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1栋1层，建筑面积130m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，用于存放日常杂物</w:t>
                  </w:r>
                </w:p>
              </w:tc>
              <w:tc>
                <w:tcPr>
                  <w:tcW w:w="573"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zh-CN"/>
                    </w:rPr>
                  </w:pP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杂物间</w:t>
                  </w:r>
                  <w:r>
                    <w:rPr>
                      <w:rFonts w:hint="default" w:ascii="Times New Roman" w:hAnsi="Times New Roman" w:cs="Times New Roman"/>
                      <w:snapToGrid w:val="0"/>
                      <w:color w:val="auto"/>
                      <w:kern w:val="0"/>
                      <w:sz w:val="18"/>
                      <w:szCs w:val="18"/>
                      <w:highlight w:val="none"/>
                      <w:lang w:val="en-US" w:eastAsia="zh-CN"/>
                    </w:rPr>
                    <w:t>2</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1栋1层，建筑面积40m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，用于存放日常杂物</w:t>
                  </w:r>
                </w:p>
              </w:tc>
              <w:tc>
                <w:tcPr>
                  <w:tcW w:w="573"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zh-CN"/>
                    </w:rPr>
                  </w:pP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办公用房</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1栋1层，建筑面积130m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，用于日常办公</w:t>
                  </w:r>
                </w:p>
              </w:tc>
              <w:tc>
                <w:tcPr>
                  <w:tcW w:w="573"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zh-CN"/>
                    </w:rPr>
                  </w:pP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车棚</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1座1层，建筑面积140m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，用于停车</w:t>
                  </w:r>
                </w:p>
              </w:tc>
              <w:tc>
                <w:tcPr>
                  <w:tcW w:w="573"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59" w:type="pct"/>
                  <w:vMerge w:val="restar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lang w:val="zh-CN"/>
                    </w:rPr>
                    <w:t>公用工程</w:t>
                  </w: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rPr>
                    <w:t>供水工程</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lang w:val="zh-CN"/>
                    </w:rPr>
                    <w:t>自备水井</w:t>
                  </w:r>
                </w:p>
              </w:tc>
              <w:tc>
                <w:tcPr>
                  <w:tcW w:w="573"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en-US" w:eastAsia="zh-CN"/>
                    </w:rPr>
                    <w:t>利用所租厂区现有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639" w:type="pct"/>
                  <w:vMerge w:val="restar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rPr>
                    <w:t>排水工程</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rPr>
                    <w:t>生活污水</w:t>
                  </w:r>
                  <w:r>
                    <w:rPr>
                      <w:rFonts w:hint="default" w:ascii="Times New Roman" w:hAnsi="Times New Roman" w:cs="Times New Roman"/>
                      <w:snapToGrid w:val="0"/>
                      <w:color w:val="auto"/>
                      <w:kern w:val="0"/>
                      <w:sz w:val="18"/>
                      <w:szCs w:val="18"/>
                      <w:highlight w:val="none"/>
                      <w:lang w:eastAsia="zh-CN"/>
                    </w:rPr>
                    <w:t>、设备清洗废水和车间地面清洗废水经厂区化粪池处理后，定期清运</w:t>
                  </w:r>
                </w:p>
              </w:tc>
              <w:tc>
                <w:tcPr>
                  <w:tcW w:w="573"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利用所租厂区现有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63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rPr>
                  </w:pP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b w:val="0"/>
                      <w:bCs w:val="0"/>
                      <w:snapToGrid w:val="0"/>
                      <w:color w:val="auto"/>
                      <w:kern w:val="0"/>
                      <w:sz w:val="18"/>
                      <w:szCs w:val="18"/>
                      <w:highlight w:val="none"/>
                      <w:u w:val="none"/>
                      <w:lang w:eastAsia="zh-CN"/>
                    </w:rPr>
                    <w:t>备用锅炉所用软水制备过程产生的废水经收集后，用于厂区洒水抑尘</w:t>
                  </w:r>
                </w:p>
              </w:tc>
              <w:tc>
                <w:tcPr>
                  <w:tcW w:w="573"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00"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r>
                    <w:rPr>
                      <w:rFonts w:hint="default" w:ascii="Times New Roman" w:hAnsi="Times New Roman" w:eastAsia="宋体" w:cs="Times New Roman"/>
                      <w:snapToGrid w:val="0"/>
                      <w:color w:val="auto"/>
                      <w:kern w:val="0"/>
                      <w:sz w:val="18"/>
                      <w:szCs w:val="18"/>
                      <w:highlight w:val="none"/>
                      <w:lang w:val="zh-CN"/>
                    </w:rPr>
                    <w:t>供电工程</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当地</w:t>
                  </w:r>
                  <w:r>
                    <w:rPr>
                      <w:rFonts w:hint="default" w:ascii="Times New Roman" w:hAnsi="Times New Roman" w:eastAsia="宋体" w:cs="Times New Roman"/>
                      <w:snapToGrid w:val="0"/>
                      <w:color w:val="auto"/>
                      <w:kern w:val="0"/>
                      <w:sz w:val="18"/>
                      <w:szCs w:val="18"/>
                      <w:highlight w:val="none"/>
                      <w:lang w:val="zh-CN"/>
                    </w:rPr>
                    <w:t>电网供给</w:t>
                  </w:r>
                </w:p>
              </w:tc>
              <w:tc>
                <w:tcPr>
                  <w:tcW w:w="573"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en-US" w:eastAsia="zh-CN"/>
                    </w:rPr>
                    <w:t>利用所租厂区现有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供热工程</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eastAsia="宋体" w:cs="Times New Roman"/>
                      <w:snapToGrid w:val="0"/>
                      <w:color w:val="auto"/>
                      <w:kern w:val="0"/>
                      <w:sz w:val="18"/>
                      <w:szCs w:val="18"/>
                      <w:highlight w:val="none"/>
                      <w:lang w:val="en-US" w:eastAsia="zh-CN" w:bidi="ar-SA"/>
                    </w:rPr>
                    <w:t>工程所用蒸汽拟由“新乡市华新造纸厂”现有锅炉提供的蒸气，但根据实际调查，目前该公司蒸汽供应管网尚未建设完成，因此在蒸汽供应管网未接通前，企业拟配套建设1台2t锅炉为生产过程提供蒸汽，待区域内的供热管网建设完成后，则直接接通该蒸汽供应管网，同时自建锅炉则作为备用锅炉。</w:t>
                  </w:r>
                </w:p>
              </w:tc>
              <w:tc>
                <w:tcPr>
                  <w:tcW w:w="573"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eastAsia" w:cs="Times New Roman"/>
                      <w:snapToGrid w:val="0"/>
                      <w:color w:val="auto"/>
                      <w:kern w:val="0"/>
                      <w:sz w:val="18"/>
                      <w:szCs w:val="18"/>
                      <w:highlight w:val="none"/>
                      <w:lang w:val="en-US" w:eastAsia="zh-CN" w:bidi="ar-SA"/>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bidi="ar-SA"/>
                    </w:rPr>
                  </w:pPr>
                  <w:r>
                    <w:rPr>
                      <w:rFonts w:hint="eastAsia" w:cs="Times New Roman"/>
                      <w:snapToGrid w:val="0"/>
                      <w:color w:val="auto"/>
                      <w:kern w:val="0"/>
                      <w:sz w:val="18"/>
                      <w:szCs w:val="18"/>
                      <w:highlight w:val="none"/>
                      <w:lang w:val="en-US" w:eastAsia="zh-CN" w:bidi="ar-SA"/>
                    </w:rPr>
                    <w:t>供气工程</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b w:val="0"/>
                      <w:bCs w:val="0"/>
                      <w:snapToGrid w:val="0"/>
                      <w:color w:val="auto"/>
                      <w:kern w:val="0"/>
                      <w:sz w:val="18"/>
                      <w:szCs w:val="18"/>
                      <w:highlight w:val="none"/>
                      <w:u w:val="none"/>
                      <w:lang w:val="zh-CN" w:eastAsia="zh-CN" w:bidi="ar-SA"/>
                    </w:rPr>
                  </w:pPr>
                  <w:r>
                    <w:rPr>
                      <w:rFonts w:hint="eastAsia" w:cs="Times New Roman"/>
                      <w:b w:val="0"/>
                      <w:bCs w:val="0"/>
                      <w:snapToGrid w:val="0"/>
                      <w:color w:val="auto"/>
                      <w:kern w:val="0"/>
                      <w:sz w:val="18"/>
                      <w:szCs w:val="18"/>
                      <w:highlight w:val="none"/>
                      <w:u w:val="none"/>
                      <w:lang w:val="zh-CN" w:eastAsia="zh-CN" w:bidi="ar-SA"/>
                    </w:rPr>
                    <w:t>来源为“西气东输”，由当地天然气公司经燃气管道接入厂区车间，并经燃气调压柜调压后使用</w:t>
                  </w:r>
                </w:p>
              </w:tc>
              <w:tc>
                <w:tcPr>
                  <w:tcW w:w="573"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利用所租厂区现有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59" w:type="pct"/>
                  <w:vMerge w:val="restar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lang w:val="zh-CN"/>
                    </w:rPr>
                    <w:t>环保工程</w:t>
                  </w: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废气</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fldChar w:fldCharType="begin"/>
                  </w:r>
                  <w:r>
                    <w:rPr>
                      <w:rFonts w:hint="default" w:ascii="Times New Roman" w:hAnsi="Times New Roman" w:cs="Times New Roman" w:eastAsiaTheme="majorEastAsia"/>
                      <w:color w:val="auto"/>
                      <w:sz w:val="18"/>
                      <w:szCs w:val="18"/>
                      <w:highlight w:val="none"/>
                      <w:lang w:val="en-US" w:eastAsia="zh-CN"/>
                    </w:rPr>
                    <w:instrText xml:space="preserve"> = 1 \* GB3 \* MERGEFORMAT </w:instrText>
                  </w:r>
                  <w:r>
                    <w:rPr>
                      <w:rFonts w:hint="default" w:ascii="Times New Roman" w:hAnsi="Times New Roman" w:cs="Times New Roman" w:eastAsiaTheme="majorEastAsia"/>
                      <w:color w:val="auto"/>
                      <w:sz w:val="18"/>
                      <w:szCs w:val="18"/>
                      <w:highlight w:val="none"/>
                      <w:lang w:val="en-US" w:eastAsia="zh-CN"/>
                    </w:rPr>
                    <w:fldChar w:fldCharType="separate"/>
                  </w:r>
                  <w:r>
                    <w:rPr>
                      <w:rFonts w:hint="default" w:ascii="Times New Roman" w:hAnsi="Times New Roman" w:cs="Times New Roman" w:eastAsiaTheme="majorEastAsia"/>
                      <w:color w:val="auto"/>
                      <w:sz w:val="18"/>
                      <w:szCs w:val="18"/>
                      <w:highlight w:val="none"/>
                    </w:rPr>
                    <w:t>①</w:t>
                  </w:r>
                  <w:r>
                    <w:rPr>
                      <w:rFonts w:hint="default" w:ascii="Times New Roman" w:hAnsi="Times New Roman" w:cs="Times New Roman" w:eastAsiaTheme="majorEastAsia"/>
                      <w:color w:val="auto"/>
                      <w:sz w:val="18"/>
                      <w:szCs w:val="18"/>
                      <w:highlight w:val="none"/>
                      <w:lang w:val="en-US" w:eastAsia="zh-CN"/>
                    </w:rPr>
                    <w:fldChar w:fldCharType="end"/>
                  </w:r>
                  <w:r>
                    <w:rPr>
                      <w:rFonts w:hint="default" w:ascii="Times New Roman" w:hAnsi="Times New Roman" w:cs="Times New Roman" w:eastAsiaTheme="majorEastAsia"/>
                      <w:color w:val="auto"/>
                      <w:sz w:val="18"/>
                      <w:szCs w:val="18"/>
                      <w:highlight w:val="none"/>
                      <w:lang w:val="en-US" w:eastAsia="zh-CN"/>
                    </w:rPr>
                    <w:t>锅炉燃气</w:t>
                  </w:r>
                  <w:r>
                    <w:rPr>
                      <w:rFonts w:hint="eastAsia" w:cs="Times New Roman" w:eastAsiaTheme="majorEastAsia"/>
                      <w:color w:val="auto"/>
                      <w:sz w:val="18"/>
                      <w:szCs w:val="18"/>
                      <w:highlight w:val="none"/>
                      <w:lang w:val="en-US" w:eastAsia="zh-CN"/>
                    </w:rPr>
                    <w:t>废气</w:t>
                  </w:r>
                  <w:r>
                    <w:rPr>
                      <w:rFonts w:hint="default" w:ascii="Times New Roman" w:hAnsi="Times New Roman" w:cs="Times New Roman" w:eastAsiaTheme="majorEastAsia"/>
                      <w:color w:val="auto"/>
                      <w:sz w:val="18"/>
                      <w:szCs w:val="18"/>
                      <w:highlight w:val="none"/>
                      <w:lang w:val="en-US" w:eastAsia="zh-CN"/>
                    </w:rPr>
                    <w:t>采用低氮燃烧器+烟气循环系统+8m高排气筒排放；</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left"/>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eastAsiaTheme="majorEastAsia"/>
                      <w:b w:val="0"/>
                      <w:bCs w:val="0"/>
                      <w:snapToGrid/>
                      <w:color w:val="auto"/>
                      <w:sz w:val="18"/>
                      <w:szCs w:val="18"/>
                      <w:highlight w:val="none"/>
                      <w:lang w:val="en-US" w:eastAsia="zh-CN" w:bidi="ar-SA"/>
                    </w:rPr>
                    <w:fldChar w:fldCharType="begin"/>
                  </w:r>
                  <w:r>
                    <w:rPr>
                      <w:rFonts w:hint="default" w:ascii="Times New Roman" w:hAnsi="Times New Roman" w:cs="Times New Roman" w:eastAsiaTheme="majorEastAsia"/>
                      <w:b w:val="0"/>
                      <w:bCs w:val="0"/>
                      <w:snapToGrid/>
                      <w:color w:val="auto"/>
                      <w:sz w:val="18"/>
                      <w:szCs w:val="18"/>
                      <w:highlight w:val="none"/>
                      <w:lang w:val="en-US" w:eastAsia="zh-CN" w:bidi="ar-SA"/>
                    </w:rPr>
                    <w:instrText xml:space="preserve"> = 2 \* GB3 \* MERGEFORMAT </w:instrText>
                  </w:r>
                  <w:r>
                    <w:rPr>
                      <w:rFonts w:hint="default" w:ascii="Times New Roman" w:hAnsi="Times New Roman" w:cs="Times New Roman" w:eastAsiaTheme="majorEastAsia"/>
                      <w:b w:val="0"/>
                      <w:bCs w:val="0"/>
                      <w:snapToGrid/>
                      <w:color w:val="auto"/>
                      <w:sz w:val="18"/>
                      <w:szCs w:val="18"/>
                      <w:highlight w:val="none"/>
                      <w:lang w:val="en-US" w:eastAsia="zh-CN" w:bidi="ar-SA"/>
                    </w:rPr>
                    <w:fldChar w:fldCharType="separate"/>
                  </w:r>
                  <w:r>
                    <w:rPr>
                      <w:rFonts w:hint="default" w:ascii="Times New Roman" w:hAnsi="Times New Roman" w:cs="Times New Roman" w:eastAsiaTheme="majorEastAsia"/>
                      <w:b w:val="0"/>
                      <w:bCs w:val="0"/>
                      <w:snapToGrid/>
                      <w:color w:val="auto"/>
                      <w:sz w:val="18"/>
                      <w:szCs w:val="18"/>
                      <w:highlight w:val="none"/>
                      <w:lang w:val="en-US" w:eastAsia="zh-CN" w:bidi="ar-SA"/>
                    </w:rPr>
                    <w:t>②</w:t>
                  </w:r>
                  <w:r>
                    <w:rPr>
                      <w:rFonts w:hint="default" w:ascii="Times New Roman" w:hAnsi="Times New Roman" w:cs="Times New Roman" w:eastAsiaTheme="majorEastAsia"/>
                      <w:b w:val="0"/>
                      <w:bCs w:val="0"/>
                      <w:snapToGrid/>
                      <w:color w:val="auto"/>
                      <w:sz w:val="18"/>
                      <w:szCs w:val="18"/>
                      <w:highlight w:val="none"/>
                      <w:lang w:val="en-US" w:eastAsia="zh-CN" w:bidi="ar-SA"/>
                    </w:rPr>
                    <w:fldChar w:fldCharType="end"/>
                  </w:r>
                  <w:r>
                    <w:rPr>
                      <w:rFonts w:hint="default" w:ascii="Times New Roman" w:hAnsi="Times New Roman" w:cs="Times New Roman" w:eastAsiaTheme="majorEastAsia"/>
                      <w:b w:val="0"/>
                      <w:bCs w:val="0"/>
                      <w:snapToGrid/>
                      <w:color w:val="auto"/>
                      <w:sz w:val="18"/>
                      <w:szCs w:val="18"/>
                      <w:highlight w:val="none"/>
                      <w:lang w:val="en-US" w:eastAsia="zh-CN" w:bidi="ar-SA"/>
                    </w:rPr>
                    <w:t>投料搅拌工序在车间内设置单独密闭间进行二次密闭，投料粉尘通过设置负压集气罩收集，并通过1套脉冲袋式除尘器处理后经15m高排气筒排放</w:t>
                  </w:r>
                </w:p>
              </w:tc>
              <w:tc>
                <w:tcPr>
                  <w:tcW w:w="573" w:type="pct"/>
                  <w:shd w:val="clear" w:color="auto" w:fill="FFFFFF"/>
                  <w:noWrap w:val="0"/>
                  <w:tcMar>
                    <w:top w:w="85" w:type="dxa"/>
                    <w:bottom w:w="85" w:type="dxa"/>
                  </w:tcMar>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center"/>
                    <w:textAlignment w:val="auto"/>
                    <w:rPr>
                      <w:rFonts w:hint="default" w:ascii="Times New Roman" w:hAnsi="Times New Roman" w:cs="Times New Roman" w:eastAsiaTheme="majorEastAsia"/>
                      <w:b w:val="0"/>
                      <w:bCs w:val="0"/>
                      <w:snapToGrid/>
                      <w:color w:val="auto"/>
                      <w:sz w:val="18"/>
                      <w:szCs w:val="18"/>
                      <w:highlight w:val="none"/>
                      <w:lang w:val="en-US" w:eastAsia="zh-CN" w:bidi="ar-SA"/>
                    </w:rPr>
                  </w:pPr>
                  <w:r>
                    <w:rPr>
                      <w:rFonts w:hint="default" w:ascii="Times New Roman" w:hAnsi="Times New Roman" w:eastAsia="宋体" w:cs="Times New Roman"/>
                      <w:b w:val="0"/>
                      <w:bCs w:val="0"/>
                      <w:snapToGrid w:val="0"/>
                      <w:color w:val="auto"/>
                      <w:kern w:val="0"/>
                      <w:sz w:val="18"/>
                      <w:szCs w:val="18"/>
                      <w:highlight w:val="none"/>
                      <w:lang w:val="en-US" w:eastAsia="zh-CN" w:bidi="ar-SA"/>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eastAsia="宋体" w:cs="Times New Roman"/>
                      <w:snapToGrid w:val="0"/>
                      <w:color w:val="auto"/>
                      <w:kern w:val="0"/>
                      <w:sz w:val="18"/>
                      <w:szCs w:val="18"/>
                      <w:highlight w:val="none"/>
                    </w:rPr>
                    <w:t>废水</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eastAsia="zh-CN"/>
                    </w:rPr>
                    <w:fldChar w:fldCharType="begin"/>
                  </w:r>
                  <w:r>
                    <w:rPr>
                      <w:rFonts w:hint="default" w:ascii="Times New Roman" w:hAnsi="Times New Roman" w:cs="Times New Roman"/>
                      <w:snapToGrid w:val="0"/>
                      <w:color w:val="auto"/>
                      <w:kern w:val="0"/>
                      <w:sz w:val="18"/>
                      <w:szCs w:val="18"/>
                      <w:highlight w:val="none"/>
                      <w:lang w:eastAsia="zh-CN"/>
                    </w:rPr>
                    <w:instrText xml:space="preserve"> = 1 \* GB3 \* MERGEFORMAT </w:instrText>
                  </w:r>
                  <w:r>
                    <w:rPr>
                      <w:rFonts w:hint="default" w:ascii="Times New Roman" w:hAnsi="Times New Roman" w:cs="Times New Roman"/>
                      <w:snapToGrid w:val="0"/>
                      <w:color w:val="auto"/>
                      <w:kern w:val="0"/>
                      <w:sz w:val="18"/>
                      <w:szCs w:val="18"/>
                      <w:highlight w:val="none"/>
                      <w:lang w:eastAsia="zh-CN"/>
                    </w:rPr>
                    <w:fldChar w:fldCharType="separate"/>
                  </w:r>
                  <w:r>
                    <w:rPr>
                      <w:rFonts w:hint="default" w:ascii="Times New Roman" w:hAnsi="Times New Roman" w:cs="Times New Roman"/>
                      <w:color w:val="auto"/>
                      <w:sz w:val="18"/>
                      <w:szCs w:val="18"/>
                      <w:highlight w:val="none"/>
                    </w:rPr>
                    <w:t>①</w:t>
                  </w:r>
                  <w:r>
                    <w:rPr>
                      <w:rFonts w:hint="default" w:ascii="Times New Roman" w:hAnsi="Times New Roman" w:cs="Times New Roman"/>
                      <w:snapToGrid w:val="0"/>
                      <w:color w:val="auto"/>
                      <w:kern w:val="0"/>
                      <w:sz w:val="18"/>
                      <w:szCs w:val="18"/>
                      <w:highlight w:val="none"/>
                      <w:lang w:eastAsia="zh-CN"/>
                    </w:rPr>
                    <w:fldChar w:fldCharType="end"/>
                  </w:r>
                  <w:r>
                    <w:rPr>
                      <w:rFonts w:hint="default" w:ascii="Times New Roman" w:hAnsi="Times New Roman" w:cs="Times New Roman"/>
                      <w:snapToGrid w:val="0"/>
                      <w:color w:val="auto"/>
                      <w:kern w:val="0"/>
                      <w:sz w:val="18"/>
                      <w:szCs w:val="18"/>
                      <w:highlight w:val="none"/>
                      <w:lang w:eastAsia="zh-CN"/>
                    </w:rPr>
                    <w:t>生活污水、设备清洗废水和车间地面清洗废水经厂区</w:t>
                  </w:r>
                  <w:r>
                    <w:rPr>
                      <w:rFonts w:hint="default" w:ascii="Times New Roman" w:hAnsi="Times New Roman" w:cs="Times New Roman"/>
                      <w:snapToGrid w:val="0"/>
                      <w:color w:val="auto"/>
                      <w:kern w:val="0"/>
                      <w:sz w:val="18"/>
                      <w:szCs w:val="18"/>
                      <w:highlight w:val="none"/>
                      <w:lang w:val="en-US" w:eastAsia="zh-CN"/>
                    </w:rPr>
                    <w:t>40m</w:t>
                  </w:r>
                  <w:r>
                    <w:rPr>
                      <w:rFonts w:hint="default" w:ascii="Times New Roman" w:hAnsi="Times New Roman" w:cs="Times New Roman"/>
                      <w:snapToGrid w:val="0"/>
                      <w:color w:val="auto"/>
                      <w:kern w:val="0"/>
                      <w:sz w:val="18"/>
                      <w:szCs w:val="18"/>
                      <w:highlight w:val="none"/>
                      <w:vertAlign w:val="superscript"/>
                      <w:lang w:val="en-US" w:eastAsia="zh-CN"/>
                    </w:rPr>
                    <w:t>3</w:t>
                  </w:r>
                  <w:r>
                    <w:rPr>
                      <w:rFonts w:hint="default" w:ascii="Times New Roman" w:hAnsi="Times New Roman" w:cs="Times New Roman"/>
                      <w:snapToGrid w:val="0"/>
                      <w:color w:val="auto"/>
                      <w:kern w:val="0"/>
                      <w:sz w:val="18"/>
                      <w:szCs w:val="18"/>
                      <w:highlight w:val="none"/>
                      <w:lang w:eastAsia="zh-CN"/>
                    </w:rPr>
                    <w:t>化粪池处理后，</w:t>
                  </w:r>
                  <w:r>
                    <w:rPr>
                      <w:rFonts w:hint="default" w:ascii="Times New Roman" w:hAnsi="Times New Roman" w:cs="Times New Roman"/>
                      <w:snapToGrid w:val="0"/>
                      <w:color w:val="auto"/>
                      <w:kern w:val="0"/>
                      <w:sz w:val="18"/>
                      <w:szCs w:val="18"/>
                      <w:highlight w:val="none"/>
                      <w:lang w:val="en-US" w:eastAsia="zh-CN"/>
                    </w:rPr>
                    <w:t>定期清运；</w:t>
                  </w:r>
                  <w:r>
                    <w:rPr>
                      <w:rFonts w:hint="default" w:ascii="Times New Roman" w:hAnsi="Times New Roman" w:cs="Times New Roman"/>
                      <w:snapToGrid w:val="0"/>
                      <w:color w:val="auto"/>
                      <w:kern w:val="0"/>
                      <w:sz w:val="18"/>
                      <w:szCs w:val="18"/>
                      <w:highlight w:val="none"/>
                      <w:lang w:eastAsia="zh-CN"/>
                    </w:rPr>
                    <w:br w:type="textWrapping"/>
                  </w:r>
                  <w:r>
                    <w:rPr>
                      <w:rFonts w:hint="default" w:ascii="Times New Roman" w:hAnsi="Times New Roman" w:cs="Times New Roman"/>
                      <w:b w:val="0"/>
                      <w:bCs w:val="0"/>
                      <w:snapToGrid w:val="0"/>
                      <w:color w:val="auto"/>
                      <w:kern w:val="0"/>
                      <w:sz w:val="18"/>
                      <w:szCs w:val="18"/>
                      <w:highlight w:val="none"/>
                      <w:lang w:eastAsia="zh-CN"/>
                    </w:rPr>
                    <w:fldChar w:fldCharType="begin"/>
                  </w:r>
                  <w:r>
                    <w:rPr>
                      <w:rFonts w:hint="default" w:ascii="Times New Roman" w:hAnsi="Times New Roman" w:cs="Times New Roman"/>
                      <w:b w:val="0"/>
                      <w:bCs w:val="0"/>
                      <w:snapToGrid w:val="0"/>
                      <w:color w:val="auto"/>
                      <w:kern w:val="0"/>
                      <w:sz w:val="18"/>
                      <w:szCs w:val="18"/>
                      <w:highlight w:val="none"/>
                      <w:lang w:eastAsia="zh-CN"/>
                    </w:rPr>
                    <w:instrText xml:space="preserve"> = 2 \* GB3 \* MERGEFORMAT </w:instrText>
                  </w:r>
                  <w:r>
                    <w:rPr>
                      <w:rFonts w:hint="default" w:ascii="Times New Roman" w:hAnsi="Times New Roman" w:cs="Times New Roman"/>
                      <w:b w:val="0"/>
                      <w:bCs w:val="0"/>
                      <w:snapToGrid w:val="0"/>
                      <w:color w:val="auto"/>
                      <w:kern w:val="0"/>
                      <w:sz w:val="18"/>
                      <w:szCs w:val="18"/>
                      <w:highlight w:val="none"/>
                      <w:lang w:eastAsia="zh-CN"/>
                    </w:rPr>
                    <w:fldChar w:fldCharType="separate"/>
                  </w:r>
                  <w:r>
                    <w:rPr>
                      <w:rFonts w:hint="default" w:ascii="Times New Roman" w:hAnsi="Times New Roman" w:cs="Times New Roman"/>
                      <w:b w:val="0"/>
                      <w:bCs w:val="0"/>
                      <w:color w:val="auto"/>
                      <w:sz w:val="18"/>
                      <w:szCs w:val="18"/>
                      <w:highlight w:val="none"/>
                    </w:rPr>
                    <w:t>②</w:t>
                  </w:r>
                  <w:r>
                    <w:rPr>
                      <w:rFonts w:hint="default" w:ascii="Times New Roman" w:hAnsi="Times New Roman" w:cs="Times New Roman"/>
                      <w:b w:val="0"/>
                      <w:bCs w:val="0"/>
                      <w:snapToGrid w:val="0"/>
                      <w:color w:val="auto"/>
                      <w:kern w:val="0"/>
                      <w:sz w:val="18"/>
                      <w:szCs w:val="18"/>
                      <w:highlight w:val="none"/>
                      <w:lang w:eastAsia="zh-CN"/>
                    </w:rPr>
                    <w:fldChar w:fldCharType="end"/>
                  </w:r>
                  <w:r>
                    <w:rPr>
                      <w:rFonts w:hint="default" w:ascii="Times New Roman" w:hAnsi="Times New Roman" w:cs="Times New Roman"/>
                      <w:b w:val="0"/>
                      <w:bCs w:val="0"/>
                      <w:snapToGrid w:val="0"/>
                      <w:color w:val="auto"/>
                      <w:kern w:val="0"/>
                      <w:sz w:val="18"/>
                      <w:szCs w:val="18"/>
                      <w:highlight w:val="none"/>
                      <w:lang w:eastAsia="zh-CN"/>
                    </w:rPr>
                    <w:t>锅炉软水制备废水经</w:t>
                  </w:r>
                  <w:r>
                    <w:rPr>
                      <w:rFonts w:hint="default" w:ascii="Times New Roman" w:hAnsi="Times New Roman" w:cs="Times New Roman"/>
                      <w:b w:val="0"/>
                      <w:bCs w:val="0"/>
                      <w:snapToGrid w:val="0"/>
                      <w:color w:val="auto"/>
                      <w:kern w:val="0"/>
                      <w:sz w:val="18"/>
                      <w:szCs w:val="18"/>
                      <w:highlight w:val="none"/>
                      <w:lang w:val="en-US" w:eastAsia="zh-CN"/>
                    </w:rPr>
                    <w:t>收集后</w:t>
                  </w:r>
                  <w:r>
                    <w:rPr>
                      <w:rFonts w:hint="default" w:ascii="Times New Roman" w:hAnsi="Times New Roman" w:cs="Times New Roman"/>
                      <w:b w:val="0"/>
                      <w:bCs w:val="0"/>
                      <w:snapToGrid w:val="0"/>
                      <w:color w:val="auto"/>
                      <w:kern w:val="0"/>
                      <w:sz w:val="18"/>
                      <w:szCs w:val="18"/>
                      <w:highlight w:val="none"/>
                      <w:lang w:eastAsia="zh-CN"/>
                    </w:rPr>
                    <w:t>，用于厂区洒水抑尘</w:t>
                  </w:r>
                </w:p>
              </w:tc>
              <w:tc>
                <w:tcPr>
                  <w:tcW w:w="573"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化粪池利用厂区现有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固废</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一般固废暂存间（</w:t>
                  </w:r>
                  <w:r>
                    <w:rPr>
                      <w:rFonts w:hint="default" w:ascii="Times New Roman" w:hAnsi="Times New Roman" w:cs="Times New Roman"/>
                      <w:snapToGrid w:val="0"/>
                      <w:color w:val="auto"/>
                      <w:kern w:val="0"/>
                      <w:sz w:val="18"/>
                      <w:szCs w:val="18"/>
                      <w:highlight w:val="none"/>
                      <w:lang w:val="en-US" w:eastAsia="zh-CN"/>
                    </w:rPr>
                    <w:t>20m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zh-CN"/>
                    </w:rPr>
                    <w:t>）</w:t>
                  </w:r>
                </w:p>
              </w:tc>
              <w:tc>
                <w:tcPr>
                  <w:tcW w:w="573"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eastAsia="宋体" w:cs="Times New Roman"/>
                      <w:b w:val="0"/>
                      <w:bCs w:val="0"/>
                      <w:snapToGrid w:val="0"/>
                      <w:color w:val="auto"/>
                      <w:kern w:val="0"/>
                      <w:sz w:val="18"/>
                      <w:szCs w:val="18"/>
                      <w:highlight w:val="none"/>
                      <w:lang w:val="en-US" w:eastAsia="zh-CN" w:bidi="ar-SA"/>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噪声</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室内布置，设置减震基础，风机安装隔声罩等</w:t>
                  </w:r>
                </w:p>
              </w:tc>
              <w:tc>
                <w:tcPr>
                  <w:tcW w:w="573"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eastAsia="宋体" w:cs="Times New Roman"/>
                      <w:b w:val="0"/>
                      <w:bCs w:val="0"/>
                      <w:snapToGrid w:val="0"/>
                      <w:color w:val="auto"/>
                      <w:kern w:val="0"/>
                      <w:sz w:val="18"/>
                      <w:szCs w:val="18"/>
                      <w:highlight w:val="none"/>
                      <w:lang w:val="en-US" w:eastAsia="zh-CN" w:bidi="ar-SA"/>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659" w:type="pct"/>
                  <w:vMerge w:val="continue"/>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639"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eastAsia="zh-CN" w:bidi="ar-SA"/>
                    </w:rPr>
                  </w:pPr>
                  <w:r>
                    <w:rPr>
                      <w:rFonts w:hint="default" w:ascii="Times New Roman" w:hAnsi="Times New Roman" w:cs="Times New Roman"/>
                      <w:snapToGrid w:val="0"/>
                      <w:color w:val="auto"/>
                      <w:kern w:val="0"/>
                      <w:sz w:val="18"/>
                      <w:szCs w:val="18"/>
                      <w:highlight w:val="none"/>
                      <w:lang w:val="zh-CN"/>
                    </w:rPr>
                    <w:t>事故池</w:t>
                  </w:r>
                </w:p>
              </w:tc>
              <w:tc>
                <w:tcPr>
                  <w:tcW w:w="3127"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napToGrid w:val="0"/>
                      <w:color w:val="auto"/>
                      <w:kern w:val="0"/>
                      <w:sz w:val="18"/>
                      <w:szCs w:val="18"/>
                      <w:highlight w:val="none"/>
                      <w:lang w:val="zh-CN" w:eastAsia="zh-CN" w:bidi="ar-SA"/>
                    </w:rPr>
                  </w:pPr>
                  <w:r>
                    <w:rPr>
                      <w:rFonts w:hint="default" w:ascii="Times New Roman" w:hAnsi="Times New Roman" w:cs="Times New Roman"/>
                      <w:snapToGrid w:val="0"/>
                      <w:color w:val="auto"/>
                      <w:kern w:val="0"/>
                      <w:sz w:val="18"/>
                      <w:szCs w:val="18"/>
                      <w:highlight w:val="none"/>
                      <w:lang w:val="en-US" w:eastAsia="zh-CN"/>
                    </w:rPr>
                    <w:t>1座，占地面积15m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，事故池容积15</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p>
              </w:tc>
              <w:tc>
                <w:tcPr>
                  <w:tcW w:w="573" w:type="pct"/>
                  <w:shd w:val="clear" w:color="auto" w:fill="FFFFFF"/>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新建</w:t>
                  </w:r>
                </w:p>
              </w:tc>
            </w:tr>
          </w:tbl>
          <w:p>
            <w:pPr>
              <w:pStyle w:val="2"/>
              <w:keepNext w:val="0"/>
              <w:keepLines w:val="0"/>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val="en-US" w:eastAsia="zh-CN"/>
              </w:rPr>
              <w:t>3</w:t>
            </w:r>
            <w:r>
              <w:rPr>
                <w:rFonts w:hint="eastAsia" w:ascii="宋体" w:hAnsi="宋体" w:eastAsia="宋体" w:cs="宋体"/>
                <w:b/>
                <w:bCs/>
                <w:sz w:val="21"/>
                <w:szCs w:val="21"/>
                <w:highlight w:val="none"/>
                <w:lang w:eastAsia="zh-CN"/>
              </w:rPr>
              <w:t>、产品方案及生产规模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r>
              <w:rPr>
                <w:rFonts w:hint="default" w:ascii="Times New Roman" w:hAnsi="Times New Roman" w:cs="Times New Roman"/>
                <w:color w:val="auto"/>
                <w:sz w:val="21"/>
                <w:szCs w:val="21"/>
                <w:highlight w:val="none"/>
                <w:lang w:eastAsia="zh-CN"/>
              </w:rPr>
              <w:t>产品为烤麸，具体产品</w:t>
            </w:r>
            <w:r>
              <w:rPr>
                <w:rFonts w:hint="default" w:ascii="Times New Roman" w:hAnsi="Times New Roman" w:cs="Times New Roman"/>
                <w:color w:val="auto"/>
                <w:sz w:val="21"/>
                <w:szCs w:val="21"/>
                <w:highlight w:val="none"/>
              </w:rPr>
              <w:t>方案详见</w:t>
            </w:r>
            <w:r>
              <w:rPr>
                <w:rFonts w:hint="default" w:ascii="Times New Roman" w:hAnsi="Times New Roman" w:cs="Times New Roman"/>
                <w:color w:val="auto"/>
                <w:sz w:val="21"/>
                <w:szCs w:val="21"/>
                <w:highlight w:val="none"/>
                <w:lang w:eastAsia="zh-CN"/>
              </w:rPr>
              <w:t>下表</w:t>
            </w:r>
            <w:r>
              <w:rPr>
                <w:rFonts w:hint="default" w:ascii="Times New Roman" w:hAnsi="Times New Roman" w:cs="Times New Roman"/>
                <w:color w:val="auto"/>
                <w:sz w:val="21"/>
                <w:szCs w:val="21"/>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 xml:space="preserve"> </w:t>
            </w:r>
            <w:r>
              <w:rPr>
                <w:rFonts w:hint="eastAsia" w:ascii="Times New Roman" w:hAnsi="Times New Roman" w:eastAsia="黑体" w:cs="Times New Roman"/>
                <w:color w:val="auto"/>
                <w:sz w:val="18"/>
                <w:szCs w:val="18"/>
                <w:highlight w:val="none"/>
                <w:lang w:val="en-US" w:eastAsia="zh-CN"/>
              </w:rPr>
              <w:t xml:space="preserve">  </w:t>
            </w:r>
            <w:r>
              <w:rPr>
                <w:rFonts w:hint="default" w:ascii="Times New Roman" w:hAnsi="Times New Roman" w:eastAsia="黑体" w:cs="Times New Roman"/>
                <w:color w:val="auto"/>
                <w:sz w:val="18"/>
                <w:szCs w:val="18"/>
                <w:highlight w:val="none"/>
                <w:lang w:val="en-US" w:eastAsia="zh-CN"/>
              </w:rPr>
              <w:t xml:space="preserve"> 项目产品方案一览表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1845"/>
              <w:gridCol w:w="38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0" w:hRule="atLeast"/>
                <w:jc w:val="center"/>
              </w:trPr>
              <w:tc>
                <w:tcPr>
                  <w:tcW w:w="127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产品名称</w:t>
                  </w:r>
                </w:p>
              </w:tc>
              <w:tc>
                <w:tcPr>
                  <w:tcW w:w="12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年生产规模</w:t>
                  </w:r>
                </w:p>
              </w:tc>
              <w:tc>
                <w:tcPr>
                  <w:tcW w:w="25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烤麸</w:t>
                  </w:r>
                </w:p>
              </w:tc>
              <w:tc>
                <w:tcPr>
                  <w:tcW w:w="12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500t/a</w:t>
                  </w:r>
                </w:p>
              </w:tc>
              <w:tc>
                <w:tcPr>
                  <w:tcW w:w="25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袋装，250g/袋</w:t>
                  </w:r>
                </w:p>
              </w:tc>
            </w:tr>
          </w:tbl>
          <w:p>
            <w:pPr>
              <w:keepNext w:val="0"/>
              <w:keepLines w:val="0"/>
              <w:pageBreakBefore w:val="0"/>
              <w:widowControl w:val="0"/>
              <w:kinsoku/>
              <w:wordWrap/>
              <w:overflowPunct/>
              <w:topLinePunct w:val="0"/>
              <w:autoSpaceDE/>
              <w:autoSpaceDN/>
              <w:bidi w:val="0"/>
              <w:spacing w:line="360" w:lineRule="auto"/>
              <w:textAlignment w:val="auto"/>
              <w:rPr>
                <w:rFonts w:hint="eastAsia"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spacing w:line="360" w:lineRule="auto"/>
              <w:textAlignment w:val="auto"/>
              <w:rPr>
                <w:rFonts w:hint="eastAsia" w:cs="Times New Roman"/>
                <w:b/>
                <w:bCs/>
                <w:color w:val="auto"/>
                <w:highlight w:val="none"/>
                <w:lang w:val="en-US" w:eastAsia="zh-CN"/>
              </w:rPr>
            </w:pPr>
          </w:p>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b/>
                <w:bCs/>
                <w:color w:val="auto"/>
                <w:highlight w:val="none"/>
              </w:rPr>
            </w:pPr>
            <w:r>
              <w:rPr>
                <w:rFonts w:hint="eastAsia" w:cs="Times New Roman"/>
                <w:b/>
                <w:bCs/>
                <w:color w:val="auto"/>
                <w:highlight w:val="none"/>
                <w:lang w:val="en-US" w:eastAsia="zh-CN"/>
              </w:rPr>
              <w:t>4</w:t>
            </w:r>
            <w:r>
              <w:rPr>
                <w:rFonts w:hint="default"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rPr>
              <w:t>主要设备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highlight w:val="none"/>
              </w:rPr>
            </w:pPr>
            <w:r>
              <w:rPr>
                <w:rFonts w:hint="eastAsia" w:cs="Times New Roman"/>
                <w:color w:val="auto"/>
                <w:highlight w:val="none"/>
                <w:lang w:eastAsia="zh-CN"/>
              </w:rPr>
              <w:t>项目生产设备包括和面机、分切机、蒸箱等，</w:t>
            </w:r>
            <w:r>
              <w:rPr>
                <w:rFonts w:hint="default" w:ascii="Times New Roman" w:hAnsi="Times New Roman" w:cs="Times New Roman"/>
                <w:color w:val="auto"/>
                <w:highlight w:val="none"/>
              </w:rPr>
              <w:t>主要设备详见</w:t>
            </w:r>
            <w:r>
              <w:rPr>
                <w:rFonts w:hint="default" w:ascii="Times New Roman" w:hAnsi="Times New Roman" w:cs="Times New Roman"/>
                <w:color w:val="auto"/>
                <w:highlight w:val="none"/>
                <w:lang w:eastAsia="zh-CN"/>
              </w:rPr>
              <w:t>下表</w:t>
            </w:r>
            <w:r>
              <w:rPr>
                <w:rFonts w:hint="default" w:ascii="Times New Roman" w:hAnsi="Times New Roman" w:cs="Times New Roman"/>
                <w:color w:val="auto"/>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bookmarkStart w:id="0" w:name="生产设备"/>
            <w:bookmarkEnd w:id="0"/>
            <w:r>
              <w:rPr>
                <w:rFonts w:hint="default" w:ascii="Times New Roman" w:hAnsi="Times New Roman" w:eastAsia="黑体" w:cs="Times New Roman"/>
                <w:color w:val="auto"/>
                <w:sz w:val="18"/>
                <w:szCs w:val="18"/>
                <w:highlight w:val="none"/>
                <w:lang w:val="en-US" w:eastAsia="zh-CN"/>
              </w:rPr>
              <w:t xml:space="preserve">    项目主要设备一览表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1310"/>
              <w:gridCol w:w="998"/>
              <w:gridCol w:w="807"/>
              <w:gridCol w:w="670"/>
              <w:gridCol w:w="32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09" w:type="pc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序号</w:t>
                  </w:r>
                </w:p>
              </w:tc>
              <w:tc>
                <w:tcPr>
                  <w:tcW w:w="860" w:type="pc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设备名称</w:t>
                  </w:r>
                </w:p>
              </w:tc>
              <w:tc>
                <w:tcPr>
                  <w:tcW w:w="655" w:type="pc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规格型号</w:t>
                  </w:r>
                </w:p>
              </w:tc>
              <w:tc>
                <w:tcPr>
                  <w:tcW w:w="530" w:type="pc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数量</w:t>
                  </w:r>
                </w:p>
              </w:tc>
              <w:tc>
                <w:tcPr>
                  <w:tcW w:w="440" w:type="pc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单位</w:t>
                  </w:r>
                </w:p>
              </w:tc>
              <w:tc>
                <w:tcPr>
                  <w:tcW w:w="2103" w:type="pc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kern w:val="36"/>
                      <w:sz w:val="18"/>
                      <w:szCs w:val="18"/>
                      <w:highlight w:val="none"/>
                    </w:rPr>
                    <w:t>1</w:t>
                  </w:r>
                </w:p>
              </w:tc>
              <w:tc>
                <w:tcPr>
                  <w:tcW w:w="8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kern w:val="0"/>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和面机</w:t>
                  </w:r>
                </w:p>
              </w:tc>
              <w:tc>
                <w:tcPr>
                  <w:tcW w:w="6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kern w:val="0"/>
                      <w:sz w:val="18"/>
                      <w:szCs w:val="18"/>
                      <w:highlight w:val="none"/>
                      <w:u w:val="single"/>
                    </w:rPr>
                  </w:pPr>
                  <w:r>
                    <w:rPr>
                      <w:rFonts w:hint="default" w:ascii="Times New Roman" w:hAnsi="Times New Roman" w:cs="Times New Roman" w:eastAsiaTheme="minorEastAsia"/>
                      <w:b w:val="0"/>
                      <w:bCs/>
                      <w:color w:val="auto"/>
                      <w:sz w:val="18"/>
                      <w:szCs w:val="18"/>
                      <w:highlight w:val="none"/>
                      <w:u w:val="none"/>
                    </w:rPr>
                    <w:t>0.25t/h</w:t>
                  </w:r>
                </w:p>
              </w:tc>
              <w:tc>
                <w:tcPr>
                  <w:tcW w:w="53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kern w:val="0"/>
                      <w:sz w:val="18"/>
                      <w:szCs w:val="18"/>
                      <w:highlight w:val="none"/>
                    </w:rPr>
                  </w:pPr>
                  <w:r>
                    <w:rPr>
                      <w:rFonts w:hint="default" w:ascii="Times New Roman" w:hAnsi="Times New Roman" w:cs="Times New Roman" w:eastAsiaTheme="minorEastAsia"/>
                      <w:b w:val="0"/>
                      <w:bCs/>
                      <w:color w:val="auto"/>
                      <w:sz w:val="18"/>
                      <w:szCs w:val="18"/>
                      <w:highlight w:val="none"/>
                    </w:rPr>
                    <w:t>3</w:t>
                  </w:r>
                </w:p>
              </w:tc>
              <w:tc>
                <w:tcPr>
                  <w:tcW w:w="4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台</w:t>
                  </w:r>
                </w:p>
              </w:tc>
              <w:tc>
                <w:tcPr>
                  <w:tcW w:w="2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kern w:val="0"/>
                      <w:sz w:val="18"/>
                      <w:szCs w:val="18"/>
                      <w:highlight w:val="none"/>
                      <w:u w:val="none"/>
                    </w:rPr>
                  </w:pPr>
                  <w:r>
                    <w:rPr>
                      <w:rFonts w:hint="default" w:ascii="Times New Roman" w:hAnsi="Times New Roman" w:cs="Times New Roman" w:eastAsiaTheme="minorEastAsia"/>
                      <w:b w:val="0"/>
                      <w:bCs/>
                      <w:color w:val="auto"/>
                      <w:kern w:val="0"/>
                      <w:sz w:val="18"/>
                      <w:szCs w:val="18"/>
                      <w:highlight w:val="none"/>
                      <w:u w:val="none"/>
                      <w:lang w:eastAsia="zh-CN"/>
                    </w:rPr>
                    <w:t>单次</w:t>
                  </w:r>
                  <w:r>
                    <w:rPr>
                      <w:rFonts w:hint="default" w:ascii="Times New Roman" w:hAnsi="Times New Roman" w:cs="Times New Roman" w:eastAsiaTheme="minorEastAsia"/>
                      <w:b w:val="0"/>
                      <w:bCs/>
                      <w:color w:val="auto"/>
                      <w:kern w:val="0"/>
                      <w:sz w:val="18"/>
                      <w:szCs w:val="18"/>
                      <w:highlight w:val="none"/>
                      <w:u w:val="none"/>
                    </w:rPr>
                    <w:t>约1h出一锅料，一锅料重约0.25t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eastAsiaTheme="minorEastAsia"/>
                      <w:b w:val="0"/>
                      <w:bCs/>
                      <w:color w:val="auto"/>
                      <w:sz w:val="18"/>
                      <w:szCs w:val="18"/>
                      <w:highlight w:val="none"/>
                      <w:lang w:val="en-US" w:eastAsia="zh-CN" w:bidi="ar-SA"/>
                    </w:rPr>
                  </w:pPr>
                  <w:r>
                    <w:rPr>
                      <w:rFonts w:hint="default" w:ascii="Times New Roman" w:hAnsi="Times New Roman" w:cs="Times New Roman" w:eastAsiaTheme="minorEastAsia"/>
                      <w:b w:val="0"/>
                      <w:bCs/>
                      <w:color w:val="auto"/>
                      <w:kern w:val="36"/>
                      <w:sz w:val="18"/>
                      <w:szCs w:val="18"/>
                      <w:highlight w:val="none"/>
                    </w:rPr>
                    <w:t>2</w:t>
                  </w:r>
                </w:p>
              </w:tc>
              <w:tc>
                <w:tcPr>
                  <w:tcW w:w="8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分切机</w:t>
                  </w:r>
                </w:p>
              </w:tc>
              <w:tc>
                <w:tcPr>
                  <w:tcW w:w="6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u w:val="single"/>
                    </w:rPr>
                  </w:pPr>
                  <w:r>
                    <w:rPr>
                      <w:rFonts w:hint="default" w:ascii="Times New Roman" w:hAnsi="Times New Roman" w:cs="Times New Roman" w:eastAsiaTheme="minorEastAsia"/>
                      <w:b w:val="0"/>
                      <w:bCs/>
                      <w:color w:val="auto"/>
                      <w:sz w:val="18"/>
                      <w:szCs w:val="18"/>
                      <w:highlight w:val="none"/>
                    </w:rPr>
                    <w:t>非标</w:t>
                  </w:r>
                </w:p>
              </w:tc>
              <w:tc>
                <w:tcPr>
                  <w:tcW w:w="53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1</w:t>
                  </w:r>
                </w:p>
              </w:tc>
              <w:tc>
                <w:tcPr>
                  <w:tcW w:w="4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台</w:t>
                  </w:r>
                </w:p>
              </w:tc>
              <w:tc>
                <w:tcPr>
                  <w:tcW w:w="2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kern w:val="0"/>
                      <w:sz w:val="18"/>
                      <w:szCs w:val="18"/>
                      <w:highlight w:val="none"/>
                      <w:u w:val="none"/>
                      <w:lang w:eastAsia="zh-CN"/>
                    </w:rPr>
                  </w:pPr>
                  <w:r>
                    <w:rPr>
                      <w:rFonts w:hint="default" w:ascii="Times New Roman" w:hAnsi="Times New Roman" w:cs="Times New Roman" w:eastAsiaTheme="minorEastAsia"/>
                      <w:b w:val="0"/>
                      <w:bCs/>
                      <w:color w:val="auto"/>
                      <w:kern w:val="0"/>
                      <w:sz w:val="18"/>
                      <w:szCs w:val="18"/>
                      <w:highlight w:val="none"/>
                      <w:u w:val="none"/>
                      <w:lang w:eastAsia="zh-CN"/>
                    </w:rPr>
                    <w:t>大块面筋分切装盒设备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40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eastAsiaTheme="minorEastAsia"/>
                      <w:b w:val="0"/>
                      <w:bCs/>
                      <w:color w:val="auto"/>
                      <w:sz w:val="18"/>
                      <w:szCs w:val="18"/>
                      <w:highlight w:val="none"/>
                      <w:lang w:val="en-US" w:eastAsia="zh-CN" w:bidi="ar-SA"/>
                    </w:rPr>
                  </w:pPr>
                  <w:r>
                    <w:rPr>
                      <w:rFonts w:hint="default" w:ascii="Times New Roman" w:hAnsi="Times New Roman" w:cs="Times New Roman" w:eastAsiaTheme="minorEastAsia"/>
                      <w:b w:val="0"/>
                      <w:bCs/>
                      <w:color w:val="auto"/>
                      <w:kern w:val="36"/>
                      <w:sz w:val="18"/>
                      <w:szCs w:val="18"/>
                      <w:highlight w:val="none"/>
                    </w:rPr>
                    <w:t>3</w:t>
                  </w:r>
                </w:p>
              </w:tc>
              <w:tc>
                <w:tcPr>
                  <w:tcW w:w="8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蒸箱</w:t>
                  </w:r>
                </w:p>
              </w:tc>
              <w:tc>
                <w:tcPr>
                  <w:tcW w:w="6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非标</w:t>
                  </w:r>
                </w:p>
              </w:tc>
              <w:tc>
                <w:tcPr>
                  <w:tcW w:w="53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val="en-US" w:eastAsia="zh-CN"/>
                    </w:rPr>
                    <w:t>4</w:t>
                  </w:r>
                </w:p>
              </w:tc>
              <w:tc>
                <w:tcPr>
                  <w:tcW w:w="4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套</w:t>
                  </w:r>
                </w:p>
              </w:tc>
              <w:tc>
                <w:tcPr>
                  <w:tcW w:w="2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kern w:val="0"/>
                      <w:sz w:val="18"/>
                      <w:szCs w:val="18"/>
                      <w:highlight w:val="none"/>
                      <w:u w:val="none"/>
                      <w:lang w:eastAsia="zh-CN"/>
                    </w:rPr>
                  </w:pPr>
                  <w:r>
                    <w:rPr>
                      <w:rFonts w:hint="default" w:ascii="Times New Roman" w:hAnsi="Times New Roman" w:cs="Times New Roman" w:eastAsiaTheme="minorEastAsia"/>
                      <w:b w:val="0"/>
                      <w:bCs/>
                      <w:color w:val="auto"/>
                      <w:kern w:val="36"/>
                      <w:sz w:val="18"/>
                      <w:szCs w:val="18"/>
                      <w:highlight w:val="none"/>
                      <w:u w:val="none"/>
                    </w:rPr>
                    <w:t>蒸制</w:t>
                  </w:r>
                  <w:r>
                    <w:rPr>
                      <w:rFonts w:hint="default" w:ascii="Times New Roman" w:hAnsi="Times New Roman" w:cs="Times New Roman" w:eastAsiaTheme="minorEastAsia"/>
                      <w:b w:val="0"/>
                      <w:bCs/>
                      <w:color w:val="auto"/>
                      <w:kern w:val="36"/>
                      <w:sz w:val="18"/>
                      <w:szCs w:val="18"/>
                      <w:highlight w:val="none"/>
                      <w:u w:val="none"/>
                      <w:lang w:eastAsia="zh-CN"/>
                    </w:rPr>
                    <w:t>设备</w:t>
                  </w:r>
                  <w:r>
                    <w:rPr>
                      <w:rFonts w:hint="default" w:ascii="Times New Roman" w:hAnsi="Times New Roman" w:cs="Times New Roman" w:eastAsiaTheme="minorEastAsia"/>
                      <w:b w:val="0"/>
                      <w:bCs/>
                      <w:color w:val="auto"/>
                      <w:kern w:val="36"/>
                      <w:sz w:val="18"/>
                      <w:szCs w:val="18"/>
                      <w:highlight w:val="none"/>
                      <w:u w:val="none"/>
                    </w:rPr>
                    <w:t>；</w:t>
                  </w:r>
                  <w:r>
                    <w:rPr>
                      <w:rFonts w:hint="default" w:ascii="Times New Roman" w:hAnsi="Times New Roman" w:cs="Times New Roman" w:eastAsiaTheme="minorEastAsia"/>
                      <w:b w:val="0"/>
                      <w:bCs/>
                      <w:color w:val="auto"/>
                      <w:kern w:val="36"/>
                      <w:sz w:val="18"/>
                      <w:szCs w:val="18"/>
                      <w:highlight w:val="none"/>
                      <w:u w:val="none"/>
                      <w:lang w:eastAsia="zh-CN"/>
                    </w:rPr>
                    <w:t>蒸汽由新建锅炉提供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eastAsiaTheme="minorEastAsia"/>
                      <w:b w:val="0"/>
                      <w:bCs/>
                      <w:color w:val="auto"/>
                      <w:sz w:val="18"/>
                      <w:szCs w:val="18"/>
                      <w:highlight w:val="none"/>
                      <w:lang w:val="en-US" w:eastAsia="zh-CN" w:bidi="ar-SA"/>
                    </w:rPr>
                  </w:pPr>
                  <w:r>
                    <w:rPr>
                      <w:rFonts w:hint="default" w:ascii="Times New Roman" w:hAnsi="Times New Roman" w:cs="Times New Roman" w:eastAsiaTheme="minorEastAsia"/>
                      <w:b w:val="0"/>
                      <w:bCs/>
                      <w:color w:val="auto"/>
                      <w:kern w:val="36"/>
                      <w:sz w:val="18"/>
                      <w:szCs w:val="18"/>
                      <w:highlight w:val="none"/>
                    </w:rPr>
                    <w:t>4</w:t>
                  </w:r>
                </w:p>
              </w:tc>
              <w:tc>
                <w:tcPr>
                  <w:tcW w:w="8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kern w:val="0"/>
                      <w:sz w:val="18"/>
                      <w:szCs w:val="18"/>
                      <w:highlight w:val="none"/>
                    </w:rPr>
                  </w:pPr>
                  <w:r>
                    <w:rPr>
                      <w:rFonts w:hint="default" w:ascii="Times New Roman" w:hAnsi="Times New Roman" w:cs="Times New Roman" w:eastAsiaTheme="minorEastAsia"/>
                      <w:b w:val="0"/>
                      <w:bCs/>
                      <w:color w:val="auto"/>
                      <w:sz w:val="18"/>
                      <w:szCs w:val="18"/>
                      <w:highlight w:val="none"/>
                    </w:rPr>
                    <w:t>切片机</w:t>
                  </w:r>
                </w:p>
              </w:tc>
              <w:tc>
                <w:tcPr>
                  <w:tcW w:w="6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kern w:val="0"/>
                      <w:sz w:val="18"/>
                      <w:szCs w:val="18"/>
                      <w:highlight w:val="none"/>
                    </w:rPr>
                  </w:pPr>
                  <w:r>
                    <w:rPr>
                      <w:rFonts w:hint="default" w:ascii="Times New Roman" w:hAnsi="Times New Roman" w:cs="Times New Roman" w:eastAsiaTheme="minorEastAsia"/>
                      <w:b w:val="0"/>
                      <w:bCs/>
                      <w:color w:val="auto"/>
                      <w:sz w:val="18"/>
                      <w:szCs w:val="18"/>
                      <w:highlight w:val="none"/>
                    </w:rPr>
                    <w:t>/</w:t>
                  </w:r>
                </w:p>
              </w:tc>
              <w:tc>
                <w:tcPr>
                  <w:tcW w:w="53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kern w:val="0"/>
                      <w:sz w:val="18"/>
                      <w:szCs w:val="18"/>
                      <w:highlight w:val="none"/>
                    </w:rPr>
                  </w:pPr>
                  <w:r>
                    <w:rPr>
                      <w:rFonts w:hint="default" w:ascii="Times New Roman" w:hAnsi="Times New Roman" w:cs="Times New Roman" w:eastAsiaTheme="minorEastAsia"/>
                      <w:b w:val="0"/>
                      <w:bCs/>
                      <w:color w:val="auto"/>
                      <w:sz w:val="18"/>
                      <w:szCs w:val="18"/>
                      <w:highlight w:val="none"/>
                    </w:rPr>
                    <w:t>2</w:t>
                  </w:r>
                </w:p>
              </w:tc>
              <w:tc>
                <w:tcPr>
                  <w:tcW w:w="4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台</w:t>
                  </w:r>
                </w:p>
              </w:tc>
              <w:tc>
                <w:tcPr>
                  <w:tcW w:w="2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u w:val="none"/>
                      <w:lang w:eastAsia="zh-CN"/>
                    </w:rPr>
                  </w:pPr>
                  <w:r>
                    <w:rPr>
                      <w:rFonts w:hint="default" w:ascii="Times New Roman" w:hAnsi="Times New Roman" w:cs="Times New Roman" w:eastAsiaTheme="minorEastAsia"/>
                      <w:b w:val="0"/>
                      <w:bCs/>
                      <w:color w:val="auto"/>
                      <w:kern w:val="36"/>
                      <w:sz w:val="18"/>
                      <w:szCs w:val="18"/>
                      <w:highlight w:val="none"/>
                      <w:u w:val="none"/>
                    </w:rPr>
                    <w:t>切片</w:t>
                  </w:r>
                  <w:r>
                    <w:rPr>
                      <w:rFonts w:hint="default" w:ascii="Times New Roman" w:hAnsi="Times New Roman" w:cs="Times New Roman" w:eastAsiaTheme="minorEastAsia"/>
                      <w:b w:val="0"/>
                      <w:bCs/>
                      <w:color w:val="auto"/>
                      <w:kern w:val="36"/>
                      <w:sz w:val="18"/>
                      <w:szCs w:val="18"/>
                      <w:highlight w:val="none"/>
                      <w:u w:val="none"/>
                      <w:lang w:eastAsia="zh-CN"/>
                    </w:rPr>
                    <w:t>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eastAsiaTheme="minorEastAsia"/>
                      <w:b w:val="0"/>
                      <w:bCs/>
                      <w:color w:val="auto"/>
                      <w:sz w:val="18"/>
                      <w:szCs w:val="18"/>
                      <w:highlight w:val="none"/>
                      <w:lang w:val="en-US" w:eastAsia="zh-CN" w:bidi="ar-SA"/>
                    </w:rPr>
                  </w:pPr>
                  <w:r>
                    <w:rPr>
                      <w:rFonts w:hint="default" w:ascii="Times New Roman" w:hAnsi="Times New Roman" w:cs="Times New Roman" w:eastAsiaTheme="minorEastAsia"/>
                      <w:b w:val="0"/>
                      <w:bCs/>
                      <w:color w:val="auto"/>
                      <w:sz w:val="18"/>
                      <w:szCs w:val="18"/>
                      <w:highlight w:val="none"/>
                    </w:rPr>
                    <w:t>5</w:t>
                  </w:r>
                </w:p>
              </w:tc>
              <w:tc>
                <w:tcPr>
                  <w:tcW w:w="8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rPr>
                    <w:t>干燥</w:t>
                  </w:r>
                  <w:r>
                    <w:rPr>
                      <w:rFonts w:hint="default" w:ascii="Times New Roman" w:hAnsi="Times New Roman" w:cs="Times New Roman" w:eastAsiaTheme="minorEastAsia"/>
                      <w:b w:val="0"/>
                      <w:bCs/>
                      <w:color w:val="auto"/>
                      <w:sz w:val="18"/>
                      <w:szCs w:val="18"/>
                      <w:highlight w:val="none"/>
                      <w:lang w:eastAsia="zh-CN"/>
                    </w:rPr>
                    <w:t>机</w:t>
                  </w:r>
                </w:p>
              </w:tc>
              <w:tc>
                <w:tcPr>
                  <w:tcW w:w="6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w:t>
                  </w:r>
                </w:p>
              </w:tc>
              <w:tc>
                <w:tcPr>
                  <w:tcW w:w="53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1</w:t>
                  </w:r>
                </w:p>
              </w:tc>
              <w:tc>
                <w:tcPr>
                  <w:tcW w:w="4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台</w:t>
                  </w:r>
                </w:p>
              </w:tc>
              <w:tc>
                <w:tcPr>
                  <w:tcW w:w="2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u w:val="none"/>
                    </w:rPr>
                  </w:pPr>
                  <w:r>
                    <w:rPr>
                      <w:rFonts w:hint="default" w:ascii="Times New Roman" w:hAnsi="Times New Roman" w:cs="Times New Roman" w:eastAsiaTheme="minorEastAsia"/>
                      <w:b w:val="0"/>
                      <w:bCs/>
                      <w:color w:val="auto"/>
                      <w:kern w:val="36"/>
                      <w:sz w:val="18"/>
                      <w:szCs w:val="18"/>
                      <w:highlight w:val="none"/>
                      <w:u w:val="none"/>
                    </w:rPr>
                    <w:t>烘干</w:t>
                  </w:r>
                  <w:r>
                    <w:rPr>
                      <w:rFonts w:hint="default" w:ascii="Times New Roman" w:hAnsi="Times New Roman" w:cs="Times New Roman" w:eastAsiaTheme="minorEastAsia"/>
                      <w:b w:val="0"/>
                      <w:bCs/>
                      <w:color w:val="auto"/>
                      <w:kern w:val="36"/>
                      <w:sz w:val="18"/>
                      <w:szCs w:val="18"/>
                      <w:highlight w:val="none"/>
                      <w:u w:val="none"/>
                      <w:lang w:eastAsia="zh-CN"/>
                    </w:rPr>
                    <w:t>设备</w:t>
                  </w:r>
                  <w:r>
                    <w:rPr>
                      <w:rFonts w:hint="default" w:ascii="Times New Roman" w:hAnsi="Times New Roman" w:cs="Times New Roman" w:eastAsiaTheme="minorEastAsia"/>
                      <w:b w:val="0"/>
                      <w:bCs/>
                      <w:color w:val="auto"/>
                      <w:kern w:val="36"/>
                      <w:sz w:val="18"/>
                      <w:szCs w:val="18"/>
                      <w:highlight w:val="none"/>
                      <w:u w:val="none"/>
                    </w:rPr>
                    <w:t>；</w:t>
                  </w:r>
                  <w:r>
                    <w:rPr>
                      <w:rFonts w:hint="default" w:ascii="Times New Roman" w:hAnsi="Times New Roman" w:cs="Times New Roman" w:eastAsiaTheme="minorEastAsia"/>
                      <w:b w:val="0"/>
                      <w:bCs/>
                      <w:color w:val="auto"/>
                      <w:kern w:val="36"/>
                      <w:sz w:val="18"/>
                      <w:szCs w:val="18"/>
                      <w:highlight w:val="none"/>
                      <w:u w:val="none"/>
                      <w:lang w:eastAsia="zh-CN"/>
                    </w:rPr>
                    <w:t>热</w:t>
                  </w:r>
                  <w:r>
                    <w:rPr>
                      <w:rFonts w:hint="default" w:ascii="Times New Roman" w:hAnsi="Times New Roman" w:cs="Times New Roman" w:eastAsiaTheme="minorEastAsia"/>
                      <w:b w:val="0"/>
                      <w:bCs/>
                      <w:color w:val="auto"/>
                      <w:kern w:val="36"/>
                      <w:sz w:val="18"/>
                      <w:szCs w:val="18"/>
                      <w:highlight w:val="none"/>
                      <w:u w:val="none"/>
                    </w:rPr>
                    <w:t>源为</w:t>
                  </w:r>
                  <w:r>
                    <w:rPr>
                      <w:rFonts w:hint="default" w:ascii="Times New Roman" w:hAnsi="Times New Roman" w:cs="Times New Roman" w:eastAsiaTheme="minorEastAsia"/>
                      <w:b w:val="0"/>
                      <w:bCs/>
                      <w:color w:val="auto"/>
                      <w:kern w:val="36"/>
                      <w:sz w:val="18"/>
                      <w:szCs w:val="18"/>
                      <w:highlight w:val="none"/>
                      <w:u w:val="none"/>
                      <w:lang w:eastAsia="zh-CN"/>
                    </w:rPr>
                    <w:t>新建锅炉</w:t>
                  </w:r>
                  <w:r>
                    <w:rPr>
                      <w:rFonts w:hint="default" w:ascii="Times New Roman" w:hAnsi="Times New Roman" w:cs="Times New Roman" w:eastAsiaTheme="minorEastAsia"/>
                      <w:b w:val="0"/>
                      <w:bCs/>
                      <w:color w:val="auto"/>
                      <w:kern w:val="36"/>
                      <w:sz w:val="18"/>
                      <w:szCs w:val="18"/>
                      <w:highlight w:val="none"/>
                      <w:u w:val="none"/>
                    </w:rPr>
                    <w:t>蒸汽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eastAsiaTheme="minorEastAsia"/>
                      <w:b w:val="0"/>
                      <w:bCs/>
                      <w:color w:val="auto"/>
                      <w:kern w:val="36"/>
                      <w:sz w:val="18"/>
                      <w:szCs w:val="18"/>
                      <w:highlight w:val="none"/>
                      <w:lang w:val="en-US" w:eastAsia="zh-CN" w:bidi="ar-SA"/>
                    </w:rPr>
                  </w:pPr>
                  <w:r>
                    <w:rPr>
                      <w:rFonts w:hint="default" w:ascii="Times New Roman" w:hAnsi="Times New Roman" w:cs="Times New Roman" w:eastAsiaTheme="minorEastAsia"/>
                      <w:b w:val="0"/>
                      <w:bCs/>
                      <w:color w:val="auto"/>
                      <w:kern w:val="36"/>
                      <w:sz w:val="18"/>
                      <w:szCs w:val="18"/>
                      <w:highlight w:val="none"/>
                    </w:rPr>
                    <w:t>7</w:t>
                  </w:r>
                </w:p>
              </w:tc>
              <w:tc>
                <w:tcPr>
                  <w:tcW w:w="8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封包机</w:t>
                  </w:r>
                </w:p>
              </w:tc>
              <w:tc>
                <w:tcPr>
                  <w:tcW w:w="6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GK9-2</w:t>
                  </w:r>
                </w:p>
              </w:tc>
              <w:tc>
                <w:tcPr>
                  <w:tcW w:w="53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1</w:t>
                  </w:r>
                </w:p>
              </w:tc>
              <w:tc>
                <w:tcPr>
                  <w:tcW w:w="4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套</w:t>
                  </w:r>
                </w:p>
              </w:tc>
              <w:tc>
                <w:tcPr>
                  <w:tcW w:w="2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u w:val="none"/>
                      <w:lang w:eastAsia="zh-CN"/>
                    </w:rPr>
                  </w:pPr>
                  <w:r>
                    <w:rPr>
                      <w:rFonts w:hint="default" w:ascii="Times New Roman" w:hAnsi="Times New Roman" w:cs="Times New Roman" w:eastAsiaTheme="minorEastAsia"/>
                      <w:b w:val="0"/>
                      <w:bCs/>
                      <w:color w:val="auto"/>
                      <w:sz w:val="18"/>
                      <w:szCs w:val="18"/>
                      <w:highlight w:val="none"/>
                      <w:u w:val="none"/>
                    </w:rPr>
                    <w:t>包装</w:t>
                  </w:r>
                  <w:r>
                    <w:rPr>
                      <w:rFonts w:hint="default" w:ascii="Times New Roman" w:hAnsi="Times New Roman" w:cs="Times New Roman" w:eastAsiaTheme="minorEastAsia"/>
                      <w:b w:val="0"/>
                      <w:bCs/>
                      <w:color w:val="auto"/>
                      <w:sz w:val="18"/>
                      <w:szCs w:val="18"/>
                      <w:highlight w:val="none"/>
                      <w:u w:val="none"/>
                      <w:lang w:eastAsia="zh-CN"/>
                    </w:rPr>
                    <w:t>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kern w:val="36"/>
                      <w:sz w:val="18"/>
                      <w:szCs w:val="18"/>
                      <w:highlight w:val="none"/>
                      <w:lang w:val="en-US" w:eastAsia="zh-CN"/>
                    </w:rPr>
                  </w:pPr>
                  <w:r>
                    <w:rPr>
                      <w:rFonts w:hint="default" w:ascii="Times New Roman" w:hAnsi="Times New Roman" w:cs="Times New Roman" w:eastAsiaTheme="minorEastAsia"/>
                      <w:b w:val="0"/>
                      <w:bCs/>
                      <w:color w:val="auto"/>
                      <w:kern w:val="36"/>
                      <w:sz w:val="18"/>
                      <w:szCs w:val="18"/>
                      <w:highlight w:val="none"/>
                      <w:lang w:val="en-US" w:eastAsia="zh-CN"/>
                    </w:rPr>
                    <w:t>8</w:t>
                  </w:r>
                </w:p>
              </w:tc>
              <w:tc>
                <w:tcPr>
                  <w:tcW w:w="8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锅炉</w:t>
                  </w:r>
                </w:p>
              </w:tc>
              <w:tc>
                <w:tcPr>
                  <w:tcW w:w="6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2t/h</w:t>
                  </w:r>
                </w:p>
              </w:tc>
              <w:tc>
                <w:tcPr>
                  <w:tcW w:w="53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val="en-US" w:eastAsia="zh-CN"/>
                    </w:rPr>
                    <w:t>1</w:t>
                  </w:r>
                </w:p>
              </w:tc>
              <w:tc>
                <w:tcPr>
                  <w:tcW w:w="4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套</w:t>
                  </w:r>
                </w:p>
              </w:tc>
              <w:tc>
                <w:tcPr>
                  <w:tcW w:w="2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u w:val="none"/>
                      <w:lang w:val="en-US" w:eastAsia="zh-CN"/>
                    </w:rPr>
                  </w:pPr>
                  <w:r>
                    <w:rPr>
                      <w:rFonts w:hint="eastAsia" w:cs="Times New Roman" w:eastAsiaTheme="minorEastAsia"/>
                      <w:b w:val="0"/>
                      <w:bCs/>
                      <w:color w:val="auto"/>
                      <w:sz w:val="18"/>
                      <w:szCs w:val="18"/>
                      <w:highlight w:val="none"/>
                      <w:u w:val="none"/>
                      <w:lang w:val="en-US" w:eastAsia="zh-CN"/>
                    </w:rPr>
                    <w:t>燃气锅炉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kern w:val="36"/>
                      <w:sz w:val="18"/>
                      <w:szCs w:val="18"/>
                      <w:highlight w:val="none"/>
                      <w:lang w:val="en-US" w:eastAsia="zh-CN"/>
                    </w:rPr>
                  </w:pPr>
                  <w:r>
                    <w:rPr>
                      <w:rFonts w:hint="default" w:ascii="Times New Roman" w:hAnsi="Times New Roman" w:cs="Times New Roman" w:eastAsiaTheme="minorEastAsia"/>
                      <w:b w:val="0"/>
                      <w:bCs/>
                      <w:color w:val="auto"/>
                      <w:kern w:val="36"/>
                      <w:sz w:val="18"/>
                      <w:szCs w:val="18"/>
                      <w:highlight w:val="none"/>
                      <w:lang w:val="en-US" w:eastAsia="zh-CN"/>
                    </w:rPr>
                    <w:t>9</w:t>
                  </w:r>
                </w:p>
              </w:tc>
              <w:tc>
                <w:tcPr>
                  <w:tcW w:w="8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软水制备设备</w:t>
                  </w:r>
                </w:p>
              </w:tc>
              <w:tc>
                <w:tcPr>
                  <w:tcW w:w="6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rPr>
                    <w:t>/</w:t>
                  </w:r>
                </w:p>
              </w:tc>
              <w:tc>
                <w:tcPr>
                  <w:tcW w:w="53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1</w:t>
                  </w:r>
                </w:p>
              </w:tc>
              <w:tc>
                <w:tcPr>
                  <w:tcW w:w="4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套</w:t>
                  </w:r>
                </w:p>
              </w:tc>
              <w:tc>
                <w:tcPr>
                  <w:tcW w:w="2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u w:val="none"/>
                      <w:lang w:val="en-US" w:eastAsia="zh-CN"/>
                    </w:rPr>
                  </w:pPr>
                  <w:r>
                    <w:rPr>
                      <w:rFonts w:hint="default" w:ascii="Times New Roman" w:hAnsi="Times New Roman" w:cs="Times New Roman" w:eastAsiaTheme="minorEastAsia"/>
                      <w:b w:val="0"/>
                      <w:bCs/>
                      <w:color w:val="auto"/>
                      <w:sz w:val="18"/>
                      <w:szCs w:val="18"/>
                      <w:highlight w:val="none"/>
                      <w:u w:val="none"/>
                      <w:lang w:val="en-US" w:eastAsia="zh-CN"/>
                    </w:rPr>
                    <w:t>用于制备企业锅炉使用的软水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kern w:val="36"/>
                      <w:sz w:val="18"/>
                      <w:szCs w:val="18"/>
                      <w:highlight w:val="none"/>
                      <w:lang w:val="en-US" w:eastAsia="zh-CN"/>
                    </w:rPr>
                  </w:pPr>
                  <w:r>
                    <w:rPr>
                      <w:rFonts w:hint="eastAsia" w:cs="Times New Roman" w:eastAsiaTheme="minorEastAsia"/>
                      <w:b w:val="0"/>
                      <w:bCs/>
                      <w:color w:val="auto"/>
                      <w:kern w:val="36"/>
                      <w:sz w:val="18"/>
                      <w:szCs w:val="18"/>
                      <w:highlight w:val="none"/>
                      <w:lang w:val="en-US" w:eastAsia="zh-CN"/>
                    </w:rPr>
                    <w:t>10</w:t>
                  </w:r>
                </w:p>
              </w:tc>
              <w:tc>
                <w:tcPr>
                  <w:tcW w:w="8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电子秤</w:t>
                  </w:r>
                </w:p>
              </w:tc>
              <w:tc>
                <w:tcPr>
                  <w:tcW w:w="6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rPr>
                    <w:t>/</w:t>
                  </w:r>
                </w:p>
              </w:tc>
              <w:tc>
                <w:tcPr>
                  <w:tcW w:w="53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2</w:t>
                  </w:r>
                </w:p>
              </w:tc>
              <w:tc>
                <w:tcPr>
                  <w:tcW w:w="4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台</w:t>
                  </w:r>
                </w:p>
              </w:tc>
              <w:tc>
                <w:tcPr>
                  <w:tcW w:w="2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u w:val="none"/>
                      <w:lang w:eastAsia="zh-CN"/>
                    </w:rPr>
                  </w:pPr>
                  <w:r>
                    <w:rPr>
                      <w:rFonts w:hint="default" w:ascii="Times New Roman" w:hAnsi="Times New Roman" w:cs="Times New Roman" w:eastAsiaTheme="minorEastAsia"/>
                      <w:b w:val="0"/>
                      <w:bCs/>
                      <w:color w:val="auto"/>
                      <w:sz w:val="18"/>
                      <w:szCs w:val="18"/>
                      <w:highlight w:val="none"/>
                      <w:u w:val="none"/>
                      <w:lang w:eastAsia="zh-CN"/>
                    </w:rPr>
                    <w:t>原料称量</w:t>
                  </w:r>
                </w:p>
              </w:tc>
            </w:tr>
          </w:tbl>
          <w:p>
            <w:pPr>
              <w:pStyle w:val="14"/>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5</w:t>
            </w:r>
            <w:r>
              <w:rPr>
                <w:rFonts w:hint="default" w:ascii="Times New Roman" w:hAnsi="Times New Roman" w:cs="Times New Roman"/>
                <w:b/>
                <w:bCs/>
                <w:color w:val="auto"/>
                <w:highlight w:val="none"/>
                <w:lang w:val="en-US" w:eastAsia="zh-CN"/>
              </w:rPr>
              <w:t>、主要原辅材料及能耗用量</w:t>
            </w:r>
          </w:p>
          <w:p>
            <w:pPr>
              <w:pStyle w:val="14"/>
              <w:keepNext w:val="0"/>
              <w:keepLines w:val="0"/>
              <w:pageBreakBefore w:val="0"/>
              <w:widowControl w:val="0"/>
              <w:kinsoku/>
              <w:wordWrap/>
              <w:overflowPunct/>
              <w:topLinePunct w:val="0"/>
              <w:autoSpaceDE/>
              <w:autoSpaceDN/>
              <w:bidi w:val="0"/>
              <w:adjustRightInd/>
              <w:snapToGrid/>
              <w:spacing w:after="0" w:afterLines="0" w:line="360" w:lineRule="auto"/>
              <w:ind w:firstLine="42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本项目主要原料为生面筋和面粉，主要原辅材料及能耗用量见下表。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 xml:space="preserve">   </w:t>
            </w:r>
            <w:bookmarkStart w:id="1" w:name="原辅材料"/>
            <w:bookmarkEnd w:id="1"/>
            <w:r>
              <w:rPr>
                <w:rFonts w:hint="default" w:ascii="Times New Roman" w:hAnsi="Times New Roman" w:eastAsia="黑体" w:cs="Times New Roman"/>
                <w:color w:val="auto"/>
                <w:sz w:val="18"/>
                <w:szCs w:val="18"/>
                <w:highlight w:val="none"/>
                <w:lang w:val="en-US" w:eastAsia="zh-CN"/>
              </w:rPr>
              <w:t xml:space="preserve"> 项目原辅材料及能耗用量</w:t>
            </w:r>
          </w:p>
          <w:tbl>
            <w:tblPr>
              <w:tblStyle w:val="16"/>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84"/>
              <w:gridCol w:w="1621"/>
              <w:gridCol w:w="1614"/>
              <w:gridCol w:w="359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3" w:hRule="atLeast"/>
                <w:jc w:val="center"/>
              </w:trPr>
              <w:tc>
                <w:tcPr>
                  <w:tcW w:w="51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类别</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名称</w:t>
                  </w:r>
                </w:p>
              </w:tc>
              <w:tc>
                <w:tcPr>
                  <w:tcW w:w="106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耗量</w:t>
                  </w:r>
                </w:p>
              </w:tc>
              <w:tc>
                <w:tcPr>
                  <w:tcW w:w="235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1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原料</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生面筋</w:t>
                  </w:r>
                </w:p>
              </w:tc>
              <w:tc>
                <w:tcPr>
                  <w:tcW w:w="106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1250t/a</w:t>
                  </w:r>
                </w:p>
              </w:tc>
              <w:tc>
                <w:tcPr>
                  <w:tcW w:w="235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主要为含水率60%的湿面筋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3" w:hRule="atLeast"/>
                <w:jc w:val="center"/>
              </w:trPr>
              <w:tc>
                <w:tcPr>
                  <w:tcW w:w="515" w:type="pct"/>
                  <w:vMerge w:val="continue"/>
                  <w:tcBorders>
                    <w:bottom w:val="single" w:color="auto" w:sz="4" w:space="0"/>
                  </w:tcBorders>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面粉</w:t>
                  </w:r>
                </w:p>
              </w:tc>
              <w:tc>
                <w:tcPr>
                  <w:tcW w:w="1060" w:type="pct"/>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12.5t/a</w:t>
                  </w:r>
                </w:p>
              </w:tc>
              <w:tc>
                <w:tcPr>
                  <w:tcW w:w="235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eastAsia" w:cs="Times New Roman" w:eastAsiaTheme="minorEastAsia"/>
                      <w:b w:val="0"/>
                      <w:bCs/>
                      <w:color w:val="auto"/>
                      <w:sz w:val="18"/>
                      <w:szCs w:val="18"/>
                      <w:highlight w:val="none"/>
                      <w:lang w:val="en-US"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1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能源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消耗</w:t>
                  </w: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电</w:t>
                  </w:r>
                </w:p>
              </w:tc>
              <w:tc>
                <w:tcPr>
                  <w:tcW w:w="106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lang w:val="en-US" w:eastAsia="zh-CN"/>
                    </w:rPr>
                    <w:t>80</w:t>
                  </w:r>
                  <w:r>
                    <w:rPr>
                      <w:rFonts w:hint="default" w:ascii="Times New Roman" w:hAnsi="Times New Roman" w:cs="Times New Roman" w:eastAsiaTheme="minorEastAsia"/>
                      <w:b w:val="0"/>
                      <w:bCs/>
                      <w:color w:val="auto"/>
                      <w:sz w:val="18"/>
                      <w:szCs w:val="18"/>
                      <w:highlight w:val="none"/>
                    </w:rPr>
                    <w:t>万kwh/a</w:t>
                  </w:r>
                </w:p>
              </w:tc>
              <w:tc>
                <w:tcPr>
                  <w:tcW w:w="235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val="zh-CN"/>
                    </w:rPr>
                    <w:t>当地电网供给</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3" w:hRule="atLeast"/>
                <w:jc w:val="center"/>
              </w:trPr>
              <w:tc>
                <w:tcPr>
                  <w:tcW w:w="51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水</w:t>
                  </w:r>
                </w:p>
              </w:tc>
              <w:tc>
                <w:tcPr>
                  <w:tcW w:w="106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eastAsia" w:cs="Times New Roman" w:eastAsiaTheme="minorEastAsia"/>
                      <w:b w:val="0"/>
                      <w:bCs/>
                      <w:color w:val="auto"/>
                      <w:sz w:val="18"/>
                      <w:szCs w:val="18"/>
                      <w:highlight w:val="none"/>
                      <w:lang w:val="en-US" w:eastAsia="zh-CN"/>
                    </w:rPr>
                    <w:t>2983.8</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r>
                    <w:rPr>
                      <w:rFonts w:hint="default" w:ascii="Times New Roman" w:hAnsi="Times New Roman" w:cs="Times New Roman" w:eastAsiaTheme="minorEastAsia"/>
                      <w:b w:val="0"/>
                      <w:bCs/>
                      <w:color w:val="auto"/>
                      <w:sz w:val="18"/>
                      <w:szCs w:val="18"/>
                      <w:highlight w:val="none"/>
                    </w:rPr>
                    <w:t>/a</w:t>
                  </w:r>
                </w:p>
              </w:tc>
              <w:tc>
                <w:tcPr>
                  <w:tcW w:w="235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自备水井提供</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1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p>
              </w:tc>
              <w:tc>
                <w:tcPr>
                  <w:tcW w:w="106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天然气</w:t>
                  </w:r>
                </w:p>
              </w:tc>
              <w:tc>
                <w:tcPr>
                  <w:tcW w:w="106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34</w:t>
                  </w:r>
                  <w:r>
                    <w:rPr>
                      <w:rFonts w:hint="eastAsia" w:cs="Times New Roman" w:eastAsiaTheme="minorEastAsia"/>
                      <w:b w:val="0"/>
                      <w:bCs/>
                      <w:color w:val="auto"/>
                      <w:sz w:val="18"/>
                      <w:szCs w:val="18"/>
                      <w:highlight w:val="none"/>
                      <w:lang w:val="en-US" w:eastAsia="zh-CN"/>
                    </w:rPr>
                    <w:t>.</w:t>
                  </w:r>
                  <w:r>
                    <w:rPr>
                      <w:rFonts w:hint="default" w:ascii="Times New Roman" w:hAnsi="Times New Roman" w:cs="Times New Roman" w:eastAsiaTheme="minorEastAsia"/>
                      <w:b w:val="0"/>
                      <w:bCs/>
                      <w:color w:val="auto"/>
                      <w:sz w:val="18"/>
                      <w:szCs w:val="18"/>
                      <w:highlight w:val="none"/>
                      <w:lang w:val="en-US" w:eastAsia="zh-CN"/>
                    </w:rPr>
                    <w:t>56万m</w:t>
                  </w:r>
                  <w:r>
                    <w:rPr>
                      <w:rFonts w:hint="default" w:ascii="Times New Roman" w:hAnsi="Times New Roman" w:cs="Times New Roman" w:eastAsiaTheme="minorEastAsia"/>
                      <w:b w:val="0"/>
                      <w:bCs/>
                      <w:color w:val="auto"/>
                      <w:sz w:val="18"/>
                      <w:szCs w:val="18"/>
                      <w:highlight w:val="none"/>
                      <w:vertAlign w:val="superscript"/>
                      <w:lang w:val="en-US" w:eastAsia="zh-CN"/>
                    </w:rPr>
                    <w:t>3</w:t>
                  </w:r>
                  <w:r>
                    <w:rPr>
                      <w:rFonts w:hint="default" w:ascii="Times New Roman" w:hAnsi="Times New Roman" w:cs="Times New Roman" w:eastAsiaTheme="minorEastAsia"/>
                      <w:b w:val="0"/>
                      <w:bCs/>
                      <w:color w:val="auto"/>
                      <w:sz w:val="18"/>
                      <w:szCs w:val="18"/>
                      <w:highlight w:val="none"/>
                      <w:lang w:val="en-US" w:eastAsia="zh-CN"/>
                    </w:rPr>
                    <w:t>/a</w:t>
                  </w:r>
                </w:p>
              </w:tc>
              <w:tc>
                <w:tcPr>
                  <w:tcW w:w="235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来源为“西气东输”，由当地天然气公司经燃气管道接入厂区车间，并经燃气调压柜调压后使用，主要成分为甲烷（CH4）</w:t>
                  </w: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both"/>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6、厂区平面布置</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项目</w:t>
            </w:r>
            <w:r>
              <w:rPr>
                <w:rFonts w:hint="eastAsia" w:ascii="Times New Roman" w:eastAsia="宋体" w:cs="Times New Roman"/>
                <w:sz w:val="21"/>
                <w:szCs w:val="21"/>
                <w:highlight w:val="none"/>
                <w:lang w:eastAsia="zh-CN"/>
              </w:rPr>
              <w:t>租赁位于</w:t>
            </w:r>
            <w:r>
              <w:rPr>
                <w:rFonts w:hint="default" w:ascii="Times New Roman" w:hAnsi="Times New Roman" w:eastAsia="宋体" w:cs="Times New Roman"/>
                <w:sz w:val="21"/>
                <w:szCs w:val="21"/>
                <w:highlight w:val="none"/>
                <w:lang w:eastAsia="zh-CN"/>
              </w:rPr>
              <w:t>选址位于新乡市凤泉区大块镇小块村</w:t>
            </w:r>
            <w:r>
              <w:rPr>
                <w:rFonts w:hint="eastAsia" w:ascii="Times New Roman" w:eastAsia="宋体" w:cs="Times New Roman"/>
                <w:sz w:val="21"/>
                <w:szCs w:val="21"/>
                <w:highlight w:val="none"/>
                <w:lang w:eastAsia="zh-CN"/>
              </w:rPr>
              <w:t>的已建厂区及厂房进行建设</w:t>
            </w:r>
            <w:r>
              <w:rPr>
                <w:rFonts w:hint="default" w:ascii="Times New Roman" w:hAnsi="Times New Roman" w:eastAsia="宋体" w:cs="Times New Roman"/>
                <w:sz w:val="21"/>
                <w:szCs w:val="21"/>
                <w:highlight w:val="none"/>
                <w:lang w:eastAsia="zh-CN"/>
              </w:rPr>
              <w:t>。</w:t>
            </w:r>
            <w:r>
              <w:rPr>
                <w:rFonts w:hint="eastAsia" w:ascii="Times New Roman" w:eastAsia="宋体" w:cs="Times New Roman"/>
                <w:sz w:val="21"/>
                <w:szCs w:val="21"/>
                <w:highlight w:val="none"/>
                <w:lang w:eastAsia="zh-CN"/>
              </w:rPr>
              <w:t>项目生产区域主要布置在厂区西侧区域，主要布置</w:t>
            </w:r>
            <w:r>
              <w:rPr>
                <w:rFonts w:hint="eastAsia" w:ascii="Times New Roman" w:eastAsia="宋体" w:cs="Times New Roman"/>
                <w:sz w:val="21"/>
                <w:szCs w:val="21"/>
                <w:highlight w:val="none"/>
                <w:lang w:val="en-US" w:eastAsia="zh-CN"/>
              </w:rPr>
              <w:t>生产车间、锅炉房等，其余办公、杂物间等辅助设施于厂区东侧布置。项目厂区内功能分区明确，人流、物流畅通，平面布置合理。厂区总平面布置见附图三。</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both"/>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7、主要公辅工程</w:t>
            </w:r>
          </w:p>
          <w:p>
            <w:pPr>
              <w:pStyle w:val="14"/>
              <w:keepNext w:val="0"/>
              <w:keepLines w:val="0"/>
              <w:pageBreakBefore w:val="0"/>
              <w:kinsoku/>
              <w:wordWrap/>
              <w:overflowPunct/>
              <w:topLinePunct w:val="0"/>
              <w:autoSpaceDE/>
              <w:autoSpaceDN/>
              <w:bidi w:val="0"/>
              <w:adjustRightInd/>
              <w:snapToGrid/>
              <w:spacing w:after="0" w:afterLines="0" w:line="360" w:lineRule="auto"/>
              <w:ind w:left="0" w:leftChars="0" w:firstLine="420" w:firstLineChars="200"/>
              <w:textAlignment w:val="auto"/>
              <w:rPr>
                <w:rFonts w:hint="default" w:ascii="Times New Roman" w:hAnsi="Times New Roman" w:cs="Times New Roman"/>
                <w:b w:val="0"/>
                <w:bCs w:val="0"/>
                <w:color w:val="auto"/>
                <w:highlight w:val="none"/>
                <w:u w:val="none"/>
                <w:lang w:val="en-US" w:eastAsia="zh-CN"/>
              </w:rPr>
            </w:pPr>
            <w:bookmarkStart w:id="2" w:name="_Toc11408"/>
            <w:bookmarkStart w:id="3" w:name="_Toc15656"/>
            <w:bookmarkStart w:id="4" w:name="_Toc25081"/>
            <w:r>
              <w:rPr>
                <w:rFonts w:hint="default" w:ascii="Times New Roman" w:hAnsi="Times New Roman" w:cs="Times New Roman"/>
                <w:b w:val="0"/>
                <w:bCs w:val="0"/>
                <w:color w:val="auto"/>
                <w:highlight w:val="none"/>
                <w:u w:val="none"/>
                <w:lang w:val="en-US" w:eastAsia="zh-CN"/>
              </w:rPr>
              <w:t>（1）给排水</w:t>
            </w:r>
            <w:bookmarkEnd w:id="2"/>
            <w:bookmarkEnd w:id="3"/>
            <w:bookmarkEnd w:id="4"/>
          </w:p>
          <w:p>
            <w:pPr>
              <w:pStyle w:val="14"/>
              <w:keepNext w:val="0"/>
              <w:keepLines w:val="0"/>
              <w:pageBreakBefore w:val="0"/>
              <w:kinsoku/>
              <w:wordWrap/>
              <w:overflowPunct/>
              <w:topLinePunct w:val="0"/>
              <w:autoSpaceDE/>
              <w:autoSpaceDN/>
              <w:bidi w:val="0"/>
              <w:adjustRightInd/>
              <w:snapToGrid/>
              <w:spacing w:after="0" w:afterLines="0" w:line="360" w:lineRule="auto"/>
              <w:ind w:firstLine="420" w:firstLineChars="200"/>
              <w:textAlignment w:val="auto"/>
              <w:rPr>
                <w:rFonts w:hint="default" w:ascii="Times New Roman" w:hAnsi="Times New Roman" w:cs="Times New Roman"/>
                <w:b w:val="0"/>
                <w:bCs w:val="0"/>
                <w:color w:val="auto"/>
                <w:highlight w:val="none"/>
                <w:u w:val="none"/>
                <w:lang w:val="en-US" w:eastAsia="zh-CN"/>
              </w:rPr>
            </w:pPr>
            <w:r>
              <w:rPr>
                <w:rFonts w:hint="default" w:ascii="Times New Roman" w:hAnsi="Times New Roman" w:cs="Times New Roman"/>
                <w:b w:val="0"/>
                <w:bCs w:val="0"/>
                <w:color w:val="auto"/>
                <w:highlight w:val="none"/>
                <w:u w:val="none"/>
                <w:lang w:val="en-US" w:eastAsia="zh-CN"/>
              </w:rPr>
              <w:t>供水：项目用水包括生活用水、清洗用水（包括设备清洗和地面清洗）和备用锅炉所用软水制备过程产生的废水，工程总用水量为2983.8</w:t>
            </w:r>
            <w:r>
              <w:rPr>
                <w:rFonts w:hint="default" w:ascii="Times New Roman" w:hAnsi="Times New Roman" w:cs="Times New Roman" w:eastAsiaTheme="minorEastAsia"/>
                <w:b w:val="0"/>
                <w:bCs w:val="0"/>
                <w:color w:val="auto"/>
                <w:sz w:val="21"/>
                <w:szCs w:val="21"/>
                <w:highlight w:val="none"/>
                <w:u w:val="none"/>
                <w:lang w:val="en-US" w:eastAsia="zh-CN"/>
              </w:rPr>
              <w:t>m</w:t>
            </w:r>
            <w:r>
              <w:rPr>
                <w:rFonts w:hint="default" w:ascii="Times New Roman" w:hAnsi="Times New Roman" w:cs="Times New Roman" w:eastAsiaTheme="minorEastAsia"/>
                <w:b w:val="0"/>
                <w:bCs w:val="0"/>
                <w:color w:val="auto"/>
                <w:sz w:val="21"/>
                <w:szCs w:val="21"/>
                <w:highlight w:val="none"/>
                <w:u w:val="none"/>
                <w:vertAlign w:val="superscript"/>
                <w:lang w:val="en-US" w:eastAsia="zh-CN"/>
              </w:rPr>
              <w:t>3</w:t>
            </w:r>
            <w:r>
              <w:rPr>
                <w:rFonts w:hint="default" w:ascii="Times New Roman" w:hAnsi="Times New Roman" w:cs="Times New Roman"/>
                <w:b w:val="0"/>
                <w:bCs w:val="0"/>
                <w:color w:val="auto"/>
                <w:highlight w:val="none"/>
                <w:u w:val="none"/>
                <w:lang w:val="en-US" w:eastAsia="zh-CN"/>
              </w:rPr>
              <w:t>/a，用水均由厂区自备水井提供。</w:t>
            </w:r>
          </w:p>
          <w:p>
            <w:pPr>
              <w:pStyle w:val="14"/>
              <w:keepNext w:val="0"/>
              <w:keepLines w:val="0"/>
              <w:pageBreakBefore w:val="0"/>
              <w:kinsoku/>
              <w:wordWrap/>
              <w:overflowPunct/>
              <w:topLinePunct w:val="0"/>
              <w:autoSpaceDE/>
              <w:autoSpaceDN/>
              <w:bidi w:val="0"/>
              <w:adjustRightInd/>
              <w:snapToGrid/>
              <w:spacing w:after="0" w:afterLines="0" w:line="360" w:lineRule="auto"/>
              <w:ind w:firstLine="420" w:firstLineChars="200"/>
              <w:textAlignment w:val="auto"/>
              <w:rPr>
                <w:rFonts w:hint="default" w:ascii="Times New Roman" w:hAnsi="Times New Roman" w:cs="Times New Roman"/>
                <w:b w:val="0"/>
                <w:bCs w:val="0"/>
                <w:color w:val="auto"/>
                <w:highlight w:val="none"/>
                <w:u w:val="none"/>
                <w:lang w:val="en-US" w:eastAsia="zh-CN"/>
              </w:rPr>
            </w:pPr>
            <w:r>
              <w:rPr>
                <w:rFonts w:hint="default" w:ascii="Times New Roman" w:hAnsi="Times New Roman" w:cs="Times New Roman"/>
                <w:b w:val="0"/>
                <w:bCs w:val="0"/>
                <w:color w:val="auto"/>
                <w:highlight w:val="none"/>
                <w:u w:val="none"/>
                <w:lang w:val="en-US" w:eastAsia="zh-CN"/>
              </w:rPr>
              <w:t>排水：项目生活污水、设备清洗和地面清洗废水经厂区化粪池处理后</w:t>
            </w:r>
            <w:r>
              <w:rPr>
                <w:rFonts w:hint="eastAsia" w:cs="Times New Roman"/>
                <w:b w:val="0"/>
                <w:bCs w:val="0"/>
                <w:color w:val="auto"/>
                <w:highlight w:val="none"/>
                <w:u w:val="none"/>
                <w:lang w:val="en-US" w:eastAsia="zh-CN"/>
              </w:rPr>
              <w:t>定期</w:t>
            </w:r>
            <w:r>
              <w:rPr>
                <w:rFonts w:hint="default" w:ascii="Times New Roman" w:hAnsi="Times New Roman" w:cs="Times New Roman"/>
                <w:b w:val="0"/>
                <w:bCs w:val="0"/>
                <w:color w:val="auto"/>
                <w:highlight w:val="none"/>
                <w:u w:val="none"/>
                <w:lang w:val="en-US" w:eastAsia="zh-CN"/>
              </w:rPr>
              <w:t>清运；备用锅炉配套的软水制备过程产生的废水经收集后，用于厂区地面洒水抑尘。</w:t>
            </w:r>
          </w:p>
          <w:p>
            <w:pPr>
              <w:pStyle w:val="14"/>
              <w:keepNext w:val="0"/>
              <w:keepLines w:val="0"/>
              <w:pageBreakBefore w:val="0"/>
              <w:kinsoku/>
              <w:wordWrap/>
              <w:overflowPunct/>
              <w:topLinePunct w:val="0"/>
              <w:autoSpaceDE/>
              <w:autoSpaceDN/>
              <w:bidi w:val="0"/>
              <w:adjustRightInd/>
              <w:snapToGrid/>
              <w:spacing w:after="0" w:afterLines="0" w:line="360" w:lineRule="auto"/>
              <w:ind w:firstLine="420" w:firstLineChars="200"/>
              <w:textAlignment w:val="auto"/>
              <w:rPr>
                <w:rFonts w:hint="default" w:ascii="Times New Roman" w:hAnsi="Times New Roman" w:cs="Times New Roman"/>
                <w:b w:val="0"/>
                <w:bCs w:val="0"/>
                <w:color w:val="auto"/>
                <w:highlight w:val="none"/>
                <w:u w:val="none"/>
              </w:rPr>
            </w:pPr>
            <w:r>
              <w:rPr>
                <w:rFonts w:hint="default" w:ascii="Times New Roman" w:hAnsi="Times New Roman" w:cs="Times New Roman"/>
                <w:b w:val="0"/>
                <w:bCs w:val="0"/>
                <w:color w:val="auto"/>
                <w:highlight w:val="none"/>
                <w:u w:val="none"/>
              </w:rPr>
              <w:t>（2）供电</w:t>
            </w:r>
          </w:p>
          <w:p>
            <w:pPr>
              <w:pStyle w:val="14"/>
              <w:keepNext w:val="0"/>
              <w:keepLines w:val="0"/>
              <w:pageBreakBefore w:val="0"/>
              <w:kinsoku/>
              <w:wordWrap/>
              <w:overflowPunct/>
              <w:topLinePunct w:val="0"/>
              <w:autoSpaceDE/>
              <w:autoSpaceDN/>
              <w:bidi w:val="0"/>
              <w:adjustRightInd/>
              <w:snapToGrid/>
              <w:spacing w:after="0" w:afterLines="0" w:line="360" w:lineRule="auto"/>
              <w:ind w:firstLine="420" w:firstLineChars="200"/>
              <w:textAlignment w:val="auto"/>
              <w:rPr>
                <w:rFonts w:hint="default" w:ascii="Times New Roman" w:hAnsi="Times New Roman" w:cs="Times New Roman"/>
                <w:b w:val="0"/>
                <w:bCs w:val="0"/>
                <w:color w:val="auto"/>
                <w:highlight w:val="none"/>
                <w:u w:val="none"/>
                <w:lang w:val="en-US" w:eastAsia="zh-CN"/>
              </w:rPr>
            </w:pPr>
            <w:r>
              <w:rPr>
                <w:rFonts w:hint="default" w:ascii="Times New Roman" w:hAnsi="Times New Roman" w:cs="Times New Roman"/>
                <w:b w:val="0"/>
                <w:bCs w:val="0"/>
                <w:color w:val="auto"/>
                <w:highlight w:val="none"/>
                <w:u w:val="none"/>
                <w:lang w:val="en-US" w:eastAsia="zh-CN"/>
              </w:rPr>
              <w:t>工程供电来自当地供电部门。</w:t>
            </w:r>
          </w:p>
          <w:p>
            <w:pPr>
              <w:pStyle w:val="14"/>
              <w:keepNext w:val="0"/>
              <w:keepLines w:val="0"/>
              <w:pageBreakBefore w:val="0"/>
              <w:numPr>
                <w:ilvl w:val="0"/>
                <w:numId w:val="6"/>
              </w:numPr>
              <w:kinsoku/>
              <w:wordWrap/>
              <w:overflowPunct/>
              <w:topLinePunct w:val="0"/>
              <w:autoSpaceDE/>
              <w:autoSpaceDN/>
              <w:bidi w:val="0"/>
              <w:adjustRightInd/>
              <w:snapToGrid/>
              <w:spacing w:after="0" w:afterLines="0" w:line="360" w:lineRule="auto"/>
              <w:ind w:firstLine="420" w:firstLineChars="200"/>
              <w:textAlignment w:val="auto"/>
              <w:rPr>
                <w:rFonts w:hint="default" w:ascii="Times New Roman" w:hAnsi="Times New Roman" w:cs="Times New Roman"/>
                <w:b w:val="0"/>
                <w:bCs w:val="0"/>
                <w:color w:val="auto"/>
                <w:highlight w:val="none"/>
                <w:u w:val="none"/>
                <w:lang w:val="en-US" w:eastAsia="zh-CN"/>
              </w:rPr>
            </w:pPr>
            <w:r>
              <w:rPr>
                <w:rFonts w:hint="default" w:ascii="Times New Roman" w:hAnsi="Times New Roman" w:cs="Times New Roman"/>
                <w:b w:val="0"/>
                <w:bCs w:val="0"/>
                <w:color w:val="auto"/>
                <w:highlight w:val="none"/>
                <w:u w:val="none"/>
                <w:lang w:val="en-US" w:eastAsia="zh-CN"/>
              </w:rPr>
              <w:t>供热</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textAlignment w:val="auto"/>
              <w:rPr>
                <w:rFonts w:hint="eastAsia" w:cs="Times New Roman"/>
                <w:b w:val="0"/>
                <w:bCs w:val="0"/>
                <w:color w:val="auto"/>
                <w:highlight w:val="none"/>
                <w:u w:val="none"/>
                <w:lang w:val="en-US" w:eastAsia="zh-CN"/>
              </w:rPr>
            </w:pPr>
            <w:r>
              <w:rPr>
                <w:rFonts w:hint="default" w:ascii="Times New Roman" w:hAnsi="Times New Roman" w:cs="Times New Roman"/>
                <w:b w:val="0"/>
                <w:bCs w:val="0"/>
                <w:color w:val="auto"/>
                <w:highlight w:val="none"/>
                <w:u w:val="none"/>
                <w:lang w:val="en-US" w:eastAsia="zh-CN"/>
              </w:rPr>
              <w:t>工程蒸制和烘干工序</w:t>
            </w:r>
            <w:r>
              <w:rPr>
                <w:rFonts w:hint="eastAsia" w:cs="Times New Roman"/>
                <w:b w:val="0"/>
                <w:bCs w:val="0"/>
                <w:color w:val="auto"/>
                <w:highlight w:val="none"/>
                <w:u w:val="none"/>
                <w:lang w:val="en-US" w:eastAsia="zh-CN"/>
              </w:rPr>
              <w:t>所用蒸汽拟由</w:t>
            </w:r>
            <w:r>
              <w:rPr>
                <w:rFonts w:hint="default" w:ascii="Times New Roman" w:hAnsi="Times New Roman" w:cs="Times New Roman"/>
                <w:b w:val="0"/>
                <w:bCs w:val="0"/>
                <w:color w:val="auto"/>
                <w:highlight w:val="none"/>
                <w:u w:val="none"/>
                <w:lang w:val="en-US" w:eastAsia="zh-CN"/>
              </w:rPr>
              <w:t>“新乡市华新造纸厂”现有锅炉提供的蒸气</w:t>
            </w:r>
            <w:r>
              <w:rPr>
                <w:rFonts w:hint="eastAsia" w:cs="Times New Roman"/>
                <w:b w:val="0"/>
                <w:bCs w:val="0"/>
                <w:color w:val="auto"/>
                <w:highlight w:val="none"/>
                <w:u w:val="none"/>
                <w:lang w:val="en-US" w:eastAsia="zh-CN"/>
              </w:rPr>
              <w:t>，但根据实际调查，目前该公司蒸汽供应管网尚未建设完成，因此在蒸汽供应管网未接通前，企业拟配套建设1台2t锅炉为生产过程提供蒸汽，待区域内的供热管网建设完成后，则直接接通该蒸汽供应管网，同时自建锅炉则作为备用锅炉使用。</w:t>
            </w:r>
          </w:p>
          <w:p>
            <w:pPr>
              <w:pStyle w:val="14"/>
              <w:keepNext w:val="0"/>
              <w:keepLines w:val="0"/>
              <w:pageBreakBefore w:val="0"/>
              <w:widowControl w:val="0"/>
              <w:numPr>
                <w:ilvl w:val="0"/>
                <w:numId w:val="6"/>
              </w:numPr>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供气</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textAlignment w:val="auto"/>
              <w:rPr>
                <w:rFonts w:hint="default" w:ascii="Times New Roman" w:hAnsi="Times New Roman"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根据调查，目前项目所在区域内天然气管道均已接通，天然气来源为“西气东输”工程，通过当地天然气公司燃气管道接入厂区内，并通过厂区外调压柜调压后经管道通入项目锅炉内使用。在本项目区域内蒸汽供应管网未接通前，所用蒸汽均通过企业建设锅炉提供，该燃气</w:t>
            </w:r>
            <w:r>
              <w:rPr>
                <w:rFonts w:hint="default" w:ascii="Times New Roman" w:hAnsi="Times New Roman" w:cs="Times New Roman"/>
                <w:b w:val="0"/>
                <w:bCs w:val="0"/>
                <w:color w:val="auto"/>
                <w:highlight w:val="none"/>
                <w:u w:val="none"/>
                <w:lang w:val="en-US" w:eastAsia="zh-CN"/>
              </w:rPr>
              <w:t>锅炉</w:t>
            </w:r>
            <w:r>
              <w:rPr>
                <w:rFonts w:hint="eastAsia" w:cs="Times New Roman"/>
                <w:b w:val="0"/>
                <w:bCs w:val="0"/>
                <w:color w:val="auto"/>
                <w:highlight w:val="none"/>
                <w:u w:val="none"/>
                <w:lang w:val="en-US" w:eastAsia="zh-CN"/>
              </w:rPr>
              <w:t>年</w:t>
            </w:r>
            <w:r>
              <w:rPr>
                <w:rFonts w:hint="default" w:ascii="Times New Roman" w:hAnsi="Times New Roman" w:cs="Times New Roman"/>
                <w:b w:val="0"/>
                <w:bCs w:val="0"/>
                <w:color w:val="auto"/>
                <w:highlight w:val="none"/>
                <w:u w:val="none"/>
                <w:lang w:val="en-US" w:eastAsia="zh-CN"/>
              </w:rPr>
              <w:t>工作时间</w:t>
            </w:r>
            <w:r>
              <w:rPr>
                <w:rFonts w:hint="eastAsia" w:cs="Times New Roman"/>
                <w:b w:val="0"/>
                <w:bCs w:val="0"/>
                <w:color w:val="auto"/>
                <w:highlight w:val="none"/>
                <w:u w:val="none"/>
                <w:lang w:val="en-US" w:eastAsia="zh-CN"/>
              </w:rPr>
              <w:t>约</w:t>
            </w:r>
            <w:r>
              <w:rPr>
                <w:rFonts w:hint="default" w:ascii="Times New Roman" w:hAnsi="Times New Roman" w:cs="Times New Roman"/>
                <w:b w:val="0"/>
                <w:bCs w:val="0"/>
                <w:color w:val="auto"/>
                <w:highlight w:val="none"/>
                <w:u w:val="none"/>
                <w:lang w:val="en-US" w:eastAsia="zh-CN"/>
              </w:rPr>
              <w:t>为2400h/a</w:t>
            </w:r>
            <w:r>
              <w:rPr>
                <w:rFonts w:hint="eastAsia" w:cs="Times New Roman"/>
                <w:b w:val="0"/>
                <w:bCs w:val="0"/>
                <w:color w:val="auto"/>
                <w:highlight w:val="none"/>
                <w:u w:val="none"/>
                <w:lang w:val="en-US" w:eastAsia="zh-CN"/>
              </w:rPr>
              <w:t>（每年工作约300天，每天约8h）</w:t>
            </w:r>
            <w:r>
              <w:rPr>
                <w:rFonts w:hint="default" w:ascii="Times New Roman" w:hAnsi="Times New Roman" w:cs="Times New Roman"/>
                <w:b w:val="0"/>
                <w:bCs w:val="0"/>
                <w:color w:val="auto"/>
                <w:highlight w:val="none"/>
                <w:u w:val="none"/>
                <w:lang w:val="en-US" w:eastAsia="zh-CN"/>
              </w:rPr>
              <w:t>，</w:t>
            </w:r>
            <w:r>
              <w:rPr>
                <w:rFonts w:hint="eastAsia" w:cs="Times New Roman"/>
                <w:b w:val="0"/>
                <w:bCs w:val="0"/>
                <w:color w:val="auto"/>
                <w:highlight w:val="none"/>
                <w:u w:val="none"/>
                <w:lang w:val="en-US" w:eastAsia="zh-CN"/>
              </w:rPr>
              <w:t>同时</w:t>
            </w:r>
            <w:r>
              <w:rPr>
                <w:rFonts w:hint="default" w:ascii="Times New Roman" w:hAnsi="Times New Roman" w:cs="Times New Roman"/>
                <w:b w:val="0"/>
                <w:bCs w:val="0"/>
                <w:color w:val="auto"/>
                <w:highlight w:val="none"/>
                <w:u w:val="none"/>
                <w:lang w:val="en-US" w:eastAsia="zh-CN"/>
              </w:rPr>
              <w:t>根据锅炉设备商提供资料，</w:t>
            </w:r>
            <w:r>
              <w:rPr>
                <w:rFonts w:hint="eastAsia" w:cs="Times New Roman"/>
                <w:b w:val="0"/>
                <w:bCs w:val="0"/>
                <w:color w:val="auto"/>
                <w:highlight w:val="none"/>
                <w:u w:val="none"/>
                <w:lang w:val="en-US" w:eastAsia="zh-CN"/>
              </w:rPr>
              <w:t>工程</w:t>
            </w:r>
            <w:r>
              <w:rPr>
                <w:rFonts w:hint="default" w:ascii="Times New Roman" w:hAnsi="Times New Roman" w:cs="Times New Roman"/>
                <w:b w:val="0"/>
                <w:bCs w:val="0"/>
                <w:color w:val="auto"/>
                <w:highlight w:val="none"/>
                <w:u w:val="none"/>
                <w:lang w:val="en-US" w:eastAsia="zh-CN"/>
              </w:rPr>
              <w:t>2t锅炉天然气耗气量约为144m</w:t>
            </w:r>
            <w:r>
              <w:rPr>
                <w:rFonts w:hint="default" w:ascii="Times New Roman" w:hAnsi="Times New Roman" w:cs="Times New Roman"/>
                <w:b w:val="0"/>
                <w:bCs w:val="0"/>
                <w:color w:val="auto"/>
                <w:highlight w:val="none"/>
                <w:u w:val="none"/>
                <w:vertAlign w:val="superscript"/>
                <w:lang w:val="en-US" w:eastAsia="zh-CN"/>
              </w:rPr>
              <w:t>3</w:t>
            </w:r>
            <w:r>
              <w:rPr>
                <w:rFonts w:hint="default" w:ascii="Times New Roman" w:hAnsi="Times New Roman" w:cs="Times New Roman"/>
                <w:b w:val="0"/>
                <w:bCs w:val="0"/>
                <w:color w:val="auto"/>
                <w:highlight w:val="none"/>
                <w:u w:val="none"/>
                <w:lang w:val="en-US" w:eastAsia="zh-CN"/>
              </w:rPr>
              <w:t>/h，经计算年天然气用气量约为34.56万m</w:t>
            </w:r>
            <w:r>
              <w:rPr>
                <w:rFonts w:hint="default" w:ascii="Times New Roman" w:hAnsi="Times New Roman" w:cs="Times New Roman"/>
                <w:b w:val="0"/>
                <w:bCs w:val="0"/>
                <w:color w:val="auto"/>
                <w:highlight w:val="none"/>
                <w:u w:val="none"/>
                <w:vertAlign w:val="superscript"/>
                <w:lang w:val="en-US" w:eastAsia="zh-CN"/>
              </w:rPr>
              <w:t>3</w:t>
            </w:r>
            <w:r>
              <w:rPr>
                <w:rFonts w:hint="default" w:ascii="Times New Roman" w:hAnsi="Times New Roman" w:cs="Times New Roman"/>
                <w:b w:val="0"/>
                <w:bCs w:val="0"/>
                <w:color w:val="auto"/>
                <w:highlight w:val="none"/>
                <w:u w:val="none"/>
                <w:lang w:val="en-US" w:eastAsia="zh-CN"/>
              </w:rPr>
              <w:t>/a</w:t>
            </w:r>
            <w:r>
              <w:rPr>
                <w:rFonts w:hint="eastAsia" w:cs="Times New Roman"/>
                <w:b w:val="0"/>
                <w:bCs w:val="0"/>
                <w:color w:val="auto"/>
                <w:highlight w:val="none"/>
                <w:u w:val="none"/>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highlight w:val="cyan"/>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highlight w:val="cyan"/>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highlight w:val="cyan"/>
                <w:lang w:eastAsia="zh-CN"/>
              </w:rPr>
            </w:pPr>
            <w:r>
              <w:rPr>
                <w:rFonts w:hint="eastAsia"/>
                <w:highlight w:val="cyan"/>
                <w:lang w:eastAsia="zh-CN"/>
              </w:rPr>
              <w:br w:type="textWrapping"/>
            </w:r>
            <w:r>
              <w:rPr>
                <w:rFonts w:hint="eastAsia"/>
                <w:highlight w:val="cyan"/>
                <w:lang w:eastAsia="zh-CN"/>
              </w:rPr>
              <w:br w:type="textWrapping"/>
            </w:r>
            <w:r>
              <w:rPr>
                <w:rFonts w:hint="eastAsia"/>
                <w:highlight w:val="cyan"/>
                <w:lang w:eastAsia="zh-CN"/>
              </w:rPr>
              <w:br w:type="textWrapping"/>
            </w:r>
            <w:r>
              <w:rPr>
                <w:rFonts w:hint="eastAsia"/>
                <w:highlight w:val="cyan"/>
                <w:lang w:eastAsia="zh-CN"/>
              </w:rPr>
              <w:br w:type="textWrapping"/>
            </w:r>
            <w:r>
              <w:rPr>
                <w:rFonts w:hint="eastAsia"/>
                <w:highlight w:val="cyan"/>
                <w:lang w:eastAsia="zh-CN"/>
              </w:rPr>
              <w:br w:type="textWrapping"/>
            </w:r>
            <w:r>
              <w:rPr>
                <w:rFonts w:hint="eastAsia"/>
                <w:highlight w:val="cyan"/>
                <w:lang w:eastAsia="zh-CN"/>
              </w:rPr>
              <w:br w:type="textWrapping"/>
            </w:r>
            <w:r>
              <w:rPr>
                <w:rFonts w:hint="eastAsia"/>
                <w:highlight w:val="cyan"/>
                <w:lang w:eastAsia="zh-CN"/>
              </w:rPr>
              <w:br w:type="textWrapping"/>
            </w:r>
            <w:r>
              <w:rPr>
                <w:rFonts w:hint="eastAsia"/>
                <w:highlight w:val="cyan"/>
                <w:lang w:eastAsia="zh-CN"/>
              </w:rPr>
              <w:br w:type="textWrapping"/>
            </w:r>
            <w:r>
              <w:rPr>
                <w:rFonts w:hint="eastAsia"/>
                <w:highlight w:val="cyan"/>
                <w:lang w:eastAsia="zh-CN"/>
              </w:rPr>
              <w:br w:type="textWrapping"/>
            </w:r>
            <w:r>
              <w:rPr>
                <w:rFonts w:hint="eastAsia"/>
                <w:highlight w:val="cyan"/>
                <w:lang w:eastAsia="zh-CN"/>
              </w:rPr>
              <w:br w:type="textWrapping"/>
            </w:r>
            <w:r>
              <w:rPr>
                <w:rFonts w:hint="eastAsia"/>
                <w:highlight w:val="cyan"/>
                <w:lang w:eastAsia="zh-CN"/>
              </w:rPr>
              <w:br w:type="textWrapping"/>
            </w:r>
            <w:r>
              <w:rPr>
                <w:rFonts w:hint="eastAsia"/>
                <w:highlight w:val="cyan"/>
                <w:lang w:eastAsia="zh-CN"/>
              </w:rPr>
              <w:br w:type="textWrapping"/>
            </w:r>
            <w:r>
              <w:rPr>
                <w:rFonts w:hint="eastAsia"/>
                <w:highlight w:val="cyan"/>
                <w:lang w:eastAsia="zh-CN"/>
              </w:rPr>
              <w:br w:type="textWrapping"/>
            </w:r>
            <w:r>
              <w:rPr>
                <w:rFonts w:hint="eastAsia"/>
                <w:highlight w:val="cyan"/>
                <w:lang w:eastAsia="zh-CN"/>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4" w:type="pct"/>
          <w:trHeight w:val="7607" w:hRule="atLeast"/>
          <w:jc w:val="center"/>
        </w:trPr>
        <w:tc>
          <w:tcPr>
            <w:tcW w:w="407" w:type="pct"/>
            <w:vAlign w:val="center"/>
          </w:tcPr>
          <w:p>
            <w:pPr>
              <w:pStyle w:val="1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highlight w:val="cyan"/>
                <w:vertAlign w:val="baseline"/>
              </w:rPr>
            </w:pPr>
            <w:r>
              <w:rPr>
                <w:rFonts w:hint="eastAsia"/>
                <w:highlight w:val="none"/>
                <w:vertAlign w:val="baseline"/>
              </w:rPr>
              <w:t>工艺流程和产排污环节</w:t>
            </w:r>
          </w:p>
        </w:tc>
        <w:tc>
          <w:tcPr>
            <w:tcW w:w="4588" w:type="pct"/>
            <w:vAlign w:val="center"/>
          </w:tcPr>
          <w:p>
            <w:pPr>
              <w:pStyle w:val="2"/>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lang w:eastAsia="zh-CN"/>
              </w:rPr>
              <w:t>拟建工程工艺流程及产污环节</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left"/>
              <w:textAlignment w:val="auto"/>
              <w:rPr>
                <w:rFonts w:hint="default" w:ascii="Times New Roman" w:hAnsi="Times New Roman" w:cs="Times New Roman" w:eastAsiaTheme="majorEastAsia"/>
                <w:bCs/>
                <w:color w:val="auto"/>
                <w:sz w:val="21"/>
                <w:szCs w:val="21"/>
                <w:highlight w:val="none"/>
                <w:lang w:eastAsia="zh-CN"/>
              </w:rPr>
            </w:pPr>
            <w:r>
              <w:rPr>
                <w:rFonts w:hint="default" w:ascii="Times New Roman" w:hAnsi="Times New Roman" w:eastAsia="黑体" w:cs="Times New Roman"/>
                <w:color w:val="auto"/>
                <w:sz w:val="21"/>
                <w:szCs w:val="21"/>
                <w:highlight w:val="none"/>
                <w:lang w:eastAsia="zh-CN"/>
              </w:rPr>
              <w:pict>
                <v:shape id="_x0000_s1037" o:spid="_x0000_s1037" o:spt="75" type="#_x0000_t75" style="position:absolute;left:0pt;margin-left:91.9pt;margin-top:7.4pt;height:262.55pt;width:186.8pt;z-index:251661312;mso-width-relative:page;mso-height-relative:page;" o:ole="t" filled="f" o:preferrelative="t" stroked="f" coordsize="21600,21600">
                  <v:path/>
                  <v:fill on="f" focussize="0,0"/>
                  <v:stroke on="f"/>
                  <v:imagedata r:id="rId13" cropleft="19399f" o:title=""/>
                  <o:lock v:ext="edit" aspectratio="t"/>
                </v:shape>
                <o:OLEObject Type="Embed" ProgID="Visio.Drawing.15" ShapeID="_x0000_s1037" DrawAspect="Content" ObjectID="_1468075725" r:id="rId12">
                  <o:LockedField>false</o:LockedField>
                </o:OLEObject>
              </w:pic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eastAsiaTheme="majorEastAsia"/>
                <w:bCs/>
                <w:color w:val="auto"/>
                <w:sz w:val="21"/>
                <w:szCs w:val="21"/>
                <w:highlight w:val="none"/>
                <w:lang w:eastAsia="zh-CN"/>
              </w:rPr>
              <w:t>烤麸生产工艺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cs="Times New Roman"/>
                <w:color w:val="auto"/>
                <w:sz w:val="21"/>
                <w:szCs w:val="21"/>
                <w:highlight w:val="none"/>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cs="Times New Roman"/>
                <w:color w:val="auto"/>
                <w:sz w:val="21"/>
                <w:szCs w:val="21"/>
                <w:highlight w:val="none"/>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cs="Times New Roman"/>
                <w:color w:val="auto"/>
                <w:sz w:val="21"/>
                <w:szCs w:val="21"/>
                <w:highlight w:val="none"/>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cs="Times New Roman"/>
                <w:color w:val="auto"/>
                <w:sz w:val="21"/>
                <w:szCs w:val="21"/>
                <w:highlight w:val="none"/>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cs="Times New Roman"/>
                <w:color w:val="auto"/>
                <w:sz w:val="21"/>
                <w:szCs w:val="21"/>
                <w:highlight w:val="none"/>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cs="Times New Roman"/>
                <w:color w:val="auto"/>
                <w:sz w:val="21"/>
                <w:szCs w:val="21"/>
                <w:highlight w:val="none"/>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cs="Times New Roman"/>
                <w:color w:val="auto"/>
                <w:sz w:val="21"/>
                <w:szCs w:val="21"/>
                <w:highlight w:val="none"/>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cs="Times New Roman"/>
                <w:color w:val="auto"/>
                <w:sz w:val="21"/>
                <w:szCs w:val="21"/>
                <w:highlight w:val="none"/>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cs="Times New Roman"/>
                <w:color w:val="auto"/>
                <w:sz w:val="21"/>
                <w:szCs w:val="21"/>
                <w:highlight w:val="none"/>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cs="Times New Roman"/>
                <w:color w:val="auto"/>
                <w:sz w:val="21"/>
                <w:szCs w:val="21"/>
                <w:highlight w:val="none"/>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cs="Times New Roman"/>
                <w:color w:val="auto"/>
                <w:sz w:val="21"/>
                <w:szCs w:val="21"/>
                <w:highlight w:val="none"/>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Times New Roman" w:hAnsi="Times New Roman" w:cs="Times New Roman"/>
                <w:color w:val="auto"/>
                <w:sz w:val="21"/>
                <w:szCs w:val="21"/>
                <w:highlight w:val="none"/>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图</w:t>
            </w:r>
            <w:r>
              <w:rPr>
                <w:rFonts w:hint="default" w:ascii="Times New Roman" w:hAnsi="Times New Roman" w:cs="Times New Roman"/>
                <w:color w:val="auto"/>
                <w:sz w:val="21"/>
                <w:szCs w:val="21"/>
                <w:highlight w:val="none"/>
                <w:lang w:val="en-US" w:eastAsia="zh-CN"/>
              </w:rPr>
              <w:t>2</w:t>
            </w:r>
            <w:r>
              <w:rPr>
                <w:rFonts w:hint="eastAsia" w:asci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 xml:space="preserve">  项目烤麸生产工艺及产污环节图</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left"/>
              <w:textAlignment w:val="auto"/>
              <w:rPr>
                <w:rFonts w:hint="default" w:ascii="Times New Roman" w:hAnsi="Times New Roman" w:cs="Times New Roman" w:eastAsiaTheme="majorEastAsia"/>
                <w:color w:val="auto"/>
                <w:sz w:val="21"/>
                <w:szCs w:val="21"/>
                <w:highlight w:val="none"/>
                <w:lang w:eastAsia="zh-CN"/>
              </w:rPr>
            </w:pPr>
            <w:r>
              <w:rPr>
                <w:rFonts w:hint="default" w:ascii="Times New Roman" w:hAnsi="Times New Roman" w:cs="Times New Roman" w:eastAsiaTheme="majorEastAsia"/>
                <w:color w:val="auto"/>
                <w:sz w:val="21"/>
                <w:szCs w:val="21"/>
                <w:highlight w:val="none"/>
                <w:lang w:eastAsia="zh-CN"/>
              </w:rPr>
              <w:t>项目烤麸生产</w:t>
            </w:r>
            <w:r>
              <w:rPr>
                <w:rFonts w:hint="default" w:ascii="Times New Roman" w:hAnsi="Times New Roman" w:cs="Times New Roman" w:eastAsiaTheme="minorEastAsia"/>
                <w:color w:val="auto"/>
                <w:sz w:val="21"/>
                <w:szCs w:val="21"/>
                <w:highlight w:val="none"/>
                <w:lang w:val="en-US" w:eastAsia="zh-CN"/>
              </w:rPr>
              <w:t>工艺流程叙述如下：</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left"/>
              <w:textAlignment w:val="auto"/>
              <w:rPr>
                <w:rFonts w:hint="default" w:ascii="Times New Roman" w:hAnsi="Times New Roman" w:cs="Times New Roman" w:eastAsiaTheme="majorEastAsia"/>
                <w:color w:val="auto"/>
                <w:sz w:val="21"/>
                <w:szCs w:val="21"/>
                <w:highlight w:val="none"/>
                <w:lang w:eastAsia="zh-CN"/>
              </w:rPr>
            </w:pPr>
            <w:r>
              <w:rPr>
                <w:rFonts w:hint="default" w:ascii="Times New Roman" w:hAnsi="Times New Roman" w:cs="Times New Roman" w:eastAsiaTheme="majorEastAsia"/>
                <w:color w:val="auto"/>
                <w:sz w:val="21"/>
                <w:szCs w:val="21"/>
                <w:highlight w:val="none"/>
                <w:lang w:eastAsia="zh-CN"/>
              </w:rPr>
              <w:fldChar w:fldCharType="begin"/>
            </w:r>
            <w:r>
              <w:rPr>
                <w:rFonts w:hint="default" w:ascii="Times New Roman" w:hAnsi="Times New Roman" w:cs="Times New Roman" w:eastAsiaTheme="majorEastAsia"/>
                <w:color w:val="auto"/>
                <w:sz w:val="21"/>
                <w:szCs w:val="21"/>
                <w:highlight w:val="none"/>
                <w:lang w:eastAsia="zh-CN"/>
              </w:rPr>
              <w:instrText xml:space="preserve"> = 1 \* GB3 \* MERGEFORMAT </w:instrText>
            </w:r>
            <w:r>
              <w:rPr>
                <w:rFonts w:hint="default" w:ascii="Times New Roman" w:hAnsi="Times New Roman" w:cs="Times New Roman" w:eastAsiaTheme="majorEastAsia"/>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eastAsiaTheme="majorEastAsia"/>
                <w:color w:val="auto"/>
                <w:sz w:val="21"/>
                <w:szCs w:val="21"/>
                <w:highlight w:val="none"/>
                <w:lang w:eastAsia="zh-CN"/>
              </w:rPr>
              <w:fldChar w:fldCharType="end"/>
            </w:r>
            <w:r>
              <w:rPr>
                <w:rFonts w:hint="default" w:ascii="Times New Roman" w:hAnsi="Times New Roman" w:cs="Times New Roman" w:eastAsiaTheme="majorEastAsia"/>
                <w:color w:val="auto"/>
                <w:sz w:val="21"/>
                <w:szCs w:val="21"/>
                <w:highlight w:val="none"/>
                <w:lang w:eastAsia="zh-CN"/>
              </w:rPr>
              <w:t>和面：</w:t>
            </w:r>
            <w:r>
              <w:rPr>
                <w:rFonts w:hint="default" w:ascii="Times New Roman" w:hAnsi="Times New Roman" w:cs="Times New Roman" w:eastAsiaTheme="majorEastAsia"/>
                <w:bCs/>
                <w:color w:val="auto"/>
                <w:sz w:val="21"/>
                <w:szCs w:val="21"/>
                <w:highlight w:val="none"/>
              </w:rPr>
              <w:t>将外购的生面筋和面粉按照</w:t>
            </w:r>
            <w:r>
              <w:rPr>
                <w:rFonts w:hint="default" w:ascii="Times New Roman" w:hAnsi="Times New Roman" w:cs="Times New Roman" w:eastAsiaTheme="majorEastAsia"/>
                <w:bCs/>
                <w:color w:val="auto"/>
                <w:sz w:val="21"/>
                <w:szCs w:val="21"/>
                <w:highlight w:val="none"/>
                <w:lang w:val="en-US" w:eastAsia="zh-CN"/>
              </w:rPr>
              <w:t>20：1</w:t>
            </w:r>
            <w:r>
              <w:rPr>
                <w:rFonts w:hint="default" w:ascii="Times New Roman" w:hAnsi="Times New Roman" w:cs="Times New Roman" w:eastAsiaTheme="majorEastAsia"/>
                <w:bCs/>
                <w:color w:val="auto"/>
                <w:sz w:val="21"/>
                <w:szCs w:val="21"/>
                <w:highlight w:val="none"/>
              </w:rPr>
              <w:t>比例通过人工投入</w:t>
            </w:r>
            <w:r>
              <w:rPr>
                <w:rFonts w:hint="default" w:ascii="Times New Roman" w:hAnsi="Times New Roman" w:cs="Times New Roman" w:eastAsiaTheme="majorEastAsia"/>
                <w:bCs/>
                <w:color w:val="auto"/>
                <w:sz w:val="21"/>
                <w:szCs w:val="21"/>
                <w:highlight w:val="none"/>
                <w:lang w:eastAsia="zh-CN"/>
              </w:rPr>
              <w:t>和面</w:t>
            </w:r>
            <w:r>
              <w:rPr>
                <w:rFonts w:hint="default" w:ascii="Times New Roman" w:hAnsi="Times New Roman" w:cs="Times New Roman" w:eastAsiaTheme="majorEastAsia"/>
                <w:bCs/>
                <w:color w:val="auto"/>
                <w:sz w:val="21"/>
                <w:szCs w:val="21"/>
                <w:highlight w:val="none"/>
              </w:rPr>
              <w:t>机内搅拌</w:t>
            </w:r>
            <w:r>
              <w:rPr>
                <w:rFonts w:hint="default" w:ascii="Times New Roman" w:hAnsi="Times New Roman" w:cs="Times New Roman" w:eastAsiaTheme="majorEastAsia"/>
                <w:bCs/>
                <w:color w:val="auto"/>
                <w:sz w:val="21"/>
                <w:szCs w:val="21"/>
                <w:highlight w:val="none"/>
                <w:lang w:eastAsia="zh-CN"/>
              </w:rPr>
              <w:t>成面筋团，和面时通过向生面筋中添加</w:t>
            </w:r>
            <w:r>
              <w:rPr>
                <w:rFonts w:hint="default" w:ascii="Times New Roman" w:hAnsi="Times New Roman" w:cs="Times New Roman" w:eastAsiaTheme="majorEastAsia"/>
                <w:bCs/>
                <w:color w:val="auto"/>
                <w:sz w:val="21"/>
                <w:szCs w:val="21"/>
                <w:highlight w:val="none"/>
              </w:rPr>
              <w:t>面粉可以提亮生</w:t>
            </w:r>
            <w:r>
              <w:rPr>
                <w:rFonts w:hint="default" w:ascii="Times New Roman" w:hAnsi="Times New Roman" w:cs="Times New Roman" w:eastAsiaTheme="majorEastAsia"/>
                <w:bCs/>
                <w:color w:val="auto"/>
                <w:sz w:val="21"/>
                <w:szCs w:val="21"/>
                <w:highlight w:val="none"/>
                <w:lang w:eastAsia="zh-CN"/>
              </w:rPr>
              <w:t>面</w:t>
            </w:r>
            <w:r>
              <w:rPr>
                <w:rFonts w:hint="default" w:ascii="Times New Roman" w:hAnsi="Times New Roman" w:cs="Times New Roman" w:eastAsiaTheme="majorEastAsia"/>
                <w:bCs/>
                <w:color w:val="auto"/>
                <w:sz w:val="21"/>
                <w:szCs w:val="21"/>
                <w:highlight w:val="none"/>
              </w:rPr>
              <w:t>筋颜色，</w:t>
            </w:r>
            <w:r>
              <w:rPr>
                <w:rFonts w:hint="default" w:ascii="Times New Roman" w:hAnsi="Times New Roman" w:cs="Times New Roman" w:eastAsiaTheme="majorEastAsia"/>
                <w:bCs/>
                <w:color w:val="auto"/>
                <w:sz w:val="21"/>
                <w:szCs w:val="21"/>
                <w:highlight w:val="none"/>
                <w:lang w:eastAsia="zh-CN"/>
              </w:rPr>
              <w:t>同时面粉</w:t>
            </w:r>
            <w:r>
              <w:rPr>
                <w:rFonts w:hint="default" w:ascii="Times New Roman" w:hAnsi="Times New Roman" w:cs="Times New Roman" w:eastAsiaTheme="majorEastAsia"/>
                <w:bCs/>
                <w:color w:val="auto"/>
                <w:sz w:val="21"/>
                <w:szCs w:val="21"/>
                <w:highlight w:val="none"/>
              </w:rPr>
              <w:t>吸收生筋</w:t>
            </w:r>
            <w:r>
              <w:rPr>
                <w:rFonts w:hint="default" w:ascii="Times New Roman" w:hAnsi="Times New Roman" w:cs="Times New Roman" w:eastAsiaTheme="majorEastAsia"/>
                <w:bCs/>
                <w:color w:val="auto"/>
                <w:sz w:val="21"/>
                <w:szCs w:val="21"/>
                <w:highlight w:val="none"/>
                <w:lang w:eastAsia="zh-CN"/>
              </w:rPr>
              <w:t>中</w:t>
            </w:r>
            <w:r>
              <w:rPr>
                <w:rFonts w:hint="default" w:ascii="Times New Roman" w:hAnsi="Times New Roman" w:cs="Times New Roman" w:eastAsiaTheme="majorEastAsia"/>
                <w:bCs/>
                <w:color w:val="auto"/>
                <w:sz w:val="21"/>
                <w:szCs w:val="21"/>
                <w:highlight w:val="none"/>
              </w:rPr>
              <w:t>的水分</w:t>
            </w:r>
            <w:r>
              <w:rPr>
                <w:rFonts w:hint="default" w:ascii="Times New Roman" w:hAnsi="Times New Roman" w:cs="Times New Roman" w:eastAsiaTheme="majorEastAsia"/>
                <w:bCs/>
                <w:color w:val="auto"/>
                <w:sz w:val="21"/>
                <w:szCs w:val="21"/>
                <w:highlight w:val="none"/>
                <w:lang w:eastAsia="zh-CN"/>
              </w:rPr>
              <w:t>，便于后续加工</w:t>
            </w:r>
            <w:r>
              <w:rPr>
                <w:rFonts w:hint="default" w:ascii="Times New Roman" w:hAnsi="Times New Roman" w:cs="Times New Roman" w:eastAsiaTheme="majorEastAsia"/>
                <w:color w:val="auto"/>
                <w:sz w:val="21"/>
                <w:szCs w:val="21"/>
                <w:highlight w:val="none"/>
                <w:lang w:eastAsia="zh-CN"/>
              </w:rPr>
              <w:t>。该过程投料时先将外购面筋团人工放入合面机内，后人工拆包后将面粉按照比例投加入和面机内，该投加面粉时会产生一定量粉尘。</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left"/>
              <w:textAlignment w:val="auto"/>
              <w:rPr>
                <w:rFonts w:hint="default" w:ascii="Times New Roman" w:hAnsi="Times New Roman" w:cs="Times New Roman" w:eastAsiaTheme="majorEastAsia"/>
                <w:bCs/>
                <w:color w:val="auto"/>
                <w:sz w:val="21"/>
                <w:szCs w:val="21"/>
                <w:highlight w:val="none"/>
              </w:rPr>
            </w:pPr>
            <w:r>
              <w:rPr>
                <w:rFonts w:hint="default" w:ascii="Times New Roman" w:hAnsi="Times New Roman" w:cs="Times New Roman" w:eastAsiaTheme="majorEastAsia"/>
                <w:color w:val="auto"/>
                <w:sz w:val="21"/>
                <w:szCs w:val="21"/>
                <w:highlight w:val="none"/>
                <w:lang w:eastAsia="zh-CN"/>
              </w:rPr>
              <w:t>该工艺污染环节：</w:t>
            </w:r>
            <w:r>
              <w:rPr>
                <w:rFonts w:hint="default" w:ascii="Times New Roman" w:hAnsi="Times New Roman" w:cs="Times New Roman" w:eastAsiaTheme="majorEastAsia"/>
                <w:color w:val="auto"/>
                <w:sz w:val="21"/>
                <w:szCs w:val="21"/>
                <w:highlight w:val="none"/>
              </w:rPr>
              <w:t>搅拌过程会产生设备噪声，原料包装会产生废弃原料包装袋，投料过程会产生粉尘废气</w:t>
            </w:r>
            <w:r>
              <w:rPr>
                <w:rFonts w:hint="default" w:ascii="Times New Roman" w:hAnsi="Times New Roman" w:cs="Times New Roman" w:eastAsiaTheme="majorEastAsia"/>
                <w:bCs/>
                <w:color w:val="auto"/>
                <w:sz w:val="21"/>
                <w:szCs w:val="21"/>
                <w:highlight w:val="none"/>
              </w:rPr>
              <w:t>。</w:t>
            </w:r>
          </w:p>
          <w:p>
            <w:pPr>
              <w:pStyle w:val="7"/>
              <w:keepNext w:val="0"/>
              <w:keepLines w:val="0"/>
              <w:pageBreakBefore w:val="0"/>
              <w:widowControl w:val="0"/>
              <w:suppressLineNumbers w:val="0"/>
              <w:kinsoku/>
              <w:wordWrap/>
              <w:overflowPunct/>
              <w:topLinePunct w:val="0"/>
              <w:bidi w:val="0"/>
              <w:adjustRightInd/>
              <w:snapToGrid/>
              <w:spacing w:before="0" w:beforeAutospacing="0" w:after="0" w:afterLines="0" w:afterAutospacing="0" w:line="360" w:lineRule="auto"/>
              <w:ind w:left="0" w:leftChars="0" w:right="0" w:firstLine="420" w:firstLineChars="200"/>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eastAsiaTheme="majorEastAsia"/>
                <w:bCs/>
                <w:color w:val="auto"/>
                <w:sz w:val="21"/>
                <w:szCs w:val="21"/>
                <w:highlight w:val="none"/>
                <w:lang w:eastAsia="zh-CN"/>
              </w:rPr>
              <w:fldChar w:fldCharType="begin"/>
            </w:r>
            <w:r>
              <w:rPr>
                <w:rFonts w:hint="default" w:ascii="Times New Roman" w:hAnsi="Times New Roman" w:cs="Times New Roman" w:eastAsiaTheme="majorEastAsia"/>
                <w:bCs/>
                <w:color w:val="auto"/>
                <w:sz w:val="21"/>
                <w:szCs w:val="21"/>
                <w:highlight w:val="none"/>
                <w:lang w:eastAsia="zh-CN"/>
              </w:rPr>
              <w:instrText xml:space="preserve"> = 2 \* GB3 \* MERGEFORMAT </w:instrText>
            </w:r>
            <w:r>
              <w:rPr>
                <w:rFonts w:hint="default" w:ascii="Times New Roman" w:hAnsi="Times New Roman" w:cs="Times New Roman" w:eastAsiaTheme="majorEastAsia"/>
                <w:bCs/>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②</w:t>
            </w:r>
            <w:r>
              <w:rPr>
                <w:rFonts w:hint="default" w:ascii="Times New Roman" w:hAnsi="Times New Roman" w:cs="Times New Roman" w:eastAsiaTheme="majorEastAsia"/>
                <w:bCs/>
                <w:color w:val="auto"/>
                <w:sz w:val="21"/>
                <w:szCs w:val="21"/>
                <w:highlight w:val="none"/>
                <w:lang w:eastAsia="zh-CN"/>
              </w:rPr>
              <w:fldChar w:fldCharType="end"/>
            </w:r>
            <w:r>
              <w:rPr>
                <w:rFonts w:hint="default" w:ascii="Times New Roman" w:hAnsi="Times New Roman" w:cs="Times New Roman" w:eastAsiaTheme="majorEastAsia"/>
                <w:bCs/>
                <w:color w:val="auto"/>
                <w:sz w:val="21"/>
                <w:szCs w:val="21"/>
                <w:highlight w:val="none"/>
                <w:lang w:eastAsia="zh-CN"/>
              </w:rPr>
              <w:t>切块装盒：</w:t>
            </w:r>
            <w:r>
              <w:rPr>
                <w:rFonts w:hint="default" w:ascii="Times New Roman" w:hAnsi="Times New Roman" w:cs="Times New Roman"/>
                <w:bCs/>
                <w:color w:val="auto"/>
                <w:sz w:val="21"/>
                <w:szCs w:val="21"/>
                <w:highlight w:val="none"/>
              </w:rPr>
              <w:t>人工使用刀具将搅拌均匀</w:t>
            </w:r>
            <w:r>
              <w:rPr>
                <w:rFonts w:hint="default" w:ascii="Times New Roman" w:hAnsi="Times New Roman" w:cs="Times New Roman"/>
                <w:bCs/>
                <w:color w:val="auto"/>
                <w:sz w:val="21"/>
                <w:szCs w:val="21"/>
                <w:highlight w:val="none"/>
                <w:lang w:eastAsia="zh-CN"/>
              </w:rPr>
              <w:t>呈团状的</w:t>
            </w:r>
            <w:r>
              <w:rPr>
                <w:rFonts w:hint="default" w:ascii="Times New Roman" w:hAnsi="Times New Roman" w:cs="Times New Roman"/>
                <w:bCs/>
                <w:color w:val="auto"/>
                <w:sz w:val="21"/>
                <w:szCs w:val="21"/>
                <w:highlight w:val="none"/>
              </w:rPr>
              <w:t>生面筋</w:t>
            </w:r>
            <w:r>
              <w:rPr>
                <w:rFonts w:hint="default" w:ascii="Times New Roman" w:hAnsi="Times New Roman" w:cs="Times New Roman"/>
                <w:bCs/>
                <w:color w:val="auto"/>
                <w:sz w:val="21"/>
                <w:szCs w:val="21"/>
                <w:highlight w:val="none"/>
                <w:lang w:eastAsia="zh-CN"/>
              </w:rPr>
              <w:t>均匀分切</w:t>
            </w:r>
            <w:r>
              <w:rPr>
                <w:rFonts w:hint="default" w:ascii="Times New Roman" w:hAnsi="Times New Roman" w:cs="Times New Roman"/>
                <w:bCs/>
                <w:color w:val="auto"/>
                <w:sz w:val="21"/>
                <w:szCs w:val="21"/>
                <w:highlight w:val="none"/>
              </w:rPr>
              <w:t>后装入盒内</w:t>
            </w:r>
            <w:r>
              <w:rPr>
                <w:rFonts w:hint="default" w:ascii="Times New Roman" w:hAnsi="Times New Roman" w:cs="Times New Roman"/>
                <w:bCs/>
                <w:color w:val="auto"/>
                <w:sz w:val="21"/>
                <w:szCs w:val="21"/>
                <w:highlight w:val="none"/>
                <w:lang w:eastAsia="zh-CN"/>
              </w:rPr>
              <w:t>，通过面筋团本身的流动性填充满整个盒子，该过程装盒的目的一方面是便于后续蒸制工序后高温度的产品取出，另一方也可使分切工序后产品形状统一</w:t>
            </w:r>
            <w:r>
              <w:rPr>
                <w:rFonts w:hint="default" w:ascii="Times New Roman" w:hAnsi="Times New Roman" w:cs="Times New Roman"/>
                <w:bCs/>
                <w:color w:val="auto"/>
                <w:sz w:val="21"/>
                <w:szCs w:val="21"/>
                <w:highlight w:val="none"/>
              </w:rPr>
              <w:t>。</w:t>
            </w:r>
          </w:p>
          <w:p>
            <w:pPr>
              <w:pStyle w:val="7"/>
              <w:keepNext w:val="0"/>
              <w:keepLines w:val="0"/>
              <w:pageBreakBefore w:val="0"/>
              <w:widowControl w:val="0"/>
              <w:suppressLineNumbers w:val="0"/>
              <w:kinsoku/>
              <w:wordWrap/>
              <w:overflowPunct/>
              <w:topLinePunct w:val="0"/>
              <w:bidi w:val="0"/>
              <w:adjustRightInd/>
              <w:snapToGrid/>
              <w:spacing w:before="0" w:beforeAutospacing="0" w:after="0" w:afterLines="0" w:afterAutospacing="0" w:line="360" w:lineRule="auto"/>
              <w:ind w:left="0" w:leftChars="0" w:right="0" w:firstLine="420" w:firstLineChars="200"/>
              <w:textAlignment w:val="auto"/>
              <w:rPr>
                <w:rFonts w:hint="default" w:ascii="Times New Roman" w:hAnsi="Times New Roman" w:cs="Times New Roman" w:eastAsiaTheme="majorEastAsia"/>
                <w:bCs/>
                <w:color w:val="auto"/>
                <w:sz w:val="21"/>
                <w:szCs w:val="21"/>
                <w:highlight w:val="none"/>
                <w:lang w:eastAsia="zh-CN"/>
              </w:rPr>
            </w:pPr>
            <w:r>
              <w:rPr>
                <w:rFonts w:hint="default" w:ascii="Times New Roman" w:hAnsi="Times New Roman" w:cs="Times New Roman" w:eastAsiaTheme="majorEastAsia"/>
                <w:bCs/>
                <w:color w:val="auto"/>
                <w:sz w:val="21"/>
                <w:szCs w:val="21"/>
                <w:highlight w:val="none"/>
                <w:lang w:eastAsia="zh-CN"/>
              </w:rPr>
              <w:fldChar w:fldCharType="begin"/>
            </w:r>
            <w:r>
              <w:rPr>
                <w:rFonts w:hint="default" w:ascii="Times New Roman" w:hAnsi="Times New Roman" w:cs="Times New Roman" w:eastAsiaTheme="majorEastAsia"/>
                <w:bCs/>
                <w:color w:val="auto"/>
                <w:sz w:val="21"/>
                <w:szCs w:val="21"/>
                <w:highlight w:val="none"/>
                <w:lang w:eastAsia="zh-CN"/>
              </w:rPr>
              <w:instrText xml:space="preserve"> = 3 \* GB3 \* MERGEFORMAT </w:instrText>
            </w:r>
            <w:r>
              <w:rPr>
                <w:rFonts w:hint="default" w:ascii="Times New Roman" w:hAnsi="Times New Roman" w:cs="Times New Roman" w:eastAsiaTheme="majorEastAsia"/>
                <w:bCs/>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③</w:t>
            </w:r>
            <w:r>
              <w:rPr>
                <w:rFonts w:hint="default" w:ascii="Times New Roman" w:hAnsi="Times New Roman" w:cs="Times New Roman" w:eastAsiaTheme="majorEastAsia"/>
                <w:bCs/>
                <w:color w:val="auto"/>
                <w:sz w:val="21"/>
                <w:szCs w:val="21"/>
                <w:highlight w:val="none"/>
                <w:lang w:eastAsia="zh-CN"/>
              </w:rPr>
              <w:fldChar w:fldCharType="end"/>
            </w:r>
            <w:r>
              <w:rPr>
                <w:rFonts w:hint="default" w:ascii="Times New Roman" w:hAnsi="Times New Roman" w:cs="Times New Roman" w:eastAsiaTheme="majorEastAsia"/>
                <w:bCs/>
                <w:color w:val="auto"/>
                <w:sz w:val="21"/>
                <w:szCs w:val="21"/>
                <w:highlight w:val="none"/>
                <w:lang w:eastAsia="zh-CN"/>
              </w:rPr>
              <w:t>蒸制：将分切装盒后面筋放入蒸箱内进行蒸制（蒸制温度约110℃，蒸制时间约为2.5h)。蒸制过程所使用的蒸汽由新建锅炉提供。</w:t>
            </w:r>
          </w:p>
          <w:p>
            <w:pPr>
              <w:pStyle w:val="7"/>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Lines="0" w:afterAutospacing="0" w:line="360" w:lineRule="auto"/>
              <w:ind w:leftChars="0" w:right="0" w:rightChars="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4 \* GB3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④</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切片：</w:t>
            </w:r>
            <w:r>
              <w:rPr>
                <w:rFonts w:hint="default" w:ascii="Times New Roman" w:hAnsi="Times New Roman" w:cs="Times New Roman"/>
                <w:color w:val="auto"/>
                <w:sz w:val="21"/>
                <w:szCs w:val="21"/>
                <w:highlight w:val="none"/>
                <w:lang w:eastAsia="zh-CN"/>
              </w:rPr>
              <w:t>将蒸制完成并自然冷却后</w:t>
            </w:r>
            <w:r>
              <w:rPr>
                <w:rFonts w:hint="default" w:ascii="Times New Roman" w:hAnsi="Times New Roman" w:cs="Times New Roman"/>
                <w:color w:val="auto"/>
                <w:sz w:val="21"/>
                <w:szCs w:val="21"/>
                <w:highlight w:val="none"/>
              </w:rPr>
              <w:t>的面筋</w:t>
            </w:r>
            <w:r>
              <w:rPr>
                <w:rFonts w:hint="default" w:ascii="Times New Roman" w:hAnsi="Times New Roman" w:cs="Times New Roman"/>
                <w:color w:val="auto"/>
                <w:sz w:val="21"/>
                <w:szCs w:val="21"/>
                <w:highlight w:val="none"/>
                <w:lang w:eastAsia="zh-CN"/>
              </w:rPr>
              <w:t>放</w:t>
            </w:r>
            <w:r>
              <w:rPr>
                <w:rFonts w:hint="default" w:ascii="Times New Roman" w:hAnsi="Times New Roman" w:cs="Times New Roman"/>
                <w:color w:val="auto"/>
                <w:sz w:val="21"/>
                <w:szCs w:val="21"/>
                <w:highlight w:val="none"/>
              </w:rPr>
              <w:t>入切片机内切成均匀薄片</w:t>
            </w:r>
            <w:r>
              <w:rPr>
                <w:rFonts w:hint="default" w:ascii="Times New Roman" w:hAnsi="Times New Roman" w:cs="Times New Roman"/>
                <w:color w:val="auto"/>
                <w:sz w:val="21"/>
                <w:szCs w:val="21"/>
                <w:highlight w:val="none"/>
                <w:lang w:eastAsia="zh-CN"/>
              </w:rPr>
              <w:t>。</w:t>
            </w:r>
          </w:p>
          <w:p>
            <w:pPr>
              <w:pStyle w:val="7"/>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Lines="0" w:afterAutospacing="0" w:line="360" w:lineRule="auto"/>
              <w:ind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该工艺污染环节：</w:t>
            </w:r>
            <w:r>
              <w:rPr>
                <w:rFonts w:hint="default" w:ascii="Times New Roman" w:hAnsi="Times New Roman" w:cs="Times New Roman"/>
                <w:color w:val="auto"/>
                <w:sz w:val="21"/>
                <w:szCs w:val="21"/>
                <w:highlight w:val="none"/>
              </w:rPr>
              <w:t>切片过程产生设备噪声和边角料。</w:t>
            </w:r>
          </w:p>
          <w:p>
            <w:pPr>
              <w:pStyle w:val="7"/>
              <w:keepNext w:val="0"/>
              <w:keepLines w:val="0"/>
              <w:pageBreakBefore w:val="0"/>
              <w:widowControl w:val="0"/>
              <w:suppressLineNumbers w:val="0"/>
              <w:kinsoku/>
              <w:wordWrap/>
              <w:overflowPunct/>
              <w:topLinePunct w:val="0"/>
              <w:bidi w:val="0"/>
              <w:adjustRightInd/>
              <w:snapToGrid/>
              <w:spacing w:before="0" w:beforeAutospacing="0" w:after="0" w:afterLines="0" w:afterAutospacing="0" w:line="360" w:lineRule="auto"/>
              <w:ind w:left="0" w:leftChars="0" w:right="0" w:firstLine="420" w:firstLineChars="20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5 \* GB3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⑤</w:t>
            </w:r>
            <w:r>
              <w:rPr>
                <w:rFonts w:hint="default" w:ascii="Times New Roman" w:hAnsi="Times New Roman" w:cs="Times New Roman"/>
                <w:color w:val="auto"/>
                <w:sz w:val="21"/>
                <w:szCs w:val="21"/>
                <w:highlight w:val="none"/>
                <w:lang w:eastAsia="zh-CN"/>
              </w:rPr>
              <w:fldChar w:fldCharType="end"/>
            </w:r>
            <w:r>
              <w:rPr>
                <w:rFonts w:hint="default" w:ascii="Times New Roman" w:hAnsi="Times New Roman" w:cs="Times New Roman"/>
                <w:color w:val="auto"/>
                <w:sz w:val="21"/>
                <w:szCs w:val="21"/>
                <w:highlight w:val="none"/>
                <w:lang w:eastAsia="zh-CN"/>
              </w:rPr>
              <w:t>烘干：切片后</w:t>
            </w:r>
            <w:r>
              <w:rPr>
                <w:rFonts w:hint="default" w:ascii="Times New Roman" w:hAnsi="Times New Roman" w:cs="Times New Roman"/>
                <w:color w:val="auto"/>
                <w:sz w:val="21"/>
                <w:szCs w:val="21"/>
                <w:highlight w:val="none"/>
              </w:rPr>
              <w:t>的面筋进入干燥箱</w:t>
            </w:r>
            <w:r>
              <w:rPr>
                <w:rFonts w:hint="default" w:ascii="Times New Roman" w:hAnsi="Times New Roman" w:cs="Times New Roman"/>
                <w:color w:val="auto"/>
                <w:sz w:val="21"/>
                <w:szCs w:val="21"/>
                <w:highlight w:val="none"/>
                <w:lang w:eastAsia="zh-CN"/>
              </w:rPr>
              <w:t>进行</w:t>
            </w:r>
            <w:r>
              <w:rPr>
                <w:rFonts w:hint="default" w:ascii="Times New Roman" w:hAnsi="Times New Roman" w:cs="Times New Roman"/>
                <w:color w:val="auto"/>
                <w:sz w:val="21"/>
                <w:szCs w:val="21"/>
                <w:highlight w:val="none"/>
              </w:rPr>
              <w:t>干燥</w:t>
            </w:r>
            <w:r>
              <w:rPr>
                <w:rFonts w:hint="default" w:ascii="Times New Roman" w:hAnsi="Times New Roman" w:cs="Times New Roman"/>
                <w:color w:val="auto"/>
                <w:sz w:val="21"/>
                <w:szCs w:val="21"/>
                <w:highlight w:val="none"/>
                <w:lang w:eastAsia="zh-CN"/>
              </w:rPr>
              <w:t>，干燥后</w:t>
            </w:r>
            <w:r>
              <w:rPr>
                <w:rFonts w:hint="default" w:ascii="Times New Roman" w:hAnsi="Times New Roman" w:cs="Times New Roman"/>
                <w:color w:val="auto"/>
                <w:sz w:val="21"/>
                <w:szCs w:val="21"/>
                <w:highlight w:val="none"/>
              </w:rPr>
              <w:t>生筋会损失约60%的水分</w:t>
            </w:r>
            <w:r>
              <w:rPr>
                <w:rFonts w:hint="default" w:ascii="Times New Roman" w:hAnsi="Times New Roman" w:cs="Times New Roman"/>
                <w:color w:val="auto"/>
                <w:sz w:val="21"/>
                <w:szCs w:val="21"/>
                <w:highlight w:val="none"/>
                <w:lang w:eastAsia="zh-CN"/>
              </w:rPr>
              <w:t>成为干面筋，即烤麸。该工序</w:t>
            </w:r>
            <w:r>
              <w:rPr>
                <w:rFonts w:hint="default" w:ascii="Times New Roman" w:hAnsi="Times New Roman" w:cs="Times New Roman"/>
                <w:color w:val="auto"/>
                <w:sz w:val="21"/>
                <w:szCs w:val="21"/>
                <w:highlight w:val="none"/>
              </w:rPr>
              <w:t>干燥</w:t>
            </w:r>
            <w:r>
              <w:rPr>
                <w:rFonts w:hint="default" w:ascii="Times New Roman" w:hAnsi="Times New Roman" w:cs="Times New Roman"/>
                <w:color w:val="auto"/>
                <w:sz w:val="21"/>
                <w:szCs w:val="21"/>
                <w:highlight w:val="none"/>
                <w:lang w:eastAsia="zh-CN"/>
              </w:rPr>
              <w:t>热</w:t>
            </w:r>
            <w:r>
              <w:rPr>
                <w:rFonts w:hint="default" w:ascii="Times New Roman" w:hAnsi="Times New Roman" w:cs="Times New Roman"/>
                <w:color w:val="auto"/>
                <w:sz w:val="21"/>
                <w:szCs w:val="21"/>
                <w:highlight w:val="none"/>
              </w:rPr>
              <w:t>源由</w:t>
            </w:r>
            <w:r>
              <w:rPr>
                <w:rFonts w:hint="default" w:ascii="Times New Roman" w:hAnsi="Times New Roman" w:cs="Times New Roman"/>
                <w:color w:val="auto"/>
                <w:sz w:val="21"/>
                <w:szCs w:val="21"/>
                <w:highlight w:val="none"/>
                <w:lang w:eastAsia="zh-CN"/>
              </w:rPr>
              <w:t>新建锅炉的</w:t>
            </w:r>
            <w:r>
              <w:rPr>
                <w:rFonts w:hint="default" w:ascii="Times New Roman" w:hAnsi="Times New Roman" w:cs="Times New Roman"/>
                <w:color w:val="auto"/>
                <w:sz w:val="21"/>
                <w:szCs w:val="21"/>
                <w:highlight w:val="none"/>
              </w:rPr>
              <w:t>蒸汽提供</w:t>
            </w:r>
            <w:r>
              <w:rPr>
                <w:rFonts w:hint="default" w:ascii="Times New Roman" w:hAnsi="Times New Roman" w:cs="Times New Roman"/>
                <w:color w:val="auto"/>
                <w:sz w:val="21"/>
                <w:szCs w:val="21"/>
                <w:highlight w:val="none"/>
                <w:lang w:eastAsia="zh-CN"/>
              </w:rPr>
              <w:t>，通过干燥箱间接对产品进行烘干处理。</w:t>
            </w:r>
          </w:p>
          <w:p>
            <w:pPr>
              <w:pStyle w:val="7"/>
              <w:keepNext w:val="0"/>
              <w:keepLines w:val="0"/>
              <w:pageBreakBefore w:val="0"/>
              <w:widowControl w:val="0"/>
              <w:suppressLineNumbers w:val="0"/>
              <w:kinsoku/>
              <w:wordWrap/>
              <w:overflowPunct/>
              <w:topLinePunct w:val="0"/>
              <w:bidi w:val="0"/>
              <w:adjustRightInd/>
              <w:snapToGrid/>
              <w:spacing w:before="0" w:beforeAutospacing="0" w:after="0" w:afterLines="0" w:afterAutospacing="0" w:line="360" w:lineRule="auto"/>
              <w:ind w:left="0" w:leftChars="0" w:right="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6 \* GB3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⑥</w:t>
            </w:r>
            <w:r>
              <w:rPr>
                <w:rFonts w:hint="default" w:ascii="Times New Roman" w:hAnsi="Times New Roman" w:cs="Times New Roman"/>
                <w:color w:val="auto"/>
                <w:sz w:val="21"/>
                <w:szCs w:val="21"/>
                <w:highlight w:val="none"/>
                <w:lang w:eastAsia="zh-CN"/>
              </w:rPr>
              <w:fldChar w:fldCharType="end"/>
            </w:r>
            <w:r>
              <w:rPr>
                <w:rFonts w:hint="default" w:ascii="Times New Roman" w:hAnsi="Times New Roman" w:cs="Times New Roman"/>
                <w:color w:val="auto"/>
                <w:sz w:val="21"/>
                <w:szCs w:val="21"/>
                <w:highlight w:val="none"/>
                <w:lang w:eastAsia="zh-CN"/>
              </w:rPr>
              <w:t>包装：</w:t>
            </w:r>
            <w:r>
              <w:rPr>
                <w:rFonts w:hint="default" w:ascii="Times New Roman" w:hAnsi="Times New Roman" w:cs="Times New Roman"/>
                <w:color w:val="auto"/>
                <w:sz w:val="21"/>
                <w:szCs w:val="21"/>
                <w:highlight w:val="none"/>
              </w:rPr>
              <w:t>将烘干后的面筋装入包装袋内，使用封包机将包装袋封口，得到成品烤麸干，入库待售。</w:t>
            </w:r>
          </w:p>
          <w:p>
            <w:pPr>
              <w:pStyle w:val="7"/>
              <w:keepNext w:val="0"/>
              <w:keepLines w:val="0"/>
              <w:pageBreakBefore w:val="0"/>
              <w:widowControl w:val="0"/>
              <w:suppressLineNumbers w:val="0"/>
              <w:kinsoku/>
              <w:wordWrap/>
              <w:overflowPunct/>
              <w:topLinePunct w:val="0"/>
              <w:bidi w:val="0"/>
              <w:adjustRightInd/>
              <w:snapToGrid/>
              <w:spacing w:before="0" w:beforeAutospacing="0" w:after="0" w:afterLines="0" w:afterAutospacing="0" w:line="360" w:lineRule="auto"/>
              <w:ind w:left="0" w:leftChars="0" w:right="0" w:firstLine="420" w:firstLineChars="20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该工艺污染环节：包装过程产生的噪声。</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pict>
                <v:shape id="_x0000_s1038" o:spid="_x0000_s1038" o:spt="75" type="#_x0000_t75" style="position:absolute;left:0pt;margin-left:45.55pt;margin-top:10.65pt;height:136.9pt;width:272.7pt;z-index:251661312;mso-width-relative:page;mso-height-relative:page;" o:ole="t" filled="f" o:preferrelative="t" stroked="f" coordsize="21600,21600">
                  <v:path/>
                  <v:fill on="f" focussize="0,0"/>
                  <v:stroke on="f"/>
                  <v:imagedata r:id="rId15" cropleft="9098f" croptop="5849f" cropright="5587f" cropbottom="34170f" o:title=""/>
                  <o:lock v:ext="edit" aspectratio="t"/>
                </v:shape>
                <o:OLEObject Type="Embed" ProgID="Visio.Drawing.15" ShapeID="_x0000_s1038" DrawAspect="Content" ObjectID="_1468075726" r:id="rId14">
                  <o:LockedField>false</o:LockedField>
                </o:OLEObject>
              </w:pict>
            </w:r>
            <w:r>
              <w:rPr>
                <w:rFonts w:hint="default" w:ascii="Times New Roman" w:hAnsi="Times New Roman" w:cs="Times New Roman" w:eastAsiaTheme="minorEastAsia"/>
                <w:color w:val="auto"/>
                <w:sz w:val="21"/>
                <w:szCs w:val="21"/>
                <w:highlight w:val="none"/>
                <w:lang w:val="en-US" w:eastAsia="zh-CN"/>
              </w:rPr>
              <w:t>（2）软水制备工艺</w:t>
            </w:r>
          </w:p>
          <w:p>
            <w:pPr>
              <w:pStyle w:val="7"/>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Lines="0" w:afterAutospacing="0" w:line="360" w:lineRule="auto"/>
              <w:ind w:leftChars="0" w:right="0" w:rightChars="0"/>
              <w:textAlignment w:val="auto"/>
              <w:rPr>
                <w:rFonts w:hint="default" w:ascii="Times New Roman" w:hAnsi="Times New Roman" w:eastAsia="黑体" w:cs="Times New Roman"/>
                <w:color w:val="auto"/>
                <w:sz w:val="21"/>
                <w:szCs w:val="21"/>
                <w:highlight w:val="cyan"/>
                <w:lang w:val="en-US" w:eastAsia="zh-CN"/>
              </w:rPr>
            </w:pPr>
          </w:p>
          <w:p>
            <w:pPr>
              <w:pStyle w:val="7"/>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Lines="0" w:afterAutospacing="0" w:line="360" w:lineRule="auto"/>
              <w:ind w:leftChars="0" w:right="0" w:rightChars="0"/>
              <w:textAlignment w:val="auto"/>
              <w:rPr>
                <w:rFonts w:hint="default" w:ascii="Times New Roman" w:hAnsi="Times New Roman" w:eastAsia="黑体" w:cs="Times New Roman"/>
                <w:color w:val="auto"/>
                <w:sz w:val="21"/>
                <w:szCs w:val="21"/>
                <w:highlight w:val="cyan"/>
                <w:lang w:val="en-US" w:eastAsia="zh-CN"/>
              </w:rPr>
            </w:pPr>
          </w:p>
          <w:p>
            <w:pPr>
              <w:pStyle w:val="7"/>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Lines="0" w:afterAutospacing="0" w:line="360" w:lineRule="auto"/>
              <w:ind w:leftChars="0" w:right="0" w:rightChars="0"/>
              <w:textAlignment w:val="auto"/>
              <w:rPr>
                <w:rFonts w:hint="default" w:ascii="Times New Roman" w:hAnsi="Times New Roman" w:eastAsia="黑体" w:cs="Times New Roman"/>
                <w:color w:val="auto"/>
                <w:sz w:val="21"/>
                <w:szCs w:val="21"/>
                <w:highlight w:val="cyan"/>
                <w:lang w:val="en-US" w:eastAsia="zh-CN"/>
              </w:rPr>
            </w:pPr>
          </w:p>
          <w:p>
            <w:pPr>
              <w:pStyle w:val="7"/>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Lines="0" w:afterAutospacing="0" w:line="360" w:lineRule="auto"/>
              <w:ind w:leftChars="0" w:right="0" w:rightChars="0"/>
              <w:textAlignment w:val="auto"/>
              <w:rPr>
                <w:rFonts w:hint="default" w:ascii="Times New Roman" w:hAnsi="Times New Roman" w:eastAsia="黑体" w:cs="Times New Roman"/>
                <w:color w:val="auto"/>
                <w:sz w:val="21"/>
                <w:szCs w:val="21"/>
                <w:highlight w:val="cyan"/>
                <w:lang w:val="en-US" w:eastAsia="zh-CN"/>
              </w:rPr>
            </w:pPr>
          </w:p>
          <w:p>
            <w:pPr>
              <w:pStyle w:val="7"/>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Lines="0" w:afterAutospacing="0" w:line="360" w:lineRule="auto"/>
              <w:ind w:leftChars="0" w:right="0" w:rightChars="0"/>
              <w:textAlignment w:val="auto"/>
              <w:rPr>
                <w:rFonts w:hint="default" w:ascii="Times New Roman" w:hAnsi="Times New Roman" w:eastAsia="黑体" w:cs="Times New Roman"/>
                <w:color w:val="auto"/>
                <w:sz w:val="21"/>
                <w:szCs w:val="21"/>
                <w:highlight w:val="cyan"/>
                <w:lang w:val="en-US" w:eastAsia="zh-CN"/>
              </w:rPr>
            </w:pPr>
          </w:p>
          <w:p>
            <w:pPr>
              <w:pStyle w:val="7"/>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Lines="0" w:afterAutospacing="0" w:line="360" w:lineRule="auto"/>
              <w:ind w:leftChars="0" w:right="0" w:rightChars="0"/>
              <w:textAlignment w:val="auto"/>
              <w:rPr>
                <w:rFonts w:hint="default" w:ascii="Times New Roman" w:hAnsi="Times New Roman" w:eastAsia="黑体" w:cs="Times New Roman"/>
                <w:color w:val="auto"/>
                <w:sz w:val="21"/>
                <w:szCs w:val="21"/>
                <w:highlight w:val="cyan"/>
                <w:lang w:val="en-US" w:eastAsia="zh-CN"/>
              </w:rPr>
            </w:pPr>
          </w:p>
          <w:p>
            <w:pPr>
              <w:pStyle w:val="7"/>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Lines="0" w:afterAutospacing="0" w:line="360" w:lineRule="auto"/>
              <w:ind w:leftChars="0" w:right="0" w:rightChars="0"/>
              <w:textAlignment w:val="auto"/>
              <w:rPr>
                <w:rFonts w:hint="default" w:ascii="Times New Roman" w:hAnsi="Times New Roman" w:eastAsia="黑体" w:cs="Times New Roman"/>
                <w:color w:val="auto"/>
                <w:sz w:val="21"/>
                <w:szCs w:val="21"/>
                <w:highlight w:val="cyan"/>
                <w:lang w:val="en-US" w:eastAsia="zh-CN"/>
              </w:rPr>
            </w:pPr>
          </w:p>
          <w:p>
            <w:pPr>
              <w:pStyle w:val="7"/>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Lines="0" w:afterAutospacing="0" w:line="360" w:lineRule="auto"/>
              <w:ind w:leftChars="0" w:right="0" w:right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图3    软水制备工艺及产污环节图</w:t>
            </w:r>
          </w:p>
          <w:p>
            <w:pPr>
              <w:pStyle w:val="7"/>
              <w:keepNext w:val="0"/>
              <w:keepLines w:val="0"/>
              <w:pageBreakBefore w:val="0"/>
              <w:widowControl w:val="0"/>
              <w:suppressLineNumbers w:val="0"/>
              <w:kinsoku/>
              <w:wordWrap/>
              <w:overflowPunct/>
              <w:topLinePunct w:val="0"/>
              <w:bidi w:val="0"/>
              <w:adjustRightInd/>
              <w:snapToGrid/>
              <w:spacing w:before="0" w:beforeAutospacing="0" w:after="0" w:afterLines="0" w:afterAutospacing="0" w:line="360" w:lineRule="auto"/>
              <w:ind w:left="0" w:leftChars="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项目软水制备工艺流程叙述如下：</w:t>
            </w:r>
          </w:p>
          <w:p>
            <w:pPr>
              <w:pStyle w:val="7"/>
              <w:keepNext w:val="0"/>
              <w:keepLines w:val="0"/>
              <w:pageBreakBefore w:val="0"/>
              <w:widowControl w:val="0"/>
              <w:suppressLineNumbers w:val="0"/>
              <w:kinsoku/>
              <w:wordWrap/>
              <w:overflowPunct/>
              <w:topLinePunct w:val="0"/>
              <w:bidi w:val="0"/>
              <w:adjustRightInd/>
              <w:snapToGrid/>
              <w:spacing w:before="0" w:beforeAutospacing="0" w:after="0" w:afterLines="0" w:afterAutospacing="0" w:line="360" w:lineRule="auto"/>
              <w:ind w:left="0" w:leftChars="0" w:right="0" w:firstLine="420" w:firstLineChars="20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工程配备</w:t>
            </w:r>
            <w:r>
              <w:rPr>
                <w:rFonts w:hint="default" w:ascii="Times New Roman" w:hAnsi="Times New Roman" w:cs="Times New Roman"/>
                <w:color w:val="auto"/>
                <w:sz w:val="21"/>
                <w:szCs w:val="21"/>
                <w:highlight w:val="none"/>
                <w:lang w:val="en-US" w:eastAsia="zh-CN"/>
              </w:rPr>
              <w:t>1台2t/h燃气锅炉，锅炉所用软水均有配套建设的软水制备设施提供，该部分用水由</w:t>
            </w:r>
            <w:r>
              <w:rPr>
                <w:rFonts w:hint="default" w:ascii="Times New Roman" w:hAnsi="Times New Roman" w:cs="Times New Roman"/>
                <w:color w:val="auto"/>
                <w:sz w:val="21"/>
                <w:szCs w:val="21"/>
                <w:highlight w:val="none"/>
                <w:lang w:eastAsia="zh-CN"/>
              </w:rPr>
              <w:t>厂区自备井提供，软水制备时通过提升泵江自备井内水提升至原水箱中进行缓冲并存储，并泵机抽取原水箱中水并依次经砂率器和精密过滤器去除原水中较大颗粒物质，之后经反渗透设备进行一级反渗透处理（即为水的去离子净化过程，成水率约为</w:t>
            </w:r>
            <w:r>
              <w:rPr>
                <w:rFonts w:hint="default" w:ascii="Times New Roman" w:hAnsi="Times New Roman" w:cs="Times New Roman"/>
                <w:color w:val="auto"/>
                <w:sz w:val="21"/>
                <w:szCs w:val="21"/>
                <w:highlight w:val="none"/>
                <w:lang w:val="en-US" w:eastAsia="zh-CN"/>
              </w:rPr>
              <w:t>75%</w:t>
            </w:r>
            <w:r>
              <w:rPr>
                <w:rFonts w:hint="default" w:ascii="Times New Roman" w:hAnsi="Times New Roman" w:cs="Times New Roman"/>
                <w:color w:val="auto"/>
                <w:sz w:val="21"/>
                <w:szCs w:val="21"/>
                <w:highlight w:val="none"/>
                <w:lang w:eastAsia="zh-CN"/>
              </w:rPr>
              <w:t>），处理后的纯水则进入成水罐箱。该工序产污环节为：反渗透过程产生的浓水，水泵工作产生的噪声，反渗透系统更换的废石英砂、反渗透膜等。</w:t>
            </w:r>
          </w:p>
          <w:p>
            <w:pPr>
              <w:pStyle w:val="7"/>
              <w:keepNext w:val="0"/>
              <w:keepLines w:val="0"/>
              <w:pageBreakBefore w:val="0"/>
              <w:widowControl w:val="0"/>
              <w:suppressLineNumbers w:val="0"/>
              <w:kinsoku/>
              <w:wordWrap/>
              <w:overflowPunct/>
              <w:topLinePunct w:val="0"/>
              <w:bidi w:val="0"/>
              <w:adjustRightInd/>
              <w:snapToGrid/>
              <w:spacing w:before="0" w:beforeAutospacing="0" w:after="0" w:afterLines="0" w:afterAutospacing="0" w:line="360" w:lineRule="auto"/>
              <w:ind w:left="0" w:leftChars="0" w:right="0" w:firstLine="420" w:firstLineChars="200"/>
              <w:textAlignment w:val="auto"/>
              <w:rPr>
                <w:rFonts w:hint="default" w:ascii="Times New Roman" w:hAnsi="Times New Roman"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2</w:t>
            </w:r>
            <w:r>
              <w:rPr>
                <w:rFonts w:hint="default" w:ascii="Times New Roman" w:hAnsi="Times New Roman" w:eastAsia="黑体" w:cs="Times New Roman"/>
                <w:color w:val="auto"/>
                <w:sz w:val="21"/>
                <w:szCs w:val="21"/>
                <w:highlight w:val="none"/>
                <w:lang w:val="en-US" w:eastAsia="zh-CN"/>
              </w:rPr>
              <w:t>、项目水平衡图</w:t>
            </w:r>
          </w:p>
          <w:p>
            <w:pPr>
              <w:pStyle w:val="7"/>
              <w:keepNext w:val="0"/>
              <w:keepLines w:val="0"/>
              <w:pageBreakBefore w:val="0"/>
              <w:widowControl w:val="0"/>
              <w:suppressLineNumbers w:val="0"/>
              <w:kinsoku/>
              <w:wordWrap/>
              <w:overflowPunct/>
              <w:topLinePunct w:val="0"/>
              <w:bidi w:val="0"/>
              <w:adjustRightInd/>
              <w:snapToGrid/>
              <w:spacing w:before="0" w:beforeAutospacing="0" w:after="0" w:afterLines="0" w:afterAutospacing="0" w:line="360" w:lineRule="auto"/>
              <w:ind w:left="0" w:leftChars="0" w:right="0" w:firstLine="420" w:firstLineChars="200"/>
              <w:textAlignment w:val="auto"/>
              <w:rPr>
                <w:rFonts w:hint="default" w:ascii="Times New Roman" w:hAnsi="Times New Roman" w:cs="Times New Roman" w:eastAsiaTheme="majorEastAsia"/>
                <w:bCs/>
                <w:color w:val="auto"/>
                <w:sz w:val="21"/>
                <w:szCs w:val="21"/>
                <w:highlight w:val="none"/>
                <w:lang w:eastAsia="zh-CN"/>
              </w:rPr>
            </w:pPr>
            <w:r>
              <w:rPr>
                <w:rFonts w:hint="default" w:ascii="Times New Roman" w:hAnsi="Times New Roman" w:cs="Times New Roman" w:eastAsiaTheme="majorEastAsia"/>
                <w:bCs/>
                <w:color w:val="auto"/>
                <w:sz w:val="21"/>
                <w:szCs w:val="21"/>
                <w:highlight w:val="none"/>
                <w:lang w:eastAsia="zh-CN"/>
              </w:rPr>
              <w:pict>
                <v:shape id="_x0000_s1039" o:spid="_x0000_s1039" o:spt="75" type="#_x0000_t75" style="position:absolute;left:0pt;margin-left:20.45pt;margin-top:29.1pt;height:257.2pt;width:338pt;z-index:251662336;mso-width-relative:page;mso-height-relative:page;" o:ole="t" filled="f" o:preferrelative="t" stroked="f" coordsize="21600,21600">
                  <v:path/>
                  <v:fill on="f" focussize="0,0"/>
                  <v:stroke on="f"/>
                  <v:imagedata r:id="rId17" cropbottom="14864f" o:title=""/>
                  <o:lock v:ext="edit" aspectratio="t"/>
                </v:shape>
                <o:OLEObject Type="Embed" ProgID="Visio.Drawing.15" ShapeID="_x0000_s1039" DrawAspect="Content" ObjectID="_1468075727" r:id="rId16">
                  <o:LockedField>false</o:LockedField>
                </o:OLEObject>
              </w:pict>
            </w:r>
            <w:r>
              <w:rPr>
                <w:rFonts w:hint="default" w:ascii="Times New Roman" w:hAnsi="Times New Roman" w:cs="Times New Roman" w:eastAsiaTheme="majorEastAsia"/>
                <w:bCs/>
                <w:color w:val="auto"/>
                <w:sz w:val="21"/>
                <w:szCs w:val="21"/>
                <w:highlight w:val="none"/>
                <w:lang w:eastAsia="zh-CN"/>
              </w:rPr>
              <w:t>项目用水主要包括生活用水、清洗用水和锅炉用水三方面，总新鲜用水量为</w:t>
            </w:r>
            <w:r>
              <w:rPr>
                <w:rFonts w:hint="eastAsia" w:cs="Times New Roman" w:eastAsiaTheme="majorEastAsia"/>
                <w:bCs/>
                <w:color w:val="auto"/>
                <w:sz w:val="21"/>
                <w:szCs w:val="21"/>
                <w:highlight w:val="none"/>
                <w:lang w:val="en-US" w:eastAsia="zh-CN"/>
              </w:rPr>
              <w:t>2983.8</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eastAsiaTheme="majorEastAsia"/>
                <w:bCs/>
                <w:color w:val="auto"/>
                <w:sz w:val="21"/>
                <w:szCs w:val="21"/>
                <w:highlight w:val="none"/>
                <w:lang w:val="en-US" w:eastAsia="zh-CN"/>
              </w:rPr>
              <w:t>/a</w:t>
            </w:r>
            <w:r>
              <w:rPr>
                <w:rFonts w:hint="default" w:ascii="Times New Roman" w:hAnsi="Times New Roman" w:cs="Times New Roman" w:eastAsiaTheme="majorEastAsia"/>
                <w:bCs/>
                <w:color w:val="auto"/>
                <w:sz w:val="21"/>
                <w:szCs w:val="21"/>
                <w:highlight w:val="none"/>
                <w:lang w:eastAsia="zh-CN"/>
              </w:rPr>
              <w:t>，均有厂区内自备水井提供，具体水平衡图如下：</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eastAsia="zh-CN"/>
              </w:rPr>
              <w:t>图</w:t>
            </w:r>
            <w:r>
              <w:rPr>
                <w:rFonts w:hint="default" w:ascii="Times New Roman" w:hAnsi="Times New Roman" w:cs="Times New Roman"/>
                <w:color w:val="auto"/>
                <w:sz w:val="21"/>
                <w:szCs w:val="21"/>
                <w:highlight w:val="none"/>
                <w:lang w:val="en-US" w:eastAsia="zh-CN"/>
              </w:rPr>
              <w:t xml:space="preserve">3  </w:t>
            </w:r>
            <w:r>
              <w:rPr>
                <w:rFonts w:hint="default" w:ascii="Times New Roman" w:hAnsi="Times New Roman" w:eastAsia="黑体" w:cs="Times New Roman"/>
                <w:color w:val="auto"/>
                <w:sz w:val="21"/>
                <w:szCs w:val="21"/>
                <w:highlight w:val="none"/>
                <w:lang w:val="en-US" w:eastAsia="zh-CN"/>
              </w:rPr>
              <w:t>项目水平衡图</w:t>
            </w:r>
            <w:r>
              <w:rPr>
                <w:rFonts w:hint="default" w:ascii="Times New Roman" w:hAnsi="Times New Roman" w:cs="Times New Roman"/>
                <w:color w:val="auto"/>
                <w:sz w:val="21"/>
                <w:szCs w:val="21"/>
                <w:highlight w:val="none"/>
                <w:lang w:val="en-US" w:eastAsia="zh-CN"/>
              </w:rPr>
              <w:t>单位t/a</w:t>
            </w:r>
          </w:p>
          <w:p>
            <w:pPr>
              <w:keepNext w:val="0"/>
              <w:keepLines w:val="0"/>
              <w:pageBreakBefore w:val="0"/>
              <w:widowControl w:val="0"/>
              <w:numPr>
                <w:ilvl w:val="0"/>
                <w:numId w:val="0"/>
              </w:numPr>
              <w:tabs>
                <w:tab w:val="center" w:pos="4772"/>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val="en-US" w:eastAsia="zh-CN"/>
              </w:rPr>
              <w:t>、本项目产污环节分析</w:t>
            </w:r>
          </w:p>
          <w:p>
            <w:pPr>
              <w:pStyle w:val="8"/>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根据项目营运期工艺特点分析，主要产污环节详见下表</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default" w:eastAsia="黑体" w:cs="Times New Roman"/>
                <w:color w:val="auto"/>
                <w:sz w:val="18"/>
                <w:szCs w:val="18"/>
                <w:highlight w:val="none"/>
                <w:lang w:val="en-US" w:eastAsia="zh-CN"/>
              </w:rPr>
              <w:t xml:space="preserve">     本项目产污环节一览表</w:t>
            </w:r>
          </w:p>
          <w:tbl>
            <w:tblPr>
              <w:tblStyle w:val="16"/>
              <w:tblW w:w="4998" w:type="pct"/>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76"/>
              <w:gridCol w:w="1815"/>
              <w:gridCol w:w="2594"/>
              <w:gridCol w:w="2318"/>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类别</w:t>
                  </w:r>
                </w:p>
              </w:tc>
              <w:tc>
                <w:tcPr>
                  <w:tcW w:w="11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污染源名称</w:t>
                  </w:r>
                </w:p>
              </w:tc>
              <w:tc>
                <w:tcPr>
                  <w:tcW w:w="170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污染因子</w:t>
                  </w:r>
                </w:p>
              </w:tc>
              <w:tc>
                <w:tcPr>
                  <w:tcW w:w="1524"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治理措施</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vMerge w:val="restart"/>
                  <w:tcBorders>
                    <w:top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废气</w:t>
                  </w:r>
                </w:p>
              </w:tc>
              <w:tc>
                <w:tcPr>
                  <w:tcW w:w="1193"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投料搅拌过程</w:t>
                  </w:r>
                </w:p>
              </w:tc>
              <w:tc>
                <w:tcPr>
                  <w:tcW w:w="1705"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颗粒物</w:t>
                  </w:r>
                </w:p>
              </w:tc>
              <w:tc>
                <w:tcPr>
                  <w:tcW w:w="1524"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eastAsia="zh-CN"/>
                    </w:rPr>
                    <w:t>密闭间</w:t>
                  </w:r>
                  <w:r>
                    <w:rPr>
                      <w:rFonts w:hint="default" w:ascii="Times New Roman" w:hAnsi="Times New Roman" w:cs="Times New Roman" w:eastAsiaTheme="minorEastAsia"/>
                      <w:color w:val="auto"/>
                      <w:sz w:val="18"/>
                      <w:szCs w:val="18"/>
                      <w:highlight w:val="none"/>
                      <w:lang w:val="en-US" w:eastAsia="zh-CN"/>
                    </w:rPr>
                    <w:t>+</w:t>
                  </w:r>
                  <w:r>
                    <w:rPr>
                      <w:rFonts w:hint="default" w:ascii="Times New Roman" w:hAnsi="Times New Roman" w:cs="Times New Roman" w:eastAsiaTheme="minorEastAsia"/>
                      <w:color w:val="auto"/>
                      <w:sz w:val="18"/>
                      <w:szCs w:val="18"/>
                      <w:highlight w:val="none"/>
                      <w:lang w:eastAsia="zh-CN"/>
                    </w:rPr>
                    <w:t>集气罩</w:t>
                  </w:r>
                  <w:r>
                    <w:rPr>
                      <w:rFonts w:hint="default" w:ascii="Times New Roman" w:hAnsi="Times New Roman" w:cs="Times New Roman" w:eastAsiaTheme="minorEastAsia"/>
                      <w:color w:val="auto"/>
                      <w:sz w:val="18"/>
                      <w:szCs w:val="18"/>
                      <w:highlight w:val="none"/>
                      <w:lang w:val="en-US" w:eastAsia="zh-CN"/>
                    </w:rPr>
                    <w:t>+脉冲</w:t>
                  </w:r>
                  <w:r>
                    <w:rPr>
                      <w:rFonts w:hint="default" w:ascii="Times New Roman" w:hAnsi="Times New Roman" w:cs="Times New Roman" w:eastAsiaTheme="minorEastAsia"/>
                      <w:color w:val="auto"/>
                      <w:sz w:val="18"/>
                      <w:szCs w:val="18"/>
                      <w:highlight w:val="none"/>
                      <w:lang w:eastAsia="zh-CN"/>
                    </w:rPr>
                    <w:t>袋式除尘器</w:t>
                  </w:r>
                  <w:r>
                    <w:rPr>
                      <w:rFonts w:hint="default" w:ascii="Times New Roman" w:hAnsi="Times New Roman" w:cs="Times New Roman" w:eastAsiaTheme="minorEastAsia"/>
                      <w:color w:val="auto"/>
                      <w:sz w:val="18"/>
                      <w:szCs w:val="18"/>
                      <w:highlight w:val="none"/>
                      <w:lang w:val="en-US" w:eastAsia="zh-CN"/>
                    </w:rPr>
                    <w:t>+15m高排气筒</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vMerge w:val="continue"/>
                  <w:tcBorders>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193" w:type="pct"/>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备用燃气锅炉</w:t>
                  </w:r>
                </w:p>
              </w:tc>
              <w:tc>
                <w:tcPr>
                  <w:tcW w:w="1705" w:type="pct"/>
                  <w:tcBorders>
                    <w:top w:val="single" w:color="auto" w:sz="4"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颗粒物、二氧化硫、氮氧化物</w:t>
                  </w:r>
                </w:p>
              </w:tc>
              <w:tc>
                <w:tcPr>
                  <w:tcW w:w="1524"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eastAsia="zh-CN"/>
                    </w:rPr>
                    <w:t>低氮燃烧器</w:t>
                  </w:r>
                  <w:r>
                    <w:rPr>
                      <w:rFonts w:hint="default" w:ascii="Times New Roman" w:hAnsi="Times New Roman" w:cs="Times New Roman" w:eastAsiaTheme="minorEastAsia"/>
                      <w:color w:val="auto"/>
                      <w:sz w:val="18"/>
                      <w:szCs w:val="18"/>
                      <w:highlight w:val="none"/>
                      <w:lang w:val="en-US" w:eastAsia="zh-CN"/>
                    </w:rPr>
                    <w:t>+烟气循环系统+8m高排气筒</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vMerge w:val="restart"/>
                  <w:tcBorders>
                    <w:top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废水</w:t>
                  </w:r>
                </w:p>
              </w:tc>
              <w:tc>
                <w:tcPr>
                  <w:tcW w:w="11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生活污水</w:t>
                  </w:r>
                </w:p>
              </w:tc>
              <w:tc>
                <w:tcPr>
                  <w:tcW w:w="1705" w:type="pct"/>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COD、SS、NH</w:t>
                  </w:r>
                  <w:r>
                    <w:rPr>
                      <w:rFonts w:hint="default" w:ascii="Times New Roman" w:hAnsi="Times New Roman" w:cs="Times New Roman" w:eastAsiaTheme="minorEastAsia"/>
                      <w:color w:val="auto"/>
                      <w:sz w:val="18"/>
                      <w:szCs w:val="18"/>
                      <w:highlight w:val="none"/>
                      <w:vertAlign w:val="subscript"/>
                      <w:lang w:val="en-US" w:eastAsia="zh-CN"/>
                    </w:rPr>
                    <w:t>3</w:t>
                  </w:r>
                  <w:r>
                    <w:rPr>
                      <w:rFonts w:hint="default" w:ascii="Times New Roman" w:hAnsi="Times New Roman" w:cs="Times New Roman" w:eastAsiaTheme="minorEastAsia"/>
                      <w:color w:val="auto"/>
                      <w:sz w:val="18"/>
                      <w:szCs w:val="18"/>
                      <w:highlight w:val="none"/>
                      <w:lang w:val="en-US" w:eastAsia="zh-CN"/>
                    </w:rPr>
                    <w:t>-N、TP</w:t>
                  </w:r>
                </w:p>
              </w:tc>
              <w:tc>
                <w:tcPr>
                  <w:tcW w:w="1524" w:type="pct"/>
                  <w:vMerge w:val="restart"/>
                  <w:tcBorders>
                    <w:top w:val="single" w:color="auto" w:sz="6" w:space="0"/>
                    <w:lef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化粪池处理后，定期清运</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1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清洗废水</w:t>
                  </w:r>
                </w:p>
              </w:tc>
              <w:tc>
                <w:tcPr>
                  <w:tcW w:w="1705" w:type="pct"/>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COD、SS、NH</w:t>
                  </w:r>
                  <w:r>
                    <w:rPr>
                      <w:rFonts w:hint="default" w:ascii="Times New Roman" w:hAnsi="Times New Roman" w:cs="Times New Roman" w:eastAsiaTheme="minorEastAsia"/>
                      <w:color w:val="auto"/>
                      <w:sz w:val="18"/>
                      <w:szCs w:val="18"/>
                      <w:highlight w:val="none"/>
                      <w:vertAlign w:val="subscript"/>
                      <w:lang w:val="en-US" w:eastAsia="zh-CN"/>
                    </w:rPr>
                    <w:t>3</w:t>
                  </w:r>
                  <w:r>
                    <w:rPr>
                      <w:rFonts w:hint="default" w:ascii="Times New Roman" w:hAnsi="Times New Roman" w:cs="Times New Roman" w:eastAsiaTheme="minorEastAsia"/>
                      <w:color w:val="auto"/>
                      <w:sz w:val="18"/>
                      <w:szCs w:val="18"/>
                      <w:highlight w:val="none"/>
                      <w:lang w:val="en-US" w:eastAsia="zh-CN"/>
                    </w:rPr>
                    <w:t>-N、TP</w:t>
                  </w:r>
                </w:p>
              </w:tc>
              <w:tc>
                <w:tcPr>
                  <w:tcW w:w="1524" w:type="pct"/>
                  <w:vMerge w:val="continue"/>
                  <w:tcBorders>
                    <w:left w:val="single" w:color="auto" w:sz="4" w:space="0"/>
                    <w:bottom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76" w:type="pct"/>
                  <w:vMerge w:val="continue"/>
                  <w:tcBorders>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193"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软水制备废水</w:t>
                  </w:r>
                </w:p>
              </w:tc>
              <w:tc>
                <w:tcPr>
                  <w:tcW w:w="1705" w:type="pct"/>
                  <w:tcBorders>
                    <w:top w:val="single" w:color="auto" w:sz="6" w:space="0"/>
                    <w:left w:val="single" w:color="auto" w:sz="6" w:space="0"/>
                    <w:righ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COD、SS</w:t>
                  </w:r>
                </w:p>
              </w:tc>
              <w:tc>
                <w:tcPr>
                  <w:tcW w:w="1524" w:type="pct"/>
                  <w:tcBorders>
                    <w:top w:val="single" w:color="auto" w:sz="6" w:space="0"/>
                    <w:left w:val="single" w:color="auto" w:sz="4" w:space="0"/>
                    <w:bottom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收集后用于厂区洒水降尘</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76" w:type="pct"/>
                  <w:vMerge w:val="restart"/>
                  <w:tcBorders>
                    <w:top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固废</w:t>
                  </w:r>
                </w:p>
              </w:tc>
              <w:tc>
                <w:tcPr>
                  <w:tcW w:w="1193"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废包装袋</w:t>
                  </w:r>
                </w:p>
              </w:tc>
              <w:tc>
                <w:tcPr>
                  <w:tcW w:w="1705"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废包装袋</w:t>
                  </w:r>
                </w:p>
              </w:tc>
              <w:tc>
                <w:tcPr>
                  <w:tcW w:w="1524" w:type="pct"/>
                  <w:vMerge w:val="restart"/>
                  <w:tcBorders>
                    <w:top w:val="single" w:color="auto" w:sz="6" w:space="0"/>
                    <w:lef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一般固废暂存间暂存后，定期外售或交由环卫部门处理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76"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193"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袋式除尘器</w:t>
                  </w:r>
                </w:p>
              </w:tc>
              <w:tc>
                <w:tcPr>
                  <w:tcW w:w="1705"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集尘</w:t>
                  </w:r>
                </w:p>
              </w:tc>
              <w:tc>
                <w:tcPr>
                  <w:tcW w:w="1524" w:type="pct"/>
                  <w:vMerge w:val="continue"/>
                  <w:tcBorders>
                    <w:lef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trHeight w:val="375" w:hRule="atLeast"/>
              </w:trPr>
              <w:tc>
                <w:tcPr>
                  <w:tcW w:w="576"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193"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切片过程</w:t>
                  </w:r>
                </w:p>
              </w:tc>
              <w:tc>
                <w:tcPr>
                  <w:tcW w:w="1705"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废边角料</w:t>
                  </w:r>
                </w:p>
              </w:tc>
              <w:tc>
                <w:tcPr>
                  <w:tcW w:w="1524" w:type="pct"/>
                  <w:vMerge w:val="continue"/>
                  <w:tcBorders>
                    <w:lef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76"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193"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设备清理过程</w:t>
                  </w:r>
                </w:p>
              </w:tc>
              <w:tc>
                <w:tcPr>
                  <w:tcW w:w="1705"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清理残渣</w:t>
                  </w:r>
                </w:p>
              </w:tc>
              <w:tc>
                <w:tcPr>
                  <w:tcW w:w="1524" w:type="pct"/>
                  <w:vMerge w:val="continue"/>
                  <w:tcBorders>
                    <w:lef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76" w:type="pct"/>
                  <w:vMerge w:val="continue"/>
                  <w:tcBorders>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193"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反渗透装置</w:t>
                  </w:r>
                </w:p>
              </w:tc>
              <w:tc>
                <w:tcPr>
                  <w:tcW w:w="1705"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废石英砂、反渗透膜</w:t>
                  </w:r>
                </w:p>
              </w:tc>
              <w:tc>
                <w:tcPr>
                  <w:tcW w:w="1524" w:type="pct"/>
                  <w:vMerge w:val="continue"/>
                  <w:tcBorders>
                    <w:lef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vMerge w:val="restart"/>
                  <w:tcBorders>
                    <w:top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噪声</w:t>
                  </w:r>
                </w:p>
              </w:tc>
              <w:tc>
                <w:tcPr>
                  <w:tcW w:w="1193"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和面机、分切机、包装机等设备</w:t>
                  </w:r>
                </w:p>
              </w:tc>
              <w:tc>
                <w:tcPr>
                  <w:tcW w:w="1705"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机械噪声</w:t>
                  </w:r>
                </w:p>
              </w:tc>
              <w:tc>
                <w:tcPr>
                  <w:tcW w:w="1524" w:type="pct"/>
                  <w:tcBorders>
                    <w:top w:val="single" w:color="auto" w:sz="6"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室内布置，设置减振基础</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vMerge w:val="continue"/>
                  <w:tcBorders>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1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风机</w:t>
                  </w:r>
                </w:p>
              </w:tc>
              <w:tc>
                <w:tcPr>
                  <w:tcW w:w="1705" w:type="pct"/>
                  <w:tcBorders>
                    <w:top w:val="single" w:color="000000"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空气动力噪声</w:t>
                  </w:r>
                </w:p>
              </w:tc>
              <w:tc>
                <w:tcPr>
                  <w:tcW w:w="1524"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软管连接</w:t>
                  </w:r>
                </w:p>
              </w:tc>
            </w:tr>
          </w:tbl>
          <w:p>
            <w:pPr>
              <w:pStyle w:val="15"/>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eastAsia="宋体"/>
                <w:sz w:val="21"/>
                <w:szCs w:val="21"/>
                <w:highlight w:val="cyan"/>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6" w:hRule="atLeast"/>
          <w:jc w:val="center"/>
        </w:trPr>
        <w:tc>
          <w:tcPr>
            <w:tcW w:w="407" w:type="pct"/>
            <w:vAlign w:val="center"/>
          </w:tcPr>
          <w:p>
            <w:pPr>
              <w:pStyle w:val="1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highlight w:val="none"/>
                <w:vertAlign w:val="baseline"/>
              </w:rPr>
            </w:pPr>
            <w:r>
              <w:rPr>
                <w:rFonts w:hint="eastAsia" w:ascii="Times New Roman" w:hAnsi="Times New Roman" w:cs="宋体"/>
                <w:bCs/>
                <w:kern w:val="2"/>
                <w:sz w:val="21"/>
                <w:szCs w:val="21"/>
                <w:highlight w:val="none"/>
              </w:rPr>
              <w:t>与项目有关的原有环境污染问题</w:t>
            </w:r>
          </w:p>
        </w:tc>
        <w:tc>
          <w:tcPr>
            <w:tcW w:w="4592" w:type="pct"/>
            <w:gridSpan w:val="2"/>
            <w:vAlign w:val="center"/>
          </w:tcPr>
          <w:p>
            <w:pPr>
              <w:pStyle w:val="15"/>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jc w:val="both"/>
              <w:textAlignment w:val="auto"/>
              <w:rPr>
                <w:sz w:val="21"/>
                <w:szCs w:val="21"/>
                <w:highlight w:val="none"/>
                <w:vertAlign w:val="baseline"/>
              </w:rPr>
            </w:pPr>
            <w:r>
              <w:rPr>
                <w:rFonts w:hint="eastAsia"/>
                <w:sz w:val="21"/>
                <w:szCs w:val="21"/>
                <w:highlight w:val="none"/>
                <w:vertAlign w:val="baseline"/>
                <w:lang w:eastAsia="zh-CN"/>
              </w:rPr>
              <w:t>本项目属于新建项目，</w:t>
            </w:r>
            <w:r>
              <w:rPr>
                <w:rFonts w:hint="eastAsia"/>
                <w:sz w:val="21"/>
                <w:szCs w:val="21"/>
                <w:highlight w:val="none"/>
                <w:vertAlign w:val="baseline"/>
              </w:rPr>
              <w:t>项目</w:t>
            </w:r>
            <w:r>
              <w:rPr>
                <w:rFonts w:hint="eastAsia"/>
                <w:sz w:val="21"/>
                <w:szCs w:val="21"/>
                <w:highlight w:val="none"/>
                <w:vertAlign w:val="baseline"/>
                <w:lang w:eastAsia="zh-CN"/>
              </w:rPr>
              <w:t>租赁位于新乡市凤泉区大块镇小块村西800米的现有厂区及配套设施进行建设（租赁协议见附件三）</w:t>
            </w:r>
            <w:r>
              <w:rPr>
                <w:rFonts w:hint="eastAsia"/>
                <w:sz w:val="21"/>
                <w:szCs w:val="21"/>
                <w:highlight w:val="none"/>
                <w:vertAlign w:val="baseline"/>
              </w:rPr>
              <w:t>，</w:t>
            </w:r>
            <w:r>
              <w:rPr>
                <w:rFonts w:hint="eastAsia"/>
                <w:sz w:val="21"/>
                <w:szCs w:val="21"/>
                <w:highlight w:val="none"/>
                <w:vertAlign w:val="baseline"/>
                <w:lang w:eastAsia="zh-CN"/>
              </w:rPr>
              <w:t>根据现场勘查</w:t>
            </w:r>
            <w:r>
              <w:rPr>
                <w:rFonts w:hint="eastAsia"/>
                <w:sz w:val="21"/>
                <w:szCs w:val="21"/>
                <w:highlight w:val="none"/>
                <w:vertAlign w:val="baseline"/>
              </w:rPr>
              <w:t>，</w:t>
            </w:r>
            <w:r>
              <w:rPr>
                <w:rFonts w:hint="eastAsia"/>
                <w:sz w:val="21"/>
                <w:szCs w:val="21"/>
                <w:highlight w:val="none"/>
                <w:vertAlign w:val="baseline"/>
                <w:lang w:eastAsia="zh-CN"/>
              </w:rPr>
              <w:t>项目拟租用厂区内车间</w:t>
            </w:r>
            <w:r>
              <w:rPr>
                <w:rFonts w:hint="eastAsia"/>
                <w:sz w:val="21"/>
                <w:szCs w:val="21"/>
                <w:highlight w:val="none"/>
                <w:vertAlign w:val="baseline"/>
              </w:rPr>
              <w:t>目前均为空，无与项目有关的污染及环境问题。</w:t>
            </w:r>
          </w:p>
        </w:tc>
      </w:tr>
    </w:tbl>
    <w:p>
      <w:pPr>
        <w:pStyle w:val="15"/>
        <w:ind w:left="0" w:leftChars="0" w:firstLine="0" w:firstLineChars="0"/>
        <w:rPr>
          <w:highlight w:val="cya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p>
    <w:p>
      <w:pPr>
        <w:pStyle w:val="13"/>
        <w:jc w:val="center"/>
        <w:outlineLvl w:val="0"/>
        <w:rPr>
          <w:highlight w:val="none"/>
        </w:rPr>
      </w:pPr>
      <w:r>
        <w:rPr>
          <w:rFonts w:hint="eastAsia" w:ascii="Times New Roman" w:hAnsi="Times New Roman" w:eastAsia="黑体"/>
          <w:snapToGrid w:val="0"/>
          <w:sz w:val="30"/>
          <w:szCs w:val="30"/>
          <w:highlight w:val="none"/>
        </w:rPr>
        <w:t>三、区域环境质量现状、环境保护目标及评价标准</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7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区域</w:t>
            </w: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环境</w:t>
            </w: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质量</w:t>
            </w:r>
          </w:p>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cyan"/>
                <w:vertAlign w:val="baseline"/>
              </w:rPr>
            </w:pPr>
            <w:r>
              <w:rPr>
                <w:rFonts w:hint="eastAsia" w:ascii="宋体" w:hAnsi="宋体" w:eastAsia="宋体" w:cs="宋体"/>
                <w:kern w:val="0"/>
                <w:sz w:val="21"/>
                <w:szCs w:val="21"/>
                <w:highlight w:val="none"/>
              </w:rPr>
              <w:t>现状</w:t>
            </w:r>
          </w:p>
        </w:tc>
        <w:tc>
          <w:tcPr>
            <w:tcW w:w="7814" w:type="dxa"/>
            <w:vAlign w:val="center"/>
          </w:tcPr>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环境空气质量现状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u w:val="none"/>
              </w:rPr>
              <w:t>项目所在地属空气环境质量二类功能区，环境空气质量应执行《环境空气质量标准》（GB3095-2012）二级标准。</w:t>
            </w:r>
            <w:r>
              <w:rPr>
                <w:rFonts w:hint="default" w:ascii="Times New Roman" w:hAnsi="Times New Roman" w:cs="Times New Roman"/>
                <w:color w:val="auto"/>
                <w:sz w:val="21"/>
                <w:szCs w:val="21"/>
                <w:highlight w:val="none"/>
              </w:rPr>
              <w:t>根据新乡市生态环境局发布的《新乡市</w:t>
            </w:r>
            <w:r>
              <w:rPr>
                <w:rFonts w:hint="default" w:ascii="Times New Roman" w:hAnsi="Times New Roman" w:cs="Times New Roman"/>
                <w:color w:val="auto"/>
                <w:sz w:val="21"/>
                <w:szCs w:val="21"/>
                <w:highlight w:val="none"/>
                <w:lang w:val="en-US" w:eastAsia="zh-CN"/>
              </w:rPr>
              <w:t>2019</w:t>
            </w:r>
            <w:r>
              <w:rPr>
                <w:rFonts w:hint="default" w:ascii="Times New Roman" w:hAnsi="Times New Roman" w:cs="Times New Roman"/>
                <w:color w:val="auto"/>
                <w:sz w:val="21"/>
                <w:szCs w:val="21"/>
                <w:highlight w:val="none"/>
              </w:rPr>
              <w:t>年环境质量年报》，区域空气质量现状数据如下表所示。</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default" w:eastAsia="黑体" w:cs="Times New Roman"/>
                <w:color w:val="auto"/>
                <w:sz w:val="18"/>
                <w:szCs w:val="18"/>
                <w:highlight w:val="none"/>
                <w:lang w:val="en-US" w:eastAsia="zh-CN"/>
              </w:rPr>
              <w:t xml:space="preserve">   区域空气质量现状评价表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944"/>
              <w:gridCol w:w="1435"/>
              <w:gridCol w:w="1666"/>
              <w:gridCol w:w="1418"/>
              <w:gridCol w:w="1066"/>
              <w:gridCol w:w="10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3" w:hRule="atLeast"/>
                <w:jc w:val="center"/>
              </w:trPr>
              <w:tc>
                <w:tcPr>
                  <w:tcW w:w="622" w:type="pct"/>
                  <w:tcBorders>
                    <w:top w:val="single" w:color="auto" w:sz="8"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944"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年评价指标</w:t>
                  </w:r>
                </w:p>
              </w:tc>
              <w:tc>
                <w:tcPr>
                  <w:tcW w:w="1096"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现状浓度/（μg/m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w:t>
                  </w:r>
                </w:p>
              </w:tc>
              <w:tc>
                <w:tcPr>
                  <w:tcW w:w="933"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标准值/（μg/m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w:t>
                  </w:r>
                </w:p>
              </w:tc>
              <w:tc>
                <w:tcPr>
                  <w:tcW w:w="701"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占标率/%</w:t>
                  </w:r>
                </w:p>
              </w:tc>
              <w:tc>
                <w:tcPr>
                  <w:tcW w:w="701" w:type="pct"/>
                  <w:tcBorders>
                    <w:top w:val="single" w:color="auto" w:sz="8" w:space="0"/>
                    <w:left w:val="single" w:color="auto" w:sz="4" w:space="0"/>
                    <w:bottom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3" w:hRule="atLeast"/>
                <w:jc w:val="center"/>
              </w:trPr>
              <w:tc>
                <w:tcPr>
                  <w:tcW w:w="622" w:type="pct"/>
                  <w:tcBorders>
                    <w:top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PM</w:t>
                  </w:r>
                  <w:r>
                    <w:rPr>
                      <w:rFonts w:hint="default" w:ascii="Times New Roman" w:hAnsi="Times New Roman" w:cs="Times New Roman"/>
                      <w:color w:val="auto"/>
                      <w:sz w:val="18"/>
                      <w:szCs w:val="18"/>
                      <w:highlight w:val="none"/>
                      <w:vertAlign w:val="subscript"/>
                    </w:rPr>
                    <w:t>10</w:t>
                  </w:r>
                </w:p>
              </w:tc>
              <w:tc>
                <w:tcPr>
                  <w:tcW w:w="944"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年平均质量浓度</w:t>
                  </w:r>
                </w:p>
              </w:tc>
              <w:tc>
                <w:tcPr>
                  <w:tcW w:w="109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101</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144</w:t>
                  </w:r>
                </w:p>
              </w:tc>
              <w:tc>
                <w:tcPr>
                  <w:tcW w:w="701" w:type="pct"/>
                  <w:tcBorders>
                    <w:top w:val="single" w:color="auto" w:sz="4" w:space="0"/>
                    <w:left w:val="single" w:color="auto" w:sz="4" w:space="0"/>
                    <w:bottom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23" w:hRule="atLeast"/>
                <w:jc w:val="center"/>
              </w:trPr>
              <w:tc>
                <w:tcPr>
                  <w:tcW w:w="622" w:type="pct"/>
                  <w:tcBorders>
                    <w:top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w:t>
                  </w: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bscript"/>
                      <w:lang w:eastAsia="zh-CN"/>
                    </w:rPr>
                    <w:t>2</w:t>
                  </w:r>
                  <w:r>
                    <w:rPr>
                      <w:rFonts w:hint="default" w:ascii="Times New Roman" w:hAnsi="Times New Roman" w:cs="Times New Roman"/>
                      <w:color w:val="auto"/>
                      <w:sz w:val="18"/>
                      <w:szCs w:val="18"/>
                      <w:highlight w:val="none"/>
                      <w:vertAlign w:val="subscript"/>
                    </w:rPr>
                    <w:t>.5</w:t>
                  </w:r>
                </w:p>
              </w:tc>
              <w:tc>
                <w:tcPr>
                  <w:tcW w:w="944"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年平均质量浓度</w:t>
                  </w:r>
                </w:p>
              </w:tc>
              <w:tc>
                <w:tcPr>
                  <w:tcW w:w="109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56</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35</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160</w:t>
                  </w:r>
                </w:p>
              </w:tc>
              <w:tc>
                <w:tcPr>
                  <w:tcW w:w="701" w:type="pct"/>
                  <w:tcBorders>
                    <w:top w:val="single" w:color="auto" w:sz="4" w:space="0"/>
                    <w:left w:val="single" w:color="auto" w:sz="4" w:space="0"/>
                    <w:bottom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3" w:hRule="atLeast"/>
                <w:jc w:val="center"/>
              </w:trPr>
              <w:tc>
                <w:tcPr>
                  <w:tcW w:w="622" w:type="pct"/>
                  <w:tcBorders>
                    <w:top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2</w:t>
                  </w:r>
                </w:p>
              </w:tc>
              <w:tc>
                <w:tcPr>
                  <w:tcW w:w="944"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年平均质量浓度</w:t>
                  </w:r>
                </w:p>
              </w:tc>
              <w:tc>
                <w:tcPr>
                  <w:tcW w:w="109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60</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26</w:t>
                  </w:r>
                </w:p>
              </w:tc>
              <w:tc>
                <w:tcPr>
                  <w:tcW w:w="701" w:type="pct"/>
                  <w:tcBorders>
                    <w:top w:val="single" w:color="auto" w:sz="4" w:space="0"/>
                    <w:left w:val="single" w:color="auto" w:sz="4" w:space="0"/>
                    <w:bottom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3" w:hRule="atLeast"/>
                <w:jc w:val="center"/>
              </w:trPr>
              <w:tc>
                <w:tcPr>
                  <w:tcW w:w="622" w:type="pct"/>
                  <w:tcBorders>
                    <w:top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NO</w:t>
                  </w:r>
                  <w:r>
                    <w:rPr>
                      <w:rFonts w:hint="default" w:ascii="Times New Roman" w:hAnsi="Times New Roman" w:cs="Times New Roman"/>
                      <w:color w:val="auto"/>
                      <w:sz w:val="18"/>
                      <w:szCs w:val="18"/>
                      <w:highlight w:val="none"/>
                      <w:vertAlign w:val="subscript"/>
                    </w:rPr>
                    <w:t>2</w:t>
                  </w:r>
                </w:p>
              </w:tc>
              <w:tc>
                <w:tcPr>
                  <w:tcW w:w="944"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年平均质量浓度</w:t>
                  </w:r>
                </w:p>
              </w:tc>
              <w:tc>
                <w:tcPr>
                  <w:tcW w:w="109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44</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40</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110</w:t>
                  </w:r>
                </w:p>
              </w:tc>
              <w:tc>
                <w:tcPr>
                  <w:tcW w:w="701" w:type="pct"/>
                  <w:tcBorders>
                    <w:top w:val="single" w:color="auto" w:sz="4" w:space="0"/>
                    <w:left w:val="single" w:color="auto" w:sz="4" w:space="0"/>
                    <w:bottom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3" w:hRule="atLeast"/>
                <w:jc w:val="center"/>
              </w:trPr>
              <w:tc>
                <w:tcPr>
                  <w:tcW w:w="622" w:type="pct"/>
                  <w:tcBorders>
                    <w:top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CO</w:t>
                  </w:r>
                </w:p>
              </w:tc>
              <w:tc>
                <w:tcPr>
                  <w:tcW w:w="944"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第95百分位浓度</w:t>
                  </w:r>
                </w:p>
              </w:tc>
              <w:tc>
                <w:tcPr>
                  <w:tcW w:w="109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2.08</w:t>
                  </w:r>
                  <w:r>
                    <w:rPr>
                      <w:rFonts w:hint="default" w:ascii="Times New Roman" w:hAnsi="Times New Roman" w:cs="Times New Roman"/>
                      <w:color w:val="auto"/>
                      <w:sz w:val="18"/>
                      <w:szCs w:val="18"/>
                      <w:highlight w:val="none"/>
                    </w:rPr>
                    <w:t>mg/m</w:t>
                  </w:r>
                  <w:r>
                    <w:rPr>
                      <w:rFonts w:hint="default" w:ascii="Times New Roman" w:hAnsi="Times New Roman" w:cs="Times New Roman"/>
                      <w:color w:val="auto"/>
                      <w:sz w:val="18"/>
                      <w:szCs w:val="18"/>
                      <w:highlight w:val="none"/>
                      <w:vertAlign w:val="superscript"/>
                    </w:rPr>
                    <w:t>3</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4mg/m</w:t>
                  </w:r>
                  <w:r>
                    <w:rPr>
                      <w:rFonts w:hint="default" w:ascii="Times New Roman" w:hAnsi="Times New Roman" w:cs="Times New Roman"/>
                      <w:color w:val="auto"/>
                      <w:sz w:val="18"/>
                      <w:szCs w:val="18"/>
                      <w:highlight w:val="none"/>
                      <w:vertAlign w:val="superscript"/>
                    </w:rPr>
                    <w:t>3</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52</w:t>
                  </w:r>
                </w:p>
              </w:tc>
              <w:tc>
                <w:tcPr>
                  <w:tcW w:w="701" w:type="pct"/>
                  <w:tcBorders>
                    <w:top w:val="single" w:color="auto" w:sz="4" w:space="0"/>
                    <w:left w:val="single" w:color="auto" w:sz="4" w:space="0"/>
                    <w:bottom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3" w:hRule="atLeast"/>
                <w:jc w:val="center"/>
              </w:trPr>
              <w:tc>
                <w:tcPr>
                  <w:tcW w:w="622" w:type="pct"/>
                  <w:tcBorders>
                    <w:top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O</w:t>
                  </w:r>
                  <w:r>
                    <w:rPr>
                      <w:rFonts w:hint="default" w:ascii="Times New Roman" w:hAnsi="Times New Roman" w:cs="Times New Roman"/>
                      <w:color w:val="auto"/>
                      <w:sz w:val="18"/>
                      <w:szCs w:val="18"/>
                      <w:highlight w:val="none"/>
                      <w:vertAlign w:val="subscript"/>
                    </w:rPr>
                    <w:t>3</w:t>
                  </w:r>
                </w:p>
              </w:tc>
              <w:tc>
                <w:tcPr>
                  <w:tcW w:w="944"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第90百分位浓度</w:t>
                  </w:r>
                </w:p>
              </w:tc>
              <w:tc>
                <w:tcPr>
                  <w:tcW w:w="109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178</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160</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111</w:t>
                  </w:r>
                </w:p>
              </w:tc>
              <w:tc>
                <w:tcPr>
                  <w:tcW w:w="701" w:type="pct"/>
                  <w:tcBorders>
                    <w:top w:val="single" w:color="auto" w:sz="4" w:space="0"/>
                    <w:left w:val="single" w:color="auto" w:sz="4" w:space="0"/>
                    <w:bottom w:val="single" w:color="auto" w:sz="4" w:space="0"/>
                  </w:tcBorders>
                  <w:tcMar>
                    <w:top w:w="57" w:type="dxa"/>
                    <w:left w:w="85" w:type="dxa"/>
                    <w:bottom w:w="57" w:type="dxa"/>
                    <w:right w:w="85" w:type="dxa"/>
                  </w:tcMar>
                  <w:vAlign w:val="center"/>
                </w:tcPr>
                <w:p>
                  <w:pPr>
                    <w:pStyle w:val="2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超标</w:t>
                  </w:r>
                </w:p>
              </w:tc>
            </w:tr>
          </w:tbl>
          <w:p>
            <w:pPr>
              <w:keepNext w:val="0"/>
              <w:keepLines w:val="0"/>
              <w:pageBreakBefore w:val="0"/>
              <w:widowControl w:val="0"/>
              <w:kinsoku/>
              <w:overflowPunct/>
              <w:topLinePunct w:val="0"/>
              <w:bidi w:val="0"/>
              <w:adjustRightInd/>
              <w:snapToGrid/>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由上表可知，其中PM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bscript"/>
                <w:lang w:eastAsia="zh-CN"/>
              </w:rPr>
              <w:t>2</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vertAlign w:val="baseline"/>
                <w:lang w:eastAsia="zh-CN"/>
              </w:rPr>
              <w:t>和</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均不能够满足《环境空气质量标准》（GB3095-2012）二级标准要求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本项目所在区域属于不达标区。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val="0"/>
                <w:color w:val="auto"/>
                <w:sz w:val="21"/>
                <w:szCs w:val="21"/>
                <w:highlight w:val="cyan"/>
                <w:u w:val="none"/>
                <w:lang w:eastAsia="zh-CN"/>
              </w:rPr>
            </w:pPr>
            <w:r>
              <w:rPr>
                <w:rFonts w:hint="default" w:ascii="Times New Roman" w:hAnsi="Times New Roman" w:cs="Times New Roman"/>
                <w:b w:val="0"/>
                <w:bCs w:val="0"/>
                <w:color w:val="auto"/>
                <w:sz w:val="21"/>
                <w:szCs w:val="21"/>
                <w:highlight w:val="none"/>
                <w:u w:val="none"/>
                <w:lang w:eastAsia="zh-CN"/>
              </w:rPr>
              <w:t>目前，新乡市正在实施《新乡市2020年大气污染防治攻坚战实施方案》、《“十三五”挥发性有机物污染防治工作方案》、《新乡市蓝天工程行动计划》、《新乡市环境污染防治攻坚战三年行动实施方案（2018-2020年）》等一系列措施，将不断改善区域大气环境质量。</w:t>
            </w:r>
          </w:p>
          <w:p>
            <w:pPr>
              <w:keepNext w:val="0"/>
              <w:keepLines w:val="0"/>
              <w:pageBreakBefore w:val="0"/>
              <w:widowControl w:val="0"/>
              <w:kinsoku/>
              <w:wordWrap/>
              <w:overflowPunct/>
              <w:topLinePunct w:val="0"/>
              <w:autoSpaceDE/>
              <w:autoSpaceDN/>
              <w:bidi w:val="0"/>
              <w:adjustRightInd/>
              <w:snapToGrid/>
              <w:spacing w:line="360" w:lineRule="auto"/>
              <w:ind w:right="0"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2、水环境质量现状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pacing w:val="-4"/>
                <w:sz w:val="21"/>
                <w:szCs w:val="21"/>
                <w:highlight w:val="none"/>
              </w:rPr>
            </w:pPr>
            <w:r>
              <w:rPr>
                <w:rFonts w:hint="default" w:ascii="Times New Roman" w:hAnsi="Times New Roman" w:cs="Times New Roman"/>
                <w:color w:val="auto"/>
                <w:sz w:val="21"/>
                <w:szCs w:val="21"/>
                <w:highlight w:val="none"/>
                <w:lang w:eastAsia="zh-CN"/>
              </w:rPr>
              <w:t>距离本项目最近的地表水体为西南侧1110m处民生渠，该河流最终汇入共产主义渠内，根据水环境功能区划分，其规划水体功能为V类。根据《新乡市环境污染防治攻坚战三年行动实施方案（2018-2020年）》共渠西永康断面执行2019年新乡市共产主义渠水质保护目标COD40mg/L、NH</w:t>
            </w:r>
            <w:r>
              <w:rPr>
                <w:rFonts w:hint="default" w:ascii="Times New Roman" w:hAnsi="Times New Roman" w:cs="Times New Roman"/>
                <w:color w:val="auto"/>
                <w:sz w:val="21"/>
                <w:szCs w:val="21"/>
                <w:highlight w:val="none"/>
                <w:vertAlign w:val="subscript"/>
                <w:lang w:eastAsia="zh-CN"/>
              </w:rPr>
              <w:t>3</w:t>
            </w:r>
            <w:r>
              <w:rPr>
                <w:rFonts w:hint="default" w:ascii="Times New Roman" w:hAnsi="Times New Roman" w:cs="Times New Roman"/>
                <w:color w:val="auto"/>
                <w:sz w:val="21"/>
                <w:szCs w:val="21"/>
                <w:highlight w:val="none"/>
                <w:lang w:eastAsia="zh-CN"/>
              </w:rPr>
              <w:t>-N2mg/L、TP0.4mg/L。评价引用新乡市</w:t>
            </w:r>
            <w:r>
              <w:rPr>
                <w:rFonts w:hint="eastAsia" w:cs="Times New Roman"/>
                <w:color w:val="auto"/>
                <w:sz w:val="21"/>
                <w:szCs w:val="21"/>
                <w:highlight w:val="none"/>
                <w:lang w:eastAsia="zh-CN"/>
              </w:rPr>
              <w:t>生态环境局公布的</w:t>
            </w:r>
            <w:r>
              <w:rPr>
                <w:rFonts w:hint="eastAsia" w:cs="Times New Roman"/>
                <w:color w:val="auto"/>
                <w:sz w:val="21"/>
                <w:szCs w:val="21"/>
                <w:highlight w:val="none"/>
                <w:lang w:val="en-US" w:eastAsia="zh-CN"/>
              </w:rPr>
              <w:t>2020年第9期~第11期新乡市地表水环境责任目标断面水质月报中卫辉下马营断面水质监测数据</w:t>
            </w:r>
            <w:r>
              <w:rPr>
                <w:rFonts w:hint="default" w:ascii="Times New Roman" w:hAnsi="Times New Roman" w:cs="Times New Roman"/>
                <w:color w:val="auto"/>
                <w:sz w:val="21"/>
                <w:szCs w:val="21"/>
                <w:highlight w:val="none"/>
                <w:lang w:eastAsia="zh-CN"/>
              </w:rPr>
              <w:t>。具体数据见下表。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default" w:eastAsia="黑体" w:cs="Times New Roman"/>
                <w:color w:val="auto"/>
                <w:sz w:val="18"/>
                <w:szCs w:val="18"/>
                <w:highlight w:val="none"/>
                <w:lang w:val="en-US" w:eastAsia="zh-CN"/>
              </w:rPr>
              <w:t xml:space="preserve">     </w:t>
            </w:r>
            <w:r>
              <w:rPr>
                <w:rFonts w:hint="eastAsia" w:eastAsia="黑体" w:cs="Times New Roman"/>
                <w:color w:val="auto"/>
                <w:sz w:val="18"/>
                <w:szCs w:val="18"/>
                <w:highlight w:val="none"/>
                <w:lang w:val="en-US" w:eastAsia="zh-CN"/>
              </w:rPr>
              <w:t>共产主义渠卫辉下马营</w:t>
            </w:r>
            <w:r>
              <w:rPr>
                <w:rFonts w:hint="default" w:eastAsia="黑体" w:cs="Times New Roman"/>
                <w:color w:val="auto"/>
                <w:sz w:val="18"/>
                <w:szCs w:val="18"/>
                <w:highlight w:val="none"/>
                <w:lang w:val="en-US" w:eastAsia="zh-CN"/>
              </w:rPr>
              <w:t xml:space="preserve">断面断面监测数据 </w:t>
            </w:r>
          </w:p>
          <w:tbl>
            <w:tblPr>
              <w:tblStyle w:val="1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94"/>
              <w:gridCol w:w="1774"/>
              <w:gridCol w:w="1756"/>
              <w:gridCol w:w="17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15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时间</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COD</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mg/L</w:t>
                  </w:r>
                  <w:r>
                    <w:rPr>
                      <w:rFonts w:hint="eastAsia" w:cs="Times New Roman"/>
                      <w:color w:val="auto"/>
                      <w:sz w:val="18"/>
                      <w:szCs w:val="18"/>
                      <w:highlight w:val="none"/>
                      <w:lang w:eastAsia="zh-CN"/>
                    </w:rPr>
                    <w:t>）</w:t>
                  </w:r>
                </w:p>
              </w:tc>
              <w:tc>
                <w:tcPr>
                  <w:tcW w:w="115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氨氮</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mg/L</w:t>
                  </w:r>
                  <w:r>
                    <w:rPr>
                      <w:rFonts w:hint="eastAsia" w:cs="Times New Roman"/>
                      <w:color w:val="auto"/>
                      <w:sz w:val="18"/>
                      <w:szCs w:val="18"/>
                      <w:highlight w:val="none"/>
                      <w:lang w:eastAsia="zh-CN"/>
                    </w:rPr>
                    <w:t>）</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总磷</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mg/L</w:t>
                  </w:r>
                  <w:r>
                    <w:rPr>
                      <w:rFonts w:hint="eastAsia" w:cs="Times New Roman"/>
                      <w:color w:val="auto"/>
                      <w:sz w:val="18"/>
                      <w:szCs w:val="18"/>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2020年</w:t>
                  </w:r>
                  <w:r>
                    <w:rPr>
                      <w:rFonts w:hint="eastAsia" w:cs="Times New Roman"/>
                      <w:color w:val="auto"/>
                      <w:sz w:val="18"/>
                      <w:szCs w:val="18"/>
                      <w:highlight w:val="none"/>
                      <w:lang w:val="en-US" w:eastAsia="zh-CN"/>
                    </w:rPr>
                    <w:t>9</w:t>
                  </w:r>
                  <w:r>
                    <w:rPr>
                      <w:rFonts w:hint="default" w:ascii="Times New Roman" w:hAnsi="Times New Roman" w:cs="Times New Roman"/>
                      <w:color w:val="auto"/>
                      <w:sz w:val="18"/>
                      <w:szCs w:val="18"/>
                      <w:highlight w:val="none"/>
                    </w:rPr>
                    <w:t>月</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115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0.11</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15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2020年</w:t>
                  </w:r>
                  <w:r>
                    <w:rPr>
                      <w:rFonts w:hint="eastAsia" w:cs="Times New Roman"/>
                      <w:color w:val="auto"/>
                      <w:sz w:val="18"/>
                      <w:szCs w:val="18"/>
                      <w:highlight w:val="none"/>
                      <w:lang w:val="en-US" w:eastAsia="zh-CN"/>
                    </w:rPr>
                    <w:t>10</w:t>
                  </w:r>
                  <w:r>
                    <w:rPr>
                      <w:rFonts w:hint="default" w:ascii="Times New Roman" w:hAnsi="Times New Roman" w:cs="Times New Roman"/>
                      <w:color w:val="auto"/>
                      <w:sz w:val="18"/>
                      <w:szCs w:val="18"/>
                      <w:highlight w:val="none"/>
                    </w:rPr>
                    <w:t>月</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115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2020年</w:t>
                  </w:r>
                  <w:r>
                    <w:rPr>
                      <w:rFonts w:hint="eastAsia" w:cs="Times New Roman"/>
                      <w:color w:val="auto"/>
                      <w:sz w:val="18"/>
                      <w:szCs w:val="18"/>
                      <w:highlight w:val="none"/>
                      <w:lang w:val="en-US" w:eastAsia="zh-CN"/>
                    </w:rPr>
                    <w:t>11</w:t>
                  </w:r>
                  <w:r>
                    <w:rPr>
                      <w:rFonts w:hint="default" w:ascii="Times New Roman" w:hAnsi="Times New Roman" w:cs="Times New Roman"/>
                      <w:color w:val="auto"/>
                      <w:sz w:val="18"/>
                      <w:szCs w:val="18"/>
                      <w:highlight w:val="none"/>
                    </w:rPr>
                    <w:t>月</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w:t>
                  </w:r>
                </w:p>
              </w:tc>
              <w:tc>
                <w:tcPr>
                  <w:tcW w:w="115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水质标准</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40</w:t>
                  </w:r>
                </w:p>
              </w:tc>
              <w:tc>
                <w:tcPr>
                  <w:tcW w:w="115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0.4</w:t>
                  </w:r>
                </w:p>
              </w:tc>
            </w:tr>
          </w:tbl>
          <w:p>
            <w:pPr>
              <w:keepNext w:val="0"/>
              <w:keepLines w:val="0"/>
              <w:pageBreakBefore w:val="0"/>
              <w:widowControl w:val="0"/>
              <w:kinsoku/>
              <w:wordWrap w:val="0"/>
              <w:overflowPunct/>
              <w:topLinePunct w:val="0"/>
              <w:bidi w:val="0"/>
              <w:adjustRightInd/>
              <w:snapToGrid/>
              <w:spacing w:line="360" w:lineRule="auto"/>
              <w:ind w:firstLine="420" w:firstLineChars="200"/>
              <w:jc w:val="left"/>
              <w:rPr>
                <w:rFonts w:hint="default" w:ascii="Times New Roman" w:hAnsi="Times New Roman" w:eastAsia="黑体" w:cs="Times New Roman"/>
                <w:bCs/>
                <w:color w:val="auto"/>
                <w:sz w:val="21"/>
                <w:szCs w:val="21"/>
                <w:highlight w:val="none"/>
              </w:rPr>
            </w:pPr>
            <w:r>
              <w:rPr>
                <w:rFonts w:hint="default" w:ascii="Times New Roman" w:hAnsi="Times New Roman" w:cs="Times New Roman"/>
                <w:color w:val="auto"/>
                <w:sz w:val="21"/>
                <w:szCs w:val="21"/>
                <w:highlight w:val="none"/>
              </w:rPr>
              <w:t>根据上表监测数据显示，</w:t>
            </w:r>
            <w:r>
              <w:rPr>
                <w:rFonts w:hint="eastAsia" w:cs="Times New Roman"/>
                <w:color w:val="auto"/>
                <w:sz w:val="21"/>
                <w:szCs w:val="21"/>
                <w:highlight w:val="none"/>
                <w:lang w:eastAsia="zh-CN"/>
              </w:rPr>
              <w:t>共产主义渠</w:t>
            </w:r>
            <w:r>
              <w:rPr>
                <w:rFonts w:hint="default" w:ascii="Times New Roman" w:hAnsi="Times New Roman" w:cs="Times New Roman"/>
                <w:color w:val="auto"/>
                <w:sz w:val="21"/>
                <w:szCs w:val="21"/>
                <w:highlight w:val="none"/>
              </w:rPr>
              <w:t>水质能够满足《地表水环境质量标准》（GB3838-2002）IV类水质要求，</w:t>
            </w:r>
            <w:r>
              <w:rPr>
                <w:rFonts w:hint="default" w:ascii="Times New Roman" w:hAnsi="Times New Roman" w:cs="Times New Roman"/>
                <w:color w:val="auto"/>
                <w:kern w:val="0"/>
                <w:sz w:val="21"/>
                <w:szCs w:val="21"/>
                <w:highlight w:val="none"/>
              </w:rPr>
              <w:t>目前新乡市正在推进实施《新乡市人民政府关于打赢水污染防治攻坚战的意见》（新政文[2017]28号）、《新乡市卫河流域水污染防治攻坚战实施方案等11个专项方案》（新环攻坚办（2017）20号）、《新乡市污水处理厂及配套管网建设与城市黑臭水体整治实施方案》（新环攻坚办（2017）13号）和《新乡市环境污染防治攻坚战三年行动实施方案（2018-2020年）》、《关于印发新乡市2020年大气、水、土壤污染防治攻坚战实施方案的通知》（新环攻坚办〔2020〕10号），将进一步改善新乡市水环境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根据声环境功能区划，项目所在区域属于2类声环境功能区，应当执行《声环境质量标准》（GB3096-2008）2类标准</w:t>
            </w:r>
            <w:r>
              <w:rPr>
                <w:rFonts w:hint="eastAsia" w:cs="Times New Roman"/>
                <w:color w:val="auto"/>
                <w:sz w:val="21"/>
                <w:szCs w:val="21"/>
                <w:highlight w:val="none"/>
                <w:lang w:eastAsia="zh-CN"/>
              </w:rPr>
              <w:t>（</w:t>
            </w:r>
            <w:r>
              <w:rPr>
                <w:rFonts w:cs="宋体"/>
                <w:bCs/>
                <w:kern w:val="0"/>
                <w:szCs w:val="21"/>
                <w:highlight w:val="none"/>
              </w:rPr>
              <w:t>昼间≤6</w:t>
            </w:r>
            <w:r>
              <w:rPr>
                <w:rFonts w:hint="eastAsia" w:cs="宋体"/>
                <w:bCs/>
                <w:kern w:val="0"/>
                <w:szCs w:val="21"/>
                <w:highlight w:val="none"/>
                <w:lang w:val="en-US" w:eastAsia="zh-CN"/>
              </w:rPr>
              <w:t>0</w:t>
            </w:r>
            <w:r>
              <w:rPr>
                <w:rFonts w:cs="宋体"/>
                <w:bCs/>
                <w:kern w:val="0"/>
                <w:szCs w:val="21"/>
                <w:highlight w:val="none"/>
              </w:rPr>
              <w:t>dB（A）夜间≤5</w:t>
            </w:r>
            <w:r>
              <w:rPr>
                <w:rFonts w:hint="eastAsia" w:cs="宋体"/>
                <w:bCs/>
                <w:kern w:val="0"/>
                <w:szCs w:val="21"/>
                <w:highlight w:val="none"/>
                <w:lang w:val="en-US" w:eastAsia="zh-CN"/>
              </w:rPr>
              <w:t>0</w:t>
            </w:r>
            <w:r>
              <w:rPr>
                <w:rFonts w:cs="宋体"/>
                <w:bCs/>
                <w:kern w:val="0"/>
                <w:szCs w:val="21"/>
                <w:highlight w:val="none"/>
              </w:rPr>
              <w:t>dB（A）</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。根据现场监测，项目四厂界现状噪声如下：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default" w:eastAsia="黑体" w:cs="Times New Roman"/>
                <w:color w:val="auto"/>
                <w:sz w:val="18"/>
                <w:szCs w:val="18"/>
                <w:highlight w:val="none"/>
                <w:lang w:val="en-US" w:eastAsia="zh-CN"/>
              </w:rPr>
              <w:t xml:space="preserve">      项目四厂界噪声现状监测值</w:t>
            </w:r>
          </w:p>
          <w:tbl>
            <w:tblPr>
              <w:tblStyle w:val="16"/>
              <w:tblW w:w="4998"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1153"/>
              <w:gridCol w:w="1186"/>
              <w:gridCol w:w="3626"/>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方位</w:t>
                  </w:r>
                </w:p>
              </w:tc>
              <w:tc>
                <w:tcPr>
                  <w:tcW w:w="7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昼间dB（A）</w:t>
                  </w:r>
                </w:p>
              </w:tc>
              <w:tc>
                <w:tcPr>
                  <w:tcW w:w="7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夜间dB（A）</w:t>
                  </w:r>
                </w:p>
              </w:tc>
              <w:tc>
                <w:tcPr>
                  <w:tcW w:w="238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标准值</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东厂界</w:t>
                  </w:r>
                </w:p>
              </w:tc>
              <w:tc>
                <w:tcPr>
                  <w:tcW w:w="7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54.6</w:t>
                  </w:r>
                </w:p>
              </w:tc>
              <w:tc>
                <w:tcPr>
                  <w:tcW w:w="7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43.6</w:t>
                  </w:r>
                </w:p>
              </w:tc>
              <w:tc>
                <w:tcPr>
                  <w:tcW w:w="238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《声环境质量标准》</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（GB3096-2008）2类标准</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西厂界</w:t>
                  </w:r>
                </w:p>
              </w:tc>
              <w:tc>
                <w:tcPr>
                  <w:tcW w:w="7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54.4</w:t>
                  </w:r>
                </w:p>
              </w:tc>
              <w:tc>
                <w:tcPr>
                  <w:tcW w:w="7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44.5</w:t>
                  </w:r>
                </w:p>
              </w:tc>
              <w:tc>
                <w:tcPr>
                  <w:tcW w:w="238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注：北侧、南侧为公共墙，不具备监测条件</w:t>
                  </w:r>
                </w:p>
              </w:tc>
            </w:tr>
          </w:tbl>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由上表可知，项目</w:t>
            </w:r>
            <w:r>
              <w:rPr>
                <w:rFonts w:hint="default" w:ascii="Times New Roman" w:hAnsi="Times New Roman" w:cs="Times New Roman"/>
                <w:color w:val="auto"/>
                <w:sz w:val="21"/>
                <w:szCs w:val="21"/>
                <w:highlight w:val="none"/>
                <w:lang w:eastAsia="zh-CN"/>
              </w:rPr>
              <w:t>四厂界噪声</w:t>
            </w:r>
            <w:r>
              <w:rPr>
                <w:rFonts w:hint="default" w:ascii="Times New Roman" w:hAnsi="Times New Roman" w:cs="Times New Roman"/>
                <w:color w:val="auto"/>
                <w:sz w:val="21"/>
                <w:szCs w:val="21"/>
                <w:highlight w:val="none"/>
              </w:rPr>
              <w:t>均能够满足《声环境质量标准》（GB3096-2008）2类标准。</w:t>
            </w:r>
          </w:p>
          <w:p>
            <w:pPr>
              <w:keepNext w:val="0"/>
              <w:keepLines w:val="0"/>
              <w:pageBreakBefore w:val="0"/>
              <w:widowControl w:val="0"/>
              <w:numPr>
                <w:ilvl w:val="0"/>
                <w:numId w:val="9"/>
              </w:numPr>
              <w:kinsoku/>
              <w:wordWrap/>
              <w:overflowPunct/>
              <w:topLinePunct w:val="0"/>
              <w:bidi w:val="0"/>
              <w:adjustRightInd/>
              <w:snapToGrid/>
              <w:spacing w:line="360" w:lineRule="auto"/>
              <w:ind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地下水</w:t>
            </w:r>
          </w:p>
          <w:p>
            <w:pPr>
              <w:pStyle w:val="2"/>
              <w:keepNext w:val="0"/>
              <w:keepLines w:val="0"/>
              <w:pageBreakBefore w:val="0"/>
              <w:widowControl w:val="0"/>
              <w:numPr>
                <w:ilvl w:val="0"/>
                <w:numId w:val="0"/>
              </w:numPr>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项目属于C149其他食品制造，经查阅《环境影响评价技术导则——地下水环境》（HJ610-2016）地下水环境影响评价行业分类表（附录A），本项目属于“N轻工”中的“107、其他食品制造”进行对照，对应的地下水环境影响评价项目类别为IV类，可不开展地下水</w:t>
            </w:r>
            <w:r>
              <w:rPr>
                <w:rFonts w:hint="eastAsia" w:ascii="Times New Roman" w:hAnsi="Times New Roman" w:eastAsia="宋体" w:cs="Times New Roman"/>
                <w:color w:val="auto"/>
                <w:kern w:val="0"/>
                <w:sz w:val="21"/>
                <w:szCs w:val="21"/>
                <w:highlight w:val="none"/>
                <w:lang w:val="en-US" w:eastAsia="zh-CN" w:bidi="ar-SA"/>
              </w:rPr>
              <w:t>补充监测</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pageBreakBefore w:val="0"/>
              <w:widowControl w:val="0"/>
              <w:kinsoku/>
              <w:wordWrap/>
              <w:overflowPunct/>
              <w:topLinePunct w:val="0"/>
              <w:bidi w:val="0"/>
              <w:adjustRightInd/>
              <w:snapToGrid/>
              <w:spacing w:line="360" w:lineRule="auto"/>
              <w:ind w:right="0" w:firstLine="422" w:firstLineChars="200"/>
              <w:textAlignment w:val="auto"/>
              <w:rPr>
                <w:rFonts w:hint="default" w:ascii="Times New Roman" w:hAnsi="Times New Roman" w:eastAsia="黑体" w:cs="Times New Roman"/>
                <w:b w:val="0"/>
                <w:bCs w:val="0"/>
                <w:color w:val="auto"/>
                <w:sz w:val="21"/>
                <w:szCs w:val="21"/>
                <w:highlight w:val="none"/>
              </w:rPr>
            </w:pP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、土壤环境</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20" w:firstLineChars="200"/>
              <w:textAlignment w:val="auto"/>
              <w:rPr>
                <w:rFonts w:hint="default" w:ascii="Times New Roman" w:hAnsi="Times New Roman" w:eastAsia="宋体" w:cs="Times New Roman"/>
                <w:color w:val="auto"/>
                <w:kern w:val="0"/>
                <w:sz w:val="21"/>
                <w:szCs w:val="21"/>
                <w:highlight w:val="cyan"/>
              </w:rPr>
            </w:pPr>
            <w:r>
              <w:rPr>
                <w:rFonts w:hint="default" w:ascii="Times New Roman" w:hAnsi="Times New Roman" w:eastAsia="宋体" w:cs="Times New Roman"/>
                <w:color w:val="auto"/>
                <w:kern w:val="0"/>
                <w:sz w:val="21"/>
                <w:szCs w:val="21"/>
                <w:highlight w:val="none"/>
              </w:rPr>
              <w:t>本项目为</w:t>
            </w:r>
            <w:r>
              <w:rPr>
                <w:rFonts w:hint="default" w:ascii="Times New Roman" w:hAnsi="Times New Roman" w:cs="Times New Roman"/>
                <w:color w:val="auto"/>
                <w:kern w:val="0"/>
                <w:sz w:val="21"/>
                <w:szCs w:val="21"/>
                <w:highlight w:val="none"/>
                <w:lang w:eastAsia="zh-CN"/>
              </w:rPr>
              <w:t>其他食品</w:t>
            </w:r>
            <w:r>
              <w:rPr>
                <w:rFonts w:hint="default" w:ascii="Times New Roman" w:hAnsi="Times New Roman" w:eastAsia="宋体" w:cs="Times New Roman"/>
                <w:color w:val="auto"/>
                <w:kern w:val="0"/>
                <w:sz w:val="21"/>
                <w:szCs w:val="21"/>
                <w:highlight w:val="none"/>
              </w:rPr>
              <w:t>生产项目，对照《国民经济行业分类》（GB/T4754-2017）</w:t>
            </w:r>
            <w:r>
              <w:rPr>
                <w:rFonts w:hint="default" w:ascii="Times New Roman" w:hAnsi="Times New Roman" w:cs="Times New Roman"/>
                <w:color w:val="auto"/>
                <w:sz w:val="21"/>
                <w:szCs w:val="21"/>
                <w:highlight w:val="none"/>
                <w:lang w:eastAsia="zh-CN"/>
              </w:rPr>
              <w:t>及《国家统计局关于执行国民经济行业分类第1号修改单的通知》（</w:t>
            </w:r>
            <w:r>
              <w:rPr>
                <w:rFonts w:hint="default" w:ascii="Times New Roman" w:hAnsi="Times New Roman" w:cs="Times New Roman"/>
                <w:color w:val="auto"/>
                <w:sz w:val="21"/>
                <w:szCs w:val="21"/>
                <w:highlight w:val="none"/>
              </w:rPr>
              <w:t>国统字〔2019〕66号</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rPr>
              <w:t>，本项目属于</w:t>
            </w:r>
            <w:r>
              <w:rPr>
                <w:rFonts w:hint="default" w:ascii="Times New Roman" w:hAnsi="Times New Roman" w:eastAsia="宋体" w:cs="Times New Roman"/>
                <w:b w:val="0"/>
                <w:bCs w:val="0"/>
                <w:color w:val="auto"/>
                <w:sz w:val="21"/>
                <w:szCs w:val="21"/>
                <w:highlight w:val="none"/>
                <w:lang w:val="en-US" w:eastAsia="zh-CN"/>
              </w:rPr>
              <w:t>C149其他食品制造</w:t>
            </w:r>
            <w:r>
              <w:rPr>
                <w:rFonts w:hint="default" w:ascii="Times New Roman" w:hAnsi="Times New Roman"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根据《建设项目环境影响评价分类管理名录》（环保部令第44号）及“关于修改《建设项目环境影响评价分类管理名录》部分内容的决定”（生态环境部令）第1号，本项目属于</w:t>
            </w:r>
            <w:r>
              <w:rPr>
                <w:rFonts w:hint="default" w:ascii="Times New Roman" w:hAnsi="Times New Roman" w:cs="Times New Roman" w:eastAsiaTheme="minorEastAsia"/>
                <w:b w:val="0"/>
                <w:bCs w:val="0"/>
                <w:color w:val="auto"/>
                <w:sz w:val="21"/>
                <w:szCs w:val="21"/>
                <w:highlight w:val="none"/>
              </w:rPr>
              <w:t>“</w:t>
            </w:r>
            <w:r>
              <w:rPr>
                <w:rFonts w:hint="default" w:ascii="Times New Roman" w:hAnsi="Times New Roman" w:cs="Times New Roman" w:eastAsiaTheme="minorEastAsia"/>
                <w:b w:val="0"/>
                <w:bCs w:val="0"/>
                <w:color w:val="auto"/>
                <w:sz w:val="21"/>
                <w:szCs w:val="21"/>
                <w:highlight w:val="none"/>
                <w:lang w:eastAsia="zh-CN"/>
              </w:rPr>
              <w:t>三</w:t>
            </w:r>
            <w:r>
              <w:rPr>
                <w:rFonts w:hint="default" w:ascii="Times New Roman" w:hAnsi="Times New Roman" w:cs="Times New Roman" w:eastAsiaTheme="minorEastAsia"/>
                <w:b w:val="0"/>
                <w:bCs w:val="0"/>
                <w:color w:val="auto"/>
                <w:sz w:val="21"/>
                <w:szCs w:val="21"/>
                <w:highlight w:val="none"/>
              </w:rPr>
              <w:t>、</w:t>
            </w:r>
            <w:r>
              <w:rPr>
                <w:rFonts w:hint="default" w:ascii="Times New Roman" w:hAnsi="Times New Roman" w:cs="Times New Roman" w:eastAsiaTheme="minorEastAsia"/>
                <w:b w:val="0"/>
                <w:bCs w:val="0"/>
                <w:color w:val="auto"/>
                <w:sz w:val="21"/>
                <w:szCs w:val="21"/>
                <w:highlight w:val="none"/>
                <w:lang w:eastAsia="zh-CN"/>
              </w:rPr>
              <w:t>食品制造业</w:t>
            </w:r>
            <w:r>
              <w:rPr>
                <w:rFonts w:hint="default" w:ascii="Times New Roman" w:hAnsi="Times New Roman" w:cs="Times New Roman" w:eastAsiaTheme="minorEastAsia"/>
                <w:b w:val="0"/>
                <w:bCs w:val="0"/>
                <w:color w:val="auto"/>
                <w:sz w:val="21"/>
                <w:szCs w:val="21"/>
                <w:highlight w:val="none"/>
              </w:rPr>
              <w:t>”中“</w:t>
            </w:r>
            <w:r>
              <w:rPr>
                <w:rFonts w:hint="default" w:ascii="Times New Roman" w:hAnsi="Times New Roman" w:cs="Times New Roman" w:eastAsiaTheme="minorEastAsia"/>
                <w:b w:val="0"/>
                <w:bCs w:val="0"/>
                <w:color w:val="auto"/>
                <w:sz w:val="21"/>
                <w:szCs w:val="21"/>
                <w:highlight w:val="none"/>
                <w:lang w:val="en-US" w:eastAsia="zh-CN"/>
              </w:rPr>
              <w:t>16</w:t>
            </w:r>
            <w:r>
              <w:rPr>
                <w:rFonts w:hint="default" w:ascii="Times New Roman" w:hAnsi="Times New Roman" w:cs="Times New Roman" w:eastAsiaTheme="minorEastAsia"/>
                <w:b w:val="0"/>
                <w:bCs w:val="0"/>
                <w:color w:val="auto"/>
                <w:sz w:val="21"/>
                <w:szCs w:val="21"/>
                <w:highlight w:val="none"/>
              </w:rPr>
              <w:t>、</w:t>
            </w:r>
            <w:r>
              <w:rPr>
                <w:rFonts w:hint="default" w:ascii="Times New Roman" w:hAnsi="Times New Roman" w:cs="Times New Roman" w:eastAsiaTheme="minorEastAsia"/>
                <w:b w:val="0"/>
                <w:bCs w:val="0"/>
                <w:color w:val="auto"/>
                <w:sz w:val="21"/>
                <w:szCs w:val="21"/>
                <w:highlight w:val="none"/>
                <w:lang w:eastAsia="zh-CN"/>
              </w:rPr>
              <w:t>营养食品、保健食品、冷冻饮品、食用冰制造及其他食品制造</w:t>
            </w:r>
            <w:r>
              <w:rPr>
                <w:rFonts w:hint="default" w:ascii="Times New Roman" w:hAnsi="Times New Roman" w:cs="Times New Roman" w:eastAsiaTheme="minorEastAsia"/>
                <w:b w:val="0"/>
                <w:bCs w:val="0"/>
                <w:color w:val="auto"/>
                <w:sz w:val="21"/>
                <w:szCs w:val="21"/>
                <w:highlight w:val="none"/>
              </w:rPr>
              <w:t>”</w:t>
            </w:r>
            <w:r>
              <w:rPr>
                <w:rFonts w:hint="default" w:ascii="Times New Roman" w:hAnsi="Times New Roman" w:eastAsia="宋体" w:cs="Times New Roman"/>
                <w:color w:val="auto"/>
                <w:kern w:val="0"/>
                <w:sz w:val="21"/>
                <w:szCs w:val="21"/>
                <w:highlight w:val="none"/>
              </w:rPr>
              <w:t>。对照《环境影响评价技术导则土壤环境（试行）》（HJ964-2018）附录A，本项目属于行业类别属于“其他行业”，全部为</w:t>
            </w:r>
            <w:r>
              <w:rPr>
                <w:rFonts w:hint="default" w:ascii="Times New Roman" w:hAnsi="Times New Roman" w:eastAsia="宋体" w:cs="Times New Roman"/>
                <w:color w:val="auto"/>
                <w:kern w:val="0"/>
                <w:sz w:val="21"/>
                <w:szCs w:val="21"/>
                <w:highlight w:val="none"/>
              </w:rPr>
              <w:fldChar w:fldCharType="begin"/>
            </w:r>
            <w:r>
              <w:rPr>
                <w:rFonts w:hint="default" w:ascii="Times New Roman" w:hAnsi="Times New Roman" w:eastAsia="宋体" w:cs="Times New Roman"/>
                <w:color w:val="auto"/>
                <w:kern w:val="0"/>
                <w:sz w:val="21"/>
                <w:szCs w:val="21"/>
                <w:highlight w:val="none"/>
              </w:rPr>
              <w:instrText xml:space="preserve"> = 4 \* ROMAN \* MERGEFORMAT </w:instrText>
            </w:r>
            <w:r>
              <w:rPr>
                <w:rFonts w:hint="default" w:ascii="Times New Roman" w:hAnsi="Times New Roman" w:eastAsia="宋体" w:cs="Times New Roman"/>
                <w:color w:val="auto"/>
                <w:kern w:val="0"/>
                <w:sz w:val="21"/>
                <w:szCs w:val="21"/>
                <w:highlight w:val="none"/>
              </w:rPr>
              <w:fldChar w:fldCharType="separate"/>
            </w:r>
            <w:r>
              <w:rPr>
                <w:rFonts w:hint="default" w:ascii="Times New Roman" w:hAnsi="Times New Roman" w:eastAsia="宋体" w:cs="Times New Roman"/>
                <w:color w:val="auto"/>
                <w:kern w:val="0"/>
                <w:sz w:val="21"/>
                <w:szCs w:val="21"/>
                <w:highlight w:val="none"/>
              </w:rPr>
              <w:t>IV</w:t>
            </w:r>
            <w:r>
              <w:rPr>
                <w:rFonts w:hint="default" w:ascii="Times New Roman" w:hAnsi="Times New Roman" w:eastAsia="宋体" w:cs="Times New Roman"/>
                <w:color w:val="auto"/>
                <w:kern w:val="0"/>
                <w:sz w:val="21"/>
                <w:szCs w:val="21"/>
                <w:highlight w:val="none"/>
              </w:rPr>
              <w:fldChar w:fldCharType="end"/>
            </w:r>
            <w:r>
              <w:rPr>
                <w:rFonts w:hint="default" w:ascii="Times New Roman" w:hAnsi="Times New Roman" w:eastAsia="宋体" w:cs="Times New Roman"/>
                <w:color w:val="auto"/>
                <w:kern w:val="0"/>
                <w:sz w:val="21"/>
                <w:szCs w:val="21"/>
                <w:highlight w:val="none"/>
              </w:rPr>
              <w:t>类项目，</w:t>
            </w:r>
            <w:r>
              <w:rPr>
                <w:szCs w:val="21"/>
              </w:rPr>
              <w:t>可不开展</w:t>
            </w:r>
            <w:r>
              <w:rPr>
                <w:rFonts w:hint="eastAsia"/>
                <w:szCs w:val="21"/>
              </w:rPr>
              <w:t>土壤</w:t>
            </w:r>
            <w:r>
              <w:rPr>
                <w:szCs w:val="21"/>
              </w:rPr>
              <w:t>补充监</w:t>
            </w:r>
            <w:r>
              <w:rPr>
                <w:rFonts w:hint="eastAsia" w:hAnsi="宋体"/>
                <w:szCs w:val="21"/>
              </w:rPr>
              <w:t>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eastAsia" w:ascii="宋体" w:hAnsi="宋体" w:eastAsia="宋体" w:cs="宋体"/>
                <w:sz w:val="21"/>
                <w:szCs w:val="21"/>
                <w:highlight w:val="cy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环境</w:t>
            </w:r>
          </w:p>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保护</w:t>
            </w:r>
          </w:p>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cyan"/>
                <w:vertAlign w:val="baseline"/>
              </w:rPr>
            </w:pPr>
            <w:r>
              <w:rPr>
                <w:rFonts w:hint="eastAsia" w:ascii="宋体" w:hAnsi="宋体" w:eastAsia="宋体" w:cs="宋体"/>
                <w:sz w:val="21"/>
                <w:szCs w:val="21"/>
                <w:highlight w:val="none"/>
                <w:vertAlign w:val="baseline"/>
              </w:rPr>
              <w:t>目标</w:t>
            </w:r>
          </w:p>
        </w:tc>
        <w:tc>
          <w:tcPr>
            <w:tcW w:w="7814" w:type="dxa"/>
            <w:vAlign w:val="center"/>
          </w:tcPr>
          <w:p>
            <w:pPr>
              <w:keepNext w:val="0"/>
              <w:keepLines w:val="0"/>
              <w:pageBreakBefore w:val="0"/>
              <w:widowControl w:val="0"/>
              <w:tabs>
                <w:tab w:val="left" w:pos="540"/>
              </w:tabs>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选址位于新乡市凤泉区大块镇小块村西。根据现场勘查，项目选址北侧为1家膨化食品厂；东侧隔路25m为新乡市鸿基混凝土有限公司及部分空地；南侧为部分闲置厂区；西侧为空地。距离项目最近的环境敏感点为北侧紧邻的膨化食品厂，距离项目最近的居民点为东南侧530m的小块村，距离项目最近的地表水体为西南侧1110m处的民生渠。</w:t>
            </w:r>
          </w:p>
          <w:p>
            <w:pPr>
              <w:keepNext w:val="0"/>
              <w:keepLines w:val="0"/>
              <w:pageBreakBefore w:val="0"/>
              <w:widowControl w:val="0"/>
              <w:tabs>
                <w:tab w:val="left" w:pos="540"/>
              </w:tabs>
              <w:kinsoku/>
              <w:wordWrap/>
              <w:overflowPunct/>
              <w:topLinePunct w:val="0"/>
              <w:bidi w:val="0"/>
              <w:adjustRightInd/>
              <w:snapToGrid/>
              <w:spacing w:line="360" w:lineRule="auto"/>
              <w:ind w:firstLine="420" w:firstLineChars="200"/>
              <w:textAlignment w:val="auto"/>
              <w:rPr>
                <w:rFonts w:hint="eastAsia" w:cs="宋体"/>
                <w:bCs/>
                <w:kern w:val="0"/>
                <w:szCs w:val="21"/>
                <w:highlight w:val="none"/>
              </w:rPr>
            </w:pPr>
            <w:r>
              <w:rPr>
                <w:rFonts w:cs="宋体"/>
                <w:bCs/>
                <w:kern w:val="0"/>
                <w:szCs w:val="21"/>
                <w:highlight w:val="none"/>
              </w:rPr>
              <w:t>根据现场调查，拟建项目环境保护目标详见</w:t>
            </w:r>
            <w:r>
              <w:rPr>
                <w:rFonts w:hint="eastAsia" w:cs="宋体"/>
                <w:bCs/>
                <w:kern w:val="0"/>
                <w:szCs w:val="21"/>
                <w:highlight w:val="none"/>
                <w:lang w:eastAsia="zh-CN"/>
              </w:rPr>
              <w:t>下表</w:t>
            </w:r>
            <w:r>
              <w:rPr>
                <w:rFonts w:hint="eastAsia" w:cs="宋体"/>
                <w:bCs/>
                <w:kern w:val="0"/>
                <w:szCs w:val="21"/>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eastAsia="黑体" w:cs="Times New Roman"/>
                <w:color w:val="auto"/>
                <w:sz w:val="18"/>
                <w:szCs w:val="18"/>
                <w:highlight w:val="none"/>
                <w:lang w:val="en-US" w:eastAsia="zh-CN"/>
              </w:rPr>
              <w:t>项目主要环境保护目标一览表</w:t>
            </w:r>
          </w:p>
          <w:tbl>
            <w:tblPr>
              <w:tblStyle w:val="16"/>
              <w:tblW w:w="5000" w:type="pct"/>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427"/>
              <w:gridCol w:w="809"/>
              <w:gridCol w:w="1493"/>
              <w:gridCol w:w="2721"/>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PrEx>
              <w:trPr>
                <w:trHeight w:val="454" w:hRule="atLeast"/>
              </w:trPr>
              <w:tc>
                <w:tcPr>
                  <w:tcW w:w="755" w:type="pct"/>
                  <w:noWrap w:val="0"/>
                  <w:vAlign w:val="center"/>
                </w:tcPr>
                <w:p>
                  <w:pPr>
                    <w:pStyle w:val="24"/>
                    <w:ind w:left="-24" w:right="-24"/>
                    <w:rPr>
                      <w:sz w:val="18"/>
                      <w:szCs w:val="18"/>
                      <w:highlight w:val="none"/>
                    </w:rPr>
                  </w:pPr>
                  <w:r>
                    <w:rPr>
                      <w:sz w:val="18"/>
                      <w:szCs w:val="18"/>
                      <w:highlight w:val="none"/>
                    </w:rPr>
                    <w:t>环境要素</w:t>
                  </w:r>
                </w:p>
              </w:tc>
              <w:tc>
                <w:tcPr>
                  <w:tcW w:w="939" w:type="pct"/>
                  <w:noWrap w:val="0"/>
                  <w:vAlign w:val="center"/>
                </w:tcPr>
                <w:p>
                  <w:pPr>
                    <w:pStyle w:val="24"/>
                    <w:rPr>
                      <w:sz w:val="18"/>
                      <w:szCs w:val="18"/>
                      <w:highlight w:val="none"/>
                    </w:rPr>
                  </w:pPr>
                  <w:r>
                    <w:rPr>
                      <w:sz w:val="18"/>
                      <w:szCs w:val="18"/>
                      <w:highlight w:val="none"/>
                    </w:rPr>
                    <w:t>环境保护对象名称</w:t>
                  </w:r>
                </w:p>
              </w:tc>
              <w:tc>
                <w:tcPr>
                  <w:tcW w:w="532" w:type="pct"/>
                  <w:noWrap w:val="0"/>
                  <w:vAlign w:val="center"/>
                </w:tcPr>
                <w:p>
                  <w:pPr>
                    <w:pStyle w:val="24"/>
                    <w:rPr>
                      <w:sz w:val="18"/>
                      <w:szCs w:val="18"/>
                      <w:highlight w:val="none"/>
                    </w:rPr>
                  </w:pPr>
                  <w:r>
                    <w:rPr>
                      <w:sz w:val="18"/>
                      <w:szCs w:val="18"/>
                      <w:highlight w:val="none"/>
                    </w:rPr>
                    <w:t>方位</w:t>
                  </w:r>
                </w:p>
              </w:tc>
              <w:tc>
                <w:tcPr>
                  <w:tcW w:w="982" w:type="pct"/>
                  <w:noWrap w:val="0"/>
                  <w:vAlign w:val="center"/>
                </w:tcPr>
                <w:p>
                  <w:pPr>
                    <w:pStyle w:val="24"/>
                    <w:rPr>
                      <w:sz w:val="18"/>
                      <w:szCs w:val="18"/>
                      <w:highlight w:val="none"/>
                    </w:rPr>
                  </w:pPr>
                  <w:r>
                    <w:rPr>
                      <w:sz w:val="18"/>
                      <w:szCs w:val="18"/>
                      <w:highlight w:val="none"/>
                    </w:rPr>
                    <w:t>距离（m）</w:t>
                  </w:r>
                </w:p>
              </w:tc>
              <w:tc>
                <w:tcPr>
                  <w:tcW w:w="1790" w:type="pct"/>
                  <w:noWrap w:val="0"/>
                  <w:vAlign w:val="center"/>
                </w:tcPr>
                <w:p>
                  <w:pPr>
                    <w:pStyle w:val="24"/>
                    <w:rPr>
                      <w:sz w:val="18"/>
                      <w:szCs w:val="18"/>
                      <w:highlight w:val="none"/>
                    </w:rPr>
                  </w:pPr>
                  <w:r>
                    <w:rPr>
                      <w:sz w:val="18"/>
                      <w:szCs w:val="18"/>
                      <w:highlight w:val="none"/>
                    </w:rPr>
                    <w:t>保护目标及保护等级</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755" w:type="pct"/>
                  <w:noWrap w:val="0"/>
                  <w:vAlign w:val="center"/>
                </w:tcPr>
                <w:p>
                  <w:pPr>
                    <w:pStyle w:val="24"/>
                    <w:ind w:left="-24" w:right="-24"/>
                    <w:rPr>
                      <w:sz w:val="18"/>
                      <w:szCs w:val="18"/>
                      <w:highlight w:val="none"/>
                    </w:rPr>
                  </w:pPr>
                  <w:r>
                    <w:rPr>
                      <w:rFonts w:hint="eastAsia"/>
                      <w:sz w:val="18"/>
                      <w:szCs w:val="18"/>
                      <w:highlight w:val="none"/>
                    </w:rPr>
                    <w:t>环境空气</w:t>
                  </w:r>
                </w:p>
              </w:tc>
              <w:tc>
                <w:tcPr>
                  <w:tcW w:w="2453" w:type="pct"/>
                  <w:gridSpan w:val="3"/>
                  <w:noWrap w:val="0"/>
                  <w:vAlign w:val="center"/>
                </w:tcPr>
                <w:p>
                  <w:pPr>
                    <w:keepNext w:val="0"/>
                    <w:keepLines/>
                    <w:pageBreakBefore w:val="0"/>
                    <w:widowControl/>
                    <w:kinsoku/>
                    <w:wordWrap/>
                    <w:overflowPunct/>
                    <w:topLinePunct w:val="0"/>
                    <w:autoSpaceDE/>
                    <w:autoSpaceDN/>
                    <w:bidi w:val="0"/>
                    <w:adjustRightInd/>
                    <w:snapToGrid/>
                    <w:spacing w:line="320" w:lineRule="exact"/>
                    <w:jc w:val="center"/>
                    <w:textAlignment w:val="auto"/>
                    <w:outlineLvl w:val="9"/>
                    <w:rPr>
                      <w:sz w:val="18"/>
                      <w:szCs w:val="18"/>
                      <w:highlight w:val="none"/>
                    </w:rPr>
                  </w:pPr>
                  <w:r>
                    <w:rPr>
                      <w:rFonts w:hint="eastAsia"/>
                      <w:sz w:val="18"/>
                      <w:szCs w:val="18"/>
                      <w:highlight w:val="none"/>
                    </w:rPr>
                    <w:t>厂界外50</w:t>
                  </w:r>
                  <w:r>
                    <w:rPr>
                      <w:rFonts w:hint="eastAsia"/>
                      <w:sz w:val="18"/>
                      <w:szCs w:val="18"/>
                      <w:highlight w:val="none"/>
                      <w:lang w:val="en-US" w:eastAsia="zh-CN"/>
                    </w:rPr>
                    <w:t>0</w:t>
                  </w:r>
                  <w:r>
                    <w:rPr>
                      <w:rFonts w:hint="eastAsia"/>
                      <w:sz w:val="18"/>
                      <w:szCs w:val="18"/>
                      <w:highlight w:val="none"/>
                    </w:rPr>
                    <w:t>米范围</w:t>
                  </w:r>
                  <w:r>
                    <w:rPr>
                      <w:sz w:val="18"/>
                      <w:szCs w:val="18"/>
                      <w:highlight w:val="none"/>
                    </w:rPr>
                    <w:t>内无</w:t>
                  </w:r>
                  <w:r>
                    <w:rPr>
                      <w:rFonts w:hint="eastAsia"/>
                      <w:sz w:val="18"/>
                      <w:szCs w:val="18"/>
                      <w:highlight w:val="none"/>
                    </w:rPr>
                    <w:t>环境保护</w:t>
                  </w:r>
                  <w:r>
                    <w:rPr>
                      <w:sz w:val="18"/>
                      <w:szCs w:val="18"/>
                      <w:highlight w:val="none"/>
                    </w:rPr>
                    <w:t>目标</w:t>
                  </w:r>
                </w:p>
              </w:tc>
              <w:tc>
                <w:tcPr>
                  <w:tcW w:w="1790" w:type="pct"/>
                  <w:noWrap w:val="0"/>
                  <w:vAlign w:val="center"/>
                </w:tcPr>
                <w:p>
                  <w:pPr>
                    <w:pStyle w:val="24"/>
                    <w:rPr>
                      <w:sz w:val="18"/>
                      <w:szCs w:val="18"/>
                      <w:highlight w:val="none"/>
                    </w:rPr>
                  </w:pPr>
                  <w:r>
                    <w:rPr>
                      <w:sz w:val="18"/>
                      <w:szCs w:val="18"/>
                      <w:highlight w:val="none"/>
                      <w:lang w:val="en-US"/>
                    </w:rPr>
                    <w:t>《环境空气质量标准》（GB3095-2012） 二级</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PrEx>
              <w:trPr>
                <w:trHeight w:val="454" w:hRule="atLeast"/>
              </w:trPr>
              <w:tc>
                <w:tcPr>
                  <w:tcW w:w="755" w:type="pct"/>
                  <w:noWrap w:val="0"/>
                  <w:vAlign w:val="center"/>
                </w:tcPr>
                <w:p>
                  <w:pPr>
                    <w:pStyle w:val="24"/>
                    <w:rPr>
                      <w:sz w:val="18"/>
                      <w:szCs w:val="18"/>
                      <w:highlight w:val="none"/>
                    </w:rPr>
                  </w:pPr>
                  <w:r>
                    <w:rPr>
                      <w:sz w:val="18"/>
                      <w:szCs w:val="18"/>
                      <w:highlight w:val="none"/>
                    </w:rPr>
                    <w:t>声环境</w:t>
                  </w:r>
                </w:p>
              </w:tc>
              <w:tc>
                <w:tcPr>
                  <w:tcW w:w="2453" w:type="pct"/>
                  <w:gridSpan w:val="3"/>
                  <w:noWrap w:val="0"/>
                  <w:vAlign w:val="center"/>
                </w:tcPr>
                <w:p>
                  <w:pPr>
                    <w:pStyle w:val="24"/>
                    <w:rPr>
                      <w:rFonts w:hint="eastAsia"/>
                      <w:sz w:val="18"/>
                      <w:szCs w:val="18"/>
                      <w:highlight w:val="none"/>
                    </w:rPr>
                  </w:pPr>
                  <w:r>
                    <w:rPr>
                      <w:rFonts w:hint="eastAsia"/>
                      <w:sz w:val="18"/>
                      <w:szCs w:val="18"/>
                      <w:highlight w:val="none"/>
                    </w:rPr>
                    <w:t>厂界外50米范围</w:t>
                  </w:r>
                  <w:r>
                    <w:rPr>
                      <w:sz w:val="18"/>
                      <w:szCs w:val="18"/>
                      <w:highlight w:val="none"/>
                    </w:rPr>
                    <w:t>内无</w:t>
                  </w:r>
                  <w:r>
                    <w:rPr>
                      <w:rFonts w:hint="eastAsia"/>
                      <w:sz w:val="18"/>
                      <w:szCs w:val="18"/>
                      <w:highlight w:val="none"/>
                    </w:rPr>
                    <w:t>环境保护</w:t>
                  </w:r>
                  <w:r>
                    <w:rPr>
                      <w:sz w:val="18"/>
                      <w:szCs w:val="18"/>
                      <w:highlight w:val="none"/>
                    </w:rPr>
                    <w:t>目标</w:t>
                  </w:r>
                </w:p>
              </w:tc>
              <w:tc>
                <w:tcPr>
                  <w:tcW w:w="1790" w:type="pct"/>
                  <w:noWrap w:val="0"/>
                  <w:vAlign w:val="center"/>
                </w:tcPr>
                <w:p>
                  <w:pPr>
                    <w:pStyle w:val="24"/>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《声环境质量标准》（GB3096-2008）</w:t>
                  </w:r>
                  <w:r>
                    <w:rPr>
                      <w:rFonts w:hint="default" w:ascii="Times New Roman" w:hAnsi="Times New Roman" w:cs="Times New Roman"/>
                      <w:sz w:val="18"/>
                      <w:szCs w:val="18"/>
                      <w:highlight w:val="none"/>
                      <w:lang w:val="en-US" w:eastAsia="zh-CN"/>
                    </w:rPr>
                    <w:t>2</w:t>
                  </w:r>
                  <w:r>
                    <w:rPr>
                      <w:rFonts w:hint="default" w:ascii="Times New Roman" w:hAnsi="Times New Roman" w:cs="Times New Roman"/>
                      <w:sz w:val="18"/>
                      <w:szCs w:val="18"/>
                      <w:highlight w:val="none"/>
                    </w:rPr>
                    <w:t>类标准</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PrEx>
              <w:trPr>
                <w:trHeight w:val="329" w:hRule="atLeast"/>
              </w:trPr>
              <w:tc>
                <w:tcPr>
                  <w:tcW w:w="755" w:type="pct"/>
                  <w:noWrap w:val="0"/>
                  <w:vAlign w:val="center"/>
                </w:tcPr>
                <w:p>
                  <w:pPr>
                    <w:pStyle w:val="24"/>
                    <w:rPr>
                      <w:rFonts w:hint="eastAsia" w:eastAsia="宋体"/>
                      <w:sz w:val="18"/>
                      <w:szCs w:val="18"/>
                      <w:highlight w:val="none"/>
                      <w:lang w:eastAsia="zh-CN"/>
                    </w:rPr>
                  </w:pPr>
                  <w:r>
                    <w:rPr>
                      <w:sz w:val="18"/>
                      <w:szCs w:val="18"/>
                      <w:highlight w:val="none"/>
                    </w:rPr>
                    <w:t>地表水</w:t>
                  </w:r>
                  <w:r>
                    <w:rPr>
                      <w:rFonts w:hint="eastAsia"/>
                      <w:sz w:val="18"/>
                      <w:szCs w:val="18"/>
                      <w:highlight w:val="none"/>
                      <w:lang w:eastAsia="zh-CN"/>
                    </w:rPr>
                    <w:t>环境</w:t>
                  </w:r>
                </w:p>
              </w:tc>
              <w:tc>
                <w:tcPr>
                  <w:tcW w:w="93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sz w:val="18"/>
                      <w:szCs w:val="18"/>
                      <w:highlight w:val="none"/>
                    </w:rPr>
                  </w:pPr>
                  <w:r>
                    <w:rPr>
                      <w:rFonts w:hint="default" w:ascii="Times New Roman" w:hAnsi="Times New Roman" w:cs="Times New Roman" w:eastAsiaTheme="majorEastAsia"/>
                      <w:color w:val="auto"/>
                      <w:sz w:val="18"/>
                      <w:szCs w:val="18"/>
                      <w:highlight w:val="none"/>
                      <w:lang w:val="en-US" w:eastAsia="zh-CN"/>
                    </w:rPr>
                    <w:t>民生渠</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sz w:val="18"/>
                      <w:szCs w:val="18"/>
                      <w:highlight w:val="none"/>
                    </w:rPr>
                  </w:pPr>
                  <w:r>
                    <w:rPr>
                      <w:rFonts w:hint="default" w:ascii="Times New Roman" w:hAnsi="Times New Roman" w:cs="Times New Roman" w:eastAsiaTheme="majorEastAsia"/>
                      <w:color w:val="auto"/>
                      <w:sz w:val="18"/>
                      <w:szCs w:val="18"/>
                      <w:highlight w:val="none"/>
                      <w:lang w:val="en-US" w:eastAsia="zh-CN"/>
                    </w:rPr>
                    <w:t>SW</w:t>
                  </w:r>
                </w:p>
              </w:tc>
              <w:tc>
                <w:tcPr>
                  <w:tcW w:w="98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sz w:val="18"/>
                      <w:szCs w:val="18"/>
                      <w:highlight w:val="none"/>
                    </w:rPr>
                  </w:pPr>
                  <w:r>
                    <w:rPr>
                      <w:rFonts w:hint="default" w:ascii="Times New Roman" w:hAnsi="Times New Roman" w:cs="Times New Roman"/>
                      <w:color w:val="auto"/>
                      <w:sz w:val="18"/>
                      <w:szCs w:val="18"/>
                      <w:highlight w:val="none"/>
                      <w:lang w:val="en-US" w:eastAsia="zh-CN"/>
                    </w:rPr>
                    <w:t>1110m</w:t>
                  </w:r>
                </w:p>
              </w:tc>
              <w:tc>
                <w:tcPr>
                  <w:tcW w:w="1790" w:type="pct"/>
                  <w:noWrap w:val="0"/>
                  <w:vAlign w:val="center"/>
                </w:tcPr>
                <w:p>
                  <w:pPr>
                    <w:pStyle w:val="24"/>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《地表水环境质量准》</w:t>
                  </w:r>
                </w:p>
                <w:p>
                  <w:pPr>
                    <w:pStyle w:val="24"/>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（GB3838-2002）</w:t>
                  </w: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 4 \* ROMAN \* MERGEFORMAT </w:instrText>
                  </w:r>
                  <w:r>
                    <w:rPr>
                      <w:rFonts w:hint="default" w:ascii="Times New Roman" w:hAnsi="Times New Roman" w:cs="Times New Roman"/>
                      <w:sz w:val="18"/>
                      <w:szCs w:val="18"/>
                      <w:highlight w:val="none"/>
                    </w:rPr>
                    <w:fldChar w:fldCharType="separate"/>
                  </w:r>
                  <w:r>
                    <w:rPr>
                      <w:rFonts w:hint="default" w:ascii="Times New Roman" w:hAnsi="Times New Roman" w:cs="Times New Roman"/>
                      <w:sz w:val="18"/>
                      <w:szCs w:val="18"/>
                      <w:highlight w:val="none"/>
                    </w:rPr>
                    <w:t>IV</w:t>
                  </w:r>
                  <w:r>
                    <w:rPr>
                      <w:rFonts w:hint="default" w:ascii="Times New Roman" w:hAnsi="Times New Roman" w:cs="Times New Roman"/>
                      <w:sz w:val="18"/>
                      <w:szCs w:val="18"/>
                      <w:highlight w:val="none"/>
                    </w:rPr>
                    <w:fldChar w:fldCharType="end"/>
                  </w:r>
                  <w:r>
                    <w:rPr>
                      <w:rFonts w:hint="default" w:ascii="Times New Roman" w:hAnsi="Times New Roman" w:cs="Times New Roman"/>
                      <w:sz w:val="18"/>
                      <w:szCs w:val="18"/>
                      <w:highlight w:val="none"/>
                    </w:rPr>
                    <w:t>类</w:t>
                  </w:r>
                </w:p>
              </w:tc>
            </w:tr>
          </w:tbl>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cyan"/>
                <w:vertAlign w:val="baseline"/>
                <w:lang w:eastAsia="zh-CN"/>
              </w:rPr>
            </w:pPr>
            <w:r>
              <w:rPr>
                <w:rFonts w:hint="eastAsia" w:ascii="宋体" w:hAnsi="宋体" w:eastAsia="宋体" w:cs="宋体"/>
                <w:sz w:val="21"/>
                <w:szCs w:val="21"/>
                <w:highlight w:val="none"/>
                <w:vertAlign w:val="baseline"/>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9" w:hRule="atLeast"/>
        </w:trPr>
        <w:tc>
          <w:tcPr>
            <w:tcW w:w="708" w:type="dxa"/>
            <w:vAlign w:val="center"/>
          </w:tcPr>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污染</w:t>
            </w:r>
          </w:p>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物排</w:t>
            </w:r>
          </w:p>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放控</w:t>
            </w:r>
          </w:p>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制标</w:t>
            </w:r>
          </w:p>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准</w:t>
            </w:r>
          </w:p>
        </w:tc>
        <w:tc>
          <w:tcPr>
            <w:tcW w:w="7814" w:type="dxa"/>
            <w:vAlign w:val="center"/>
          </w:tcPr>
          <w:tbl>
            <w:tblPr>
              <w:tblStyle w:val="16"/>
              <w:tblpPr w:leftFromText="181" w:rightFromText="181" w:vertAnchor="text" w:tblpXSpec="left" w:tblpY="58"/>
              <w:tblOverlap w:val="never"/>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577"/>
              <w:gridCol w:w="790"/>
              <w:gridCol w:w="760"/>
              <w:gridCol w:w="346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697" w:type="pct"/>
                  <w:vMerge w:val="restart"/>
                  <w:tcBorders>
                    <w:top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rPr>
                    <w:t>《大气污染物综合排放标准》（GB16297-1996）表2二级</w:t>
                  </w:r>
                </w:p>
              </w:tc>
              <w:tc>
                <w:tcPr>
                  <w:tcW w:w="520"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颗粒物</w:t>
                  </w:r>
                </w:p>
              </w:tc>
              <w:tc>
                <w:tcPr>
                  <w:tcW w:w="500" w:type="pct"/>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有组织</w:t>
                  </w:r>
                </w:p>
              </w:tc>
              <w:tc>
                <w:tcPr>
                  <w:tcW w:w="2281" w:type="pct"/>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最高允许排放浓度120mg/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697" w:type="pct"/>
                  <w:vMerge w:val="continue"/>
                  <w:tcBorders>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520"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bCs/>
                      <w:color w:val="auto"/>
                      <w:sz w:val="18"/>
                      <w:szCs w:val="18"/>
                      <w:highlight w:val="none"/>
                      <w:lang w:eastAsia="zh-CN"/>
                    </w:rPr>
                  </w:pPr>
                </w:p>
              </w:tc>
              <w:tc>
                <w:tcPr>
                  <w:tcW w:w="500" w:type="pct"/>
                  <w:vMerge w:val="continue"/>
                  <w:tcBorders>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2281" w:type="pct"/>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最高允许排放速率3.5kg/h（15米高排气筒）</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697" w:type="pct"/>
                  <w:vMerge w:val="continue"/>
                  <w:tcBorders>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520"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bCs/>
                      <w:color w:val="auto"/>
                      <w:sz w:val="18"/>
                      <w:szCs w:val="18"/>
                      <w:highlight w:val="none"/>
                      <w:lang w:eastAsia="zh-CN"/>
                    </w:rPr>
                  </w:pPr>
                </w:p>
              </w:tc>
              <w:tc>
                <w:tcPr>
                  <w:tcW w:w="500"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无组织</w:t>
                  </w:r>
                </w:p>
              </w:tc>
              <w:tc>
                <w:tcPr>
                  <w:tcW w:w="2281" w:type="pct"/>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周界外浓度最高点1.0mg/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697" w:type="pct"/>
                  <w:vMerge w:val="restart"/>
                  <w:tcBorders>
                    <w:right w:val="single" w:color="000000" w:sz="4" w:space="0"/>
                  </w:tcBorders>
                  <w:noWrap w:val="0"/>
                  <w:vAlign w:val="center"/>
                </w:tcPr>
                <w:p>
                  <w:pPr>
                    <w:keepNext w:val="0"/>
                    <w:keepLines w:val="0"/>
                    <w:pageBreakBefore w:val="0"/>
                    <w:widowControl w:val="0"/>
                    <w:tabs>
                      <w:tab w:val="left" w:pos="600"/>
                    </w:tabs>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《锅炉大气污染物排放标准》（</w:t>
                  </w:r>
                  <w:r>
                    <w:rPr>
                      <w:rFonts w:hint="eastAsia" w:cs="Times New Roman"/>
                      <w:color w:val="auto"/>
                      <w:sz w:val="18"/>
                      <w:szCs w:val="18"/>
                      <w:highlight w:val="none"/>
                      <w:lang w:val="en-US" w:eastAsia="zh-CN"/>
                    </w:rPr>
                    <w:t>D</w:t>
                  </w:r>
                  <w:r>
                    <w:rPr>
                      <w:rFonts w:hint="default" w:ascii="Times New Roman" w:hAnsi="Times New Roman" w:cs="Times New Roman"/>
                      <w:color w:val="auto"/>
                      <w:sz w:val="18"/>
                      <w:szCs w:val="18"/>
                      <w:highlight w:val="none"/>
                    </w:rPr>
                    <w:t>B</w:t>
                  </w:r>
                  <w:r>
                    <w:rPr>
                      <w:rFonts w:hint="eastAsia" w:cs="Times New Roman"/>
                      <w:color w:val="auto"/>
                      <w:sz w:val="18"/>
                      <w:szCs w:val="18"/>
                      <w:highlight w:val="none"/>
                      <w:lang w:val="en-US" w:eastAsia="zh-CN"/>
                    </w:rPr>
                    <w:t>41/2089-2021</w:t>
                  </w:r>
                  <w:r>
                    <w:rPr>
                      <w:rFonts w:hint="default" w:ascii="Times New Roman" w:hAnsi="Times New Roman" w:cs="Times New Roman"/>
                      <w:color w:val="auto"/>
                      <w:sz w:val="18"/>
                      <w:szCs w:val="18"/>
                      <w:highlight w:val="none"/>
                    </w:rPr>
                    <w:t>）</w:t>
                  </w:r>
                  <w:r>
                    <w:rPr>
                      <w:rFonts w:hint="eastAsia" w:cs="Times New Roman"/>
                      <w:color w:val="auto"/>
                      <w:sz w:val="18"/>
                      <w:szCs w:val="18"/>
                      <w:highlight w:val="none"/>
                      <w:lang w:eastAsia="zh-CN"/>
                    </w:rPr>
                    <w:t>表</w:t>
                  </w:r>
                  <w:r>
                    <w:rPr>
                      <w:rFonts w:hint="eastAsia" w:cs="Times New Roman"/>
                      <w:color w:val="auto"/>
                      <w:sz w:val="18"/>
                      <w:szCs w:val="18"/>
                      <w:highlight w:val="none"/>
                      <w:lang w:val="en-US" w:eastAsia="zh-CN"/>
                    </w:rPr>
                    <w:t>1燃气锅炉</w:t>
                  </w:r>
                </w:p>
              </w:tc>
              <w:tc>
                <w:tcPr>
                  <w:tcW w:w="520"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bCs/>
                      <w:color w:val="auto"/>
                      <w:sz w:val="18"/>
                      <w:szCs w:val="18"/>
                      <w:highlight w:val="none"/>
                      <w:lang w:eastAsia="zh-CN"/>
                    </w:rPr>
                  </w:pPr>
                  <w:r>
                    <w:rPr>
                      <w:rFonts w:hint="default" w:ascii="Times New Roman" w:hAnsi="Times New Roman" w:cs="Times New Roman"/>
                      <w:bCs/>
                      <w:color w:val="auto"/>
                      <w:sz w:val="18"/>
                      <w:szCs w:val="18"/>
                      <w:highlight w:val="none"/>
                    </w:rPr>
                    <w:t>颗粒物</w:t>
                  </w:r>
                </w:p>
              </w:tc>
              <w:tc>
                <w:tcPr>
                  <w:tcW w:w="500" w:type="pct"/>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eastAsia="zh-CN"/>
                    </w:rPr>
                    <w:t>有组织</w:t>
                  </w:r>
                </w:p>
              </w:tc>
              <w:tc>
                <w:tcPr>
                  <w:tcW w:w="2281" w:type="pct"/>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排放浓度</w:t>
                  </w:r>
                  <w:r>
                    <w:rPr>
                      <w:rFonts w:hint="eastAsia" w:cs="Times New Roman"/>
                      <w:color w:val="auto"/>
                      <w:sz w:val="18"/>
                      <w:szCs w:val="18"/>
                      <w:highlight w:val="none"/>
                      <w:lang w:val="en-US" w:eastAsia="zh-CN"/>
                    </w:rPr>
                    <w:t>5</w:t>
                  </w:r>
                  <w:r>
                    <w:rPr>
                      <w:rFonts w:hint="default" w:ascii="Times New Roman" w:hAnsi="Times New Roman" w:cs="Times New Roman"/>
                      <w:color w:val="auto"/>
                      <w:sz w:val="18"/>
                      <w:szCs w:val="18"/>
                      <w:highlight w:val="none"/>
                    </w:rPr>
                    <w:t>mg/m</w:t>
                  </w:r>
                  <w:r>
                    <w:rPr>
                      <w:rFonts w:hint="default" w:ascii="Times New Roman" w:hAnsi="Times New Roman" w:cs="Times New Roman"/>
                      <w:color w:val="auto"/>
                      <w:sz w:val="18"/>
                      <w:szCs w:val="18"/>
                      <w:highlight w:val="none"/>
                      <w:vertAlign w:val="superscript"/>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697" w:type="pct"/>
                  <w:vMerge w:val="continue"/>
                  <w:tcBorders>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520"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bCs/>
                      <w:color w:val="auto"/>
                      <w:sz w:val="18"/>
                      <w:szCs w:val="18"/>
                      <w:highlight w:val="none"/>
                      <w:lang w:eastAsia="zh-CN"/>
                    </w:rPr>
                  </w:pPr>
                  <w:r>
                    <w:rPr>
                      <w:rFonts w:hint="default" w:ascii="Times New Roman" w:hAnsi="Times New Roman" w:cs="Times New Roman"/>
                      <w:bCs/>
                      <w:color w:val="auto"/>
                      <w:sz w:val="18"/>
                      <w:szCs w:val="18"/>
                      <w:highlight w:val="none"/>
                    </w:rPr>
                    <w:t>SO</w:t>
                  </w:r>
                  <w:r>
                    <w:rPr>
                      <w:rFonts w:hint="default" w:ascii="Times New Roman" w:hAnsi="Times New Roman" w:cs="Times New Roman"/>
                      <w:bCs/>
                      <w:color w:val="auto"/>
                      <w:sz w:val="18"/>
                      <w:szCs w:val="18"/>
                      <w:highlight w:val="none"/>
                      <w:vertAlign w:val="subscript"/>
                    </w:rPr>
                    <w:t>2</w:t>
                  </w:r>
                </w:p>
              </w:tc>
              <w:tc>
                <w:tcPr>
                  <w:tcW w:w="500" w:type="pct"/>
                  <w:vMerge w:val="continue"/>
                  <w:tcBorders>
                    <w:left w:val="single" w:color="000000"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2281" w:type="pct"/>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排放浓度</w:t>
                  </w:r>
                  <w:r>
                    <w:rPr>
                      <w:rFonts w:hint="eastAsia" w:cs="Times New Roman"/>
                      <w:color w:val="auto"/>
                      <w:sz w:val="18"/>
                      <w:szCs w:val="18"/>
                      <w:highlight w:val="none"/>
                      <w:lang w:val="en-US" w:eastAsia="zh-CN"/>
                    </w:rPr>
                    <w:t>10</w:t>
                  </w:r>
                  <w:r>
                    <w:rPr>
                      <w:rFonts w:hint="default" w:ascii="Times New Roman" w:hAnsi="Times New Roman" w:cs="Times New Roman"/>
                      <w:color w:val="auto"/>
                      <w:sz w:val="18"/>
                      <w:szCs w:val="18"/>
                      <w:highlight w:val="none"/>
                    </w:rPr>
                    <w:t>mg/m</w:t>
                  </w:r>
                  <w:r>
                    <w:rPr>
                      <w:rFonts w:hint="default" w:ascii="Times New Roman" w:hAnsi="Times New Roman" w:cs="Times New Roman"/>
                      <w:color w:val="auto"/>
                      <w:sz w:val="18"/>
                      <w:szCs w:val="18"/>
                      <w:highlight w:val="none"/>
                      <w:vertAlign w:val="superscript"/>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697" w:type="pct"/>
                  <w:vMerge w:val="continue"/>
                  <w:tcBorders>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520"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bCs/>
                      <w:color w:val="auto"/>
                      <w:sz w:val="18"/>
                      <w:szCs w:val="18"/>
                      <w:highlight w:val="none"/>
                      <w:lang w:eastAsia="zh-CN"/>
                    </w:rPr>
                  </w:pPr>
                  <w:r>
                    <w:rPr>
                      <w:rFonts w:hint="default" w:ascii="Times New Roman" w:hAnsi="Times New Roman" w:cs="Times New Roman"/>
                      <w:bCs/>
                      <w:color w:val="auto"/>
                      <w:sz w:val="18"/>
                      <w:szCs w:val="18"/>
                      <w:highlight w:val="none"/>
                    </w:rPr>
                    <w:t>NO</w:t>
                  </w:r>
                  <w:r>
                    <w:rPr>
                      <w:rFonts w:hint="default" w:ascii="Times New Roman" w:hAnsi="Times New Roman" w:cs="Times New Roman"/>
                      <w:bCs/>
                      <w:color w:val="auto"/>
                      <w:sz w:val="18"/>
                      <w:szCs w:val="18"/>
                      <w:highlight w:val="none"/>
                      <w:vertAlign w:val="subscript"/>
                    </w:rPr>
                    <w:t>x</w:t>
                  </w:r>
                </w:p>
              </w:tc>
              <w:tc>
                <w:tcPr>
                  <w:tcW w:w="500" w:type="pct"/>
                  <w:vMerge w:val="continue"/>
                  <w:tcBorders>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2281" w:type="pct"/>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排放浓度</w:t>
                  </w:r>
                  <w:r>
                    <w:rPr>
                      <w:rFonts w:hint="eastAsia" w:cs="Times New Roman"/>
                      <w:color w:val="auto"/>
                      <w:sz w:val="18"/>
                      <w:szCs w:val="18"/>
                      <w:highlight w:val="none"/>
                      <w:lang w:val="en-US" w:eastAsia="zh-CN"/>
                    </w:rPr>
                    <w:t>30</w:t>
                  </w:r>
                  <w:r>
                    <w:rPr>
                      <w:rFonts w:hint="default" w:ascii="Times New Roman" w:hAnsi="Times New Roman" w:cs="Times New Roman"/>
                      <w:color w:val="auto"/>
                      <w:sz w:val="18"/>
                      <w:szCs w:val="18"/>
                      <w:highlight w:val="none"/>
                    </w:rPr>
                    <w:t>mg/m</w:t>
                  </w:r>
                  <w:r>
                    <w:rPr>
                      <w:rFonts w:hint="default" w:ascii="Times New Roman" w:hAnsi="Times New Roman" w:cs="Times New Roman"/>
                      <w:color w:val="auto"/>
                      <w:sz w:val="18"/>
                      <w:szCs w:val="18"/>
                      <w:highlight w:val="none"/>
                      <w:vertAlign w:val="superscript"/>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697" w:type="pct"/>
                  <w:vMerge w:val="restart"/>
                  <w:tcBorders>
                    <w:top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zh-CN"/>
                    </w:rPr>
                    <w:t>《新乡市2019年大气污染防治攻坚战实施方案》</w:t>
                  </w:r>
                  <w:r>
                    <w:rPr>
                      <w:rFonts w:hint="default" w:ascii="Times New Roman" w:hAnsi="Times New Roman" w:cs="Times New Roman"/>
                      <w:color w:val="auto"/>
                      <w:sz w:val="18"/>
                      <w:szCs w:val="18"/>
                      <w:highlight w:val="none"/>
                    </w:rPr>
                    <w:t>(新环攻坚办〔2019〕74号)天然气锅炉</w:t>
                  </w:r>
                </w:p>
              </w:tc>
              <w:tc>
                <w:tcPr>
                  <w:tcW w:w="520" w:type="pc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zh-CN"/>
                    </w:rPr>
                    <w:t>颗粒物</w:t>
                  </w:r>
                </w:p>
              </w:tc>
              <w:tc>
                <w:tcPr>
                  <w:tcW w:w="500" w:type="pct"/>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eastAsia" w:cs="Times New Roman"/>
                      <w:color w:val="auto"/>
                      <w:sz w:val="18"/>
                      <w:szCs w:val="18"/>
                      <w:highlight w:val="none"/>
                      <w:lang w:eastAsia="zh-CN"/>
                    </w:rPr>
                    <w:t>有组织</w:t>
                  </w:r>
                </w:p>
              </w:tc>
              <w:tc>
                <w:tcPr>
                  <w:tcW w:w="2281" w:type="pct"/>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排放浓度5mg/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697" w:type="pct"/>
                  <w:vMerge w:val="continue"/>
                  <w:tcBorders>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p>
              </w:tc>
              <w:tc>
                <w:tcPr>
                  <w:tcW w:w="520" w:type="pc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zh-CN"/>
                    </w:rPr>
                    <w:t>SO</w:t>
                  </w:r>
                  <w:r>
                    <w:rPr>
                      <w:rFonts w:hint="default" w:ascii="Times New Roman" w:hAnsi="Times New Roman" w:cs="Times New Roman"/>
                      <w:color w:val="auto"/>
                      <w:sz w:val="18"/>
                      <w:szCs w:val="18"/>
                      <w:highlight w:val="none"/>
                      <w:vertAlign w:val="subscript"/>
                      <w:lang w:val="zh-CN"/>
                    </w:rPr>
                    <w:t>2</w:t>
                  </w:r>
                </w:p>
              </w:tc>
              <w:tc>
                <w:tcPr>
                  <w:tcW w:w="500" w:type="pct"/>
                  <w:vMerge w:val="continue"/>
                  <w:tcBorders>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p>
              </w:tc>
              <w:tc>
                <w:tcPr>
                  <w:tcW w:w="2281" w:type="pct"/>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排放浓度10mg/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697" w:type="pct"/>
                  <w:vMerge w:val="continue"/>
                  <w:tcBorders>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p>
              </w:tc>
              <w:tc>
                <w:tcPr>
                  <w:tcW w:w="520" w:type="pc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zh-CN"/>
                    </w:rPr>
                    <w:t>NOx</w:t>
                  </w:r>
                </w:p>
              </w:tc>
              <w:tc>
                <w:tcPr>
                  <w:tcW w:w="500" w:type="pct"/>
                  <w:vMerge w:val="continue"/>
                  <w:tcBorders>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p>
              </w:tc>
              <w:tc>
                <w:tcPr>
                  <w:tcW w:w="2281" w:type="pct"/>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排放浓度30mg/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697" w:type="pct"/>
                  <w:vMerge w:val="restart"/>
                  <w:tcBorders>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新乡市生态环境局关于进一步规范工业企业颗粒物排限值的通知</w:t>
                  </w:r>
                </w:p>
              </w:tc>
              <w:tc>
                <w:tcPr>
                  <w:tcW w:w="520"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sz w:val="18"/>
                      <w:szCs w:val="18"/>
                      <w:highlight w:val="none"/>
                      <w:lang w:val="zh-CN"/>
                    </w:rPr>
                  </w:pPr>
                  <w:r>
                    <w:rPr>
                      <w:rFonts w:hint="eastAsia" w:cs="Times New Roman"/>
                      <w:color w:val="auto"/>
                      <w:sz w:val="18"/>
                      <w:szCs w:val="18"/>
                      <w:highlight w:val="none"/>
                      <w:lang w:val="zh-CN"/>
                    </w:rPr>
                    <w:t>颗粒物</w:t>
                  </w:r>
                </w:p>
              </w:tc>
              <w:tc>
                <w:tcPr>
                  <w:tcW w:w="500" w:type="pct"/>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eastAsia="zh-CN"/>
                    </w:rPr>
                    <w:t>有组织</w:t>
                  </w:r>
                </w:p>
              </w:tc>
              <w:tc>
                <w:tcPr>
                  <w:tcW w:w="2281" w:type="pct"/>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燃气锅炉</w:t>
                  </w:r>
                  <w:r>
                    <w:rPr>
                      <w:rFonts w:hint="default" w:ascii="Times New Roman" w:hAnsi="Times New Roman" w:cs="Times New Roman"/>
                      <w:color w:val="auto"/>
                      <w:sz w:val="18"/>
                      <w:szCs w:val="18"/>
                      <w:highlight w:val="none"/>
                    </w:rPr>
                    <w:t>排放浓度</w:t>
                  </w:r>
                  <w:r>
                    <w:rPr>
                      <w:rFonts w:hint="eastAsia" w:cs="Times New Roman"/>
                      <w:color w:val="auto"/>
                      <w:sz w:val="18"/>
                      <w:szCs w:val="18"/>
                      <w:highlight w:val="none"/>
                      <w:lang w:val="en-US" w:eastAsia="zh-CN"/>
                    </w:rPr>
                    <w:t>5</w:t>
                  </w:r>
                  <w:r>
                    <w:rPr>
                      <w:rFonts w:hint="default" w:ascii="Times New Roman" w:hAnsi="Times New Roman" w:cs="Times New Roman"/>
                      <w:color w:val="auto"/>
                      <w:sz w:val="18"/>
                      <w:szCs w:val="18"/>
                      <w:highlight w:val="none"/>
                    </w:rPr>
                    <w:t>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697" w:type="pct"/>
                  <w:vMerge w:val="continue"/>
                  <w:tcBorders>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eastAsia" w:cs="Times New Roman"/>
                      <w:color w:val="auto"/>
                      <w:sz w:val="18"/>
                      <w:szCs w:val="18"/>
                      <w:highlight w:val="none"/>
                      <w:lang w:eastAsia="zh-CN"/>
                    </w:rPr>
                  </w:pPr>
                </w:p>
              </w:tc>
              <w:tc>
                <w:tcPr>
                  <w:tcW w:w="520"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cs="Times New Roman"/>
                      <w:color w:val="auto"/>
                      <w:sz w:val="18"/>
                      <w:szCs w:val="18"/>
                      <w:highlight w:val="none"/>
                      <w:lang w:val="zh-CN"/>
                    </w:rPr>
                  </w:pPr>
                </w:p>
              </w:tc>
              <w:tc>
                <w:tcPr>
                  <w:tcW w:w="500" w:type="pct"/>
                  <w:vMerge w:val="continue"/>
                  <w:tcBorders>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281" w:type="pct"/>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其他设气工业企业排口：</w:t>
                  </w:r>
                  <w:r>
                    <w:rPr>
                      <w:rFonts w:hint="eastAsia" w:cs="Times New Roman"/>
                      <w:color w:val="auto"/>
                      <w:sz w:val="18"/>
                      <w:szCs w:val="18"/>
                      <w:highlight w:val="none"/>
                      <w:lang w:val="en-US" w:eastAsia="zh-CN"/>
                    </w:rPr>
                    <w:t>10</w:t>
                  </w:r>
                  <w:r>
                    <w:rPr>
                      <w:rFonts w:hint="default" w:ascii="Times New Roman" w:hAnsi="Times New Roman" w:cs="Times New Roman"/>
                      <w:color w:val="auto"/>
                      <w:sz w:val="18"/>
                      <w:szCs w:val="18"/>
                      <w:highlight w:val="none"/>
                    </w:rPr>
                    <w:t>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697" w:type="pct"/>
                  <w:vMerge w:val="continue"/>
                  <w:tcBorders>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eastAsia" w:cs="Times New Roman"/>
                      <w:color w:val="auto"/>
                      <w:sz w:val="18"/>
                      <w:szCs w:val="18"/>
                      <w:highlight w:val="none"/>
                      <w:lang w:eastAsia="zh-CN"/>
                    </w:rPr>
                  </w:pPr>
                </w:p>
              </w:tc>
              <w:tc>
                <w:tcPr>
                  <w:tcW w:w="520"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cs="Times New Roman"/>
                      <w:color w:val="auto"/>
                      <w:sz w:val="18"/>
                      <w:szCs w:val="18"/>
                      <w:highlight w:val="none"/>
                      <w:lang w:val="zh-CN"/>
                    </w:rPr>
                  </w:pPr>
                </w:p>
              </w:tc>
              <w:tc>
                <w:tcPr>
                  <w:tcW w:w="500"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cs="Times New Roman"/>
                      <w:color w:val="auto"/>
                      <w:sz w:val="18"/>
                      <w:szCs w:val="18"/>
                      <w:highlight w:val="none"/>
                      <w:lang w:eastAsia="zh-CN"/>
                    </w:rPr>
                  </w:pPr>
                  <w:r>
                    <w:rPr>
                      <w:rFonts w:hint="eastAsia" w:cs="Times New Roman"/>
                      <w:color w:val="auto"/>
                      <w:sz w:val="18"/>
                      <w:szCs w:val="18"/>
                      <w:highlight w:val="none"/>
                      <w:lang w:eastAsia="zh-CN"/>
                    </w:rPr>
                    <w:t>无组织</w:t>
                  </w:r>
                </w:p>
              </w:tc>
              <w:tc>
                <w:tcPr>
                  <w:tcW w:w="2281" w:type="pct"/>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厂界颗粒物排放浓度不高于0.5</w:t>
                  </w:r>
                  <w:r>
                    <w:rPr>
                      <w:rFonts w:hint="default" w:ascii="Times New Roman" w:hAnsi="Times New Roman" w:cs="Times New Roman"/>
                      <w:color w:val="auto"/>
                      <w:sz w:val="18"/>
                      <w:szCs w:val="18"/>
                      <w:highlight w:val="none"/>
                    </w:rPr>
                    <w:t>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697" w:type="pct"/>
                  <w:vMerge w:val="restart"/>
                  <w:tcBorders>
                    <w:top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《工业企业厂界环境噪声排放标准》（</w:t>
                  </w:r>
                  <w:r>
                    <w:rPr>
                      <w:rFonts w:hint="default" w:ascii="Times New Roman" w:hAnsi="Times New Roman" w:cs="Times New Roman"/>
                      <w:color w:val="auto"/>
                      <w:sz w:val="18"/>
                      <w:szCs w:val="18"/>
                      <w:highlight w:val="none"/>
                    </w:rPr>
                    <w:t>GB12348-2008</w:t>
                  </w:r>
                  <w:r>
                    <w:rPr>
                      <w:rFonts w:hint="default" w:ascii="Times New Roman" w:hAnsi="Times New Roman" w:eastAsia="宋体" w:cs="Times New Roman"/>
                      <w:color w:val="auto"/>
                      <w:sz w:val="18"/>
                      <w:szCs w:val="18"/>
                      <w:highlight w:val="none"/>
                    </w:rPr>
                    <w:t>）2类</w:t>
                  </w:r>
                </w:p>
              </w:tc>
              <w:tc>
                <w:tcPr>
                  <w:tcW w:w="520"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Leq</w:t>
                  </w:r>
                </w:p>
              </w:tc>
              <w:tc>
                <w:tcPr>
                  <w:tcW w:w="2782" w:type="pct"/>
                  <w:gridSpan w:val="2"/>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昼间60</w:t>
                  </w:r>
                  <w:r>
                    <w:rPr>
                      <w:rFonts w:hint="default" w:ascii="Times New Roman" w:hAnsi="Times New Roman" w:cs="Times New Roman"/>
                      <w:color w:val="auto"/>
                      <w:sz w:val="18"/>
                      <w:szCs w:val="18"/>
                      <w:highlight w:val="none"/>
                    </w:rPr>
                    <w:t>dB(A)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697" w:type="pct"/>
                  <w:vMerge w:val="continue"/>
                  <w:tcBorders>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520"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2782" w:type="pct"/>
                  <w:gridSpan w:val="2"/>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夜间</w:t>
                  </w:r>
                  <w:r>
                    <w:rPr>
                      <w:rFonts w:hint="default" w:ascii="Times New Roman" w:hAnsi="Times New Roman" w:cs="Times New Roman"/>
                      <w:color w:val="auto"/>
                      <w:sz w:val="18"/>
                      <w:szCs w:val="18"/>
                      <w:highlight w:val="none"/>
                    </w:rPr>
                    <w:t>5</w:t>
                  </w:r>
                  <w:r>
                    <w:rPr>
                      <w:rFonts w:hint="default" w:ascii="Times New Roman" w:hAnsi="Times New Roman" w:eastAsia="宋体" w:cs="Times New Roman"/>
                      <w:color w:val="auto"/>
                      <w:sz w:val="18"/>
                      <w:szCs w:val="18"/>
                      <w:highlight w:val="none"/>
                    </w:rPr>
                    <w:t>0</w:t>
                  </w:r>
                  <w:r>
                    <w:rPr>
                      <w:rFonts w:hint="default" w:ascii="Times New Roman" w:hAnsi="Times New Roman" w:cs="Times New Roman"/>
                      <w:color w:val="auto"/>
                      <w:sz w:val="18"/>
                      <w:szCs w:val="18"/>
                      <w:highlight w:val="none"/>
                    </w:rPr>
                    <w:t>dB(A)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5000" w:type="pct"/>
                  <w:gridSpan w:val="4"/>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《一般工业固体废物贮存、处理场污染控制标准（</w:t>
                  </w:r>
                  <w:r>
                    <w:rPr>
                      <w:rFonts w:hint="default" w:ascii="Times New Roman" w:hAnsi="Times New Roman" w:cs="Times New Roman"/>
                      <w:color w:val="auto"/>
                      <w:sz w:val="18"/>
                      <w:szCs w:val="18"/>
                      <w:highlight w:val="none"/>
                    </w:rPr>
                    <w:t>GB18599-2001</w:t>
                  </w:r>
                  <w:r>
                    <w:rPr>
                      <w:rFonts w:hint="default" w:ascii="Times New Roman" w:hAnsi="Times New Roman" w:eastAsia="宋体" w:cs="Times New Roman"/>
                      <w:color w:val="auto"/>
                      <w:sz w:val="18"/>
                      <w:szCs w:val="18"/>
                      <w:highlight w:val="none"/>
                    </w:rPr>
                    <w:t>）》（</w:t>
                  </w:r>
                  <w:r>
                    <w:rPr>
                      <w:rFonts w:hint="default" w:ascii="Times New Roman" w:hAnsi="Times New Roman" w:cs="Times New Roman"/>
                      <w:color w:val="auto"/>
                      <w:sz w:val="18"/>
                      <w:szCs w:val="18"/>
                      <w:highlight w:val="none"/>
                    </w:rPr>
                    <w:t>2013</w:t>
                  </w:r>
                  <w:r>
                    <w:rPr>
                      <w:rFonts w:hint="default" w:ascii="Times New Roman" w:hAnsi="Times New Roman" w:eastAsia="宋体" w:cs="Times New Roman"/>
                      <w:color w:val="auto"/>
                      <w:sz w:val="18"/>
                      <w:szCs w:val="18"/>
                      <w:highlight w:val="none"/>
                    </w:rPr>
                    <w:t>修订）</w:t>
                  </w:r>
                </w:p>
              </w:tc>
            </w:tr>
          </w:tbl>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4" w:hRule="atLeast"/>
        </w:trPr>
        <w:tc>
          <w:tcPr>
            <w:tcW w:w="708" w:type="dxa"/>
            <w:vAlign w:val="center"/>
          </w:tcPr>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总量</w:t>
            </w:r>
          </w:p>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控制</w:t>
            </w:r>
          </w:p>
          <w:p>
            <w:pPr>
              <w:pStyle w:val="2"/>
              <w:keepNext w:val="0"/>
              <w:keepLines w:val="0"/>
              <w:pageBreakBefore w:val="0"/>
              <w:widowControl w:val="0"/>
              <w:kinsoku/>
              <w:wordWrap/>
              <w:overflowPunct/>
              <w:topLinePunct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指标</w:t>
            </w:r>
          </w:p>
        </w:tc>
        <w:tc>
          <w:tcPr>
            <w:tcW w:w="781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新乡市生态环境局关于转发&lt;河南省生态环境厅关于印发建设项目主要污染物排放总量指标管理工作内部规程的通知&gt;的通知》，建设项目环境影响评价文件中应明确建设项目主要污染物排放总量及替代方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z w:val="21"/>
                <w:szCs w:val="21"/>
                <w:highlight w:val="cyan"/>
              </w:rPr>
            </w:pPr>
            <w:r>
              <w:rPr>
                <w:rFonts w:hint="eastAsia" w:cs="Times New Roman"/>
                <w:color w:val="auto"/>
                <w:sz w:val="21"/>
                <w:szCs w:val="21"/>
                <w:highlight w:val="cyan"/>
                <w:lang w:eastAsia="zh-CN"/>
              </w:rPr>
              <w:t>本项目属于新建项目，</w:t>
            </w:r>
            <w:r>
              <w:rPr>
                <w:rFonts w:hint="default" w:ascii="Times New Roman" w:hAnsi="Times New Roman" w:cs="Times New Roman"/>
                <w:color w:val="auto"/>
                <w:sz w:val="21"/>
                <w:szCs w:val="21"/>
                <w:highlight w:val="cyan"/>
              </w:rPr>
              <w:t>工程建成后总量控制因子及指标为：SO</w:t>
            </w:r>
            <w:r>
              <w:rPr>
                <w:rFonts w:hint="default" w:ascii="Times New Roman" w:hAnsi="Times New Roman" w:cs="Times New Roman"/>
                <w:color w:val="auto"/>
                <w:sz w:val="21"/>
                <w:szCs w:val="21"/>
                <w:highlight w:val="cyan"/>
                <w:vertAlign w:val="subscript"/>
              </w:rPr>
              <w:t>2</w:t>
            </w:r>
            <w:r>
              <w:rPr>
                <w:rFonts w:hint="default" w:ascii="Times New Roman" w:hAnsi="Times New Roman" w:cs="Times New Roman"/>
                <w:color w:val="auto"/>
                <w:sz w:val="21"/>
                <w:szCs w:val="21"/>
                <w:highlight w:val="cyan"/>
              </w:rPr>
              <w:t>0.0355t/a、NOx0.1066t/a、颗粒物0.0182t/a。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z w:val="21"/>
                <w:szCs w:val="21"/>
                <w:highlight w:val="cyan"/>
              </w:rPr>
            </w:pPr>
            <w:r>
              <w:rPr>
                <w:rFonts w:hint="default" w:ascii="Times New Roman" w:hAnsi="Times New Roman" w:cs="Times New Roman"/>
                <w:color w:val="auto"/>
                <w:sz w:val="21"/>
                <w:szCs w:val="21"/>
                <w:highlight w:val="cyan"/>
              </w:rPr>
              <w:t>本项目重点污染物需进行双倍替代，所需</w:t>
            </w:r>
            <w:r>
              <w:rPr>
                <w:rFonts w:hint="eastAsia" w:cs="Times New Roman"/>
                <w:color w:val="auto"/>
                <w:sz w:val="21"/>
                <w:szCs w:val="21"/>
                <w:highlight w:val="cyan"/>
                <w:lang w:eastAsia="zh-CN"/>
              </w:rPr>
              <w:t>颗粒物替代量</w:t>
            </w:r>
            <w:r>
              <w:rPr>
                <w:rFonts w:hint="eastAsia" w:cs="Times New Roman"/>
                <w:color w:val="auto"/>
                <w:sz w:val="21"/>
                <w:szCs w:val="21"/>
                <w:highlight w:val="cyan"/>
                <w:lang w:val="en-US" w:eastAsia="zh-CN"/>
              </w:rPr>
              <w:t>0.0364t/a</w:t>
            </w:r>
            <w:r>
              <w:rPr>
                <w:rFonts w:hint="eastAsia" w:cs="Times New Roman"/>
                <w:color w:val="auto"/>
                <w:sz w:val="21"/>
                <w:szCs w:val="21"/>
                <w:highlight w:val="cyan"/>
                <w:lang w:eastAsia="zh-CN"/>
              </w:rPr>
              <w:t>、二氧化硫替代量</w:t>
            </w:r>
            <w:r>
              <w:rPr>
                <w:rFonts w:hint="eastAsia" w:cs="Times New Roman"/>
                <w:color w:val="auto"/>
                <w:sz w:val="21"/>
                <w:szCs w:val="21"/>
                <w:highlight w:val="cyan"/>
                <w:lang w:val="en-US" w:eastAsia="zh-CN"/>
              </w:rPr>
              <w:t>0.071t/a</w:t>
            </w:r>
            <w:r>
              <w:rPr>
                <w:rFonts w:hint="eastAsia" w:cs="Times New Roman"/>
                <w:color w:val="auto"/>
                <w:sz w:val="21"/>
                <w:szCs w:val="21"/>
                <w:highlight w:val="cyan"/>
                <w:lang w:eastAsia="zh-CN"/>
              </w:rPr>
              <w:t>、氮氧化物替代量</w:t>
            </w:r>
            <w:r>
              <w:rPr>
                <w:rFonts w:hint="eastAsia" w:cs="Times New Roman"/>
                <w:color w:val="auto"/>
                <w:sz w:val="21"/>
                <w:szCs w:val="21"/>
                <w:highlight w:val="cyan"/>
                <w:lang w:val="en-US" w:eastAsia="zh-CN"/>
              </w:rPr>
              <w:t>0.2132t/a</w:t>
            </w:r>
            <w:r>
              <w:rPr>
                <w:rFonts w:hint="eastAsia" w:cs="Times New Roman"/>
                <w:color w:val="auto"/>
                <w:sz w:val="21"/>
                <w:szCs w:val="21"/>
                <w:highlight w:val="cyan"/>
                <w:lang w:eastAsia="zh-CN"/>
              </w:rPr>
              <w:t>，</w:t>
            </w:r>
            <w:r>
              <w:rPr>
                <w:rFonts w:hint="default" w:ascii="Times New Roman" w:hAnsi="Times New Roman" w:cs="Times New Roman"/>
                <w:color w:val="auto"/>
                <w:sz w:val="21"/>
                <w:szCs w:val="21"/>
                <w:highlight w:val="cyan"/>
              </w:rPr>
              <w:t>均从新乡市华新造纸厂调剂给本项目。</w:t>
            </w:r>
          </w:p>
          <w:p>
            <w:pPr>
              <w:pStyle w:val="2"/>
              <w:keepNext w:val="0"/>
              <w:keepLines w:val="0"/>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sz w:val="21"/>
                <w:szCs w:val="21"/>
                <w:highlight w:val="none"/>
                <w:vertAlign w:val="baseline"/>
              </w:rPr>
            </w:pPr>
          </w:p>
        </w:tc>
      </w:tr>
    </w:tbl>
    <w:p>
      <w:pPr>
        <w:pStyle w:val="2"/>
        <w:jc w:val="both"/>
        <w:rPr>
          <w:highlight w:val="cya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p>
    <w:p>
      <w:pPr>
        <w:pStyle w:val="13"/>
        <w:jc w:val="center"/>
        <w:outlineLvl w:val="0"/>
        <w:rPr>
          <w:highlight w:val="none"/>
        </w:rPr>
      </w:pPr>
      <w:r>
        <w:rPr>
          <w:rFonts w:hint="eastAsia" w:ascii="Times New Roman" w:hAnsi="Times New Roman" w:eastAsia="黑体"/>
          <w:snapToGrid w:val="0"/>
          <w:sz w:val="30"/>
          <w:szCs w:val="30"/>
          <w:highlight w:val="none"/>
        </w:rPr>
        <w:t>四、主要环境影响和保护措施</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7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17" w:hRule="atLeast"/>
        </w:trPr>
        <w:tc>
          <w:tcPr>
            <w:tcW w:w="1023" w:type="dxa"/>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施工</w:t>
            </w:r>
          </w:p>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期环</w:t>
            </w:r>
          </w:p>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境保</w:t>
            </w:r>
          </w:p>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护措</w:t>
            </w:r>
          </w:p>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施</w:t>
            </w:r>
          </w:p>
        </w:tc>
        <w:tc>
          <w:tcPr>
            <w:tcW w:w="7499" w:type="dxa"/>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黑体" w:cs="Times New Roman"/>
                <w:color w:val="auto"/>
                <w:highlight w:val="none"/>
              </w:rPr>
            </w:pPr>
            <w:r>
              <w:rPr>
                <w:rFonts w:cs="宋体"/>
                <w:bCs/>
                <w:kern w:val="0"/>
                <w:szCs w:val="21"/>
              </w:rPr>
              <w:t>拟建项目</w:t>
            </w:r>
            <w:r>
              <w:rPr>
                <w:rFonts w:hint="eastAsia" w:cs="宋体"/>
                <w:bCs/>
                <w:kern w:val="0"/>
                <w:szCs w:val="21"/>
                <w:lang w:eastAsia="zh-CN"/>
              </w:rPr>
              <w:t>施工期</w:t>
            </w:r>
            <w:r>
              <w:rPr>
                <w:rFonts w:cs="宋体"/>
                <w:bCs/>
                <w:kern w:val="0"/>
                <w:szCs w:val="21"/>
              </w:rPr>
              <w:t>预计</w:t>
            </w:r>
            <w:r>
              <w:rPr>
                <w:rFonts w:hint="eastAsia" w:cs="宋体"/>
                <w:bCs/>
                <w:kern w:val="0"/>
                <w:szCs w:val="21"/>
                <w:lang w:val="en-US" w:eastAsia="zh-CN"/>
              </w:rPr>
              <w:t>2</w:t>
            </w:r>
            <w:r>
              <w:rPr>
                <w:rFonts w:cs="宋体"/>
                <w:bCs/>
                <w:kern w:val="0"/>
                <w:szCs w:val="21"/>
              </w:rPr>
              <w:t>个月</w:t>
            </w:r>
            <w:r>
              <w:rPr>
                <w:rFonts w:hint="eastAsia" w:cs="宋体"/>
                <w:bCs/>
                <w:kern w:val="0"/>
                <w:szCs w:val="21"/>
                <w:lang w:eastAsia="zh-CN"/>
              </w:rPr>
              <w:t>，施工期主要新建</w:t>
            </w:r>
            <w:r>
              <w:rPr>
                <w:rFonts w:hint="eastAsia" w:cs="宋体"/>
                <w:bCs/>
                <w:kern w:val="0"/>
                <w:szCs w:val="21"/>
                <w:lang w:val="en-US" w:eastAsia="zh-CN"/>
              </w:rPr>
              <w:t>1座钢结构厂房，同时对所租赁现有厂房进行修整</w:t>
            </w:r>
            <w:r>
              <w:rPr>
                <w:rFonts w:cs="宋体"/>
                <w:bCs/>
                <w:kern w:val="0"/>
                <w:szCs w:val="21"/>
              </w:rPr>
              <w:t>。施工活动将产生噪声、废气或扬尘、废水以及建筑和生活垃圾等环境污染因子，同时施工期对项目周围生态环境有轻度和短暂的影响。现</w:t>
            </w:r>
            <w:r>
              <w:rPr>
                <w:rFonts w:hint="eastAsia" w:cs="宋体"/>
                <w:bCs/>
                <w:kern w:val="0"/>
                <w:szCs w:val="21"/>
              </w:rPr>
              <w:t>针对</w:t>
            </w:r>
            <w:r>
              <w:rPr>
                <w:rFonts w:cs="宋体"/>
                <w:bCs/>
                <w:kern w:val="0"/>
                <w:szCs w:val="21"/>
              </w:rPr>
              <w:t>施工期间的环境影响</w:t>
            </w:r>
            <w:r>
              <w:rPr>
                <w:rFonts w:hint="eastAsia" w:cs="宋体"/>
                <w:bCs/>
                <w:kern w:val="0"/>
                <w:szCs w:val="21"/>
              </w:rPr>
              <w:t>提出</w:t>
            </w:r>
            <w:r>
              <w:rPr>
                <w:rFonts w:cs="宋体"/>
                <w:bCs/>
                <w:kern w:val="0"/>
                <w:szCs w:val="21"/>
              </w:rPr>
              <w:t>污染预防治理措施</w:t>
            </w:r>
            <w:r>
              <w:rPr>
                <w:rFonts w:hint="eastAsia" w:cs="宋体"/>
                <w:bCs/>
                <w:kern w:val="0"/>
                <w:szCs w:val="21"/>
              </w:rPr>
              <w:t>如下</w:t>
            </w:r>
            <w:r>
              <w:rPr>
                <w:rFonts w:cs="宋体"/>
                <w:bCs/>
                <w:kern w:val="0"/>
                <w:szCs w:val="21"/>
              </w:rPr>
              <w:t>。</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1、施工期</w:t>
            </w:r>
            <w:r>
              <w:rPr>
                <w:rFonts w:hint="eastAsia" w:ascii="宋体" w:hAnsi="宋体" w:eastAsia="宋体" w:cs="宋体"/>
                <w:b/>
                <w:bCs/>
                <w:color w:val="auto"/>
                <w:highlight w:val="none"/>
                <w:lang w:eastAsia="zh-CN"/>
              </w:rPr>
              <w:t>废气污染</w:t>
            </w:r>
            <w:r>
              <w:rPr>
                <w:rFonts w:hint="eastAsia" w:ascii="宋体" w:hAnsi="宋体" w:eastAsia="宋体" w:cs="宋体"/>
                <w:b/>
                <w:bCs/>
                <w:color w:val="auto"/>
                <w:highlight w:val="none"/>
              </w:rPr>
              <w:t>防治措施</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）施工扬尘</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本项目施工期会产生一定扬尘，根据多个建筑施工工地的扬尘情况监测调查资料，当风速为2.0m/s时，工地内TSP浓度为上风对照点的1.5~2.3倍；影响范围多在下风向150m之内，被影响的地区TSP浓度平均值约0.49mg/</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rPr>
              <w:t>。可见，施工扬尘主要影响下风向的下风区域，所以施工期间的扬尘污染源要严格管理。距离项目最近的敏感点为厂址北侧</w:t>
            </w:r>
            <w:r>
              <w:rPr>
                <w:rFonts w:hint="default" w:ascii="Times New Roman" w:hAnsi="Times New Roman" w:cs="Times New Roman"/>
                <w:color w:val="auto"/>
                <w:sz w:val="21"/>
                <w:szCs w:val="21"/>
                <w:highlight w:val="none"/>
                <w:lang w:eastAsia="zh-CN"/>
              </w:rPr>
              <w:t>紧邻</w:t>
            </w:r>
            <w:r>
              <w:rPr>
                <w:rFonts w:hint="default" w:ascii="Times New Roman" w:hAnsi="Times New Roman" w:cs="Times New Roman"/>
                <w:color w:val="auto"/>
                <w:sz w:val="21"/>
                <w:szCs w:val="21"/>
                <w:highlight w:val="none"/>
              </w:rPr>
              <w:t>的</w:t>
            </w:r>
            <w:r>
              <w:rPr>
                <w:rFonts w:hint="default" w:ascii="Times New Roman" w:hAnsi="Times New Roman" w:cs="Times New Roman"/>
                <w:color w:val="auto"/>
                <w:sz w:val="21"/>
                <w:szCs w:val="21"/>
                <w:highlight w:val="none"/>
                <w:lang w:eastAsia="zh-CN"/>
              </w:rPr>
              <w:t>一家膨化食品厂</w:t>
            </w:r>
            <w:r>
              <w:rPr>
                <w:rFonts w:hint="default" w:ascii="Times New Roman" w:hAnsi="Times New Roman" w:cs="Times New Roman"/>
                <w:color w:val="auto"/>
                <w:sz w:val="21"/>
                <w:szCs w:val="21"/>
                <w:highlight w:val="none"/>
              </w:rPr>
              <w:t>，位于</w:t>
            </w:r>
            <w:r>
              <w:rPr>
                <w:rFonts w:hint="default" w:ascii="Times New Roman" w:hAnsi="Times New Roman" w:cs="Times New Roman"/>
                <w:color w:val="auto"/>
                <w:sz w:val="21"/>
                <w:szCs w:val="21"/>
                <w:highlight w:val="none"/>
                <w:lang w:eastAsia="zh-CN"/>
              </w:rPr>
              <w:t>本项目</w:t>
            </w:r>
            <w:r>
              <w:rPr>
                <w:rFonts w:hint="default" w:ascii="Times New Roman" w:hAnsi="Times New Roman" w:cs="Times New Roman"/>
                <w:color w:val="auto"/>
                <w:sz w:val="21"/>
                <w:szCs w:val="21"/>
                <w:highlight w:val="none"/>
              </w:rPr>
              <w:t>上风向，为了尽量减小施工扬尘对周边环境的影响，评价要求建设单位应严格按照《新乡市2020年大气污染防治攻坚战实施方案》的相关要求，建立施工工地动态管理清单，全面开展标准化施工，按照“谁施工、谁负责，谁主管、谁监督”的原则，严格落实“八个百分之百”</w:t>
            </w:r>
            <w:r>
              <w:rPr>
                <w:rFonts w:hint="default" w:ascii="Times New Roman" w:hAnsi="Times New Roman" w:cs="Times New Roman"/>
                <w:color w:val="auto"/>
                <w:sz w:val="21"/>
                <w:szCs w:val="21"/>
                <w:highlight w:val="none"/>
                <w:lang w:eastAsia="zh-CN"/>
              </w:rPr>
              <w:t>（现场封闭管理</w:t>
            </w:r>
            <w:r>
              <w:rPr>
                <w:rFonts w:hint="default" w:ascii="Times New Roman" w:hAnsi="Times New Roman" w:cs="Times New Roman"/>
                <w:color w:val="auto"/>
                <w:sz w:val="21"/>
                <w:szCs w:val="21"/>
                <w:highlight w:val="none"/>
                <w:lang w:val="en-US" w:eastAsia="zh-CN"/>
              </w:rPr>
              <w:t>100%、现场湿法作业100%、厂区道路硬化100%、渣土物料覆盖100%、物料密闭输送100%、出入车辆清洗100%、扬尘监控安装100%、工地内非道路移动机械车辆100%达标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、开复工验收、“三员”管理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扬尘污染防治监督员、网格员、管理员</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等制度</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建成“两个禁止”（禁止现场搅拌混凝土、禁止现场配置砂浆）信息化监管平台。</w:t>
            </w:r>
            <w:r>
              <w:rPr>
                <w:rFonts w:hint="default" w:ascii="Times New Roman" w:hAnsi="Times New Roman" w:cs="Times New Roman"/>
                <w:color w:val="auto"/>
                <w:sz w:val="21"/>
                <w:szCs w:val="21"/>
                <w:highlight w:val="none"/>
                <w:lang w:eastAsia="zh-CN"/>
              </w:rPr>
              <w:t>同时</w:t>
            </w:r>
            <w:r>
              <w:rPr>
                <w:rFonts w:hint="default" w:ascii="Times New Roman" w:hAnsi="Times New Roman" w:cs="Times New Roman"/>
                <w:color w:val="auto"/>
                <w:sz w:val="21"/>
                <w:szCs w:val="21"/>
                <w:highlight w:val="none"/>
              </w:rPr>
              <w:t>建设单位还应做好如下处理措施：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①施工现场出入口应标有企业名称或企业标识。主要出入口明显处应设置工程概况牌，大门内应有施工现场总平面图和安全生产、消防保卫、环境保护、文明施工等制度牌。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②施工现场的主要道路必须进行硬化处理，裸露的场地应采取加盖篷布、固化或绿化等措施，并对堆场加棚布覆盖或定期洒水。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③从事施工垃圾运输应采用密闭式运输车辆或采取覆盖措施；施工现场出入口处设置定型化自动冲洗设施（包括冲洗水池和高压水枪），保证将出入车辆冲洗干净。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④施工场地必须设置全封闭围挡墙，主干道围挡高度不低于2.5m，次干道围挡不低于2m。围挡间无缝隙，底部设置防溢座，顶端设置压顶。施工主体外侧必须使用合格的阻燃的密目安全网封闭。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⑤施工场地北侧距离食品厂较近，需在北侧加强挡墙，并设置喷淋设施。大风天气需停止施工。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⑥施工现场的材料和大模板等存放场地必须平整坚实，水泥和其他易飞扬的细颗粒建筑材料应密闭存放或采取覆盖等措施，施工现场混凝土搅拌场所应采取封闭、降尘措施。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⑦施工一律使用商品混凝土，禁止使用散装水泥，禁止现场搅拌混凝土和配制砂浆，严格执行开复工验收、“三员”管理、扬尘防治预算管理等制度。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⑧施工现场的材料和大模板等存放场地必须平整坚实。水泥和其他易飞扬的细颗粒建筑材料应密闭存放或采取覆盖等措施。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⑨建筑垃圾运输车辆全部实现自动化密闭运输，统一安装卫星定位装置，并于主管部门联网。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施工机械及运输车辆尾气：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运输车辆及施工机械在运行过程中会排放一定量的CO、NOx以及未完全燃烧的THC等，在施工期内应加强对机械、车辆的维修保养，禁止以柴油为燃料的施工机械超负荷工作，减少烟度和颗粒物排放。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经采取上述措施后，可有效减轻施工期对周围环境空气的影响。</w:t>
            </w:r>
          </w:p>
          <w:p>
            <w:pPr>
              <w:keepNext w:val="0"/>
              <w:keepLines w:val="0"/>
              <w:pageBreakBefore w:val="0"/>
              <w:widowControl w:val="0"/>
              <w:tabs>
                <w:tab w:val="center" w:pos="4772"/>
              </w:tabs>
              <w:kinsoku/>
              <w:wordWrap/>
              <w:overflowPunct/>
              <w:topLinePunct w:val="0"/>
              <w:bidi w:val="0"/>
              <w:adjustRightInd w:val="0"/>
              <w:snapToGrid/>
              <w:spacing w:line="360" w:lineRule="auto"/>
              <w:ind w:firstLine="420" w:firstLineChars="200"/>
              <w:textAlignment w:val="auto"/>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1.2废水</w:t>
            </w:r>
          </w:p>
          <w:p>
            <w:pPr>
              <w:keepNext w:val="0"/>
              <w:keepLines w:val="0"/>
              <w:pageBreakBefore w:val="0"/>
              <w:widowControl w:val="0"/>
              <w:tabs>
                <w:tab w:val="center" w:pos="4772"/>
              </w:tabs>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项目施工期产生的废水主要为施工人员生活污水、少量施工废水。</w:t>
            </w:r>
          </w:p>
          <w:p>
            <w:pPr>
              <w:keepNext w:val="0"/>
              <w:keepLines w:val="0"/>
              <w:pageBreakBefore w:val="0"/>
              <w:widowControl w:val="0"/>
              <w:tabs>
                <w:tab w:val="center" w:pos="4772"/>
              </w:tabs>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（1）生活污水：项目施工期劳动定员约</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人，每人每天用水量按30L计算，项目施工期生活用水量为</w:t>
            </w:r>
            <w:r>
              <w:rPr>
                <w:rFonts w:hint="default" w:ascii="Times New Roman" w:hAnsi="Times New Roman" w:cs="Times New Roman"/>
                <w:color w:val="auto"/>
                <w:highlight w:val="none"/>
                <w:lang w:val="en-US" w:eastAsia="zh-CN"/>
              </w:rPr>
              <w:t>0.45</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highlight w:val="none"/>
              </w:rPr>
              <w:t>/d，污水排放系数取0.8，则施工生活污水排放量为</w:t>
            </w:r>
            <w:r>
              <w:rPr>
                <w:rFonts w:hint="default" w:ascii="Times New Roman" w:hAnsi="Times New Roman" w:cs="Times New Roman"/>
                <w:color w:val="auto"/>
                <w:highlight w:val="none"/>
                <w:lang w:val="en-US" w:eastAsia="zh-CN"/>
              </w:rPr>
              <w:t>0.36</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highlight w:val="none"/>
              </w:rPr>
              <w:t>/d。生活污水经</w:t>
            </w:r>
            <w:r>
              <w:rPr>
                <w:rFonts w:hint="default" w:ascii="Times New Roman" w:hAnsi="Times New Roman" w:cs="Times New Roman"/>
                <w:color w:val="auto"/>
                <w:highlight w:val="none"/>
                <w:lang w:eastAsia="zh-CN"/>
              </w:rPr>
              <w:t>厂区内现有</w:t>
            </w:r>
            <w:r>
              <w:rPr>
                <w:rFonts w:hint="default" w:ascii="Times New Roman" w:hAnsi="Times New Roman" w:cs="Times New Roman"/>
                <w:color w:val="auto"/>
                <w:highlight w:val="none"/>
              </w:rPr>
              <w:t>1座化粪池（</w:t>
            </w:r>
            <w:r>
              <w:rPr>
                <w:rFonts w:hint="default" w:ascii="Times New Roman" w:hAnsi="Times New Roman" w:cs="Times New Roman"/>
                <w:color w:val="auto"/>
                <w:highlight w:val="none"/>
                <w:lang w:val="en-US" w:eastAsia="zh-CN"/>
              </w:rPr>
              <w:t>40</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highlight w:val="none"/>
              </w:rPr>
              <w:t>）收集</w:t>
            </w:r>
            <w:r>
              <w:rPr>
                <w:rFonts w:hint="default" w:ascii="Times New Roman" w:hAnsi="Times New Roman" w:cs="Times New Roman"/>
                <w:color w:val="auto"/>
                <w:highlight w:val="none"/>
                <w:lang w:eastAsia="zh-CN"/>
              </w:rPr>
              <w:t>处理</w:t>
            </w:r>
            <w:r>
              <w:rPr>
                <w:rFonts w:hint="default" w:ascii="Times New Roman" w:hAnsi="Times New Roman" w:cs="Times New Roman"/>
                <w:color w:val="auto"/>
                <w:highlight w:val="none"/>
              </w:rPr>
              <w:t>后定期清运。</w:t>
            </w:r>
          </w:p>
          <w:p>
            <w:pPr>
              <w:keepNext w:val="0"/>
              <w:keepLines w:val="0"/>
              <w:pageBreakBefore w:val="0"/>
              <w:widowControl w:val="0"/>
              <w:tabs>
                <w:tab w:val="center" w:pos="4772"/>
              </w:tabs>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（2）施工废水</w:t>
            </w:r>
          </w:p>
          <w:p>
            <w:pPr>
              <w:keepNext w:val="0"/>
              <w:keepLines w:val="0"/>
              <w:pageBreakBefore w:val="0"/>
              <w:widowControl w:val="0"/>
              <w:tabs>
                <w:tab w:val="center" w:pos="4772"/>
              </w:tabs>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由于本项目</w:t>
            </w:r>
            <w:r>
              <w:rPr>
                <w:rFonts w:hint="default" w:ascii="Times New Roman" w:hAnsi="Times New Roman" w:cs="Times New Roman"/>
                <w:color w:val="auto"/>
                <w:highlight w:val="none"/>
                <w:lang w:eastAsia="zh-CN"/>
              </w:rPr>
              <w:t>新建</w:t>
            </w:r>
            <w:r>
              <w:rPr>
                <w:rFonts w:hint="default" w:ascii="Times New Roman" w:hAnsi="Times New Roman" w:cs="Times New Roman"/>
                <w:color w:val="auto"/>
                <w:highlight w:val="none"/>
              </w:rPr>
              <w:t>建筑主要为钢结构建筑，施工过程相对简单，施工废水主要为施工机械、运输车辆的冲洗废水，水中含有泥沙等悬浮物及少量矿物油成分。废水产生量约为1.5</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highlight w:val="none"/>
              </w:rPr>
              <w:t>/d，生产废水中的主要污染物为SS、CODcr、石油类，其浓度最高可达CODcr：600mg/L、SS：1000mg/L、石油类：60mg/L。</w:t>
            </w:r>
            <w:r>
              <w:rPr>
                <w:rFonts w:hint="default" w:ascii="Times New Roman" w:hAnsi="Times New Roman" w:cs="Times New Roman"/>
                <w:color w:val="auto"/>
                <w:highlight w:val="none"/>
                <w:lang w:eastAsia="zh-CN"/>
              </w:rPr>
              <w:t>评价要求该部分</w:t>
            </w:r>
            <w:r>
              <w:rPr>
                <w:rFonts w:hint="default" w:ascii="Times New Roman" w:hAnsi="Times New Roman" w:cs="Times New Roman"/>
                <w:color w:val="auto"/>
                <w:highlight w:val="none"/>
              </w:rPr>
              <w:t>废水通过设置隔油池+沉淀池进行处理后，将上清液回用于施工过程。</w:t>
            </w:r>
          </w:p>
          <w:p>
            <w:pPr>
              <w:keepNext w:val="0"/>
              <w:keepLines w:val="0"/>
              <w:pageBreakBefore w:val="0"/>
              <w:widowControl w:val="0"/>
              <w:tabs>
                <w:tab w:val="center" w:pos="4772"/>
              </w:tabs>
              <w:kinsoku/>
              <w:wordWrap/>
              <w:overflowPunct/>
              <w:topLinePunct w:val="0"/>
              <w:bidi w:val="0"/>
              <w:adjustRightInd w:val="0"/>
              <w:snapToGrid/>
              <w:spacing w:line="360" w:lineRule="auto"/>
              <w:ind w:firstLine="420" w:firstLineChars="200"/>
              <w:textAlignment w:val="auto"/>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1.3固废</w:t>
            </w:r>
          </w:p>
          <w:p>
            <w:pPr>
              <w:keepNext w:val="0"/>
              <w:keepLines w:val="0"/>
              <w:pageBreakBefore w:val="0"/>
              <w:widowControl w:val="0"/>
              <w:tabs>
                <w:tab w:val="center" w:pos="4772"/>
              </w:tabs>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施工期主要为生产车间</w:t>
            </w:r>
            <w:r>
              <w:rPr>
                <w:rFonts w:hint="default" w:ascii="Times New Roman" w:hAnsi="Times New Roman" w:cs="Times New Roman"/>
                <w:color w:val="auto"/>
                <w:highlight w:val="none"/>
                <w:lang w:eastAsia="zh-CN"/>
              </w:rPr>
              <w:t>和锅炉房</w:t>
            </w:r>
            <w:r>
              <w:rPr>
                <w:rFonts w:hint="default" w:ascii="Times New Roman" w:hAnsi="Times New Roman" w:cs="Times New Roman"/>
                <w:color w:val="auto"/>
                <w:highlight w:val="none"/>
              </w:rPr>
              <w:t>的建设，由于均采用钢结构建设，因此不需进行大量土方挖掘，少量土石方改动可在厂区内回填平衡，用于绿地、道路等生态建设，基本不产生弃土方。因此施工期固废主要来自于建筑废弃材料和施工人员生活垃圾。</w:t>
            </w:r>
          </w:p>
          <w:p>
            <w:pPr>
              <w:keepNext w:val="0"/>
              <w:keepLines w:val="0"/>
              <w:pageBreakBefore w:val="0"/>
              <w:widowControl w:val="0"/>
              <w:tabs>
                <w:tab w:val="center" w:pos="4772"/>
              </w:tabs>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建筑废材料：本次工程施工作业建筑垃圾主要为砂石、石块、碎砖瓦、废木料、废钢筋、沉淀池泥沙等杂物等。根据《建筑垃圾的产生与循环利用管理》（环境卫生工程第14卷第4期，2006年8月），其建筑垃圾产生量按1.3t/100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计，</w:t>
            </w:r>
            <w:r>
              <w:rPr>
                <w:rFonts w:hint="default" w:ascii="Times New Roman" w:hAnsi="Times New Roman" w:cs="Times New Roman"/>
                <w:color w:val="auto"/>
                <w:highlight w:val="none"/>
                <w:lang w:eastAsia="zh-CN"/>
              </w:rPr>
              <w:t>本项目施工总建筑面积为</w:t>
            </w:r>
            <w:r>
              <w:rPr>
                <w:rFonts w:hint="default" w:ascii="Times New Roman" w:hAnsi="Times New Roman" w:cs="Times New Roman"/>
                <w:color w:val="auto"/>
                <w:highlight w:val="none"/>
                <w:lang w:val="en-US" w:eastAsia="zh-CN"/>
              </w:rPr>
              <w:t>160m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则</w:t>
            </w:r>
            <w:r>
              <w:rPr>
                <w:rFonts w:hint="default" w:ascii="Times New Roman" w:hAnsi="Times New Roman" w:cs="Times New Roman"/>
                <w:color w:val="auto"/>
                <w:highlight w:val="none"/>
                <w:lang w:eastAsia="zh-CN"/>
              </w:rPr>
              <w:t>施工期间</w:t>
            </w:r>
            <w:r>
              <w:rPr>
                <w:rFonts w:hint="default" w:ascii="Times New Roman" w:hAnsi="Times New Roman" w:cs="Times New Roman"/>
                <w:color w:val="auto"/>
                <w:highlight w:val="none"/>
              </w:rPr>
              <w:t>产生的建筑垃圾共</w:t>
            </w:r>
            <w:r>
              <w:rPr>
                <w:rFonts w:hint="default" w:ascii="Times New Roman" w:hAnsi="Times New Roman" w:cs="Times New Roman"/>
                <w:color w:val="auto"/>
                <w:highlight w:val="none"/>
                <w:lang w:val="en-US" w:eastAsia="zh-CN"/>
              </w:rPr>
              <w:t>2.08</w:t>
            </w:r>
            <w:r>
              <w:rPr>
                <w:rFonts w:hint="default" w:ascii="Times New Roman" w:hAnsi="Times New Roman" w:cs="Times New Roman"/>
                <w:color w:val="auto"/>
                <w:highlight w:val="none"/>
              </w:rPr>
              <w:t>t。</w:t>
            </w:r>
          </w:p>
          <w:p>
            <w:pPr>
              <w:keepNext w:val="0"/>
              <w:keepLines w:val="0"/>
              <w:pageBreakBefore w:val="0"/>
              <w:widowControl w:val="0"/>
              <w:tabs>
                <w:tab w:val="center" w:pos="4772"/>
              </w:tabs>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评价要求建设单位对施工时产生的废料首先考虑回收利用，即对钢筋、钢板、木材等下角料可分类回收后，交废品回收站处理；对建筑垃圾，如混凝土废料、含砖、石、砂的杂土集中堆放，定时清运处置，严禁随意抛洒丢弃。</w:t>
            </w:r>
          </w:p>
          <w:p>
            <w:pPr>
              <w:keepNext w:val="0"/>
              <w:keepLines w:val="0"/>
              <w:pageBreakBefore w:val="0"/>
              <w:widowControl w:val="0"/>
              <w:tabs>
                <w:tab w:val="center" w:pos="4772"/>
              </w:tabs>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（2）施工人员生活垃圾：本项目施工高峰期有施工人员</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人左右，生活垃圾按0.5kg/人·天计，则生活垃圾产生量约为</w:t>
            </w:r>
            <w:r>
              <w:rPr>
                <w:rFonts w:hint="default" w:ascii="Times New Roman" w:hAnsi="Times New Roman" w:cs="Times New Roman"/>
                <w:color w:val="auto"/>
                <w:highlight w:val="none"/>
                <w:lang w:val="en-US" w:eastAsia="zh-CN"/>
              </w:rPr>
              <w:t>7.5</w:t>
            </w:r>
            <w:r>
              <w:rPr>
                <w:rFonts w:hint="default" w:ascii="Times New Roman" w:hAnsi="Times New Roman" w:cs="Times New Roman"/>
                <w:color w:val="auto"/>
                <w:highlight w:val="none"/>
              </w:rPr>
              <w:t>kg/d。评价要求建设单位采取袋装集中收集，并由市政环卫部门统一清运处理。</w:t>
            </w:r>
          </w:p>
          <w:p>
            <w:pPr>
              <w:keepNext w:val="0"/>
              <w:keepLines w:val="0"/>
              <w:pageBreakBefore w:val="0"/>
              <w:widowControl w:val="0"/>
              <w:tabs>
                <w:tab w:val="center" w:pos="4772"/>
              </w:tabs>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1.4噪声</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主要为机械噪声、施工作业噪声和运输车辆噪声，其噪声源为施工机械设备、施工车辆。机械噪声主要由施工机械产生，多为点声源，施工作业噪声主要指零星的敲打声、装卸车辆的撞击声、拆装模具的撞击声和吆喝声等，多为瞬时噪声。运输车辆噪声属于交通噪声。</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对环境影响最大的是机械噪声。在多台机械设备同时作业时，各台设备产生的噪声会产生叠加。根据类比调查，叠加后的噪声增量为2～8dB(A)，一般不会超过10dB(A)。项目建设过程中各阶段主要噪声源不一样，其源强大小也不同，项目主要噪声源见</w:t>
            </w:r>
            <w:r>
              <w:rPr>
                <w:rFonts w:hint="default" w:ascii="Times New Roman" w:hAnsi="Times New Roman" w:cs="Times New Roman"/>
                <w:color w:val="auto"/>
                <w:highlight w:val="none"/>
                <w:lang w:eastAsia="zh-CN"/>
              </w:rPr>
              <w:t>下表</w:t>
            </w:r>
            <w:r>
              <w:rPr>
                <w:rFonts w:hint="default" w:ascii="Times New Roman" w:hAnsi="Times New Roman" w:cs="Times New Roman"/>
                <w:color w:val="auto"/>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default" w:eastAsia="黑体" w:cs="Times New Roman"/>
                <w:color w:val="auto"/>
                <w:sz w:val="18"/>
                <w:szCs w:val="18"/>
                <w:highlight w:val="none"/>
                <w:lang w:val="en-US" w:eastAsia="zh-CN"/>
              </w:rPr>
              <w:t xml:space="preserve">  </w:t>
            </w:r>
            <w:r>
              <w:rPr>
                <w:rFonts w:hint="eastAsia" w:eastAsia="黑体" w:cs="Times New Roman"/>
                <w:color w:val="auto"/>
                <w:sz w:val="18"/>
                <w:szCs w:val="18"/>
                <w:highlight w:val="none"/>
                <w:lang w:val="en-US" w:eastAsia="zh-CN"/>
              </w:rPr>
              <w:t xml:space="preserve">  </w:t>
            </w:r>
            <w:r>
              <w:rPr>
                <w:rFonts w:hint="default" w:eastAsia="黑体" w:cs="Times New Roman"/>
                <w:color w:val="auto"/>
                <w:sz w:val="18"/>
                <w:szCs w:val="18"/>
                <w:highlight w:val="none"/>
                <w:lang w:val="en-US" w:eastAsia="zh-CN"/>
              </w:rPr>
              <w:t>施工期主要噪声源及其声级值</w:t>
            </w:r>
          </w:p>
          <w:tbl>
            <w:tblPr>
              <w:tblStyle w:val="16"/>
              <w:tblpPr w:leftFromText="181" w:rightFromText="181" w:vertAnchor="text" w:tblpXSpec="center" w:tblpY="1"/>
              <w:tblOverlap w:val="never"/>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57" w:type="dxa"/>
                <w:left w:w="108" w:type="dxa"/>
                <w:bottom w:w="28" w:type="dxa"/>
                <w:right w:w="108" w:type="dxa"/>
              </w:tblCellMar>
            </w:tblPr>
            <w:tblGrid>
              <w:gridCol w:w="2115"/>
              <w:gridCol w:w="2633"/>
              <w:gridCol w:w="253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trHeight w:val="227" w:hRule="atLeast"/>
                <w:jc w:val="center"/>
              </w:trPr>
              <w:tc>
                <w:tcPr>
                  <w:tcW w:w="2572"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声源</w:t>
                  </w:r>
                </w:p>
              </w:tc>
              <w:tc>
                <w:tcPr>
                  <w:tcW w:w="3143"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测点距施工机械距离（m）</w:t>
                  </w:r>
                </w:p>
              </w:tc>
              <w:tc>
                <w:tcPr>
                  <w:tcW w:w="3000"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声级值（dB）</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57" w:type="dxa"/>
                  <w:left w:w="108" w:type="dxa"/>
                  <w:bottom w:w="28" w:type="dxa"/>
                  <w:right w:w="108" w:type="dxa"/>
                </w:tblCellMar>
              </w:tblPrEx>
              <w:trPr>
                <w:trHeight w:val="227" w:hRule="atLeast"/>
                <w:jc w:val="center"/>
              </w:trPr>
              <w:tc>
                <w:tcPr>
                  <w:tcW w:w="2572"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推土机</w:t>
                  </w:r>
                </w:p>
              </w:tc>
              <w:tc>
                <w:tcPr>
                  <w:tcW w:w="3143"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5</w:t>
                  </w:r>
                </w:p>
              </w:tc>
              <w:tc>
                <w:tcPr>
                  <w:tcW w:w="3000"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83</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57" w:type="dxa"/>
                  <w:left w:w="108" w:type="dxa"/>
                  <w:bottom w:w="28" w:type="dxa"/>
                  <w:right w:w="108" w:type="dxa"/>
                </w:tblCellMar>
              </w:tblPrEx>
              <w:trPr>
                <w:trHeight w:val="227" w:hRule="atLeast"/>
                <w:jc w:val="center"/>
              </w:trPr>
              <w:tc>
                <w:tcPr>
                  <w:tcW w:w="2572"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挖掘机</w:t>
                  </w:r>
                </w:p>
              </w:tc>
              <w:tc>
                <w:tcPr>
                  <w:tcW w:w="3143"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5</w:t>
                  </w:r>
                </w:p>
              </w:tc>
              <w:tc>
                <w:tcPr>
                  <w:tcW w:w="3000"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85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57" w:type="dxa"/>
                  <w:left w:w="108" w:type="dxa"/>
                  <w:bottom w:w="28" w:type="dxa"/>
                  <w:right w:w="108" w:type="dxa"/>
                </w:tblCellMar>
              </w:tblPrEx>
              <w:trPr>
                <w:trHeight w:val="227" w:hRule="atLeast"/>
                <w:jc w:val="center"/>
              </w:trPr>
              <w:tc>
                <w:tcPr>
                  <w:tcW w:w="2572"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装载机</w:t>
                  </w:r>
                </w:p>
              </w:tc>
              <w:tc>
                <w:tcPr>
                  <w:tcW w:w="3143"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5</w:t>
                  </w:r>
                </w:p>
              </w:tc>
              <w:tc>
                <w:tcPr>
                  <w:tcW w:w="3000"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83</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trHeight w:val="227" w:hRule="atLeast"/>
                <w:jc w:val="center"/>
              </w:trPr>
              <w:tc>
                <w:tcPr>
                  <w:tcW w:w="2572"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自卸卡车</w:t>
                  </w:r>
                </w:p>
              </w:tc>
              <w:tc>
                <w:tcPr>
                  <w:tcW w:w="3143"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5</w:t>
                  </w:r>
                </w:p>
              </w:tc>
              <w:tc>
                <w:tcPr>
                  <w:tcW w:w="3000"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80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57" w:type="dxa"/>
                  <w:left w:w="108" w:type="dxa"/>
                  <w:bottom w:w="28" w:type="dxa"/>
                  <w:right w:w="108" w:type="dxa"/>
                </w:tblCellMar>
              </w:tblPrEx>
              <w:trPr>
                <w:trHeight w:val="227" w:hRule="atLeast"/>
                <w:jc w:val="center"/>
              </w:trPr>
              <w:tc>
                <w:tcPr>
                  <w:tcW w:w="2572"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切割机</w:t>
                  </w:r>
                </w:p>
              </w:tc>
              <w:tc>
                <w:tcPr>
                  <w:tcW w:w="3143"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5</w:t>
                  </w:r>
                </w:p>
              </w:tc>
              <w:tc>
                <w:tcPr>
                  <w:tcW w:w="3000"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85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trHeight w:val="227" w:hRule="atLeast"/>
                <w:jc w:val="center"/>
              </w:trPr>
              <w:tc>
                <w:tcPr>
                  <w:tcW w:w="2572"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电钻</w:t>
                  </w:r>
                </w:p>
              </w:tc>
              <w:tc>
                <w:tcPr>
                  <w:tcW w:w="3143"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5</w:t>
                  </w:r>
                </w:p>
              </w:tc>
              <w:tc>
                <w:tcPr>
                  <w:tcW w:w="3000" w:type="dxa"/>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95</w:t>
                  </w:r>
                </w:p>
              </w:tc>
            </w:tr>
          </w:tbl>
          <w:p>
            <w:pPr>
              <w:pStyle w:val="2"/>
              <w:keepNext w:val="0"/>
              <w:keepLines w:val="0"/>
              <w:pageBreakBefore w:val="0"/>
              <w:widowControl w:val="0"/>
              <w:kinsoku/>
              <w:wordWrap/>
              <w:overflowPunct/>
              <w:topLinePunct w:val="0"/>
              <w:autoSpaceDE w:val="0"/>
              <w:autoSpaceDN w:val="0"/>
              <w:bidi w:val="0"/>
              <w:adjustRightInd/>
              <w:snapToGrid/>
              <w:spacing w:line="320" w:lineRule="exact"/>
              <w:ind w:firstLine="420" w:firstLineChars="200"/>
              <w:jc w:val="left"/>
              <w:textAlignment w:val="auto"/>
              <w:rPr>
                <w:rFonts w:hint="eastAsia" w:ascii="宋体" w:hAnsi="宋体" w:eastAsia="宋体" w:cs="宋体"/>
                <w:sz w:val="21"/>
                <w:szCs w:val="21"/>
                <w:highlight w:val="cy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运营</w:t>
            </w:r>
          </w:p>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期环</w:t>
            </w:r>
          </w:p>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境影</w:t>
            </w:r>
          </w:p>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响和</w:t>
            </w:r>
          </w:p>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保护</w:t>
            </w:r>
          </w:p>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措施</w:t>
            </w:r>
          </w:p>
        </w:tc>
        <w:tc>
          <w:tcPr>
            <w:tcW w:w="7499" w:type="dxa"/>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line="360" w:lineRule="auto"/>
              <w:ind w:leftChars="0" w:firstLine="422" w:firstLineChars="200"/>
              <w:jc w:val="left"/>
              <w:textAlignment w:val="auto"/>
              <w:rPr>
                <w:rFonts w:hint="default" w:ascii="Times New Roman" w:hAnsi="Times New Roman"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1、废气</w:t>
            </w:r>
          </w:p>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line="360" w:lineRule="auto"/>
              <w:ind w:leftChars="0" w:firstLine="422" w:firstLineChars="200"/>
              <w:jc w:val="left"/>
              <w:textAlignment w:val="auto"/>
              <w:rPr>
                <w:rFonts w:hint="default" w:ascii="Times New Roman" w:hAnsi="Times New Roman"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（1）工艺废气污染源强产生及排放情况</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工程废气包括锅炉燃气废气、投料搅拌过程粉尘。</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fldChar w:fldCharType="begin"/>
            </w:r>
            <w:r>
              <w:rPr>
                <w:rFonts w:hint="default" w:ascii="Times New Roman" w:hAnsi="Times New Roman" w:cs="Times New Roman"/>
                <w:b/>
                <w:bCs/>
                <w:color w:val="auto"/>
                <w:highlight w:val="none"/>
              </w:rPr>
              <w:instrText xml:space="preserve"> = 1 \* GB3 \* MERGEFORMAT </w:instrText>
            </w:r>
            <w:r>
              <w:rPr>
                <w:rFonts w:hint="default" w:ascii="Times New Roman" w:hAnsi="Times New Roman" w:cs="Times New Roman"/>
                <w:b/>
                <w:bCs/>
                <w:color w:val="auto"/>
                <w:highlight w:val="none"/>
              </w:rPr>
              <w:fldChar w:fldCharType="separate"/>
            </w:r>
            <w:r>
              <w:rPr>
                <w:b/>
                <w:bCs/>
              </w:rPr>
              <w:t>①</w:t>
            </w:r>
            <w:r>
              <w:rPr>
                <w:rFonts w:hint="default" w:ascii="Times New Roman" w:hAnsi="Times New Roman" w:cs="Times New Roman"/>
                <w:b/>
                <w:bCs/>
                <w:color w:val="auto"/>
                <w:highlight w:val="none"/>
              </w:rPr>
              <w:fldChar w:fldCharType="end"/>
            </w:r>
            <w:r>
              <w:rPr>
                <w:rFonts w:hint="default" w:ascii="Times New Roman" w:hAnsi="Times New Roman" w:cs="Times New Roman"/>
                <w:b/>
                <w:bCs/>
                <w:color w:val="auto"/>
                <w:highlight w:val="none"/>
              </w:rPr>
              <w:t>锅炉废气</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工程拟建设一台2t/h燃气锅炉为</w:t>
            </w:r>
            <w:r>
              <w:rPr>
                <w:rFonts w:hint="default" w:ascii="Times New Roman" w:hAnsi="Times New Roman" w:cs="Times New Roman"/>
                <w:color w:val="auto"/>
                <w:highlight w:val="none"/>
                <w:lang w:eastAsia="zh-CN"/>
              </w:rPr>
              <w:t>烤麸</w:t>
            </w:r>
            <w:r>
              <w:rPr>
                <w:rFonts w:hint="default" w:ascii="Times New Roman" w:hAnsi="Times New Roman" w:cs="Times New Roman"/>
                <w:color w:val="auto"/>
                <w:highlight w:val="none"/>
              </w:rPr>
              <w:t>生产过程中的</w:t>
            </w:r>
            <w:r>
              <w:rPr>
                <w:rFonts w:hint="default" w:ascii="Times New Roman" w:hAnsi="Times New Roman" w:cs="Times New Roman"/>
                <w:color w:val="auto"/>
                <w:highlight w:val="none"/>
                <w:lang w:eastAsia="zh-CN"/>
              </w:rPr>
              <w:t>蒸煮和烘干</w:t>
            </w:r>
            <w:r>
              <w:rPr>
                <w:rFonts w:hint="default" w:ascii="Times New Roman" w:hAnsi="Times New Roman" w:cs="Times New Roman"/>
                <w:color w:val="auto"/>
                <w:highlight w:val="none"/>
              </w:rPr>
              <w:t>工序提供蒸汽。根据建设单位提供资料，</w:t>
            </w:r>
            <w:r>
              <w:rPr>
                <w:rFonts w:hint="default" w:ascii="Times New Roman" w:hAnsi="Times New Roman" w:cs="Times New Roman"/>
                <w:color w:val="auto"/>
                <w:highlight w:val="none"/>
                <w:lang w:val="en-US" w:eastAsia="zh-CN"/>
              </w:rPr>
              <w:t>项目2t锅炉天然气耗气量约为144m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w:t>
            </w:r>
            <w:r>
              <w:rPr>
                <w:rFonts w:hint="eastAsia" w:cs="Times New Roman"/>
                <w:color w:val="auto"/>
                <w:highlight w:val="none"/>
                <w:lang w:val="en-US" w:eastAsia="zh-CN"/>
              </w:rPr>
              <w:t>年工作时间为2400h/a，</w:t>
            </w:r>
            <w:r>
              <w:rPr>
                <w:rFonts w:hint="default" w:ascii="Times New Roman" w:hAnsi="Times New Roman" w:cs="Times New Roman"/>
                <w:color w:val="auto"/>
                <w:highlight w:val="none"/>
                <w:lang w:val="en-US" w:eastAsia="zh-CN"/>
              </w:rPr>
              <w:t>经计算年天然气用气量约为34.56万</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rPr>
              <w:t>天然气属清洁能源，其燃烧废气中主要污染因子为SO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x</w:t>
            </w:r>
            <w:r>
              <w:rPr>
                <w:rFonts w:hint="default" w:ascii="Times New Roman" w:hAnsi="Times New Roman" w:cs="Times New Roman"/>
                <w:color w:val="auto"/>
                <w:highlight w:val="none"/>
              </w:rPr>
              <w:t>、烟尘等。</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据调查《封丘县牧源畜禽无害化处理有限公司年处理病死畜禽3000吨无害化处理及综合利用项目》验收检测报告</w:t>
            </w:r>
            <w:r>
              <w:rPr>
                <w:rFonts w:hint="default" w:ascii="Times New Roman" w:hAnsi="Times New Roman" w:cs="Times New Roman"/>
                <w:color w:val="auto"/>
                <w:highlight w:val="none"/>
                <w:lang w:eastAsia="zh-CN"/>
              </w:rPr>
              <w:t>和</w:t>
            </w:r>
            <w:r>
              <w:rPr>
                <w:rFonts w:hint="default" w:ascii="Times New Roman" w:hAnsi="Times New Roman" w:cs="Times New Roman"/>
                <w:color w:val="auto"/>
                <w:highlight w:val="none"/>
              </w:rPr>
              <w:t>《新乡市凤泉区宏宇食品有限公司年产1000吨馍干项目》验收监测数据，</w:t>
            </w:r>
            <w:r>
              <w:rPr>
                <w:rFonts w:hint="default" w:ascii="Times New Roman" w:hAnsi="Times New Roman" w:cs="Times New Roman"/>
                <w:color w:val="auto"/>
                <w:highlight w:val="none"/>
                <w:lang w:eastAsia="zh-CN"/>
              </w:rPr>
              <w:t>燃气锅炉</w:t>
            </w:r>
            <w:r>
              <w:rPr>
                <w:rFonts w:hint="default" w:ascii="Times New Roman" w:hAnsi="Times New Roman" w:cs="Times New Roman"/>
                <w:color w:val="auto"/>
                <w:highlight w:val="none"/>
              </w:rPr>
              <w:t>采用低氮燃烧装置后，</w:t>
            </w:r>
            <w:r>
              <w:rPr>
                <w:rFonts w:hint="default" w:ascii="Times New Roman" w:hAnsi="Times New Roman" w:cs="Times New Roman"/>
                <w:color w:val="auto"/>
                <w:highlight w:val="none"/>
                <w:lang w:eastAsia="zh-CN"/>
              </w:rPr>
              <w:t>排放废气中</w:t>
            </w:r>
            <w:r>
              <w:rPr>
                <w:rFonts w:hint="default" w:ascii="Times New Roman" w:hAnsi="Times New Roman" w:cs="Times New Roman"/>
                <w:color w:val="auto"/>
                <w:highlight w:val="none"/>
              </w:rPr>
              <w:t>烟尘、二氧化硫、氮氧化物排放浓度最高值</w:t>
            </w:r>
            <w:r>
              <w:rPr>
                <w:rFonts w:hint="default" w:ascii="Times New Roman" w:hAnsi="Times New Roman" w:cs="Times New Roman"/>
                <w:color w:val="auto"/>
                <w:highlight w:val="none"/>
                <w:lang w:eastAsia="zh-CN"/>
              </w:rPr>
              <w:t>如下：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default" w:eastAsia="黑体" w:cs="Times New Roman"/>
                <w:color w:val="auto"/>
                <w:sz w:val="18"/>
                <w:szCs w:val="18"/>
                <w:highlight w:val="none"/>
                <w:lang w:val="en-US" w:eastAsia="zh-CN"/>
              </w:rPr>
              <w:t xml:space="preserve">     锅炉废气排放浓度最高值</w:t>
            </w:r>
          </w:p>
          <w:tbl>
            <w:tblPr>
              <w:tblStyle w:val="17"/>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87"/>
              <w:gridCol w:w="835"/>
              <w:gridCol w:w="1085"/>
              <w:gridCol w:w="1085"/>
              <w:gridCol w:w="10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8" w:type="pct"/>
                  <w:vMerge w:val="restar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项目名称</w:t>
                  </w:r>
                </w:p>
              </w:tc>
              <w:tc>
                <w:tcPr>
                  <w:tcW w:w="573" w:type="pct"/>
                  <w:vMerge w:val="restar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vertAlign w:val="baseline"/>
                      <w:lang w:eastAsia="zh-CN"/>
                    </w:rPr>
                  </w:pPr>
                  <w:r>
                    <w:rPr>
                      <w:rFonts w:hint="default" w:ascii="Times New Roman" w:hAnsi="Times New Roman" w:cs="Times New Roman"/>
                      <w:color w:val="auto"/>
                      <w:sz w:val="18"/>
                      <w:szCs w:val="18"/>
                      <w:highlight w:val="none"/>
                      <w:vertAlign w:val="baseline"/>
                      <w:lang w:eastAsia="zh-CN"/>
                    </w:rPr>
                    <w:t>采取</w:t>
                  </w:r>
                </w:p>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cs="Times New Roman"/>
                      <w:color w:val="auto"/>
                      <w:sz w:val="18"/>
                      <w:szCs w:val="18"/>
                      <w:highlight w:val="none"/>
                      <w:vertAlign w:val="baseline"/>
                      <w:lang w:eastAsia="zh-CN"/>
                    </w:rPr>
                    <w:t>措施</w:t>
                  </w:r>
                </w:p>
              </w:tc>
              <w:tc>
                <w:tcPr>
                  <w:tcW w:w="2238" w:type="pct"/>
                  <w:gridSpan w:val="3"/>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cs="Times New Roman"/>
                      <w:color w:val="auto"/>
                      <w:sz w:val="18"/>
                      <w:szCs w:val="18"/>
                      <w:highlight w:val="none"/>
                      <w:vertAlign w:val="baseline"/>
                      <w:lang w:val="en-US" w:eastAsia="zh-CN"/>
                    </w:rPr>
                    <w:t>8m高排气筒</w:t>
                  </w:r>
                  <w:r>
                    <w:rPr>
                      <w:rFonts w:hint="default" w:ascii="Times New Roman" w:hAnsi="Times New Roman" w:cs="Times New Roman"/>
                      <w:color w:val="auto"/>
                      <w:sz w:val="18"/>
                      <w:szCs w:val="18"/>
                      <w:highlight w:val="none"/>
                      <w:vertAlign w:val="baseline"/>
                      <w:lang w:eastAsia="zh-CN"/>
                    </w:rPr>
                    <w:t>排放最高值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8" w:type="pct"/>
                  <w:vMerge w:val="continue"/>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vertAlign w:val="baseline"/>
                      <w:lang w:val="en-US" w:eastAsia="zh-CN"/>
                    </w:rPr>
                  </w:pPr>
                </w:p>
              </w:tc>
              <w:tc>
                <w:tcPr>
                  <w:tcW w:w="573" w:type="pct"/>
                  <w:vMerge w:val="continue"/>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vertAlign w:val="baseline"/>
                      <w:lang w:eastAsia="zh-CN"/>
                    </w:rPr>
                  </w:pPr>
                </w:p>
              </w:tc>
              <w:tc>
                <w:tcPr>
                  <w:tcW w:w="745" w:type="pc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cs="Times New Roman"/>
                      <w:color w:val="auto"/>
                      <w:sz w:val="18"/>
                      <w:szCs w:val="18"/>
                      <w:highlight w:val="none"/>
                      <w:vertAlign w:val="baseline"/>
                      <w:lang w:eastAsia="zh-CN"/>
                    </w:rPr>
                    <w:t>颗粒物（</w:t>
                  </w:r>
                  <w:r>
                    <w:rPr>
                      <w:rFonts w:hint="default" w:ascii="Times New Roman" w:hAnsi="Times New Roman" w:cs="Times New Roman"/>
                      <w:color w:val="auto"/>
                      <w:sz w:val="18"/>
                      <w:szCs w:val="18"/>
                      <w:highlight w:val="none"/>
                    </w:rPr>
                    <w:t>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vertAlign w:val="baseline"/>
                      <w:lang w:eastAsia="zh-CN"/>
                    </w:rPr>
                    <w:t>）</w:t>
                  </w:r>
                </w:p>
              </w:tc>
              <w:tc>
                <w:tcPr>
                  <w:tcW w:w="745" w:type="pc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SO</w:t>
                  </w:r>
                  <w:r>
                    <w:rPr>
                      <w:rFonts w:hint="default" w:ascii="Times New Roman" w:hAnsi="Times New Roman" w:cs="Times New Roman"/>
                      <w:color w:val="auto"/>
                      <w:sz w:val="18"/>
                      <w:szCs w:val="18"/>
                      <w:highlight w:val="none"/>
                      <w:vertAlign w:val="subscript"/>
                      <w:lang w:val="en-US" w:eastAsia="zh-CN"/>
                    </w:rPr>
                    <w:t>2</w:t>
                  </w:r>
                  <w:r>
                    <w:rPr>
                      <w:rFonts w:hint="default" w:ascii="Times New Roman" w:hAnsi="Times New Roman" w:cs="Times New Roman"/>
                      <w:color w:val="auto"/>
                      <w:sz w:val="18"/>
                      <w:szCs w:val="18"/>
                      <w:highlight w:val="none"/>
                      <w:vertAlign w:val="baseline"/>
                      <w:lang w:eastAsia="zh-CN"/>
                    </w:rPr>
                    <w:t>（</w:t>
                  </w:r>
                  <w:r>
                    <w:rPr>
                      <w:rFonts w:hint="default" w:ascii="Times New Roman" w:hAnsi="Times New Roman" w:cs="Times New Roman"/>
                      <w:color w:val="auto"/>
                      <w:sz w:val="18"/>
                      <w:szCs w:val="18"/>
                      <w:highlight w:val="none"/>
                    </w:rPr>
                    <w:t>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vertAlign w:val="baseline"/>
                      <w:lang w:eastAsia="zh-CN"/>
                    </w:rPr>
                    <w:t>）</w:t>
                  </w:r>
                </w:p>
              </w:tc>
              <w:tc>
                <w:tcPr>
                  <w:tcW w:w="746" w:type="pc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NO</w:t>
                  </w:r>
                  <w:r>
                    <w:rPr>
                      <w:rFonts w:hint="default" w:ascii="Times New Roman" w:hAnsi="Times New Roman" w:cs="Times New Roman"/>
                      <w:color w:val="auto"/>
                      <w:sz w:val="18"/>
                      <w:szCs w:val="18"/>
                      <w:highlight w:val="none"/>
                      <w:vertAlign w:val="subscript"/>
                      <w:lang w:val="en-US" w:eastAsia="zh-CN"/>
                    </w:rPr>
                    <w:t>x</w:t>
                  </w:r>
                  <w:r>
                    <w:rPr>
                      <w:rFonts w:hint="default" w:ascii="Times New Roman" w:hAnsi="Times New Roman" w:cs="Times New Roman"/>
                      <w:color w:val="auto"/>
                      <w:sz w:val="18"/>
                      <w:szCs w:val="18"/>
                      <w:highlight w:val="none"/>
                      <w:vertAlign w:val="baseline"/>
                      <w:lang w:eastAsia="zh-CN"/>
                    </w:rPr>
                    <w:t>（</w:t>
                  </w:r>
                  <w:r>
                    <w:rPr>
                      <w:rFonts w:hint="default" w:ascii="Times New Roman" w:hAnsi="Times New Roman" w:cs="Times New Roman"/>
                      <w:color w:val="auto"/>
                      <w:sz w:val="18"/>
                      <w:szCs w:val="18"/>
                      <w:highlight w:val="none"/>
                    </w:rPr>
                    <w:t>mg/</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vertAlign w:val="baseli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8" w:type="pc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vertAlign w:val="baseline"/>
                    </w:rPr>
                  </w:pPr>
                  <w:r>
                    <w:rPr>
                      <w:rFonts w:hint="default" w:ascii="Times New Roman" w:hAnsi="Times New Roman" w:cs="Times New Roman"/>
                      <w:color w:val="auto"/>
                      <w:sz w:val="18"/>
                      <w:szCs w:val="18"/>
                      <w:highlight w:val="none"/>
                      <w:vertAlign w:val="baseline"/>
                    </w:rPr>
                    <w:t>封丘县牧源畜禽无害化处理有限公司年处理病死畜禽3000吨无害化处理及综合利用项目</w:t>
                  </w:r>
                </w:p>
              </w:tc>
              <w:tc>
                <w:tcPr>
                  <w:tcW w:w="573" w:type="pc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低氮燃烧装置</w:t>
                  </w:r>
                </w:p>
              </w:tc>
              <w:tc>
                <w:tcPr>
                  <w:tcW w:w="745" w:type="pc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3.6</w:t>
                  </w:r>
                </w:p>
              </w:tc>
              <w:tc>
                <w:tcPr>
                  <w:tcW w:w="745" w:type="pc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8</w:t>
                  </w:r>
                </w:p>
              </w:tc>
              <w:tc>
                <w:tcPr>
                  <w:tcW w:w="746" w:type="pc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8" w:type="pc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vertAlign w:val="baseline"/>
                    </w:rPr>
                  </w:pPr>
                  <w:r>
                    <w:rPr>
                      <w:rFonts w:hint="default" w:ascii="Times New Roman" w:hAnsi="Times New Roman" w:cs="Times New Roman"/>
                      <w:color w:val="auto"/>
                      <w:sz w:val="18"/>
                      <w:szCs w:val="18"/>
                      <w:highlight w:val="none"/>
                      <w:vertAlign w:val="baseline"/>
                    </w:rPr>
                    <w:t>新乡市凤泉区宏宇食品有限公司年产1000吨馍干项目</w:t>
                  </w:r>
                </w:p>
              </w:tc>
              <w:tc>
                <w:tcPr>
                  <w:tcW w:w="573" w:type="pc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低氮燃烧装置</w:t>
                  </w:r>
                </w:p>
              </w:tc>
              <w:tc>
                <w:tcPr>
                  <w:tcW w:w="745" w:type="pc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4.9</w:t>
                  </w:r>
                </w:p>
              </w:tc>
              <w:tc>
                <w:tcPr>
                  <w:tcW w:w="745" w:type="pc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9</w:t>
                  </w:r>
                </w:p>
              </w:tc>
              <w:tc>
                <w:tcPr>
                  <w:tcW w:w="746" w:type="pct"/>
                  <w:tcBorders>
                    <w:tl2br w:val="nil"/>
                    <w:tr2bl w:val="nil"/>
                  </w:tcBorders>
                  <w:vAlign w:val="center"/>
                </w:tcPr>
                <w:p>
                  <w:pPr>
                    <w:keepNext w:val="0"/>
                    <w:keepLines w:val="0"/>
                    <w:pageBreakBefore w:val="0"/>
                    <w:widowControl w:val="0"/>
                    <w:tabs>
                      <w:tab w:val="center" w:pos="477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28</w:t>
                  </w:r>
                </w:p>
              </w:tc>
            </w:tr>
          </w:tbl>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由上表可知，天然气锅炉经低氮燃烧技术处理后，能够</w:t>
            </w:r>
            <w:r>
              <w:rPr>
                <w:rFonts w:hint="default" w:ascii="Times New Roman" w:hAnsi="Times New Roman" w:cs="Times New Roman"/>
                <w:color w:val="auto"/>
                <w:highlight w:val="none"/>
              </w:rPr>
              <w:t>满足《锅炉大气污染物排放标准》（DB41/2089-2021）表1燃气锅炉</w:t>
            </w:r>
            <w:r>
              <w:rPr>
                <w:rFonts w:hint="eastAsia" w:cs="Times New Roman"/>
                <w:color w:val="auto"/>
                <w:highlight w:val="none"/>
                <w:lang w:eastAsia="zh-CN"/>
              </w:rPr>
              <w:t>要求和</w:t>
            </w:r>
            <w:r>
              <w:rPr>
                <w:rFonts w:hint="default" w:ascii="Times New Roman" w:hAnsi="Times New Roman" w:cs="Times New Roman"/>
                <w:color w:val="auto"/>
                <w:highlight w:val="none"/>
              </w:rPr>
              <w:t>《新乡市2019年大气污染防治攻坚战实施方案》（新环攻坚办〔2019〕74号）中天燃气锅炉完成低氮改造后烟尘、二氧化硫、氮氧化物排放浓度分别不高于5、10、30毫克/立方米的要求。因此评价提出：本项目燃气锅炉采取低氮燃烧+烟气循环技术，以降低氮氧化物的产生浓度及产生量，保证烟尘、二氧化硫、氮氧化物排放浓度分别不高于5mg/</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highlight w:val="none"/>
              </w:rPr>
              <w:t>、10mg/</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highlight w:val="none"/>
              </w:rPr>
              <w:t>、30mg/</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highlight w:val="none"/>
              </w:rPr>
              <w:t>。</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低氮燃烧是将燃料燃烧过程中已经生成的NO</w:t>
            </w:r>
            <w:r>
              <w:rPr>
                <w:rFonts w:hint="default" w:ascii="Times New Roman" w:hAnsi="Times New Roman" w:cs="Times New Roman"/>
                <w:color w:val="auto"/>
                <w:highlight w:val="none"/>
                <w:vertAlign w:val="subscript"/>
              </w:rPr>
              <w:t>x</w:t>
            </w:r>
            <w:r>
              <w:rPr>
                <w:rFonts w:hint="default" w:ascii="Times New Roman" w:hAnsi="Times New Roman" w:cs="Times New Roman"/>
                <w:color w:val="auto"/>
                <w:highlight w:val="none"/>
              </w:rPr>
              <w:t>还原为N</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，采用二次燃烧，在欠氧下燃烧形成活化原子团，用它还原主燃烧区产生的NO</w:t>
            </w:r>
            <w:r>
              <w:rPr>
                <w:rFonts w:hint="default" w:ascii="Times New Roman" w:hAnsi="Times New Roman" w:cs="Times New Roman"/>
                <w:color w:val="auto"/>
                <w:highlight w:val="none"/>
                <w:vertAlign w:val="subscript"/>
              </w:rPr>
              <w:t>x</w:t>
            </w:r>
            <w:r>
              <w:rPr>
                <w:rFonts w:hint="default" w:ascii="Times New Roman" w:hAnsi="Times New Roman" w:cs="Times New Roman"/>
                <w:color w:val="auto"/>
                <w:highlight w:val="none"/>
              </w:rPr>
              <w:t>。烟气循环技术是从锅炉尾部节能器烟气出口抽取烟气，加入到二次风或一次风内，在通过燃烧风机或再循环风机送入炉膛</w:t>
            </w:r>
            <w:r>
              <w:rPr>
                <w:rFonts w:hint="default" w:ascii="Times New Roman" w:hAnsi="Times New Roman" w:cs="Times New Roman"/>
                <w:color w:val="auto"/>
                <w:highlight w:val="none"/>
                <w:lang w:eastAsia="zh-CN"/>
              </w:rPr>
              <w:t>，将</w:t>
            </w:r>
            <w:r>
              <w:rPr>
                <w:rFonts w:hint="default" w:ascii="Times New Roman" w:hAnsi="Times New Roman" w:cs="Times New Roman"/>
                <w:color w:val="auto"/>
                <w:highlight w:val="none"/>
              </w:rPr>
              <w:t>再循环烟气掺入燃烧空气中，烟气吸热且稀释了氧浓度，使燃烧速度和炉内温度降低，因而减少了热力型NOx</w:t>
            </w:r>
            <w:r>
              <w:rPr>
                <w:rFonts w:hint="eastAsia" w:cs="Times New Roman"/>
                <w:color w:val="auto"/>
                <w:highlight w:val="none"/>
                <w:lang w:eastAsia="zh-CN"/>
              </w:rPr>
              <w:t>，因此项目锅炉采用低氮燃烧方式可行</w:t>
            </w:r>
            <w:r>
              <w:rPr>
                <w:rFonts w:hint="default" w:ascii="Times New Roman" w:hAnsi="Times New Roman" w:cs="Times New Roman"/>
                <w:color w:val="auto"/>
                <w:highlight w:val="none"/>
              </w:rPr>
              <w:t>。</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根据《排污许可证申请与核发技术规范</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锅炉》，本项目为天燃气锅炉，基准烟气量为：</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object>
                <v:shape id="_x0000_i1025" o:spt="75" type="#_x0000_t75" style="height:18.75pt;width:117.75pt;" o:ole="t" filled="f" o:preferrelative="t" stroked="f" coordsize="21600,21600">
                  <v:path/>
                  <v:fill on="f" focussize="0,0"/>
                  <v:stroke on="f"/>
                  <v:imagedata r:id="rId19" o:title=""/>
                  <o:lock v:ext="edit" aspectratio="t"/>
                  <w10:wrap type="none"/>
                  <w10:anchorlock/>
                </v:shape>
                <o:OLEObject Type="Embed" ProgID="Equation.KSEE3" ShapeID="_x0000_i1025" DrawAspect="Content" ObjectID="_1468075728" r:id="rId18">
                  <o:LockedField>false</o:LockedField>
                </o:OLEObject>
              </w:objec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color w:val="auto"/>
                <w:highlight w:val="none"/>
              </w:rPr>
              <w:object>
                <v:shape id="_x0000_i1026" o:spt="75" type="#_x0000_t75" style="height:15.75pt;width:27pt;" o:ole="t" filled="f" o:preferrelative="t" stroked="f" coordsize="21600,21600">
                  <v:path/>
                  <v:fill on="f" focussize="0,0"/>
                  <v:stroke on="f"/>
                  <v:imagedata r:id="rId21" o:title=""/>
                  <o:lock v:ext="edit" aspectratio="t"/>
                  <w10:wrap type="none"/>
                  <w10:anchorlock/>
                </v:shape>
                <o:OLEObject Type="Embed" ProgID="Equation.KSEE3" ShapeID="_x0000_i1026" DrawAspect="Content" ObjectID="_1468075729" r:id="rId20">
                  <o:LockedField>false</o:LockedField>
                </o:OLEObject>
              </w:object>
            </w:r>
            <w:r>
              <w:rPr>
                <w:rFonts w:hint="default" w:ascii="Times New Roman" w:hAnsi="Times New Roman" w:cs="Times New Roman"/>
                <w:color w:val="auto"/>
                <w:highlight w:val="none"/>
              </w:rPr>
              <w:t>为气体燃料低位发热量（MJ/</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highlight w:val="none"/>
              </w:rPr>
              <w:t>），本项目使用的天然气低位发热量为34.886MJ/</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highlight w:val="none"/>
              </w:rPr>
              <w:t>。</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经计算，基准烟气量为10.2855N</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根据企业听资料，项目锅炉每小时天然气消耗量约为</w:t>
            </w:r>
            <w:r>
              <w:rPr>
                <w:rFonts w:hint="default" w:ascii="Times New Roman" w:hAnsi="Times New Roman" w:cs="Times New Roman"/>
                <w:color w:val="auto"/>
                <w:highlight w:val="none"/>
                <w:lang w:val="en-US" w:eastAsia="zh-CN"/>
              </w:rPr>
              <w:t>144立方米，项目锅炉年工作时间为2400h，则</w:t>
            </w:r>
            <w:r>
              <w:rPr>
                <w:rFonts w:hint="default" w:ascii="Times New Roman" w:hAnsi="Times New Roman" w:cs="Times New Roman"/>
                <w:color w:val="auto"/>
                <w:highlight w:val="none"/>
                <w:lang w:eastAsia="zh-CN"/>
              </w:rPr>
              <w:t>本项目天然气年用量为34.56万m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rPr>
              <w:t>则该锅炉年基准烟气量为</w:t>
            </w:r>
            <w:r>
              <w:rPr>
                <w:rFonts w:hint="default" w:ascii="Times New Roman" w:hAnsi="Times New Roman" w:cs="Times New Roman"/>
                <w:color w:val="auto"/>
                <w:highlight w:val="none"/>
                <w:lang w:val="en-US" w:eastAsia="zh-CN"/>
              </w:rPr>
              <w:t>355.4669</w:t>
            </w:r>
            <w:r>
              <w:rPr>
                <w:rFonts w:hint="default" w:ascii="Times New Roman" w:hAnsi="Times New Roman" w:cs="Times New Roman"/>
                <w:color w:val="auto"/>
                <w:highlight w:val="none"/>
              </w:rPr>
              <w:t>万N</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/a。</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根据《排污许可证申请与核发技术规范锅炉》，本项目燃料为气体燃料，则年许可排放量为：</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7" o:spt="75" type="#_x0000_t75" style="height:23.25pt;width:159.75pt;" o:ole="t" filled="f" o:preferrelative="t" stroked="f" coordsize="21600,21600">
                  <v:path/>
                  <v:fill on="f" focussize="0,0"/>
                  <v:stroke on="f"/>
                  <v:imagedata r:id="rId23" o:title=""/>
                  <o:lock v:ext="edit" aspectratio="t"/>
                  <w10:wrap type="none"/>
                  <w10:anchorlock/>
                </v:shape>
                <o:OLEObject Type="Embed" ProgID="Equation.KSEE3" ShapeID="_x0000_i1027" DrawAspect="Content" ObjectID="_1468075730" r:id="rId22">
                  <o:LockedField>false</o:LockedField>
                </o:OLEObject>
              </w:objec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式中：Ci—第i个主要排放口污染物排放标准浓度限值，mg/</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Vi—第i个主要排放口基准烟气量，N</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Ri—第i个主要排放口所对应的锅炉前三年年平均燃料使用量，吨或万</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本项目执行《新乡市2019年大气污染防治攻坚战实施方案》（新环攻坚办〔2019〕74号）中天燃气锅炉颗粒物＜5mg/</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、二氧化硫＜10mg/</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、氮氧化物＜30mg/</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的限值要求。因此，本项目锅炉废气污染物年许可排放量为：</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烟尘：5mg/</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×10.2855N</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34.56万m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vertAlign w:val="superscript"/>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0.0178</w:t>
            </w:r>
            <w:r>
              <w:rPr>
                <w:rFonts w:hint="default" w:ascii="Times New Roman" w:hAnsi="Times New Roman" w:cs="Times New Roman"/>
                <w:color w:val="auto"/>
                <w:highlight w:val="none"/>
              </w:rPr>
              <w:t>t/a</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二氧化硫：</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mg/</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×10.2855N</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34.56万m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vertAlign w:val="superscript"/>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0.0355</w:t>
            </w:r>
            <w:r>
              <w:rPr>
                <w:rFonts w:hint="default" w:ascii="Times New Roman" w:hAnsi="Times New Roman" w:cs="Times New Roman"/>
                <w:color w:val="auto"/>
                <w:highlight w:val="none"/>
              </w:rPr>
              <w:t>t/a</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氮氧化物：</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mg/</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×10.2855N</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34.56万m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vertAlign w:val="superscript"/>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0.1066</w:t>
            </w:r>
            <w:r>
              <w:rPr>
                <w:rFonts w:hint="default" w:ascii="Times New Roman" w:hAnsi="Times New Roman" w:cs="Times New Roman"/>
                <w:color w:val="auto"/>
                <w:highlight w:val="none"/>
              </w:rPr>
              <w:t>t/a</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4"/>
              </w:rPr>
            </w:pPr>
            <w:r>
              <w:rPr>
                <w:rFonts w:hint="default" w:ascii="Times New Roman" w:hAnsi="Times New Roman" w:cs="Times New Roman"/>
                <w:color w:val="auto"/>
                <w:highlight w:val="none"/>
              </w:rPr>
              <w:t>即本项目天然气燃烧废气排放情况如下。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default" w:eastAsia="黑体" w:cs="Times New Roman"/>
                <w:color w:val="auto"/>
                <w:sz w:val="18"/>
                <w:szCs w:val="18"/>
                <w:highlight w:val="none"/>
                <w:lang w:val="en-US" w:eastAsia="zh-CN"/>
              </w:rPr>
              <w:t xml:space="preserve">  天然气燃烧废气排放情况一览表</w:t>
            </w:r>
          </w:p>
          <w:tbl>
            <w:tblPr>
              <w:tblStyle w:val="16"/>
              <w:tblW w:w="4997" w:type="pct"/>
              <w:jc w:val="center"/>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050"/>
              <w:gridCol w:w="1694"/>
              <w:gridCol w:w="1691"/>
              <w:gridCol w:w="1844"/>
            </w:tblGrid>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08" w:type="pct"/>
                  <w:noWrap w:val="0"/>
                  <w:vAlign w:val="center"/>
                </w:tcPr>
                <w:p>
                  <w:pPr>
                    <w:pStyle w:val="28"/>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排放源</w:t>
                  </w:r>
                </w:p>
              </w:tc>
              <w:tc>
                <w:tcPr>
                  <w:tcW w:w="1163" w:type="pct"/>
                  <w:noWrap w:val="0"/>
                  <w:vAlign w:val="center"/>
                </w:tcPr>
                <w:p>
                  <w:pPr>
                    <w:pStyle w:val="28"/>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污染因子</w:t>
                  </w:r>
                </w:p>
              </w:tc>
              <w:tc>
                <w:tcPr>
                  <w:tcW w:w="1161" w:type="pct"/>
                  <w:noWrap w:val="0"/>
                  <w:vAlign w:val="center"/>
                </w:tcPr>
                <w:p>
                  <w:pPr>
                    <w:pStyle w:val="28"/>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排放量（t/a）</w:t>
                  </w:r>
                </w:p>
              </w:tc>
              <w:tc>
                <w:tcPr>
                  <w:tcW w:w="1266" w:type="pct"/>
                  <w:noWrap w:val="0"/>
                  <w:vAlign w:val="center"/>
                </w:tcPr>
                <w:p>
                  <w:pPr>
                    <w:pStyle w:val="28"/>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排放浓度（mg/</w:t>
                  </w:r>
                  <w:r>
                    <w:rPr>
                      <w:rFonts w:hint="default" w:ascii="Times New Roman" w:hAnsi="Times New Roman" w:cs="Times New Roman" w:eastAsiaTheme="minorEastAsia"/>
                      <w:b w:val="0"/>
                      <w:bCs/>
                      <w:color w:val="auto"/>
                      <w:sz w:val="18"/>
                      <w:szCs w:val="18"/>
                      <w:lang w:val="en-US" w:eastAsia="zh-CN"/>
                    </w:rPr>
                    <w:t>m</w:t>
                  </w:r>
                  <w:r>
                    <w:rPr>
                      <w:rFonts w:hint="default" w:ascii="Times New Roman" w:hAnsi="Times New Roman" w:cs="Times New Roman" w:eastAsiaTheme="minorEastAsia"/>
                      <w:b w:val="0"/>
                      <w:bCs/>
                      <w:color w:val="auto"/>
                      <w:sz w:val="18"/>
                      <w:szCs w:val="18"/>
                      <w:vertAlign w:val="superscript"/>
                      <w:lang w:val="en-US" w:eastAsia="zh-CN"/>
                    </w:rPr>
                    <w:t>3</w:t>
                  </w:r>
                  <w:r>
                    <w:rPr>
                      <w:rFonts w:hint="default" w:ascii="Times New Roman" w:hAnsi="Times New Roman" w:cs="Times New Roman"/>
                      <w:b w:val="0"/>
                      <w:color w:val="auto"/>
                      <w:sz w:val="18"/>
                      <w:szCs w:val="18"/>
                      <w:highlight w:val="none"/>
                    </w:rPr>
                    <w:t>）</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08" w:type="pct"/>
                  <w:vMerge w:val="restart"/>
                  <w:noWrap w:val="0"/>
                  <w:vAlign w:val="center"/>
                </w:tcPr>
                <w:p>
                  <w:pPr>
                    <w:pStyle w:val="2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年基准</w:t>
                  </w:r>
                  <w:r>
                    <w:rPr>
                      <w:rFonts w:hint="default" w:ascii="Times New Roman" w:hAnsi="Times New Roman" w:cs="Times New Roman"/>
                      <w:color w:val="auto"/>
                      <w:sz w:val="18"/>
                      <w:szCs w:val="18"/>
                      <w:highlight w:val="none"/>
                    </w:rPr>
                    <w:t>烟气量</w:t>
                  </w:r>
                  <w:r>
                    <w:rPr>
                      <w:rFonts w:hint="default" w:ascii="Times New Roman" w:hAnsi="Times New Roman" w:cs="Times New Roman"/>
                      <w:color w:val="auto"/>
                      <w:sz w:val="18"/>
                      <w:szCs w:val="18"/>
                      <w:highlight w:val="none"/>
                      <w:lang w:val="en-US" w:eastAsia="zh-CN"/>
                    </w:rPr>
                    <w:t>355.4669</w:t>
                  </w:r>
                  <w:r>
                    <w:rPr>
                      <w:rFonts w:hint="default" w:ascii="Times New Roman" w:hAnsi="Times New Roman" w:cs="Times New Roman"/>
                      <w:color w:val="auto"/>
                      <w:sz w:val="18"/>
                      <w:szCs w:val="18"/>
                      <w:highlight w:val="none"/>
                    </w:rPr>
                    <w:t>万N</w:t>
                  </w:r>
                  <w:r>
                    <w:rPr>
                      <w:rFonts w:hint="default" w:ascii="Times New Roman" w:hAnsi="Times New Roman" w:cs="Times New Roman" w:eastAsiaTheme="minorEastAsia"/>
                      <w:b w:val="0"/>
                      <w:bCs/>
                      <w:color w:val="auto"/>
                      <w:sz w:val="18"/>
                      <w:szCs w:val="18"/>
                      <w:lang w:val="en-US" w:eastAsia="zh-CN"/>
                    </w:rPr>
                    <w:t>m</w:t>
                  </w:r>
                  <w:r>
                    <w:rPr>
                      <w:rFonts w:hint="default" w:ascii="Times New Roman" w:hAnsi="Times New Roman" w:cs="Times New Roman" w:eastAsiaTheme="minorEastAsia"/>
                      <w:b w:val="0"/>
                      <w:bCs/>
                      <w:color w:val="auto"/>
                      <w:sz w:val="18"/>
                      <w:szCs w:val="18"/>
                      <w:vertAlign w:val="superscript"/>
                      <w:lang w:val="en-US" w:eastAsia="zh-CN"/>
                    </w:rPr>
                    <w:t>3</w:t>
                  </w:r>
                  <w:r>
                    <w:rPr>
                      <w:rFonts w:hint="default" w:ascii="Times New Roman" w:hAnsi="Times New Roman" w:cs="Times New Roman"/>
                      <w:color w:val="auto"/>
                      <w:sz w:val="18"/>
                      <w:szCs w:val="18"/>
                      <w:highlight w:val="none"/>
                    </w:rPr>
                    <w:t>/a</w:t>
                  </w:r>
                </w:p>
              </w:tc>
              <w:tc>
                <w:tcPr>
                  <w:tcW w:w="1163" w:type="pct"/>
                  <w:noWrap w:val="0"/>
                  <w:vAlign w:val="center"/>
                </w:tcPr>
                <w:p>
                  <w:pPr>
                    <w:pStyle w:val="2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烟尘</w:t>
                  </w:r>
                </w:p>
              </w:tc>
              <w:tc>
                <w:tcPr>
                  <w:tcW w:w="1161" w:type="pct"/>
                  <w:noWrap w:val="0"/>
                  <w:vAlign w:val="center"/>
                </w:tcPr>
                <w:p>
                  <w:pPr>
                    <w:pStyle w:val="2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0.0178</w:t>
                  </w:r>
                </w:p>
              </w:tc>
              <w:tc>
                <w:tcPr>
                  <w:tcW w:w="1266" w:type="pct"/>
                  <w:noWrap w:val="0"/>
                  <w:vAlign w:val="center"/>
                </w:tcPr>
                <w:p>
                  <w:pPr>
                    <w:pStyle w:val="2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08" w:type="pct"/>
                  <w:vMerge w:val="continue"/>
                  <w:noWrap w:val="0"/>
                  <w:vAlign w:val="center"/>
                </w:tcPr>
                <w:p>
                  <w:pPr>
                    <w:pStyle w:val="29"/>
                    <w:rPr>
                      <w:rFonts w:hint="default" w:ascii="Times New Roman" w:hAnsi="Times New Roman" w:cs="Times New Roman"/>
                      <w:color w:val="auto"/>
                      <w:sz w:val="18"/>
                      <w:szCs w:val="18"/>
                      <w:highlight w:val="none"/>
                    </w:rPr>
                  </w:pPr>
                </w:p>
              </w:tc>
              <w:tc>
                <w:tcPr>
                  <w:tcW w:w="1163" w:type="pct"/>
                  <w:noWrap w:val="0"/>
                  <w:vAlign w:val="center"/>
                </w:tcPr>
                <w:p>
                  <w:pPr>
                    <w:pStyle w:val="2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2</w:t>
                  </w:r>
                </w:p>
              </w:tc>
              <w:tc>
                <w:tcPr>
                  <w:tcW w:w="1161" w:type="pct"/>
                  <w:noWrap w:val="0"/>
                  <w:vAlign w:val="center"/>
                </w:tcPr>
                <w:p>
                  <w:pPr>
                    <w:pStyle w:val="2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0.0355</w:t>
                  </w:r>
                </w:p>
              </w:tc>
              <w:tc>
                <w:tcPr>
                  <w:tcW w:w="1266" w:type="pct"/>
                  <w:noWrap w:val="0"/>
                  <w:vAlign w:val="center"/>
                </w:tcPr>
                <w:p>
                  <w:pPr>
                    <w:pStyle w:val="2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08" w:type="pct"/>
                  <w:vMerge w:val="continue"/>
                  <w:noWrap w:val="0"/>
                  <w:vAlign w:val="center"/>
                </w:tcPr>
                <w:p>
                  <w:pPr>
                    <w:pStyle w:val="29"/>
                    <w:rPr>
                      <w:rFonts w:hint="default" w:ascii="Times New Roman" w:hAnsi="Times New Roman" w:cs="Times New Roman"/>
                      <w:color w:val="auto"/>
                      <w:sz w:val="18"/>
                      <w:szCs w:val="18"/>
                      <w:highlight w:val="none"/>
                    </w:rPr>
                  </w:pPr>
                </w:p>
              </w:tc>
              <w:tc>
                <w:tcPr>
                  <w:tcW w:w="1163" w:type="pct"/>
                  <w:noWrap w:val="0"/>
                  <w:vAlign w:val="center"/>
                </w:tcPr>
                <w:p>
                  <w:pPr>
                    <w:pStyle w:val="2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NO</w:t>
                  </w:r>
                  <w:r>
                    <w:rPr>
                      <w:rFonts w:hint="default" w:ascii="Times New Roman" w:hAnsi="Times New Roman" w:cs="Times New Roman"/>
                      <w:color w:val="auto"/>
                      <w:sz w:val="18"/>
                      <w:szCs w:val="18"/>
                      <w:highlight w:val="none"/>
                      <w:vertAlign w:val="subscript"/>
                    </w:rPr>
                    <w:t>X</w:t>
                  </w:r>
                </w:p>
              </w:tc>
              <w:tc>
                <w:tcPr>
                  <w:tcW w:w="1161" w:type="pct"/>
                  <w:noWrap w:val="0"/>
                  <w:vAlign w:val="center"/>
                </w:tcPr>
                <w:p>
                  <w:pPr>
                    <w:pStyle w:val="2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0.1066</w:t>
                  </w:r>
                </w:p>
              </w:tc>
              <w:tc>
                <w:tcPr>
                  <w:tcW w:w="1266" w:type="pct"/>
                  <w:noWrap w:val="0"/>
                  <w:vAlign w:val="center"/>
                </w:tcPr>
                <w:p>
                  <w:pPr>
                    <w:pStyle w:val="2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30</w:t>
                  </w:r>
                </w:p>
              </w:tc>
            </w:tr>
          </w:tbl>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由上表可知，本项目天然气锅炉经低氮燃烧技术处理后废气经8m高排气筒排放，污染物排放浓度能够满足《锅炉大气污染物排放标准》（DB41/2089-2021）表1燃气锅炉</w:t>
            </w:r>
            <w:r>
              <w:rPr>
                <w:rFonts w:hint="default" w:ascii="Times New Roman" w:hAnsi="Times New Roman" w:cs="Times New Roman"/>
                <w:color w:val="auto"/>
                <w:highlight w:val="none"/>
                <w:lang w:eastAsia="zh-CN"/>
              </w:rPr>
              <w:t>中</w:t>
            </w:r>
            <w:r>
              <w:rPr>
                <w:rFonts w:hint="default" w:ascii="Times New Roman" w:hAnsi="Times New Roman" w:cs="Times New Roman"/>
                <w:color w:val="auto"/>
                <w:highlight w:val="none"/>
              </w:rPr>
              <w:t>烟尘、二氧化硫、氮氧化物排放浓度分别不高于</w:t>
            </w:r>
            <w:r>
              <w:rPr>
                <w:rFonts w:hint="eastAsia" w:cs="Times New Roman"/>
                <w:color w:val="auto"/>
                <w:highlight w:val="none"/>
                <w:lang w:val="en-US" w:eastAsia="zh-CN"/>
              </w:rPr>
              <w:t>5</w:t>
            </w:r>
            <w:r>
              <w:rPr>
                <w:rFonts w:hint="default" w:ascii="Times New Roman" w:hAnsi="Times New Roman" w:cs="Times New Roman"/>
                <w:color w:val="auto"/>
                <w:highlight w:val="none"/>
              </w:rPr>
              <w:t>、</w:t>
            </w:r>
            <w:r>
              <w:rPr>
                <w:rFonts w:hint="eastAsia" w:cs="Times New Roman"/>
                <w:color w:val="auto"/>
                <w:highlight w:val="none"/>
                <w:lang w:val="en-US" w:eastAsia="zh-CN"/>
              </w:rPr>
              <w:t>10</w:t>
            </w:r>
            <w:r>
              <w:rPr>
                <w:rFonts w:hint="default" w:ascii="Times New Roman" w:hAnsi="Times New Roman" w:cs="Times New Roman"/>
                <w:color w:val="auto"/>
                <w:highlight w:val="none"/>
              </w:rPr>
              <w:t>、</w:t>
            </w:r>
            <w:r>
              <w:rPr>
                <w:rFonts w:hint="eastAsia" w:cs="Times New Roman"/>
                <w:color w:val="auto"/>
                <w:highlight w:val="none"/>
                <w:lang w:val="en-US" w:eastAsia="zh-CN"/>
              </w:rPr>
              <w:t>30</w:t>
            </w:r>
            <w:r>
              <w:rPr>
                <w:rFonts w:hint="default" w:ascii="Times New Roman" w:hAnsi="Times New Roman" w:cs="Times New Roman"/>
                <w:color w:val="auto"/>
                <w:highlight w:val="none"/>
              </w:rPr>
              <w:t>毫克/立方米的要求</w:t>
            </w:r>
            <w:r>
              <w:rPr>
                <w:rFonts w:hint="eastAsia" w:cs="Times New Roman"/>
                <w:color w:val="auto"/>
                <w:highlight w:val="none"/>
                <w:lang w:eastAsia="zh-CN"/>
              </w:rPr>
              <w:t>、</w:t>
            </w:r>
            <w:r>
              <w:rPr>
                <w:rFonts w:hint="default" w:ascii="Times New Roman" w:hAnsi="Times New Roman" w:cs="Times New Roman"/>
                <w:color w:val="auto"/>
                <w:highlight w:val="none"/>
              </w:rPr>
              <w:t>《新乡市2019年大气污染防治攻坚战实施方案》（新环攻坚办〔2019〕74号）中天燃气锅炉完成低氮改造后烟尘、二氧化硫、氮氧化物排放浓度分别不高于5、10、30毫克/立方米的要求</w:t>
            </w:r>
            <w:r>
              <w:rPr>
                <w:rFonts w:hint="eastAsia" w:cs="Times New Roman"/>
                <w:color w:val="auto"/>
                <w:highlight w:val="none"/>
                <w:lang w:eastAsia="zh-CN"/>
              </w:rPr>
              <w:t>和新乡市生态环境局关于进一步规范工业企业颗粒物排限值的通知中燃气锅炉颗粒物排放限值要求（</w:t>
            </w:r>
            <w:r>
              <w:rPr>
                <w:rFonts w:hint="eastAsia" w:cs="Times New Roman"/>
                <w:color w:val="auto"/>
                <w:highlight w:val="none"/>
                <w:lang w:val="en-US" w:eastAsia="zh-CN"/>
              </w:rPr>
              <w:t>5</w:t>
            </w:r>
            <w:r>
              <w:rPr>
                <w:rFonts w:hint="default" w:ascii="Times New Roman" w:hAnsi="Times New Roman" w:cs="Times New Roman"/>
                <w:color w:val="auto"/>
                <w:highlight w:val="none"/>
              </w:rPr>
              <w:t>毫克/立方米</w:t>
            </w:r>
            <w:r>
              <w:rPr>
                <w:rFonts w:hint="eastAsia" w:cs="Times New Roman"/>
                <w:color w:val="auto"/>
                <w:highlight w:val="none"/>
                <w:lang w:eastAsia="zh-CN"/>
              </w:rPr>
              <w:t>）</w:t>
            </w:r>
            <w:r>
              <w:rPr>
                <w:rFonts w:hint="default" w:ascii="Times New Roman" w:hAnsi="Times New Roman" w:cs="Times New Roman"/>
                <w:color w:val="auto"/>
                <w:highlight w:val="none"/>
              </w:rPr>
              <w:t>。</w:t>
            </w:r>
          </w:p>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fldChar w:fldCharType="begin"/>
            </w:r>
            <w:r>
              <w:rPr>
                <w:rFonts w:hint="default" w:ascii="Times New Roman" w:hAnsi="Times New Roman" w:cs="Times New Roman"/>
                <w:b/>
                <w:bCs/>
                <w:color w:val="auto"/>
                <w:sz w:val="21"/>
                <w:szCs w:val="21"/>
                <w:highlight w:val="none"/>
                <w:lang w:val="en-US" w:eastAsia="zh-CN"/>
              </w:rPr>
              <w:instrText xml:space="preserve"> = 2 \* GB3 \* MERGEFORMAT </w:instrText>
            </w:r>
            <w:r>
              <w:rPr>
                <w:rFonts w:hint="default" w:ascii="Times New Roman" w:hAnsi="Times New Roman" w:cs="Times New Roman"/>
                <w:b/>
                <w:bCs/>
                <w:color w:val="auto"/>
                <w:sz w:val="21"/>
                <w:szCs w:val="21"/>
                <w:highlight w:val="none"/>
                <w:lang w:val="en-US" w:eastAsia="zh-CN"/>
              </w:rPr>
              <w:fldChar w:fldCharType="separate"/>
            </w:r>
            <w:r>
              <w:rPr>
                <w:b/>
                <w:bCs/>
              </w:rPr>
              <w:t>②</w:t>
            </w:r>
            <w:r>
              <w:rPr>
                <w:rFonts w:hint="default" w:ascii="Times New Roman" w:hAnsi="Times New Roman" w:cs="Times New Roman"/>
                <w:b/>
                <w:bCs/>
                <w:color w:val="auto"/>
                <w:sz w:val="21"/>
                <w:szCs w:val="21"/>
                <w:highlight w:val="none"/>
                <w:lang w:val="en-US" w:eastAsia="zh-CN"/>
              </w:rPr>
              <w:fldChar w:fldCharType="end"/>
            </w:r>
            <w:r>
              <w:rPr>
                <w:rFonts w:hint="default" w:ascii="Times New Roman" w:hAnsi="Times New Roman" w:cs="Times New Roman"/>
                <w:b/>
                <w:bCs/>
                <w:color w:val="auto"/>
                <w:sz w:val="21"/>
                <w:szCs w:val="21"/>
                <w:highlight w:val="none"/>
                <w:lang w:val="en-US" w:eastAsia="zh-CN"/>
              </w:rPr>
              <w:t>投料粉尘</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sz w:val="21"/>
                <w:szCs w:val="21"/>
                <w:highlight w:val="cyan"/>
                <w:vertAlign w:val="baseline"/>
              </w:rPr>
            </w:pPr>
            <w:r>
              <w:rPr>
                <w:rFonts w:hint="default" w:ascii="Times New Roman" w:hAnsi="Times New Roman" w:cs="Times New Roman"/>
                <w:color w:val="auto"/>
                <w:sz w:val="21"/>
                <w:szCs w:val="21"/>
                <w:highlight w:val="none"/>
              </w:rPr>
              <w:t>项目在面粉投料</w:t>
            </w:r>
            <w:r>
              <w:rPr>
                <w:rFonts w:hint="default" w:ascii="Times New Roman" w:hAnsi="Times New Roman" w:cs="Times New Roman"/>
                <w:color w:val="auto"/>
                <w:sz w:val="21"/>
                <w:szCs w:val="21"/>
                <w:highlight w:val="none"/>
                <w:lang w:eastAsia="zh-CN"/>
              </w:rPr>
              <w:t>和搅拌</w:t>
            </w:r>
            <w:r>
              <w:rPr>
                <w:rFonts w:hint="default" w:ascii="Times New Roman" w:hAnsi="Times New Roman" w:cs="Times New Roman"/>
                <w:color w:val="auto"/>
                <w:sz w:val="21"/>
                <w:szCs w:val="21"/>
                <w:highlight w:val="none"/>
              </w:rPr>
              <w:t>过程中会产生粉尘，</w:t>
            </w:r>
            <w:r>
              <w:rPr>
                <w:rFonts w:hint="default" w:ascii="Times New Roman" w:hAnsi="Times New Roman" w:cs="Times New Roman"/>
                <w:color w:val="auto"/>
                <w:sz w:val="21"/>
                <w:szCs w:val="21"/>
                <w:highlight w:val="none"/>
                <w:lang w:eastAsia="zh-CN"/>
              </w:rPr>
              <w:t>根据企业提供资料，项目每生产</w:t>
            </w:r>
            <w:r>
              <w:rPr>
                <w:rFonts w:hint="default" w:ascii="Times New Roman" w:hAnsi="Times New Roman" w:cs="Times New Roman"/>
                <w:color w:val="auto"/>
                <w:sz w:val="21"/>
                <w:szCs w:val="21"/>
                <w:highlight w:val="none"/>
                <w:lang w:val="en-US" w:eastAsia="zh-CN"/>
              </w:rPr>
              <w:t>100公斤生面筋需添加约5公斤面，且投加方式是采用面勺依次加入，而非整袋倾倒加入，因此粉尘产生量较小，同时企业采用的和面机为封闭式和面机，因此搅拌过程不会有大量粉尘逸出，投料和搅拌过程中合计</w:t>
            </w:r>
            <w:r>
              <w:rPr>
                <w:rFonts w:hint="default" w:ascii="Times New Roman" w:hAnsi="Times New Roman" w:cs="Times New Roman"/>
                <w:color w:val="auto"/>
                <w:sz w:val="21"/>
                <w:szCs w:val="21"/>
                <w:highlight w:val="none"/>
              </w:rPr>
              <w:t>粉尘产生量约</w:t>
            </w:r>
            <w:r>
              <w:rPr>
                <w:rFonts w:hint="default" w:ascii="Times New Roman" w:hAnsi="Times New Roman" w:cs="Times New Roman"/>
                <w:color w:val="auto"/>
                <w:sz w:val="21"/>
                <w:szCs w:val="21"/>
                <w:highlight w:val="none"/>
                <w:lang w:eastAsia="zh-CN"/>
              </w:rPr>
              <w:t>按照面粉投加</w:t>
            </w:r>
            <w:r>
              <w:rPr>
                <w:rFonts w:hint="default" w:ascii="Times New Roman" w:hAnsi="Times New Roman" w:cs="Times New Roman"/>
                <w:color w:val="auto"/>
                <w:sz w:val="21"/>
                <w:szCs w:val="21"/>
                <w:highlight w:val="none"/>
              </w:rPr>
              <w:t>量的0.</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计算。</w:t>
            </w:r>
            <w:r>
              <w:rPr>
                <w:rFonts w:hint="default" w:ascii="Times New Roman" w:hAnsi="Times New Roman" w:cs="Times New Roman"/>
                <w:color w:val="auto"/>
                <w:sz w:val="21"/>
                <w:szCs w:val="21"/>
                <w:highlight w:val="none"/>
              </w:rPr>
              <w:t>项目面粉年用量</w:t>
            </w:r>
            <w:r>
              <w:rPr>
                <w:rFonts w:hint="default" w:ascii="Times New Roman" w:hAnsi="Times New Roman" w:cs="Times New Roman"/>
                <w:color w:val="auto"/>
                <w:sz w:val="21"/>
                <w:szCs w:val="21"/>
                <w:highlight w:val="none"/>
                <w:lang w:eastAsia="zh-CN"/>
              </w:rPr>
              <w:t>为</w:t>
            </w:r>
            <w:r>
              <w:rPr>
                <w:rFonts w:hint="default" w:ascii="Times New Roman" w:hAnsi="Times New Roman" w:cs="Times New Roman"/>
                <w:color w:val="auto"/>
                <w:sz w:val="21"/>
                <w:szCs w:val="21"/>
                <w:highlight w:val="none"/>
                <w:lang w:val="en-US" w:eastAsia="zh-CN"/>
              </w:rPr>
              <w:t>12.5</w:t>
            </w:r>
            <w:r>
              <w:rPr>
                <w:rFonts w:hint="default" w:ascii="Times New Roman" w:hAnsi="Times New Roman" w:cs="Times New Roman"/>
                <w:color w:val="auto"/>
                <w:sz w:val="21"/>
                <w:szCs w:val="21"/>
                <w:highlight w:val="none"/>
              </w:rPr>
              <w:t>t，则本项目粉尘产生量</w:t>
            </w:r>
            <w:r>
              <w:rPr>
                <w:rFonts w:hint="default" w:ascii="Times New Roman" w:hAnsi="Times New Roman" w:cs="Times New Roman"/>
                <w:color w:val="auto"/>
                <w:sz w:val="21"/>
                <w:szCs w:val="21"/>
                <w:highlight w:val="none"/>
                <w:lang w:val="en-US" w:eastAsia="zh-CN"/>
              </w:rPr>
              <w:t>0.0375</w:t>
            </w:r>
            <w:r>
              <w:rPr>
                <w:rFonts w:hint="default" w:ascii="Times New Roman" w:hAnsi="Times New Roman" w:cs="Times New Roman"/>
                <w:color w:val="auto"/>
                <w:sz w:val="21"/>
                <w:szCs w:val="21"/>
                <w:highlight w:val="none"/>
              </w:rPr>
              <w:t>t/a，</w:t>
            </w:r>
            <w:r>
              <w:rPr>
                <w:rFonts w:hint="default" w:ascii="Times New Roman" w:hAnsi="Times New Roman" w:cs="Times New Roman"/>
                <w:color w:val="auto"/>
                <w:sz w:val="21"/>
                <w:szCs w:val="21"/>
                <w:highlight w:val="none"/>
                <w:lang w:eastAsia="zh-CN"/>
              </w:rPr>
              <w:t>每天投料和搅拌时间共计约</w:t>
            </w:r>
            <w:r>
              <w:rPr>
                <w:rFonts w:hint="default" w:ascii="Times New Roman" w:hAnsi="Times New Roman" w:cs="Times New Roman"/>
                <w:color w:val="auto"/>
                <w:sz w:val="21"/>
                <w:szCs w:val="21"/>
                <w:highlight w:val="none"/>
                <w:lang w:val="en-US" w:eastAsia="zh-CN"/>
              </w:rPr>
              <w:t>2h，</w:t>
            </w:r>
            <w:r>
              <w:rPr>
                <w:rFonts w:hint="default" w:ascii="Times New Roman" w:hAnsi="Times New Roman" w:cs="Times New Roman"/>
                <w:color w:val="auto"/>
                <w:sz w:val="21"/>
                <w:szCs w:val="21"/>
                <w:highlight w:val="none"/>
                <w:lang w:eastAsia="zh-CN"/>
              </w:rPr>
              <w:t>经与建设单位沟通，企业拟在生产车间内设置单独密闭搅拌间，</w:t>
            </w:r>
            <w:r>
              <w:rPr>
                <w:rFonts w:hint="default" w:ascii="Times New Roman" w:hAnsi="Times New Roman" w:cs="Times New Roman"/>
                <w:bCs/>
                <w:color w:val="auto"/>
                <w:sz w:val="21"/>
                <w:szCs w:val="21"/>
                <w:highlight w:val="none"/>
              </w:rPr>
              <w:t>并</w:t>
            </w:r>
            <w:r>
              <w:rPr>
                <w:rFonts w:hint="default" w:ascii="Times New Roman" w:hAnsi="Times New Roman" w:cs="Times New Roman"/>
                <w:bCs/>
                <w:color w:val="auto"/>
                <w:sz w:val="21"/>
                <w:szCs w:val="21"/>
                <w:highlight w:val="none"/>
                <w:lang w:eastAsia="zh-CN"/>
              </w:rPr>
              <w:t>设置负压集气罩</w:t>
            </w:r>
            <w:r>
              <w:rPr>
                <w:rFonts w:hint="default" w:ascii="Times New Roman" w:hAnsi="Times New Roman" w:cs="Times New Roman"/>
                <w:bCs/>
                <w:color w:val="auto"/>
                <w:sz w:val="21"/>
                <w:szCs w:val="21"/>
                <w:highlight w:val="none"/>
              </w:rPr>
              <w:t>进行集气</w:t>
            </w:r>
            <w:r>
              <w:rPr>
                <w:rFonts w:hint="default" w:ascii="Times New Roman" w:hAnsi="Times New Roman" w:cs="Times New Roman"/>
                <w:color w:val="auto"/>
                <w:sz w:val="21"/>
                <w:szCs w:val="21"/>
                <w:highlight w:val="none"/>
                <w:lang w:eastAsia="zh-CN"/>
              </w:rPr>
              <w:t>，将收集的废气通过</w:t>
            </w:r>
            <w:r>
              <w:rPr>
                <w:rFonts w:hint="default" w:ascii="Times New Roman" w:hAnsi="Times New Roman" w:cs="Times New Roman"/>
                <w:color w:val="auto"/>
                <w:sz w:val="21"/>
                <w:szCs w:val="21"/>
                <w:highlight w:val="none"/>
                <w:lang w:val="en-US" w:eastAsia="zh-CN"/>
              </w:rPr>
              <w:t>1套脉冲袋式除尘器进行处理后，经车间外15m高排气筒排放，</w:t>
            </w:r>
            <w:r>
              <w:rPr>
                <w:rFonts w:hint="default" w:ascii="Times New Roman" w:hAnsi="Times New Roman" w:cs="Times New Roman"/>
                <w:bCs/>
                <w:color w:val="auto"/>
                <w:sz w:val="21"/>
                <w:szCs w:val="21"/>
                <w:highlight w:val="none"/>
              </w:rPr>
              <w:t>除尘器配套风机风量为</w:t>
            </w:r>
            <w:r>
              <w:rPr>
                <w:rFonts w:hint="eastAsia" w:ascii="Times New Roman" w:cs="Times New Roman"/>
                <w:bCs/>
                <w:color w:val="auto"/>
                <w:sz w:val="21"/>
                <w:szCs w:val="21"/>
                <w:highlight w:val="none"/>
                <w:lang w:val="en-US" w:eastAsia="zh-CN"/>
              </w:rPr>
              <w:t>5</w:t>
            </w:r>
            <w:r>
              <w:rPr>
                <w:rFonts w:hint="default" w:ascii="Times New Roman" w:hAnsi="Times New Roman" w:cs="Times New Roman"/>
                <w:bCs/>
                <w:color w:val="auto"/>
                <w:sz w:val="21"/>
                <w:szCs w:val="21"/>
                <w:highlight w:val="none"/>
                <w:lang w:val="en-US" w:eastAsia="zh-CN"/>
              </w:rPr>
              <w:t>00</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rPr>
              <w:t>/h，脉冲袋式除尘器除尘效率为99%，则处理后的粉尘排放量为</w:t>
            </w:r>
            <w:r>
              <w:rPr>
                <w:rFonts w:hint="default" w:ascii="Times New Roman" w:hAnsi="Times New Roman" w:cs="Times New Roman"/>
                <w:bCs/>
                <w:color w:val="auto"/>
                <w:sz w:val="21"/>
                <w:szCs w:val="21"/>
                <w:highlight w:val="none"/>
                <w:lang w:val="en-US" w:eastAsia="zh-CN"/>
              </w:rPr>
              <w:t>0.0004</w:t>
            </w:r>
            <w:r>
              <w:rPr>
                <w:rFonts w:hint="default" w:ascii="Times New Roman" w:hAnsi="Times New Roman" w:cs="Times New Roman"/>
                <w:bCs/>
                <w:color w:val="auto"/>
                <w:sz w:val="21"/>
                <w:szCs w:val="21"/>
                <w:highlight w:val="none"/>
              </w:rPr>
              <w:t>t/a</w:t>
            </w:r>
            <w:r>
              <w:rPr>
                <w:rFonts w:hint="default" w:ascii="Times New Roman" w:hAnsi="Times New Roman" w:cs="Times New Roman"/>
                <w:color w:val="auto"/>
                <w:sz w:val="21"/>
                <w:szCs w:val="21"/>
                <w:highlight w:val="none"/>
              </w:rPr>
              <w:t>。项目通过在投料和搅拌工段设置单独密闭间进行粉尘收集，因此该过程</w:t>
            </w:r>
            <w:r>
              <w:rPr>
                <w:rFonts w:hint="default" w:ascii="Times New Roman" w:hAnsi="Times New Roman" w:cs="Times New Roman"/>
                <w:color w:val="auto"/>
                <w:sz w:val="21"/>
                <w:szCs w:val="21"/>
                <w:highlight w:val="none"/>
                <w:lang w:eastAsia="zh-CN"/>
              </w:rPr>
              <w:t>无组织排放粉尘基本在车间内沉降，</w:t>
            </w:r>
            <w:r>
              <w:rPr>
                <w:rFonts w:hint="default" w:ascii="Times New Roman" w:hAnsi="Times New Roman" w:cs="Times New Roman"/>
                <w:color w:val="auto"/>
                <w:sz w:val="21"/>
                <w:szCs w:val="21"/>
                <w:highlight w:val="none"/>
              </w:rPr>
              <w:t>逃逸</w:t>
            </w:r>
            <w:r>
              <w:rPr>
                <w:rFonts w:hint="default" w:ascii="Times New Roman" w:hAnsi="Times New Roman" w:cs="Times New Roman"/>
                <w:color w:val="auto"/>
                <w:sz w:val="21"/>
                <w:szCs w:val="21"/>
                <w:highlight w:val="none"/>
                <w:lang w:eastAsia="zh-CN"/>
              </w:rPr>
              <w:t>到车间外无组织排放粉尘量极少，可忽略不计</w:t>
            </w:r>
            <w:r>
              <w:rPr>
                <w:rFonts w:hint="default" w:ascii="Times New Roman" w:hAnsi="Times New Roman" w:cs="Times New Roman"/>
                <w:color w:val="auto"/>
                <w:sz w:val="21"/>
                <w:szCs w:val="21"/>
                <w:highlight w:val="none"/>
              </w:rPr>
              <w:t>。</w:t>
            </w:r>
          </w:p>
        </w:tc>
      </w:tr>
    </w:tbl>
    <w:p>
      <w:pPr>
        <w:pStyle w:val="2"/>
        <w:jc w:val="both"/>
        <w:rPr>
          <w:highlight w:val="cya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firstLine="42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综上所述，项目全厂废气产生及排放情况汇总如下：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default" w:eastAsia="黑体" w:cs="Times New Roman"/>
                <w:color w:val="auto"/>
                <w:sz w:val="18"/>
                <w:szCs w:val="18"/>
                <w:highlight w:val="none"/>
                <w:lang w:val="en-US" w:eastAsia="zh-CN"/>
              </w:rPr>
              <w:t xml:space="preserve">   有组织废气产排放及治理</w:t>
            </w:r>
            <w:r>
              <w:rPr>
                <w:rFonts w:hint="eastAsia" w:eastAsia="黑体" w:cs="Times New Roman"/>
                <w:color w:val="auto"/>
                <w:sz w:val="18"/>
                <w:szCs w:val="18"/>
                <w:highlight w:val="none"/>
                <w:lang w:val="en-US" w:eastAsia="zh-CN"/>
              </w:rPr>
              <w:t>设施</w:t>
            </w:r>
            <w:r>
              <w:rPr>
                <w:rFonts w:hint="default" w:eastAsia="黑体" w:cs="Times New Roman"/>
                <w:color w:val="auto"/>
                <w:sz w:val="18"/>
                <w:szCs w:val="18"/>
                <w:highlight w:val="none"/>
                <w:lang w:val="en-US" w:eastAsia="zh-CN"/>
              </w:rPr>
              <w:t>情况一览表</w:t>
            </w:r>
          </w:p>
          <w:tbl>
            <w:tblPr>
              <w:tblStyle w:val="16"/>
              <w:tblW w:w="4997" w:type="pct"/>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000"/>
              <w:gridCol w:w="812"/>
              <w:gridCol w:w="811"/>
              <w:gridCol w:w="1278"/>
              <w:gridCol w:w="1063"/>
              <w:gridCol w:w="955"/>
              <w:gridCol w:w="791"/>
              <w:gridCol w:w="1500"/>
              <w:gridCol w:w="818"/>
              <w:gridCol w:w="1309"/>
              <w:gridCol w:w="950"/>
              <w:gridCol w:w="950"/>
              <w:gridCol w:w="950"/>
              <w:gridCol w:w="763"/>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8" w:type="pct"/>
                  <w:vMerge w:val="restar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工序</w:t>
                  </w:r>
                </w:p>
              </w:tc>
              <w:tc>
                <w:tcPr>
                  <w:tcW w:w="291" w:type="pct"/>
                  <w:vMerge w:val="restar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污染源</w:t>
                  </w:r>
                </w:p>
              </w:tc>
              <w:tc>
                <w:tcPr>
                  <w:tcW w:w="290" w:type="pct"/>
                  <w:vMerge w:val="restar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w:t>
                  </w:r>
                </w:p>
              </w:tc>
              <w:tc>
                <w:tcPr>
                  <w:tcW w:w="1464" w:type="pct"/>
                  <w:gridSpan w:val="4"/>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污染物产生</w:t>
                  </w:r>
                </w:p>
              </w:tc>
              <w:tc>
                <w:tcPr>
                  <w:tcW w:w="830" w:type="pct"/>
                  <w:gridSpan w:val="2"/>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治理措施</w:t>
                  </w:r>
                </w:p>
              </w:tc>
              <w:tc>
                <w:tcPr>
                  <w:tcW w:w="1490" w:type="pct"/>
                  <w:gridSpan w:val="4"/>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污染物排放</w:t>
                  </w:r>
                </w:p>
              </w:tc>
              <w:tc>
                <w:tcPr>
                  <w:tcW w:w="273" w:type="pct"/>
                  <w:vMerge w:val="restar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排放时间h</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8" w:type="pct"/>
                  <w:vMerge w:val="continue"/>
                  <w:tcBorders>
                    <w:tl2br w:val="nil"/>
                    <w:tr2bl w:val="nil"/>
                  </w:tcBorders>
                  <w:vAlign w:val="center"/>
                </w:tcPr>
                <w:p>
                  <w:pPr>
                    <w:widowControl/>
                    <w:jc w:val="left"/>
                    <w:rPr>
                      <w:rFonts w:hint="default" w:ascii="Times New Roman" w:hAnsi="Times New Roman" w:cs="Times New Roman"/>
                      <w:color w:val="auto"/>
                      <w:kern w:val="0"/>
                      <w:sz w:val="18"/>
                      <w:szCs w:val="18"/>
                      <w:highlight w:val="none"/>
                    </w:rPr>
                  </w:pPr>
                </w:p>
              </w:tc>
              <w:tc>
                <w:tcPr>
                  <w:tcW w:w="291" w:type="pct"/>
                  <w:vMerge w:val="continue"/>
                  <w:tcBorders>
                    <w:tl2br w:val="nil"/>
                    <w:tr2bl w:val="nil"/>
                  </w:tcBorders>
                  <w:vAlign w:val="center"/>
                </w:tcPr>
                <w:p>
                  <w:pPr>
                    <w:widowControl/>
                    <w:jc w:val="left"/>
                    <w:rPr>
                      <w:rFonts w:hint="default" w:ascii="Times New Roman" w:hAnsi="Times New Roman" w:cs="Times New Roman"/>
                      <w:color w:val="auto"/>
                      <w:kern w:val="0"/>
                      <w:sz w:val="18"/>
                      <w:szCs w:val="18"/>
                      <w:highlight w:val="none"/>
                    </w:rPr>
                  </w:pPr>
                </w:p>
              </w:tc>
              <w:tc>
                <w:tcPr>
                  <w:tcW w:w="290" w:type="pct"/>
                  <w:vMerge w:val="continue"/>
                  <w:tcBorders>
                    <w:tl2br w:val="nil"/>
                    <w:tr2bl w:val="nil"/>
                  </w:tcBorders>
                  <w:vAlign w:val="center"/>
                </w:tcPr>
                <w:p>
                  <w:pPr>
                    <w:widowControl/>
                    <w:jc w:val="left"/>
                    <w:rPr>
                      <w:rFonts w:hint="default" w:ascii="Times New Roman" w:hAnsi="Times New Roman" w:cs="Times New Roman"/>
                      <w:color w:val="auto"/>
                      <w:kern w:val="0"/>
                      <w:sz w:val="18"/>
                      <w:szCs w:val="18"/>
                      <w:highlight w:val="none"/>
                    </w:rPr>
                  </w:pPr>
                </w:p>
              </w:tc>
              <w:tc>
                <w:tcPr>
                  <w:tcW w:w="458"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核算方法</w:t>
                  </w:r>
                </w:p>
              </w:tc>
              <w:tc>
                <w:tcPr>
                  <w:tcW w:w="381"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废气产生量m</w:t>
                  </w:r>
                  <w:r>
                    <w:rPr>
                      <w:rFonts w:hint="default" w:ascii="Times New Roman" w:hAnsi="Times New Roman" w:cs="Times New Roman"/>
                      <w:color w:val="auto"/>
                      <w:kern w:val="0"/>
                      <w:sz w:val="18"/>
                      <w:szCs w:val="18"/>
                      <w:highlight w:val="none"/>
                      <w:vertAlign w:val="superscript"/>
                    </w:rPr>
                    <w:t>3</w:t>
                  </w:r>
                  <w:r>
                    <w:rPr>
                      <w:rFonts w:hint="default" w:ascii="Times New Roman" w:hAnsi="Times New Roman" w:cs="Times New Roman"/>
                      <w:color w:val="auto"/>
                      <w:kern w:val="0"/>
                      <w:sz w:val="18"/>
                      <w:szCs w:val="18"/>
                      <w:highlight w:val="none"/>
                    </w:rPr>
                    <w:t>/h</w:t>
                  </w:r>
                </w:p>
              </w:tc>
              <w:tc>
                <w:tcPr>
                  <w:tcW w:w="342"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产生浓度</w:t>
                  </w:r>
                </w:p>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mg/m</w:t>
                  </w:r>
                  <w:r>
                    <w:rPr>
                      <w:rFonts w:hint="default" w:ascii="Times New Roman" w:hAnsi="Times New Roman" w:cs="Times New Roman"/>
                      <w:color w:val="auto"/>
                      <w:kern w:val="0"/>
                      <w:sz w:val="18"/>
                      <w:szCs w:val="18"/>
                      <w:highlight w:val="none"/>
                      <w:vertAlign w:val="superscript"/>
                    </w:rPr>
                    <w:t>3</w:t>
                  </w:r>
                </w:p>
              </w:tc>
              <w:tc>
                <w:tcPr>
                  <w:tcW w:w="283"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产生量</w:t>
                  </w:r>
                </w:p>
                <w:p>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t/a</w:t>
                  </w:r>
                </w:p>
              </w:tc>
              <w:tc>
                <w:tcPr>
                  <w:tcW w:w="537" w:type="pct"/>
                  <w:tcBorders>
                    <w:right w:val="single" w:color="000000" w:sz="4" w:space="0"/>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eastAsia="zh-CN"/>
                    </w:rPr>
                    <w:t>治理</w:t>
                  </w:r>
                  <w:r>
                    <w:rPr>
                      <w:rFonts w:hint="default" w:ascii="Times New Roman" w:hAnsi="Times New Roman" w:cs="Times New Roman"/>
                      <w:color w:val="auto"/>
                      <w:kern w:val="0"/>
                      <w:sz w:val="18"/>
                      <w:szCs w:val="18"/>
                      <w:highlight w:val="none"/>
                    </w:rPr>
                    <w:t>工艺</w:t>
                  </w:r>
                </w:p>
              </w:tc>
              <w:tc>
                <w:tcPr>
                  <w:tcW w:w="293" w:type="pct"/>
                  <w:tcBorders>
                    <w:left w:val="single" w:color="000000" w:sz="4" w:space="0"/>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效率</w:t>
                  </w:r>
                </w:p>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469"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核算方法</w:t>
                  </w:r>
                </w:p>
              </w:tc>
              <w:tc>
                <w:tcPr>
                  <w:tcW w:w="340"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废气排放量m</w:t>
                  </w:r>
                  <w:r>
                    <w:rPr>
                      <w:rFonts w:hint="default" w:ascii="Times New Roman" w:hAnsi="Times New Roman" w:cs="Times New Roman"/>
                      <w:color w:val="auto"/>
                      <w:kern w:val="0"/>
                      <w:sz w:val="18"/>
                      <w:szCs w:val="18"/>
                      <w:highlight w:val="none"/>
                      <w:vertAlign w:val="superscript"/>
                    </w:rPr>
                    <w:t>3</w:t>
                  </w:r>
                  <w:r>
                    <w:rPr>
                      <w:rFonts w:hint="default" w:ascii="Times New Roman" w:hAnsi="Times New Roman" w:cs="Times New Roman"/>
                      <w:color w:val="auto"/>
                      <w:kern w:val="0"/>
                      <w:sz w:val="18"/>
                      <w:szCs w:val="18"/>
                      <w:highlight w:val="none"/>
                    </w:rPr>
                    <w:t>/h</w:t>
                  </w:r>
                </w:p>
              </w:tc>
              <w:tc>
                <w:tcPr>
                  <w:tcW w:w="340"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排放浓度</w:t>
                  </w:r>
                </w:p>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mg/m</w:t>
                  </w:r>
                  <w:r>
                    <w:rPr>
                      <w:rFonts w:hint="default" w:ascii="Times New Roman" w:hAnsi="Times New Roman" w:cs="Times New Roman"/>
                      <w:color w:val="auto"/>
                      <w:kern w:val="0"/>
                      <w:sz w:val="18"/>
                      <w:szCs w:val="18"/>
                      <w:highlight w:val="none"/>
                      <w:vertAlign w:val="superscript"/>
                    </w:rPr>
                    <w:t>3</w:t>
                  </w:r>
                </w:p>
              </w:tc>
              <w:tc>
                <w:tcPr>
                  <w:tcW w:w="340"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排放量</w:t>
                  </w:r>
                </w:p>
                <w:p>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t/a</w:t>
                  </w:r>
                </w:p>
              </w:tc>
              <w:tc>
                <w:tcPr>
                  <w:tcW w:w="273" w:type="pct"/>
                  <w:vMerge w:val="continue"/>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cyan"/>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8"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eastAsia" w:ascii="Times New Roman" w:hAnsi="Times New Roman" w:eastAsia="宋体" w:cs="Times New Roman"/>
                      <w:color w:val="auto"/>
                      <w:kern w:val="0"/>
                      <w:sz w:val="18"/>
                      <w:szCs w:val="18"/>
                      <w:highlight w:val="none"/>
                      <w:lang w:eastAsia="zh-CN"/>
                    </w:rPr>
                  </w:pPr>
                  <w:r>
                    <w:rPr>
                      <w:rFonts w:hint="eastAsia" w:cs="Times New Roman"/>
                      <w:color w:val="auto"/>
                      <w:kern w:val="0"/>
                      <w:sz w:val="18"/>
                      <w:szCs w:val="18"/>
                      <w:highlight w:val="none"/>
                      <w:lang w:eastAsia="zh-CN"/>
                    </w:rPr>
                    <w:t>燃气锅炉</w:t>
                  </w:r>
                </w:p>
              </w:tc>
              <w:tc>
                <w:tcPr>
                  <w:tcW w:w="291" w:type="pct"/>
                  <w:vMerge w:val="restar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排气筒DA001</w:t>
                  </w:r>
                </w:p>
              </w:tc>
              <w:tc>
                <w:tcPr>
                  <w:tcW w:w="290" w:type="pct"/>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颗粒物</w:t>
                  </w:r>
                </w:p>
              </w:tc>
              <w:tc>
                <w:tcPr>
                  <w:tcW w:w="458"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产污系数法</w:t>
                  </w:r>
                </w:p>
              </w:tc>
              <w:tc>
                <w:tcPr>
                  <w:tcW w:w="3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1481.112</w:t>
                  </w:r>
                </w:p>
              </w:tc>
              <w:tc>
                <w:tcPr>
                  <w:tcW w:w="342" w:type="pct"/>
                  <w:tcBorders>
                    <w:tl2br w:val="nil"/>
                    <w:tr2bl w:val="nil"/>
                  </w:tcBorders>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283" w:type="pct"/>
                  <w:tcBorders>
                    <w:tl2br w:val="nil"/>
                    <w:tr2bl w:val="nil"/>
                  </w:tcBorders>
                  <w:shd w:val="clear" w:color="auto" w:fill="auto"/>
                  <w:vAlign w:val="center"/>
                </w:tcPr>
                <w:p>
                  <w:pPr>
                    <w:pStyle w:val="29"/>
                    <w:ind w:firstLine="0" w:firstLineChars="0"/>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537" w:type="pct"/>
                  <w:vMerge w:val="restart"/>
                  <w:tcBorders>
                    <w:right w:val="single" w:color="000000" w:sz="4" w:space="0"/>
                    <w:tl2br w:val="nil"/>
                    <w:tr2bl w:val="nil"/>
                  </w:tcBorders>
                  <w:shd w:val="clear" w:color="auto" w:fill="auto"/>
                  <w:vAlign w:val="center"/>
                </w:tcPr>
                <w:p>
                  <w:pPr>
                    <w:widowControl/>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低氮燃烧+烟气循环+8m高排气筒</w:t>
                  </w:r>
                </w:p>
              </w:tc>
              <w:tc>
                <w:tcPr>
                  <w:tcW w:w="293" w:type="pct"/>
                  <w:tcBorders>
                    <w:left w:val="single" w:color="000000" w:sz="4" w:space="0"/>
                    <w:tl2br w:val="nil"/>
                    <w:tr2bl w:val="nil"/>
                  </w:tcBorders>
                  <w:shd w:val="clear" w:color="auto" w:fill="auto"/>
                  <w:vAlign w:val="center"/>
                </w:tcPr>
                <w:p>
                  <w:pPr>
                    <w:widowControl/>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469" w:type="pct"/>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产污系数法</w:t>
                  </w:r>
                </w:p>
              </w:tc>
              <w:tc>
                <w:tcPr>
                  <w:tcW w:w="34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rPr>
                    <w:t>1481.112</w:t>
                  </w:r>
                </w:p>
              </w:tc>
              <w:tc>
                <w:tcPr>
                  <w:tcW w:w="340" w:type="pct"/>
                  <w:tcBorders>
                    <w:tl2br w:val="nil"/>
                    <w:tr2bl w:val="nil"/>
                  </w:tcBorders>
                  <w:shd w:val="clear" w:color="auto" w:fill="auto"/>
                  <w:noWrap/>
                  <w:vAlign w:val="center"/>
                </w:tcPr>
                <w:p>
                  <w:pPr>
                    <w:pStyle w:val="29"/>
                    <w:ind w:firstLine="0" w:firstLineChars="0"/>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5</w:t>
                  </w:r>
                </w:p>
              </w:tc>
              <w:tc>
                <w:tcPr>
                  <w:tcW w:w="340" w:type="pct"/>
                  <w:tcBorders>
                    <w:tl2br w:val="nil"/>
                    <w:tr2bl w:val="nil"/>
                  </w:tcBorders>
                  <w:shd w:val="clear" w:color="auto" w:fill="auto"/>
                  <w:vAlign w:val="center"/>
                </w:tcPr>
                <w:p>
                  <w:pPr>
                    <w:pStyle w:val="29"/>
                    <w:ind w:firstLine="0" w:firstLineChars="0"/>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0.0178</w:t>
                  </w:r>
                </w:p>
              </w:tc>
              <w:tc>
                <w:tcPr>
                  <w:tcW w:w="273" w:type="pct"/>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2400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eastAsia" w:cs="Times New Roman"/>
                      <w:color w:val="auto"/>
                      <w:kern w:val="0"/>
                      <w:sz w:val="18"/>
                      <w:szCs w:val="18"/>
                      <w:highlight w:val="none"/>
                      <w:lang w:eastAsia="zh-CN"/>
                    </w:rPr>
                  </w:pPr>
                </w:p>
              </w:tc>
              <w:tc>
                <w:tcPr>
                  <w:tcW w:w="291" w:type="pct"/>
                  <w:vMerge w:val="continue"/>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p>
              </w:tc>
              <w:tc>
                <w:tcPr>
                  <w:tcW w:w="290"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SO</w:t>
                  </w:r>
                  <w:r>
                    <w:rPr>
                      <w:rFonts w:hint="eastAsia" w:cs="Times New Roman"/>
                      <w:color w:val="auto"/>
                      <w:kern w:val="0"/>
                      <w:sz w:val="18"/>
                      <w:szCs w:val="18"/>
                      <w:highlight w:val="none"/>
                      <w:vertAlign w:val="subscript"/>
                      <w:lang w:val="en-US" w:eastAsia="zh-CN"/>
                    </w:rPr>
                    <w:t>2</w:t>
                  </w:r>
                </w:p>
              </w:tc>
              <w:tc>
                <w:tcPr>
                  <w:tcW w:w="458"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产污系数法</w:t>
                  </w:r>
                </w:p>
              </w:tc>
              <w:tc>
                <w:tcPr>
                  <w:tcW w:w="3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1481.112</w:t>
                  </w:r>
                </w:p>
              </w:tc>
              <w:tc>
                <w:tcPr>
                  <w:tcW w:w="342" w:type="pct"/>
                  <w:tcBorders>
                    <w:tl2br w:val="nil"/>
                    <w:tr2bl w:val="nil"/>
                  </w:tcBorders>
                  <w:shd w:val="clear" w:color="auto" w:fill="auto"/>
                  <w:vAlign w:val="center"/>
                </w:tcPr>
                <w:p>
                  <w:pPr>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283" w:type="pct"/>
                  <w:tcBorders>
                    <w:tl2br w:val="nil"/>
                    <w:tr2bl w:val="nil"/>
                  </w:tcBorders>
                  <w:shd w:val="clear" w:color="auto" w:fill="auto"/>
                  <w:vAlign w:val="center"/>
                </w:tcPr>
                <w:p>
                  <w:pPr>
                    <w:pStyle w:val="29"/>
                    <w:ind w:firstLine="0" w:firstLineChars="0"/>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537" w:type="pct"/>
                  <w:vMerge w:val="continue"/>
                  <w:tcBorders>
                    <w:right w:val="single" w:color="000000" w:sz="4" w:space="0"/>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lang w:eastAsia="zh-CN"/>
                    </w:rPr>
                  </w:pPr>
                </w:p>
              </w:tc>
              <w:tc>
                <w:tcPr>
                  <w:tcW w:w="293" w:type="pct"/>
                  <w:tcBorders>
                    <w:left w:val="single" w:color="000000" w:sz="4" w:space="0"/>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469"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产污系数法</w:t>
                  </w:r>
                </w:p>
              </w:tc>
              <w:tc>
                <w:tcPr>
                  <w:tcW w:w="34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rPr>
                    <w:t>1481.112</w:t>
                  </w:r>
                </w:p>
              </w:tc>
              <w:tc>
                <w:tcPr>
                  <w:tcW w:w="340" w:type="pct"/>
                  <w:tcBorders>
                    <w:tl2br w:val="nil"/>
                    <w:tr2bl w:val="nil"/>
                  </w:tcBorders>
                  <w:shd w:val="clear" w:color="auto" w:fill="auto"/>
                  <w:noWrap/>
                  <w:vAlign w:val="center"/>
                </w:tcPr>
                <w:p>
                  <w:pPr>
                    <w:pStyle w:val="29"/>
                    <w:ind w:firstLine="0" w:firstLineChars="0"/>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10</w:t>
                  </w:r>
                </w:p>
              </w:tc>
              <w:tc>
                <w:tcPr>
                  <w:tcW w:w="340" w:type="pct"/>
                  <w:tcBorders>
                    <w:tl2br w:val="nil"/>
                    <w:tr2bl w:val="nil"/>
                  </w:tcBorders>
                  <w:shd w:val="clear" w:color="auto" w:fill="auto"/>
                  <w:vAlign w:val="center"/>
                </w:tcPr>
                <w:p>
                  <w:pPr>
                    <w:pStyle w:val="29"/>
                    <w:ind w:firstLine="0" w:firstLineChars="0"/>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0.0355</w:t>
                  </w:r>
                </w:p>
              </w:tc>
              <w:tc>
                <w:tcPr>
                  <w:tcW w:w="273"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2400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eastAsia" w:cs="Times New Roman"/>
                      <w:color w:val="auto"/>
                      <w:kern w:val="0"/>
                      <w:sz w:val="18"/>
                      <w:szCs w:val="18"/>
                      <w:highlight w:val="none"/>
                      <w:lang w:eastAsia="zh-CN"/>
                    </w:rPr>
                  </w:pPr>
                </w:p>
              </w:tc>
              <w:tc>
                <w:tcPr>
                  <w:tcW w:w="291" w:type="pct"/>
                  <w:vMerge w:val="continue"/>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p>
              </w:tc>
              <w:tc>
                <w:tcPr>
                  <w:tcW w:w="290"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NO</w:t>
                  </w:r>
                  <w:r>
                    <w:rPr>
                      <w:rFonts w:hint="eastAsia" w:cs="Times New Roman"/>
                      <w:color w:val="auto"/>
                      <w:kern w:val="0"/>
                      <w:sz w:val="18"/>
                      <w:szCs w:val="18"/>
                      <w:highlight w:val="none"/>
                      <w:vertAlign w:val="subscript"/>
                      <w:lang w:val="en-US" w:eastAsia="zh-CN"/>
                    </w:rPr>
                    <w:t>x</w:t>
                  </w:r>
                </w:p>
              </w:tc>
              <w:tc>
                <w:tcPr>
                  <w:tcW w:w="458"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产污系数法</w:t>
                  </w:r>
                </w:p>
              </w:tc>
              <w:tc>
                <w:tcPr>
                  <w:tcW w:w="3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1481.112</w:t>
                  </w:r>
                </w:p>
              </w:tc>
              <w:tc>
                <w:tcPr>
                  <w:tcW w:w="342" w:type="pct"/>
                  <w:tcBorders>
                    <w:tl2br w:val="nil"/>
                    <w:tr2bl w:val="nil"/>
                  </w:tcBorders>
                  <w:shd w:val="clear" w:color="auto" w:fill="auto"/>
                  <w:vAlign w:val="center"/>
                </w:tcPr>
                <w:p>
                  <w:pPr>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283" w:type="pct"/>
                  <w:tcBorders>
                    <w:tl2br w:val="nil"/>
                    <w:tr2bl w:val="nil"/>
                  </w:tcBorders>
                  <w:shd w:val="clear" w:color="auto" w:fill="auto"/>
                  <w:vAlign w:val="center"/>
                </w:tcPr>
                <w:p>
                  <w:pPr>
                    <w:pStyle w:val="29"/>
                    <w:ind w:firstLine="0" w:firstLineChars="0"/>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537" w:type="pct"/>
                  <w:vMerge w:val="continue"/>
                  <w:tcBorders>
                    <w:right w:val="single" w:color="000000" w:sz="4" w:space="0"/>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lang w:eastAsia="zh-CN"/>
                    </w:rPr>
                  </w:pPr>
                </w:p>
              </w:tc>
              <w:tc>
                <w:tcPr>
                  <w:tcW w:w="293" w:type="pct"/>
                  <w:tcBorders>
                    <w:left w:val="single" w:color="000000" w:sz="4" w:space="0"/>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469"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产污系数法</w:t>
                  </w:r>
                </w:p>
              </w:tc>
              <w:tc>
                <w:tcPr>
                  <w:tcW w:w="34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rPr>
                    <w:t>1481.112</w:t>
                  </w:r>
                </w:p>
              </w:tc>
              <w:tc>
                <w:tcPr>
                  <w:tcW w:w="340" w:type="pct"/>
                  <w:tcBorders>
                    <w:tl2br w:val="nil"/>
                    <w:tr2bl w:val="nil"/>
                  </w:tcBorders>
                  <w:shd w:val="clear" w:color="auto" w:fill="auto"/>
                  <w:noWrap/>
                  <w:vAlign w:val="center"/>
                </w:tcPr>
                <w:p>
                  <w:pPr>
                    <w:pStyle w:val="29"/>
                    <w:ind w:firstLine="0" w:firstLineChars="0"/>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30</w:t>
                  </w:r>
                </w:p>
              </w:tc>
              <w:tc>
                <w:tcPr>
                  <w:tcW w:w="340" w:type="pct"/>
                  <w:tcBorders>
                    <w:tl2br w:val="nil"/>
                    <w:tr2bl w:val="nil"/>
                  </w:tcBorders>
                  <w:shd w:val="clear" w:color="auto" w:fill="auto"/>
                  <w:vAlign w:val="center"/>
                </w:tcPr>
                <w:p>
                  <w:pPr>
                    <w:pStyle w:val="29"/>
                    <w:ind w:firstLine="0" w:firstLineChars="0"/>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0.1066</w:t>
                  </w:r>
                </w:p>
              </w:tc>
              <w:tc>
                <w:tcPr>
                  <w:tcW w:w="273"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2400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8" w:type="pct"/>
                  <w:tcBorders>
                    <w:tl2br w:val="nil"/>
                    <w:tr2bl w:val="nil"/>
                  </w:tcBorders>
                  <w:shd w:val="clear" w:color="auto" w:fill="auto"/>
                  <w:vAlign w:val="center"/>
                </w:tcPr>
                <w:p>
                  <w:pPr>
                    <w:keepNext w:val="0"/>
                    <w:keepLines w:val="0"/>
                    <w:pageBreakBefore w:val="0"/>
                    <w:widowControl w:val="0"/>
                    <w:kinsoku/>
                    <w:wordWrap/>
                    <w:overflowPunct/>
                    <w:topLinePunct w:val="0"/>
                    <w:autoSpaceDN/>
                    <w:bidi w:val="0"/>
                    <w:adjustRightInd/>
                    <w:snapToGrid/>
                    <w:spacing w:line="320" w:lineRule="exact"/>
                    <w:jc w:val="center"/>
                    <w:textAlignment w:val="auto"/>
                    <w:rPr>
                      <w:rFonts w:hint="eastAsia" w:ascii="Times New Roman" w:hAnsi="Times New Roman" w:cs="Times New Roman" w:eastAsiaTheme="minorEastAsia"/>
                      <w:color w:val="auto"/>
                      <w:sz w:val="18"/>
                      <w:szCs w:val="18"/>
                      <w:highlight w:val="none"/>
                      <w:lang w:val="en-US" w:eastAsia="zh-CN" w:bidi="ar-SA"/>
                    </w:rPr>
                  </w:pPr>
                  <w:r>
                    <w:rPr>
                      <w:rFonts w:hint="eastAsia" w:cs="Times New Roman" w:eastAsiaTheme="minorEastAsia"/>
                      <w:color w:val="auto"/>
                      <w:sz w:val="18"/>
                      <w:szCs w:val="18"/>
                      <w:highlight w:val="none"/>
                      <w:lang w:val="en-US" w:eastAsia="zh-CN" w:bidi="ar-SA"/>
                    </w:rPr>
                    <w:t>投料工序</w:t>
                  </w:r>
                </w:p>
              </w:tc>
              <w:tc>
                <w:tcPr>
                  <w:tcW w:w="291" w:type="pct"/>
                  <w:tcBorders>
                    <w:tl2br w:val="nil"/>
                    <w:tr2bl w:val="nil"/>
                  </w:tcBorders>
                  <w:shd w:val="clear" w:color="auto" w:fill="auto"/>
                  <w:vAlign w:val="center"/>
                </w:tcPr>
                <w:p>
                  <w:pPr>
                    <w:widowControl/>
                    <w:jc w:val="center"/>
                    <w:rPr>
                      <w:rFonts w:hint="eastAsia"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排气筒DA00</w:t>
                  </w:r>
                  <w:r>
                    <w:rPr>
                      <w:rFonts w:hint="eastAsia" w:cs="Times New Roman"/>
                      <w:color w:val="auto"/>
                      <w:kern w:val="0"/>
                      <w:sz w:val="18"/>
                      <w:szCs w:val="18"/>
                      <w:highlight w:val="none"/>
                      <w:lang w:val="en-US" w:eastAsia="zh-CN"/>
                    </w:rPr>
                    <w:t>2</w:t>
                  </w:r>
                </w:p>
              </w:tc>
              <w:tc>
                <w:tcPr>
                  <w:tcW w:w="290"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lang w:eastAsia="zh-CN"/>
                    </w:rPr>
                  </w:pPr>
                  <w:r>
                    <w:rPr>
                      <w:rFonts w:hint="eastAsia" w:cs="Times New Roman"/>
                      <w:color w:val="auto"/>
                      <w:kern w:val="0"/>
                      <w:sz w:val="18"/>
                      <w:szCs w:val="18"/>
                      <w:highlight w:val="none"/>
                      <w:lang w:eastAsia="zh-CN"/>
                    </w:rPr>
                    <w:t>颗粒物</w:t>
                  </w:r>
                </w:p>
              </w:tc>
              <w:tc>
                <w:tcPr>
                  <w:tcW w:w="458" w:type="pct"/>
                  <w:tcBorders>
                    <w:tl2br w:val="nil"/>
                    <w:tr2bl w:val="nil"/>
                  </w:tcBorders>
                  <w:shd w:val="clear" w:color="auto" w:fill="auto"/>
                  <w:vAlign w:val="center"/>
                </w:tcPr>
                <w:p>
                  <w:pPr>
                    <w:widowControl/>
                    <w:jc w:val="center"/>
                    <w:rPr>
                      <w:rFonts w:hint="eastAsia" w:ascii="Times New Roman" w:hAnsi="Times New Roman" w:eastAsia="宋体" w:cs="Times New Roman"/>
                      <w:color w:val="auto"/>
                      <w:kern w:val="0"/>
                      <w:sz w:val="18"/>
                      <w:szCs w:val="18"/>
                      <w:highlight w:val="none"/>
                      <w:lang w:eastAsia="zh-CN"/>
                    </w:rPr>
                  </w:pPr>
                  <w:r>
                    <w:rPr>
                      <w:rFonts w:hint="eastAsia" w:cs="Times New Roman"/>
                      <w:color w:val="auto"/>
                      <w:kern w:val="0"/>
                      <w:sz w:val="18"/>
                      <w:szCs w:val="18"/>
                      <w:highlight w:val="none"/>
                      <w:lang w:eastAsia="zh-CN"/>
                    </w:rPr>
                    <w:t>类比法</w:t>
                  </w:r>
                </w:p>
              </w:tc>
              <w:tc>
                <w:tcPr>
                  <w:tcW w:w="3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500</w:t>
                  </w:r>
                </w:p>
              </w:tc>
              <w:tc>
                <w:tcPr>
                  <w:tcW w:w="955" w:type="dxa"/>
                  <w:tcBorders>
                    <w:tl2br w:val="nil"/>
                    <w:tr2bl w:val="nil"/>
                  </w:tcBorders>
                  <w:shd w:val="clear" w:color="auto" w:fill="auto"/>
                  <w:vAlign w:val="center"/>
                </w:tcPr>
                <w:p>
                  <w:pPr>
                    <w:spacing w:line="36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bidi="ar-SA"/>
                    </w:rPr>
                    <w:t>125</w:t>
                  </w:r>
                </w:p>
              </w:tc>
              <w:tc>
                <w:tcPr>
                  <w:tcW w:w="791" w:type="dxa"/>
                  <w:tcBorders>
                    <w:tl2br w:val="nil"/>
                    <w:tr2bl w:val="nil"/>
                  </w:tcBorders>
                  <w:shd w:val="clear" w:color="auto" w:fill="auto"/>
                  <w:vAlign w:val="center"/>
                </w:tcPr>
                <w:p>
                  <w:pPr>
                    <w:spacing w:line="36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0.0375</w:t>
                  </w:r>
                </w:p>
              </w:tc>
              <w:tc>
                <w:tcPr>
                  <w:tcW w:w="537" w:type="pct"/>
                  <w:tcBorders>
                    <w:right w:val="single" w:color="000000" w:sz="4" w:space="0"/>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bCs/>
                      <w:color w:val="auto"/>
                      <w:sz w:val="18"/>
                      <w:szCs w:val="18"/>
                      <w:highlight w:val="none"/>
                      <w:lang w:eastAsia="zh-CN"/>
                    </w:rPr>
                    <w:t>密闭间</w:t>
                  </w:r>
                  <w:r>
                    <w:rPr>
                      <w:rFonts w:hint="default" w:ascii="Times New Roman" w:hAnsi="Times New Roman" w:cs="Times New Roman"/>
                      <w:bCs/>
                      <w:color w:val="auto"/>
                      <w:sz w:val="18"/>
                      <w:szCs w:val="18"/>
                      <w:highlight w:val="none"/>
                      <w:lang w:val="en-US" w:eastAsia="zh-CN"/>
                    </w:rPr>
                    <w:t>+集气罩+袋式除尘器+15m高排气筒</w:t>
                  </w:r>
                </w:p>
              </w:tc>
              <w:tc>
                <w:tcPr>
                  <w:tcW w:w="293" w:type="pct"/>
                  <w:tcBorders>
                    <w:left w:val="single" w:color="000000" w:sz="4" w:space="0"/>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99</w:t>
                  </w:r>
                </w:p>
              </w:tc>
              <w:tc>
                <w:tcPr>
                  <w:tcW w:w="469" w:type="pct"/>
                  <w:tcBorders>
                    <w:tl2br w:val="nil"/>
                    <w:tr2bl w:val="nil"/>
                  </w:tcBorders>
                  <w:shd w:val="clear" w:color="auto" w:fill="auto"/>
                  <w:vAlign w:val="center"/>
                </w:tcPr>
                <w:p>
                  <w:pPr>
                    <w:widowControl/>
                    <w:jc w:val="center"/>
                    <w:rPr>
                      <w:rFonts w:hint="eastAsia" w:ascii="Times New Roman" w:hAnsi="Times New Roman" w:eastAsia="宋体" w:cs="Times New Roman"/>
                      <w:color w:val="auto"/>
                      <w:kern w:val="0"/>
                      <w:sz w:val="18"/>
                      <w:szCs w:val="18"/>
                      <w:highlight w:val="none"/>
                      <w:lang w:eastAsia="zh-CN"/>
                    </w:rPr>
                  </w:pPr>
                  <w:r>
                    <w:rPr>
                      <w:rFonts w:hint="eastAsia" w:cs="Times New Roman"/>
                      <w:color w:val="auto"/>
                      <w:kern w:val="0"/>
                      <w:sz w:val="18"/>
                      <w:szCs w:val="18"/>
                      <w:highlight w:val="none"/>
                      <w:lang w:eastAsia="zh-CN"/>
                    </w:rPr>
                    <w:t>类比法</w:t>
                  </w:r>
                </w:p>
              </w:tc>
              <w:tc>
                <w:tcPr>
                  <w:tcW w:w="340"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500</w:t>
                  </w:r>
                </w:p>
              </w:tc>
              <w:tc>
                <w:tcPr>
                  <w:tcW w:w="34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1.34</w:t>
                  </w:r>
                </w:p>
              </w:tc>
              <w:tc>
                <w:tcPr>
                  <w:tcW w:w="34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0.0004</w:t>
                  </w:r>
                </w:p>
              </w:tc>
              <w:tc>
                <w:tcPr>
                  <w:tcW w:w="273" w:type="pct"/>
                  <w:tcBorders>
                    <w:tl2br w:val="nil"/>
                    <w:tr2bl w:val="nil"/>
                  </w:tcBorders>
                  <w:shd w:val="clear" w:color="auto" w:fill="auto"/>
                  <w:vAlign w:val="center"/>
                </w:tcPr>
                <w:p>
                  <w:pPr>
                    <w:widowControl/>
                    <w:jc w:val="center"/>
                    <w:rPr>
                      <w:rFonts w:hint="default" w:ascii="Times New Roman" w:hAnsi="Times New Roman"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600</w:t>
                  </w:r>
                </w:p>
              </w:tc>
            </w:tr>
          </w:tbl>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废气排放口信息一览表</w:t>
            </w:r>
          </w:p>
          <w:tbl>
            <w:tblPr>
              <w:tblStyle w:val="17"/>
              <w:tblW w:w="1395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8"/>
              <w:gridCol w:w="859"/>
              <w:gridCol w:w="1173"/>
              <w:gridCol w:w="1036"/>
              <w:gridCol w:w="1227"/>
              <w:gridCol w:w="1064"/>
              <w:gridCol w:w="1091"/>
              <w:gridCol w:w="1254"/>
              <w:gridCol w:w="1268"/>
              <w:gridCol w:w="40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68" w:type="dxa"/>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序号</w:t>
                  </w:r>
                </w:p>
              </w:tc>
              <w:tc>
                <w:tcPr>
                  <w:tcW w:w="859" w:type="dxa"/>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排放口编号</w:t>
                  </w:r>
                </w:p>
              </w:tc>
              <w:tc>
                <w:tcPr>
                  <w:tcW w:w="1173" w:type="dxa"/>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排放口名称</w:t>
                  </w:r>
                </w:p>
              </w:tc>
              <w:tc>
                <w:tcPr>
                  <w:tcW w:w="1036" w:type="dxa"/>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污染物种类</w:t>
                  </w:r>
                </w:p>
              </w:tc>
              <w:tc>
                <w:tcPr>
                  <w:tcW w:w="2291" w:type="dxa"/>
                  <w:gridSpan w:val="2"/>
                  <w:tcBorders>
                    <w:bottom w:val="single" w:color="000000" w:sz="4" w:space="0"/>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排放口地理坐标</w:t>
                  </w:r>
                </w:p>
              </w:tc>
              <w:tc>
                <w:tcPr>
                  <w:tcW w:w="1091" w:type="dxa"/>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排气筒高度（m）</w:t>
                  </w:r>
                </w:p>
              </w:tc>
              <w:tc>
                <w:tcPr>
                  <w:tcW w:w="1254" w:type="dxa"/>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排气筒出口内径（m）</w:t>
                  </w:r>
                </w:p>
              </w:tc>
              <w:tc>
                <w:tcPr>
                  <w:tcW w:w="1268" w:type="dxa"/>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排气温度</w:t>
                  </w:r>
                  <w:r>
                    <w:rPr>
                      <w:rFonts w:hint="default" w:ascii="Times New Roman" w:hAnsi="Times New Roman" w:cs="Times New Roman"/>
                      <w:color w:val="auto"/>
                      <w:kern w:val="0"/>
                      <w:sz w:val="18"/>
                      <w:szCs w:val="18"/>
                      <w:highlight w:val="none"/>
                      <w:lang w:val="zh-CN" w:eastAsia="en-US"/>
                    </w:rPr>
                    <w:t>/℃</w:t>
                  </w:r>
                </w:p>
              </w:tc>
              <w:tc>
                <w:tcPr>
                  <w:tcW w:w="4018" w:type="dxa"/>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68" w:type="dxa"/>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cyan"/>
                      <w:vertAlign w:val="baseline"/>
                      <w:lang w:val="en-US" w:eastAsia="zh-CN"/>
                    </w:rPr>
                  </w:pPr>
                </w:p>
              </w:tc>
              <w:tc>
                <w:tcPr>
                  <w:tcW w:w="859" w:type="dxa"/>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cyan"/>
                      <w:vertAlign w:val="baseline"/>
                      <w:lang w:val="en-US" w:eastAsia="zh-CN"/>
                    </w:rPr>
                  </w:pPr>
                </w:p>
              </w:tc>
              <w:tc>
                <w:tcPr>
                  <w:tcW w:w="1173" w:type="dxa"/>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cyan"/>
                      <w:vertAlign w:val="baseline"/>
                      <w:lang w:val="en-US" w:eastAsia="zh-CN"/>
                    </w:rPr>
                  </w:pPr>
                </w:p>
              </w:tc>
              <w:tc>
                <w:tcPr>
                  <w:tcW w:w="1036" w:type="dxa"/>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cyan"/>
                      <w:vertAlign w:val="baseline"/>
                      <w:lang w:val="en-US" w:eastAsia="zh-CN"/>
                    </w:rPr>
                  </w:pPr>
                </w:p>
              </w:tc>
              <w:tc>
                <w:tcPr>
                  <w:tcW w:w="1227" w:type="dxa"/>
                  <w:tcBorders>
                    <w:top w:val="single" w:color="000000" w:sz="4" w:space="0"/>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经度</w:t>
                  </w:r>
                </w:p>
              </w:tc>
              <w:tc>
                <w:tcPr>
                  <w:tcW w:w="1064" w:type="dxa"/>
                  <w:tcBorders>
                    <w:top w:val="single" w:color="000000" w:sz="4" w:space="0"/>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维度</w:t>
                  </w:r>
                </w:p>
              </w:tc>
              <w:tc>
                <w:tcPr>
                  <w:tcW w:w="1091" w:type="dxa"/>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cyan"/>
                      <w:vertAlign w:val="baseline"/>
                      <w:lang w:val="en-US" w:eastAsia="zh-CN"/>
                    </w:rPr>
                  </w:pPr>
                </w:p>
              </w:tc>
              <w:tc>
                <w:tcPr>
                  <w:tcW w:w="1254" w:type="dxa"/>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cyan"/>
                      <w:vertAlign w:val="baseline"/>
                      <w:lang w:val="en-US" w:eastAsia="zh-CN"/>
                    </w:rPr>
                  </w:pPr>
                </w:p>
              </w:tc>
              <w:tc>
                <w:tcPr>
                  <w:tcW w:w="1268" w:type="dxa"/>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cyan"/>
                      <w:vertAlign w:val="baseline"/>
                      <w:lang w:val="en-US" w:eastAsia="zh-CN"/>
                    </w:rPr>
                  </w:pPr>
                </w:p>
              </w:tc>
              <w:tc>
                <w:tcPr>
                  <w:tcW w:w="4018" w:type="dxa"/>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cya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68"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1</w:t>
                  </w:r>
                </w:p>
              </w:tc>
              <w:tc>
                <w:tcPr>
                  <w:tcW w:w="859"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DA001</w:t>
                  </w:r>
                </w:p>
              </w:tc>
              <w:tc>
                <w:tcPr>
                  <w:tcW w:w="117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color w:val="auto"/>
                      <w:w w:val="90"/>
                      <w:sz w:val="18"/>
                      <w:szCs w:val="18"/>
                      <w:highlight w:val="none"/>
                    </w:rPr>
                    <w:t>燃气锅炉</w:t>
                  </w:r>
                  <w:r>
                    <w:rPr>
                      <w:rFonts w:hint="default" w:ascii="Times New Roman" w:hAnsi="Times New Roman" w:eastAsia="宋体" w:cs="Times New Roman"/>
                      <w:color w:val="auto"/>
                      <w:w w:val="90"/>
                      <w:sz w:val="18"/>
                      <w:szCs w:val="18"/>
                      <w:highlight w:val="none"/>
                      <w:lang w:eastAsia="zh-CN"/>
                    </w:rPr>
                    <w:t>排气筒</w:t>
                  </w:r>
                </w:p>
              </w:tc>
              <w:tc>
                <w:tcPr>
                  <w:tcW w:w="1036"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颗粒物</w:t>
                  </w:r>
                  <w:r>
                    <w:rPr>
                      <w:rFonts w:hint="eastAsia" w:ascii="Times New Roman" w:eastAsia="宋体" w:cs="Times New Roman"/>
                      <w:sz w:val="18"/>
                      <w:szCs w:val="18"/>
                      <w:highlight w:val="none"/>
                      <w:vertAlign w:val="baseline"/>
                      <w:lang w:val="en-US" w:eastAsia="zh-CN"/>
                    </w:rPr>
                    <w:t>、SO</w:t>
                  </w:r>
                  <w:r>
                    <w:rPr>
                      <w:rFonts w:hint="eastAsia" w:ascii="Times New Roman" w:eastAsia="宋体" w:cs="Times New Roman"/>
                      <w:sz w:val="18"/>
                      <w:szCs w:val="18"/>
                      <w:highlight w:val="none"/>
                      <w:vertAlign w:val="subscript"/>
                      <w:lang w:val="en-US" w:eastAsia="zh-CN"/>
                    </w:rPr>
                    <w:t>2</w:t>
                  </w:r>
                  <w:r>
                    <w:rPr>
                      <w:rFonts w:hint="eastAsia" w:ascii="Times New Roman" w:eastAsia="宋体" w:cs="Times New Roman"/>
                      <w:sz w:val="18"/>
                      <w:szCs w:val="18"/>
                      <w:highlight w:val="none"/>
                      <w:vertAlign w:val="baseline"/>
                      <w:lang w:val="en-US" w:eastAsia="zh-CN"/>
                    </w:rPr>
                    <w:t>、NO</w:t>
                  </w:r>
                  <w:r>
                    <w:rPr>
                      <w:rFonts w:hint="eastAsia" w:ascii="Times New Roman" w:eastAsia="宋体" w:cs="Times New Roman"/>
                      <w:sz w:val="18"/>
                      <w:szCs w:val="18"/>
                      <w:highlight w:val="none"/>
                      <w:vertAlign w:val="subscript"/>
                      <w:lang w:val="en-US" w:eastAsia="zh-CN"/>
                    </w:rPr>
                    <w:t>x</w:t>
                  </w:r>
                </w:p>
              </w:tc>
              <w:tc>
                <w:tcPr>
                  <w:tcW w:w="1227"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20" w:lineRule="exact"/>
                    <w:ind w:left="142" w:leftChars="0" w:right="0" w:rightChars="0" w:hanging="142" w:hangingChars="88"/>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color w:val="auto"/>
                      <w:w w:val="90"/>
                      <w:sz w:val="18"/>
                      <w:szCs w:val="18"/>
                      <w:highlight w:val="none"/>
                      <w:lang w:val="en-US" w:eastAsia="zh-CN"/>
                    </w:rPr>
                    <w:t>113.7947</w:t>
                  </w:r>
                </w:p>
              </w:tc>
              <w:tc>
                <w:tcPr>
                  <w:tcW w:w="1064"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20" w:lineRule="exact"/>
                    <w:ind w:left="142" w:leftChars="0" w:right="0" w:rightChars="0" w:hanging="142" w:hangingChars="88"/>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color w:val="auto"/>
                      <w:w w:val="90"/>
                      <w:sz w:val="18"/>
                      <w:szCs w:val="18"/>
                      <w:highlight w:val="none"/>
                      <w:lang w:val="en-US" w:eastAsia="zh-CN"/>
                    </w:rPr>
                    <w:t>35.3891</w:t>
                  </w:r>
                </w:p>
              </w:tc>
              <w:tc>
                <w:tcPr>
                  <w:tcW w:w="1091"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ascii="Times New Roman" w:eastAsia="宋体" w:cs="Times New Roman"/>
                      <w:sz w:val="18"/>
                      <w:szCs w:val="18"/>
                      <w:highlight w:val="none"/>
                      <w:vertAlign w:val="baseline"/>
                      <w:lang w:val="en-US" w:eastAsia="zh-CN"/>
                    </w:rPr>
                    <w:t>8</w:t>
                  </w:r>
                </w:p>
              </w:tc>
              <w:tc>
                <w:tcPr>
                  <w:tcW w:w="1254"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0.</w:t>
                  </w:r>
                  <w:r>
                    <w:rPr>
                      <w:rFonts w:hint="eastAsia" w:ascii="Times New Roman" w:eastAsia="宋体" w:cs="Times New Roman"/>
                      <w:sz w:val="18"/>
                      <w:szCs w:val="18"/>
                      <w:highlight w:val="none"/>
                      <w:vertAlign w:val="baseline"/>
                      <w:lang w:val="en-US" w:eastAsia="zh-CN"/>
                    </w:rPr>
                    <w:t>2</w:t>
                  </w:r>
                </w:p>
              </w:tc>
              <w:tc>
                <w:tcPr>
                  <w:tcW w:w="1268"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25</w:t>
                  </w:r>
                </w:p>
              </w:tc>
              <w:tc>
                <w:tcPr>
                  <w:tcW w:w="4018" w:type="dxa"/>
                  <w:tcBorders>
                    <w:tl2br w:val="nil"/>
                    <w:tr2bl w:val="nil"/>
                  </w:tcBorders>
                  <w:vAlign w:val="center"/>
                </w:tcPr>
                <w:p>
                  <w:pPr>
                    <w:pStyle w:val="2"/>
                    <w:keepNext w:val="0"/>
                    <w:keepLines w:val="0"/>
                    <w:pageBreakBefore w:val="0"/>
                    <w:widowControl w:val="0"/>
                    <w:kinsoku/>
                    <w:wordWrap/>
                    <w:overflowPunct/>
                    <w:topLinePunct w:val="0"/>
                    <w:bidi w:val="0"/>
                    <w:adjustRightInd/>
                    <w:snapToGrid/>
                    <w:spacing w:line="320" w:lineRule="exact"/>
                    <w:ind w:left="0" w:leftChars="0" w:right="0" w:rightChars="0"/>
                    <w:jc w:val="center"/>
                    <w:textAlignment w:val="auto"/>
                    <w:rPr>
                      <w:rFonts w:hint="eastAsia" w:ascii="Times New Roman" w:hAnsi="Times New Roman" w:cs="Times New Roman" w:eastAsiaTheme="minorEastAsia"/>
                      <w:sz w:val="18"/>
                      <w:szCs w:val="18"/>
                      <w:highlight w:val="none"/>
                      <w:vertAlign w:val="baseline"/>
                      <w:lang w:val="en-US" w:eastAsia="zh-CN"/>
                    </w:rPr>
                  </w:pPr>
                  <w:r>
                    <w:rPr>
                      <w:rFonts w:hint="default" w:ascii="Times New Roman" w:hAnsi="Times New Roman" w:cs="Times New Roman" w:eastAsiaTheme="minorEastAsia"/>
                      <w:color w:val="auto"/>
                      <w:sz w:val="18"/>
                      <w:szCs w:val="18"/>
                      <w:highlight w:val="none"/>
                    </w:rPr>
                    <w:t>《锅炉大气污染物排放标准》（</w:t>
                  </w:r>
                  <w:r>
                    <w:rPr>
                      <w:rFonts w:hint="eastAsia" w:ascii="Times New Roman" w:cs="Times New Roman" w:eastAsiaTheme="minorEastAsia"/>
                      <w:color w:val="auto"/>
                      <w:sz w:val="18"/>
                      <w:szCs w:val="18"/>
                      <w:highlight w:val="none"/>
                      <w:lang w:val="en-US" w:eastAsia="zh-CN"/>
                    </w:rPr>
                    <w:t>DB41/2089-2021</w:t>
                  </w:r>
                  <w:r>
                    <w:rPr>
                      <w:rFonts w:hint="default" w:ascii="Times New Roman" w:hAnsi="Times New Roman" w:cs="Times New Roman" w:eastAsiaTheme="minorEastAsia"/>
                      <w:color w:val="auto"/>
                      <w:sz w:val="18"/>
                      <w:szCs w:val="18"/>
                      <w:highlight w:val="none"/>
                    </w:rPr>
                    <w:t>）表</w:t>
                  </w:r>
                  <w:r>
                    <w:rPr>
                      <w:rFonts w:hint="eastAsia" w:ascii="Times New Roman" w:cs="Times New Roman" w:eastAsiaTheme="minorEastAsia"/>
                      <w:color w:val="auto"/>
                      <w:sz w:val="18"/>
                      <w:szCs w:val="18"/>
                      <w:highlight w:val="none"/>
                      <w:lang w:val="en-US" w:eastAsia="zh-CN"/>
                    </w:rPr>
                    <w:t>1</w:t>
                  </w:r>
                  <w:r>
                    <w:rPr>
                      <w:rFonts w:hint="default" w:ascii="Times New Roman" w:hAnsi="Times New Roman" w:cs="Times New Roman" w:eastAsiaTheme="minorEastAsia"/>
                      <w:color w:val="auto"/>
                      <w:sz w:val="18"/>
                      <w:szCs w:val="18"/>
                      <w:highlight w:val="none"/>
                    </w:rPr>
                    <w:t>燃气锅炉标准和《新乡市2019年大气污染防治攻坚战实施方案》（新环攻坚办〔2019〕74号）中天燃气锅炉排放要求</w:t>
                  </w:r>
                  <w:r>
                    <w:rPr>
                      <w:rFonts w:hint="eastAsia" w:ascii="Times New Roman" w:cs="Times New Roman" w:eastAsiaTheme="minorEastAsia"/>
                      <w:color w:val="auto"/>
                      <w:sz w:val="18"/>
                      <w:szCs w:val="18"/>
                      <w:highlight w:val="none"/>
                      <w:lang w:eastAsia="zh-CN"/>
                    </w:rPr>
                    <w:t>，同时满足</w:t>
                  </w:r>
                  <w:r>
                    <w:rPr>
                      <w:rFonts w:hint="default" w:ascii="Times New Roman" w:hAnsi="Times New Roman" w:eastAsia="宋体" w:cs="Times New Roman"/>
                      <w:color w:val="auto"/>
                      <w:sz w:val="18"/>
                      <w:szCs w:val="18"/>
                      <w:highlight w:val="none"/>
                      <w:lang w:val="en-US" w:eastAsia="zh-CN"/>
                    </w:rPr>
                    <w:t>《新乡市生态环境局关于进一步规范工业企业颗粒物排放限值的通知》标准限值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68"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ascii="Times New Roman" w:eastAsia="宋体" w:cs="Times New Roman"/>
                      <w:sz w:val="18"/>
                      <w:szCs w:val="18"/>
                      <w:highlight w:val="none"/>
                      <w:vertAlign w:val="baseline"/>
                      <w:lang w:val="en-US" w:eastAsia="zh-CN"/>
                    </w:rPr>
                    <w:t>2</w:t>
                  </w:r>
                </w:p>
              </w:tc>
              <w:tc>
                <w:tcPr>
                  <w:tcW w:w="859"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ascii="Times New Roman" w:eastAsia="宋体" w:cs="Times New Roman"/>
                      <w:sz w:val="18"/>
                      <w:szCs w:val="18"/>
                      <w:highlight w:val="none"/>
                      <w:vertAlign w:val="baseline"/>
                      <w:lang w:val="en-US" w:eastAsia="zh-CN"/>
                    </w:rPr>
                    <w:t>DA002</w:t>
                  </w:r>
                </w:p>
              </w:tc>
              <w:tc>
                <w:tcPr>
                  <w:tcW w:w="117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w w:val="90"/>
                      <w:sz w:val="18"/>
                      <w:szCs w:val="18"/>
                      <w:highlight w:val="none"/>
                      <w:lang w:eastAsia="zh-CN"/>
                    </w:rPr>
                    <w:t>面粉投料配套除尘器排气筒</w:t>
                  </w:r>
                </w:p>
              </w:tc>
              <w:tc>
                <w:tcPr>
                  <w:tcW w:w="1036"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sz w:val="18"/>
                      <w:szCs w:val="18"/>
                      <w:highlight w:val="none"/>
                      <w:vertAlign w:val="baseline"/>
                      <w:lang w:val="en-US" w:eastAsia="zh-CN"/>
                    </w:rPr>
                    <w:t>颗粒物</w:t>
                  </w:r>
                </w:p>
              </w:tc>
              <w:tc>
                <w:tcPr>
                  <w:tcW w:w="1227"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20" w:lineRule="exact"/>
                    <w:ind w:left="142" w:leftChars="0" w:right="0" w:rightChars="0" w:hanging="142" w:hangingChars="88"/>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w w:val="90"/>
                      <w:sz w:val="18"/>
                      <w:szCs w:val="18"/>
                      <w:highlight w:val="none"/>
                      <w:lang w:val="en-US" w:eastAsia="zh-CN"/>
                    </w:rPr>
                    <w:t>113.7949</w:t>
                  </w:r>
                </w:p>
              </w:tc>
              <w:tc>
                <w:tcPr>
                  <w:tcW w:w="1064"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20" w:lineRule="exact"/>
                    <w:ind w:left="142" w:leftChars="0" w:right="0" w:rightChars="0" w:hanging="142" w:hangingChars="88"/>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w w:val="90"/>
                      <w:sz w:val="18"/>
                      <w:szCs w:val="18"/>
                      <w:highlight w:val="none"/>
                      <w:lang w:val="en-US" w:eastAsia="zh-CN"/>
                    </w:rPr>
                    <w:t>35.3891</w:t>
                  </w:r>
                </w:p>
              </w:tc>
              <w:tc>
                <w:tcPr>
                  <w:tcW w:w="1091"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ascii="Times New Roman" w:eastAsia="宋体" w:cs="Times New Roman"/>
                      <w:sz w:val="18"/>
                      <w:szCs w:val="18"/>
                      <w:highlight w:val="none"/>
                      <w:vertAlign w:val="baseline"/>
                      <w:lang w:val="en-US" w:eastAsia="zh-CN"/>
                    </w:rPr>
                    <w:t>15</w:t>
                  </w:r>
                </w:p>
              </w:tc>
              <w:tc>
                <w:tcPr>
                  <w:tcW w:w="1254"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ascii="Times New Roman" w:eastAsia="宋体" w:cs="Times New Roman"/>
                      <w:sz w:val="18"/>
                      <w:szCs w:val="18"/>
                      <w:highlight w:val="none"/>
                      <w:vertAlign w:val="baseline"/>
                      <w:lang w:val="en-US" w:eastAsia="zh-CN"/>
                    </w:rPr>
                    <w:t>0.3</w:t>
                  </w:r>
                </w:p>
              </w:tc>
              <w:tc>
                <w:tcPr>
                  <w:tcW w:w="1268"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left="0" w:leftChars="0" w:right="0" w:rightChars="0"/>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ascii="Times New Roman" w:eastAsia="宋体" w:cs="Times New Roman"/>
                      <w:sz w:val="18"/>
                      <w:szCs w:val="18"/>
                      <w:highlight w:val="none"/>
                      <w:vertAlign w:val="baseline"/>
                      <w:lang w:val="en-US" w:eastAsia="zh-CN"/>
                    </w:rPr>
                    <w:t>110</w:t>
                  </w:r>
                </w:p>
              </w:tc>
              <w:tc>
                <w:tcPr>
                  <w:tcW w:w="4018" w:type="dxa"/>
                  <w:tcBorders>
                    <w:tl2br w:val="nil"/>
                    <w:tr2bl w:val="nil"/>
                  </w:tcBorders>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20" w:lineRule="exact"/>
                    <w:ind w:left="0" w:leftChars="0" w:right="0" w:rightChars="0" w:firstLine="360" w:firstLineChars="20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《大气污染物综合排放标准》(GB16297-1996)表2</w:t>
                  </w:r>
                  <w:r>
                    <w:rPr>
                      <w:rFonts w:hint="eastAsia" w:cs="Times New Roman"/>
                      <w:color w:val="auto"/>
                      <w:sz w:val="18"/>
                      <w:szCs w:val="18"/>
                      <w:highlight w:val="none"/>
                      <w:lang w:val="en-US" w:eastAsia="zh-CN"/>
                    </w:rPr>
                    <w:t>标准和</w:t>
                  </w:r>
                  <w:r>
                    <w:rPr>
                      <w:rFonts w:hint="default" w:ascii="Times New Roman" w:hAnsi="Times New Roman" w:eastAsia="宋体" w:cs="Times New Roman"/>
                      <w:color w:val="auto"/>
                      <w:sz w:val="18"/>
                      <w:szCs w:val="18"/>
                      <w:highlight w:val="none"/>
                      <w:lang w:val="en-US" w:eastAsia="zh-CN"/>
                    </w:rPr>
                    <w:t>《新乡市生态环境局关于进一步规范工业企业颗粒物排放限值的通知》标准限值。</w:t>
                  </w:r>
                </w:p>
              </w:tc>
            </w:tr>
          </w:tbl>
          <w:p>
            <w:pPr>
              <w:keepNext w:val="0"/>
              <w:keepLines w:val="0"/>
              <w:pageBreakBefore w:val="0"/>
              <w:widowControl w:val="0"/>
              <w:tabs>
                <w:tab w:val="center" w:pos="4772"/>
              </w:tabs>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lang w:val="en-US" w:eastAsia="zh-CN"/>
              </w:rPr>
              <w:t>综上所述，</w:t>
            </w:r>
            <w:r>
              <w:rPr>
                <w:rFonts w:hint="eastAsia" w:cs="Times New Roman"/>
                <w:color w:val="auto"/>
                <w:sz w:val="21"/>
                <w:szCs w:val="21"/>
                <w:highlight w:val="none"/>
                <w:lang w:val="en-US" w:eastAsia="zh-CN"/>
              </w:rPr>
              <w:t>项目燃气锅炉采用</w:t>
            </w:r>
            <w:r>
              <w:rPr>
                <w:rFonts w:hint="default" w:ascii="Times New Roman" w:hAnsi="Times New Roman" w:cs="Times New Roman"/>
                <w:color w:val="auto"/>
                <w:highlight w:val="none"/>
              </w:rPr>
              <w:t>本项目天然气锅炉经低氮燃烧技术处理后</w:t>
            </w:r>
            <w:r>
              <w:rPr>
                <w:rFonts w:hint="eastAsia" w:cs="Times New Roman"/>
                <w:color w:val="auto"/>
                <w:highlight w:val="none"/>
                <w:lang w:eastAsia="zh-CN"/>
              </w:rPr>
              <w:t>，</w:t>
            </w:r>
            <w:r>
              <w:rPr>
                <w:rFonts w:hint="default" w:ascii="Times New Roman" w:hAnsi="Times New Roman" w:cs="Times New Roman"/>
                <w:color w:val="auto"/>
                <w:highlight w:val="none"/>
              </w:rPr>
              <w:t>废气污染物排放浓度能够满足《锅炉大气污染物排放标准》（DB41/2089-2021）表1燃气锅炉</w:t>
            </w:r>
            <w:r>
              <w:rPr>
                <w:rFonts w:hint="default" w:ascii="Times New Roman" w:hAnsi="Times New Roman" w:cs="Times New Roman"/>
                <w:color w:val="auto"/>
                <w:highlight w:val="none"/>
                <w:lang w:eastAsia="zh-CN"/>
              </w:rPr>
              <w:t>中</w:t>
            </w:r>
            <w:r>
              <w:rPr>
                <w:rFonts w:hint="default" w:ascii="Times New Roman" w:hAnsi="Times New Roman" w:cs="Times New Roman"/>
                <w:color w:val="auto"/>
                <w:highlight w:val="none"/>
              </w:rPr>
              <w:t>烟尘、二氧化硫、氮氧化物排放浓度分别不高于</w:t>
            </w:r>
            <w:r>
              <w:rPr>
                <w:rFonts w:hint="eastAsia" w:cs="Times New Roman"/>
                <w:color w:val="auto"/>
                <w:highlight w:val="none"/>
                <w:lang w:val="en-US" w:eastAsia="zh-CN"/>
              </w:rPr>
              <w:t>5</w:t>
            </w:r>
            <w:r>
              <w:rPr>
                <w:rFonts w:hint="default" w:ascii="Times New Roman" w:hAnsi="Times New Roman" w:cs="Times New Roman"/>
                <w:color w:val="auto"/>
                <w:highlight w:val="none"/>
              </w:rPr>
              <w:t>、</w:t>
            </w:r>
            <w:r>
              <w:rPr>
                <w:rFonts w:hint="eastAsia" w:cs="Times New Roman"/>
                <w:color w:val="auto"/>
                <w:highlight w:val="none"/>
                <w:lang w:val="en-US" w:eastAsia="zh-CN"/>
              </w:rPr>
              <w:t>10</w:t>
            </w:r>
            <w:r>
              <w:rPr>
                <w:rFonts w:hint="default" w:ascii="Times New Roman" w:hAnsi="Times New Roman" w:cs="Times New Roman"/>
                <w:color w:val="auto"/>
                <w:highlight w:val="none"/>
              </w:rPr>
              <w:t>、</w:t>
            </w:r>
            <w:r>
              <w:rPr>
                <w:rFonts w:hint="eastAsia" w:cs="Times New Roman"/>
                <w:color w:val="auto"/>
                <w:highlight w:val="none"/>
                <w:lang w:val="en-US" w:eastAsia="zh-CN"/>
              </w:rPr>
              <w:t>30</w:t>
            </w:r>
            <w:r>
              <w:rPr>
                <w:rFonts w:hint="default" w:ascii="Times New Roman" w:hAnsi="Times New Roman" w:cs="Times New Roman"/>
                <w:color w:val="auto"/>
                <w:highlight w:val="none"/>
              </w:rPr>
              <w:t>毫克/立方米的要求</w:t>
            </w:r>
            <w:r>
              <w:rPr>
                <w:rFonts w:hint="eastAsia" w:cs="Times New Roman"/>
                <w:color w:val="auto"/>
                <w:highlight w:val="none"/>
                <w:lang w:eastAsia="zh-CN"/>
              </w:rPr>
              <w:t>、</w:t>
            </w:r>
            <w:r>
              <w:rPr>
                <w:rFonts w:hint="default" w:ascii="Times New Roman" w:hAnsi="Times New Roman" w:cs="Times New Roman"/>
                <w:color w:val="auto"/>
                <w:highlight w:val="none"/>
              </w:rPr>
              <w:t>《新乡市2019年大气污染防治攻坚战实施方案》（新环攻坚办〔2019〕74号）中天燃气锅炉完成低氮改造后烟尘、二氧化硫、氮氧化物排放浓度分别不高于5、10、30毫克/立方米的要求</w:t>
            </w:r>
            <w:r>
              <w:rPr>
                <w:rFonts w:hint="eastAsia" w:cs="Times New Roman"/>
                <w:color w:val="auto"/>
                <w:highlight w:val="none"/>
                <w:lang w:eastAsia="zh-CN"/>
              </w:rPr>
              <w:t>和新乡市生态环境局关于进一步规范工业企业颗粒物排限值的通知中燃气锅炉颗粒物排放限值要求（</w:t>
            </w:r>
            <w:r>
              <w:rPr>
                <w:rFonts w:hint="eastAsia" w:cs="Times New Roman"/>
                <w:color w:val="auto"/>
                <w:highlight w:val="none"/>
                <w:lang w:val="en-US" w:eastAsia="zh-CN"/>
              </w:rPr>
              <w:t>5</w:t>
            </w:r>
            <w:r>
              <w:rPr>
                <w:rFonts w:hint="default" w:ascii="Times New Roman" w:hAnsi="Times New Roman" w:cs="Times New Roman"/>
                <w:color w:val="auto"/>
                <w:highlight w:val="none"/>
              </w:rPr>
              <w:t>毫克/立方米</w:t>
            </w:r>
            <w:r>
              <w:rPr>
                <w:rFonts w:hint="eastAsia" w:cs="Times New Roman"/>
                <w:color w:val="auto"/>
                <w:highlight w:val="none"/>
                <w:lang w:eastAsia="zh-CN"/>
              </w:rPr>
              <w:t>）</w:t>
            </w:r>
            <w:r>
              <w:rPr>
                <w:rFonts w:hint="default" w:ascii="Times New Roman" w:hAnsi="Times New Roman" w:cs="Times New Roman"/>
                <w:color w:val="auto"/>
                <w:highlight w:val="none"/>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eastAsia" w:cs="Times New Roman"/>
                <w:color w:val="auto"/>
                <w:sz w:val="21"/>
                <w:szCs w:val="21"/>
                <w:highlight w:val="none"/>
                <w:lang w:val="en-US" w:eastAsia="zh-CN"/>
              </w:rPr>
              <w:t>投料过程</w:t>
            </w:r>
            <w:r>
              <w:rPr>
                <w:rFonts w:hint="default" w:ascii="Times New Roman" w:hAnsi="Times New Roman" w:eastAsia="宋体" w:cs="Times New Roman"/>
                <w:color w:val="auto"/>
                <w:sz w:val="21"/>
                <w:szCs w:val="21"/>
                <w:highlight w:val="none"/>
                <w:lang w:val="en-US" w:eastAsia="zh-CN"/>
              </w:rPr>
              <w:t>颗粒物废物经采用脉冲袋式除尘器处理后，排放浓度可满足《大气污染物综合排放标准》(GB16297-1996)表2（颗粒物120mg/m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），同时颗粒物排放浓度满足《新乡市生态环境局关于进一步规范工业企业颗粒物排放限值的通知》（企业排放口排放浓度10mg/m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）标准限值。</w:t>
            </w:r>
          </w:p>
          <w:p>
            <w:pPr>
              <w:rPr>
                <w:rFonts w:hint="default" w:eastAsia="宋体"/>
                <w:highlight w:val="cyan"/>
                <w:vertAlign w:val="baseline"/>
                <w:lang w:val="en-US" w:eastAsia="zh-CN"/>
              </w:rPr>
            </w:pP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r>
              <w:rPr>
                <w:rFonts w:hint="eastAsia"/>
                <w:highlight w:val="cyan"/>
                <w:vertAlign w:val="baseline"/>
                <w:lang w:val="en-US" w:eastAsia="zh-CN"/>
              </w:rPr>
              <w:br w:type="textWrapping"/>
            </w:r>
          </w:p>
        </w:tc>
      </w:tr>
    </w:tbl>
    <w:p>
      <w:pPr>
        <w:rPr>
          <w:highlight w:val="cyan"/>
        </w:rPr>
        <w:sectPr>
          <w:pgSz w:w="16838" w:h="11906" w:orient="landscape"/>
          <w:pgMar w:top="1800" w:right="1440" w:bottom="1800" w:left="144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7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pct"/>
          </w:tcPr>
          <w:p>
            <w:pPr>
              <w:pStyle w:val="2"/>
              <w:rPr>
                <w:highlight w:val="cyan"/>
                <w:vertAlign w:val="baseline"/>
              </w:rPr>
            </w:pPr>
          </w:p>
        </w:tc>
        <w:tc>
          <w:tcPr>
            <w:tcW w:w="4367" w:type="pct"/>
          </w:tcPr>
          <w:p>
            <w:pPr>
              <w:pStyle w:val="2"/>
              <w:keepNext w:val="0"/>
              <w:keepLines w:val="0"/>
              <w:pageBreakBefore w:val="0"/>
              <w:widowControl w:val="0"/>
              <w:numPr>
                <w:ilvl w:val="0"/>
                <w:numId w:val="0"/>
              </w:numPr>
              <w:kinsoku/>
              <w:wordWrap/>
              <w:overflowPunct/>
              <w:topLinePunct w:val="0"/>
              <w:bidi w:val="0"/>
              <w:adjustRightInd/>
              <w:snapToGrid/>
              <w:spacing w:line="360" w:lineRule="auto"/>
              <w:ind w:leftChars="200" w:right="0" w:rightChars="0"/>
              <w:jc w:val="left"/>
              <w:textAlignment w:val="auto"/>
              <w:rPr>
                <w:rFonts w:hint="eastAsia" w:ascii="宋体" w:hAnsi="宋体" w:eastAsia="宋体" w:cs="宋体"/>
                <w:b/>
                <w:bCs/>
                <w:sz w:val="21"/>
                <w:szCs w:val="21"/>
                <w:highlight w:val="none"/>
                <w:vertAlign w:val="baseline"/>
                <w:lang w:eastAsia="zh-CN"/>
              </w:rPr>
            </w:pPr>
            <w:r>
              <w:rPr>
                <w:rFonts w:hint="eastAsia" w:ascii="宋体" w:hAnsi="宋体" w:eastAsia="宋体" w:cs="宋体"/>
                <w:b/>
                <w:bCs/>
                <w:sz w:val="21"/>
                <w:szCs w:val="21"/>
                <w:highlight w:val="none"/>
                <w:vertAlign w:val="baseline"/>
                <w:lang w:eastAsia="zh-CN"/>
              </w:rPr>
              <w:t>（</w:t>
            </w:r>
            <w:r>
              <w:rPr>
                <w:rFonts w:hint="eastAsia" w:ascii="宋体" w:hAnsi="宋体" w:eastAsia="宋体" w:cs="宋体"/>
                <w:b/>
                <w:bCs/>
                <w:sz w:val="21"/>
                <w:szCs w:val="21"/>
                <w:highlight w:val="none"/>
                <w:vertAlign w:val="baseline"/>
                <w:lang w:val="en-US" w:eastAsia="zh-CN"/>
              </w:rPr>
              <w:t>2</w:t>
            </w:r>
            <w:r>
              <w:rPr>
                <w:rFonts w:hint="eastAsia" w:ascii="宋体" w:hAnsi="宋体" w:eastAsia="宋体" w:cs="宋体"/>
                <w:b/>
                <w:bCs/>
                <w:sz w:val="21"/>
                <w:szCs w:val="21"/>
                <w:highlight w:val="none"/>
                <w:vertAlign w:val="baseline"/>
                <w:lang w:eastAsia="zh-CN"/>
              </w:rPr>
              <w:t>）监测要求</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20" w:firstLineChars="200"/>
              <w:jc w:val="left"/>
              <w:textAlignment w:val="auto"/>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项目属于C149其他食品制造，参考《排污单位自行监测技术指南</w:t>
            </w:r>
            <w:r>
              <w:rPr>
                <w:rFonts w:hint="eastAsia" w:ascii="Times New Roman" w:hAnsi="Times New Roman" w:eastAsia="宋体" w:cs="Times New Roman"/>
                <w:b w:val="0"/>
                <w:bCs w:val="0"/>
                <w:sz w:val="21"/>
                <w:szCs w:val="21"/>
                <w:highlight w:val="none"/>
                <w:vertAlign w:val="baseline"/>
                <w:lang w:val="en-US" w:eastAsia="zh-CN"/>
              </w:rPr>
              <w:t>—</w:t>
            </w:r>
            <w:r>
              <w:rPr>
                <w:rFonts w:hint="default" w:ascii="Times New Roman" w:hAnsi="Times New Roman" w:eastAsia="宋体" w:cs="Times New Roman"/>
                <w:b w:val="0"/>
                <w:bCs w:val="0"/>
                <w:sz w:val="21"/>
                <w:szCs w:val="21"/>
                <w:highlight w:val="none"/>
                <w:vertAlign w:val="baseline"/>
                <w:lang w:val="en-US" w:eastAsia="zh-CN"/>
              </w:rPr>
              <w:t>食品制造</w:t>
            </w:r>
            <w:r>
              <w:rPr>
                <w:rFonts w:hint="default" w:ascii="Times New Roman" w:hAnsi="Times New Roman" w:eastAsia="宋体" w:cs="Times New Roman"/>
                <w:b w:val="0"/>
                <w:bCs w:val="0"/>
                <w:sz w:val="21"/>
                <w:szCs w:val="21"/>
                <w:highlight w:val="none"/>
                <w:vertAlign w:val="baseline"/>
                <w:lang w:eastAsia="zh-CN"/>
              </w:rPr>
              <w:t>》</w:t>
            </w:r>
            <w:r>
              <w:rPr>
                <w:rFonts w:hint="default" w:ascii="Times New Roman" w:hAnsi="Times New Roman" w:cs="Times New Roman"/>
                <w:b w:val="0"/>
                <w:bCs w:val="0"/>
                <w:sz w:val="21"/>
                <w:szCs w:val="21"/>
                <w:highlight w:val="none"/>
                <w:vertAlign w:val="baseline"/>
                <w:lang w:eastAsia="zh-CN"/>
              </w:rPr>
              <w:t>（</w:t>
            </w:r>
            <w:r>
              <w:rPr>
                <w:rFonts w:hint="default" w:ascii="Times New Roman" w:hAnsi="Times New Roman" w:cs="Times New Roman"/>
                <w:b w:val="0"/>
                <w:bCs w:val="0"/>
                <w:sz w:val="21"/>
                <w:szCs w:val="21"/>
                <w:highlight w:val="none"/>
                <w:vertAlign w:val="baseline"/>
                <w:lang w:val="en-US" w:eastAsia="zh-CN"/>
              </w:rPr>
              <w:t>HJ1084-2020</w:t>
            </w:r>
            <w:r>
              <w:rPr>
                <w:rFonts w:hint="default" w:ascii="Times New Roman" w:hAnsi="Times New Roman" w:cs="Times New Roman"/>
                <w:b w:val="0"/>
                <w:bCs w:val="0"/>
                <w:sz w:val="21"/>
                <w:szCs w:val="21"/>
                <w:highlight w:val="none"/>
                <w:vertAlign w:val="baseline"/>
                <w:lang w:eastAsia="zh-CN"/>
              </w:rPr>
              <w:t>）</w:t>
            </w:r>
            <w:r>
              <w:rPr>
                <w:rFonts w:hint="default" w:ascii="Times New Roman" w:hAnsi="Times New Roman" w:eastAsia="宋体" w:cs="Times New Roman"/>
                <w:b w:val="0"/>
                <w:bCs w:val="0"/>
                <w:sz w:val="21"/>
                <w:szCs w:val="21"/>
                <w:highlight w:val="none"/>
                <w:vertAlign w:val="baseline"/>
                <w:lang w:eastAsia="zh-CN"/>
              </w:rPr>
              <w:t>、《排污单位自行监测技术指南</w:t>
            </w:r>
            <w:r>
              <w:rPr>
                <w:rFonts w:hint="eastAsia" w:ascii="Times New Roman" w:hAnsi="Times New Roman" w:eastAsia="宋体" w:cs="Times New Roman"/>
                <w:b w:val="0"/>
                <w:bCs w:val="0"/>
                <w:sz w:val="21"/>
                <w:szCs w:val="21"/>
                <w:highlight w:val="none"/>
                <w:vertAlign w:val="baseline"/>
                <w:lang w:eastAsia="zh-CN"/>
              </w:rPr>
              <w:t>—</w:t>
            </w:r>
            <w:r>
              <w:rPr>
                <w:rFonts w:hint="default" w:ascii="Times New Roman" w:hAnsi="Times New Roman" w:eastAsia="宋体" w:cs="Times New Roman"/>
                <w:b w:val="0"/>
                <w:bCs w:val="0"/>
                <w:sz w:val="21"/>
                <w:szCs w:val="21"/>
                <w:highlight w:val="none"/>
                <w:vertAlign w:val="baseline"/>
                <w:lang w:eastAsia="zh-CN"/>
              </w:rPr>
              <w:t>火力发电及锅炉》</w:t>
            </w:r>
            <w:r>
              <w:rPr>
                <w:rFonts w:hint="eastAsia" w:ascii="Times New Roman" w:hAnsi="Times New Roman" w:eastAsia="宋体" w:cs="Times New Roman"/>
                <w:b w:val="0"/>
                <w:bCs w:val="0"/>
                <w:sz w:val="21"/>
                <w:szCs w:val="21"/>
                <w:highlight w:val="none"/>
                <w:vertAlign w:val="baseline"/>
                <w:lang w:eastAsia="zh-CN"/>
              </w:rPr>
              <w:t>（</w:t>
            </w:r>
            <w:r>
              <w:rPr>
                <w:rFonts w:hint="eastAsia" w:ascii="Times New Roman" w:hAnsi="Times New Roman" w:eastAsia="宋体" w:cs="Times New Roman"/>
                <w:b w:val="0"/>
                <w:bCs w:val="0"/>
                <w:sz w:val="21"/>
                <w:szCs w:val="21"/>
                <w:highlight w:val="none"/>
                <w:vertAlign w:val="baseline"/>
                <w:lang w:val="en-US" w:eastAsia="zh-CN"/>
              </w:rPr>
              <w:t>HJ820-2017</w:t>
            </w:r>
            <w:r>
              <w:rPr>
                <w:rFonts w:hint="eastAsia" w:ascii="Times New Roman" w:hAnsi="Times New Roman" w:eastAsia="宋体" w:cs="Times New Roman"/>
                <w:b w:val="0"/>
                <w:bCs w:val="0"/>
                <w:sz w:val="21"/>
                <w:szCs w:val="21"/>
                <w:highlight w:val="none"/>
                <w:vertAlign w:val="baseline"/>
                <w:lang w:eastAsia="zh-CN"/>
              </w:rPr>
              <w:t>）</w:t>
            </w:r>
            <w:r>
              <w:rPr>
                <w:rFonts w:hint="default" w:ascii="Times New Roman" w:hAnsi="Times New Roman" w:eastAsia="宋体" w:cs="Times New Roman"/>
                <w:b w:val="0"/>
                <w:bCs w:val="0"/>
                <w:sz w:val="21"/>
                <w:szCs w:val="21"/>
                <w:highlight w:val="none"/>
                <w:vertAlign w:val="baseline"/>
                <w:lang w:eastAsia="zh-CN"/>
              </w:rPr>
              <w:t>相关要求，项目自行监测计划如下：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 xml:space="preserve">   有组织废气监测方案</w:t>
            </w:r>
          </w:p>
          <w:tbl>
            <w:tblPr>
              <w:tblStyle w:val="1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1047"/>
              <w:gridCol w:w="1273"/>
              <w:gridCol w:w="35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pct"/>
                  <w:noWrap w:val="0"/>
                  <w:vAlign w:val="center"/>
                </w:tcPr>
                <w:p>
                  <w:pPr>
                    <w:pStyle w:val="2"/>
                    <w:adjustRightInd/>
                    <w:spacing w:line="240" w:lineRule="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监测点位</w:t>
                  </w:r>
                </w:p>
              </w:tc>
              <w:tc>
                <w:tcPr>
                  <w:tcW w:w="724" w:type="pct"/>
                  <w:noWrap w:val="0"/>
                  <w:vAlign w:val="center"/>
                </w:tcPr>
                <w:p>
                  <w:pPr>
                    <w:pStyle w:val="2"/>
                    <w:adjustRightInd/>
                    <w:spacing w:line="240" w:lineRule="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监测指标</w:t>
                  </w:r>
                </w:p>
              </w:tc>
              <w:tc>
                <w:tcPr>
                  <w:tcW w:w="880" w:type="pct"/>
                  <w:noWrap w:val="0"/>
                  <w:vAlign w:val="center"/>
                </w:tcPr>
                <w:p>
                  <w:pPr>
                    <w:pStyle w:val="2"/>
                    <w:adjustRightInd/>
                    <w:spacing w:line="240" w:lineRule="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监测频次</w:t>
                  </w:r>
                </w:p>
              </w:tc>
              <w:tc>
                <w:tcPr>
                  <w:tcW w:w="2474" w:type="pct"/>
                  <w:noWrap w:val="0"/>
                  <w:vAlign w:val="center"/>
                </w:tcPr>
                <w:p>
                  <w:pPr>
                    <w:pStyle w:val="2"/>
                    <w:adjustRightInd/>
                    <w:spacing w:line="240" w:lineRule="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pct"/>
                  <w:vMerge w:val="restart"/>
                  <w:noWrap w:val="0"/>
                  <w:vAlign w:val="center"/>
                </w:tcPr>
                <w:p>
                  <w:pPr>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DA001进出口</w:t>
                  </w:r>
                </w:p>
              </w:tc>
              <w:tc>
                <w:tcPr>
                  <w:tcW w:w="724" w:type="pct"/>
                  <w:noWrap w:val="0"/>
                  <w:vAlign w:val="center"/>
                </w:tcPr>
                <w:p>
                  <w:pPr>
                    <w:pStyle w:val="2"/>
                    <w:adjustRightInd/>
                    <w:spacing w:line="240" w:lineRule="auto"/>
                    <w:rPr>
                      <w:rFonts w:hint="default" w:ascii="Times New Roman" w:hAnsi="Times New Roman" w:cs="Times New Roman" w:eastAsiaTheme="minorEastAsia"/>
                      <w:color w:val="auto"/>
                      <w:sz w:val="18"/>
                      <w:szCs w:val="18"/>
                      <w:highlight w:val="none"/>
                      <w:lang w:val="en-US" w:eastAsia="zh-CN"/>
                    </w:rPr>
                  </w:pPr>
                  <w:r>
                    <w:rPr>
                      <w:rFonts w:hint="eastAsia" w:ascii="Times New Roman" w:cs="Times New Roman" w:eastAsiaTheme="minorEastAsia"/>
                      <w:color w:val="auto"/>
                      <w:sz w:val="18"/>
                      <w:szCs w:val="18"/>
                      <w:highlight w:val="none"/>
                      <w:lang w:eastAsia="zh-CN"/>
                    </w:rPr>
                    <w:t>颗粒物、</w:t>
                  </w:r>
                  <w:r>
                    <w:rPr>
                      <w:rFonts w:hint="eastAsia" w:ascii="Times New Roman" w:cs="Times New Roman" w:eastAsiaTheme="minorEastAsia"/>
                      <w:color w:val="auto"/>
                      <w:sz w:val="18"/>
                      <w:szCs w:val="18"/>
                      <w:highlight w:val="none"/>
                      <w:lang w:val="en-US" w:eastAsia="zh-CN"/>
                    </w:rPr>
                    <w:t>SO</w:t>
                  </w:r>
                  <w:r>
                    <w:rPr>
                      <w:rFonts w:hint="eastAsia" w:ascii="Times New Roman" w:cs="Times New Roman" w:eastAsiaTheme="minorEastAsia"/>
                      <w:color w:val="auto"/>
                      <w:sz w:val="18"/>
                      <w:szCs w:val="18"/>
                      <w:highlight w:val="none"/>
                      <w:vertAlign w:val="subscript"/>
                      <w:lang w:val="en-US" w:eastAsia="zh-CN"/>
                    </w:rPr>
                    <w:t>2</w:t>
                  </w:r>
                </w:p>
              </w:tc>
              <w:tc>
                <w:tcPr>
                  <w:tcW w:w="880" w:type="pct"/>
                  <w:noWrap w:val="0"/>
                  <w:vAlign w:val="center"/>
                </w:tcPr>
                <w:p>
                  <w:pPr>
                    <w:pStyle w:val="2"/>
                    <w:adjustRightInd/>
                    <w:spacing w:line="240" w:lineRule="auto"/>
                    <w:rPr>
                      <w:rFonts w:hint="default" w:ascii="Times New Roman" w:hAnsi="Times New Roman" w:cs="Times New Roman" w:eastAsiaTheme="minorEastAsia"/>
                      <w:color w:val="auto"/>
                      <w:sz w:val="18"/>
                      <w:szCs w:val="18"/>
                      <w:highlight w:val="none"/>
                    </w:rPr>
                  </w:pPr>
                  <w:r>
                    <w:rPr>
                      <w:rFonts w:hint="eastAsia" w:ascii="Times New Roman" w:cs="Times New Roman" w:eastAsiaTheme="minorEastAsia"/>
                      <w:color w:val="auto"/>
                      <w:sz w:val="18"/>
                      <w:szCs w:val="18"/>
                      <w:highlight w:val="none"/>
                      <w:lang w:val="en-US" w:eastAsia="zh-CN"/>
                    </w:rPr>
                    <w:t>1</w:t>
                  </w:r>
                  <w:r>
                    <w:rPr>
                      <w:rFonts w:hint="default" w:ascii="Times New Roman" w:hAnsi="Times New Roman" w:cs="Times New Roman" w:eastAsiaTheme="minorEastAsia"/>
                      <w:color w:val="auto"/>
                      <w:sz w:val="18"/>
                      <w:szCs w:val="18"/>
                      <w:highlight w:val="none"/>
                    </w:rPr>
                    <w:t>年</w:t>
                  </w:r>
                  <w:r>
                    <w:rPr>
                      <w:rFonts w:hint="eastAsia" w:ascii="Times New Roman" w:cs="Times New Roman" w:eastAsiaTheme="minorEastAsia"/>
                      <w:color w:val="auto"/>
                      <w:sz w:val="18"/>
                      <w:szCs w:val="18"/>
                      <w:highlight w:val="none"/>
                      <w:lang w:val="en-US" w:eastAsia="zh-CN"/>
                    </w:rPr>
                    <w:t>/</w:t>
                  </w:r>
                  <w:r>
                    <w:rPr>
                      <w:rFonts w:hint="default" w:ascii="Times New Roman" w:hAnsi="Times New Roman" w:cs="Times New Roman" w:eastAsiaTheme="minorEastAsia"/>
                      <w:color w:val="auto"/>
                      <w:sz w:val="18"/>
                      <w:szCs w:val="18"/>
                      <w:highlight w:val="none"/>
                    </w:rPr>
                    <w:t>次</w:t>
                  </w:r>
                </w:p>
              </w:tc>
              <w:tc>
                <w:tcPr>
                  <w:tcW w:w="2474" w:type="pct"/>
                  <w:vMerge w:val="restart"/>
                  <w:noWrap w:val="0"/>
                  <w:vAlign w:val="center"/>
                </w:tcPr>
                <w:p>
                  <w:pPr>
                    <w:pStyle w:val="2"/>
                    <w:adjustRightInd/>
                    <w:spacing w:line="240" w:lineRule="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《锅炉大气污染物排放标准》（</w:t>
                  </w:r>
                  <w:r>
                    <w:rPr>
                      <w:rFonts w:hint="eastAsia" w:ascii="Times New Roman" w:cs="Times New Roman" w:eastAsiaTheme="minorEastAsia"/>
                      <w:color w:val="auto"/>
                      <w:sz w:val="18"/>
                      <w:szCs w:val="18"/>
                      <w:highlight w:val="none"/>
                      <w:lang w:val="en-US" w:eastAsia="zh-CN"/>
                    </w:rPr>
                    <w:t>DB41/2089-2021</w:t>
                  </w:r>
                  <w:r>
                    <w:rPr>
                      <w:rFonts w:hint="default" w:ascii="Times New Roman" w:hAnsi="Times New Roman" w:cs="Times New Roman" w:eastAsiaTheme="minorEastAsia"/>
                      <w:color w:val="auto"/>
                      <w:sz w:val="18"/>
                      <w:szCs w:val="18"/>
                      <w:highlight w:val="none"/>
                    </w:rPr>
                    <w:t>）表</w:t>
                  </w:r>
                  <w:r>
                    <w:rPr>
                      <w:rFonts w:hint="eastAsia" w:ascii="Times New Roman" w:cs="Times New Roman" w:eastAsiaTheme="minorEastAsia"/>
                      <w:color w:val="auto"/>
                      <w:sz w:val="18"/>
                      <w:szCs w:val="18"/>
                      <w:highlight w:val="none"/>
                      <w:lang w:val="en-US" w:eastAsia="zh-CN"/>
                    </w:rPr>
                    <w:t>1</w:t>
                  </w:r>
                  <w:r>
                    <w:rPr>
                      <w:rFonts w:hint="default" w:ascii="Times New Roman" w:hAnsi="Times New Roman" w:cs="Times New Roman" w:eastAsiaTheme="minorEastAsia"/>
                      <w:color w:val="auto"/>
                      <w:sz w:val="18"/>
                      <w:szCs w:val="18"/>
                      <w:highlight w:val="none"/>
                    </w:rPr>
                    <w:t>燃气锅炉标准和《新乡市2019年大气污染防治攻坚战实施方案》（新环攻坚办〔2019〕74号）中天燃气锅炉排放要求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920" w:type="pct"/>
                  <w:vMerge w:val="continue"/>
                  <w:noWrap w:val="0"/>
                  <w:vAlign w:val="center"/>
                </w:tcPr>
                <w:p>
                  <w:pPr>
                    <w:jc w:val="center"/>
                    <w:rPr>
                      <w:rFonts w:hint="default" w:ascii="Times New Roman" w:hAnsi="Times New Roman" w:cs="Times New Roman" w:eastAsiaTheme="minorEastAsia"/>
                      <w:color w:val="auto"/>
                      <w:sz w:val="18"/>
                      <w:szCs w:val="18"/>
                      <w:highlight w:val="none"/>
                      <w:lang w:val="en-US" w:eastAsia="zh-CN"/>
                    </w:rPr>
                  </w:pPr>
                </w:p>
              </w:tc>
              <w:tc>
                <w:tcPr>
                  <w:tcW w:w="724" w:type="pct"/>
                  <w:noWrap w:val="0"/>
                  <w:vAlign w:val="center"/>
                </w:tcPr>
                <w:p>
                  <w:pPr>
                    <w:pStyle w:val="2"/>
                    <w:adjustRightInd/>
                    <w:spacing w:line="240" w:lineRule="auto"/>
                    <w:rPr>
                      <w:rFonts w:hint="eastAsia" w:ascii="Times New Roman" w:cs="Times New Roman" w:eastAsiaTheme="minorEastAsia"/>
                      <w:color w:val="auto"/>
                      <w:sz w:val="18"/>
                      <w:szCs w:val="18"/>
                      <w:highlight w:val="none"/>
                      <w:lang w:eastAsia="zh-CN"/>
                    </w:rPr>
                  </w:pPr>
                  <w:r>
                    <w:rPr>
                      <w:rFonts w:hint="eastAsia" w:ascii="Times New Roman" w:cs="Times New Roman" w:eastAsiaTheme="minorEastAsia"/>
                      <w:color w:val="auto"/>
                      <w:sz w:val="18"/>
                      <w:szCs w:val="18"/>
                      <w:highlight w:val="none"/>
                      <w:lang w:val="en-US" w:eastAsia="zh-CN"/>
                    </w:rPr>
                    <w:t>NO</w:t>
                  </w:r>
                  <w:r>
                    <w:rPr>
                      <w:rFonts w:hint="eastAsia" w:ascii="Times New Roman" w:cs="Times New Roman" w:eastAsiaTheme="minorEastAsia"/>
                      <w:color w:val="auto"/>
                      <w:sz w:val="18"/>
                      <w:szCs w:val="18"/>
                      <w:highlight w:val="none"/>
                      <w:vertAlign w:val="subscript"/>
                      <w:lang w:val="en-US" w:eastAsia="zh-CN"/>
                    </w:rPr>
                    <w:t>x</w:t>
                  </w:r>
                </w:p>
              </w:tc>
              <w:tc>
                <w:tcPr>
                  <w:tcW w:w="880" w:type="pct"/>
                  <w:noWrap w:val="0"/>
                  <w:vAlign w:val="center"/>
                </w:tcPr>
                <w:p>
                  <w:pPr>
                    <w:pStyle w:val="2"/>
                    <w:adjustRightInd/>
                    <w:spacing w:line="240" w:lineRule="auto"/>
                    <w:rPr>
                      <w:rFonts w:hint="default" w:ascii="Times New Roman" w:hAnsi="Times New Roman" w:cs="Times New Roman" w:eastAsiaTheme="minorEastAsia"/>
                      <w:color w:val="auto"/>
                      <w:sz w:val="18"/>
                      <w:szCs w:val="18"/>
                      <w:highlight w:val="none"/>
                      <w:lang w:val="en-US" w:eastAsia="zh-CN"/>
                    </w:rPr>
                  </w:pPr>
                  <w:r>
                    <w:rPr>
                      <w:rFonts w:hint="eastAsia" w:ascii="Times New Roman" w:cs="Times New Roman" w:eastAsiaTheme="minorEastAsia"/>
                      <w:color w:val="auto"/>
                      <w:sz w:val="18"/>
                      <w:szCs w:val="18"/>
                      <w:highlight w:val="none"/>
                      <w:lang w:val="en-US" w:eastAsia="zh-CN"/>
                    </w:rPr>
                    <w:t>在线监控</w:t>
                  </w:r>
                </w:p>
              </w:tc>
              <w:tc>
                <w:tcPr>
                  <w:tcW w:w="2474" w:type="pct"/>
                  <w:vMerge w:val="continue"/>
                  <w:tcBorders>
                    <w:bottom w:val="single" w:color="000000" w:sz="4" w:space="0"/>
                  </w:tcBorders>
                  <w:noWrap w:val="0"/>
                  <w:vAlign w:val="center"/>
                </w:tcPr>
                <w:p>
                  <w:pPr>
                    <w:pStyle w:val="2"/>
                    <w:adjustRightInd/>
                    <w:spacing w:line="240" w:lineRule="auto"/>
                    <w:rPr>
                      <w:rFonts w:hint="default" w:ascii="Times New Roman" w:hAnsi="Times New Roman" w:cs="Times New Roman" w:eastAsiaTheme="minorEastAsia"/>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pct"/>
                  <w:noWrap w:val="0"/>
                  <w:vAlign w:val="center"/>
                </w:tcPr>
                <w:p>
                  <w:pPr>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DA002进出口</w:t>
                  </w:r>
                </w:p>
              </w:tc>
              <w:tc>
                <w:tcPr>
                  <w:tcW w:w="724" w:type="pct"/>
                  <w:noWrap w:val="0"/>
                  <w:vAlign w:val="center"/>
                </w:tcPr>
                <w:p>
                  <w:pPr>
                    <w:pStyle w:val="2"/>
                    <w:adjustRightInd/>
                    <w:spacing w:line="240" w:lineRule="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PM</w:t>
                  </w:r>
                  <w:r>
                    <w:rPr>
                      <w:rFonts w:hint="default" w:ascii="Times New Roman" w:hAnsi="Times New Roman" w:cs="Times New Roman" w:eastAsiaTheme="minorEastAsia"/>
                      <w:color w:val="auto"/>
                      <w:sz w:val="18"/>
                      <w:szCs w:val="18"/>
                      <w:highlight w:val="none"/>
                      <w:vertAlign w:val="subscript"/>
                    </w:rPr>
                    <w:t>10</w:t>
                  </w:r>
                </w:p>
              </w:tc>
              <w:tc>
                <w:tcPr>
                  <w:tcW w:w="880" w:type="pct"/>
                  <w:noWrap w:val="0"/>
                  <w:vAlign w:val="center"/>
                </w:tcPr>
                <w:p>
                  <w:pPr>
                    <w:pStyle w:val="2"/>
                    <w:adjustRightInd/>
                    <w:spacing w:line="240" w:lineRule="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半年</w:t>
                  </w:r>
                  <w:r>
                    <w:rPr>
                      <w:rFonts w:hint="eastAsia" w:ascii="Times New Roman" w:cs="Times New Roman" w:eastAsiaTheme="minorEastAsia"/>
                      <w:color w:val="auto"/>
                      <w:sz w:val="18"/>
                      <w:szCs w:val="18"/>
                      <w:highlight w:val="none"/>
                      <w:lang w:val="en-US" w:eastAsia="zh-CN"/>
                    </w:rPr>
                    <w:t>/</w:t>
                  </w:r>
                  <w:r>
                    <w:rPr>
                      <w:rFonts w:hint="default" w:ascii="Times New Roman" w:hAnsi="Times New Roman" w:cs="Times New Roman" w:eastAsiaTheme="minorEastAsia"/>
                      <w:color w:val="auto"/>
                      <w:sz w:val="18"/>
                      <w:szCs w:val="18"/>
                      <w:highlight w:val="none"/>
                    </w:rPr>
                    <w:t>次</w:t>
                  </w:r>
                </w:p>
              </w:tc>
              <w:tc>
                <w:tcPr>
                  <w:tcW w:w="2474" w:type="pct"/>
                  <w:tcBorders>
                    <w:top w:val="single" w:color="000000" w:sz="4" w:space="0"/>
                  </w:tcBorders>
                  <w:noWrap w:val="0"/>
                  <w:vAlign w:val="center"/>
                </w:tcPr>
                <w:p>
                  <w:pPr>
                    <w:pStyle w:val="2"/>
                    <w:adjustRightInd/>
                    <w:spacing w:line="240" w:lineRule="auto"/>
                    <w:rPr>
                      <w:rFonts w:hint="default" w:ascii="Times New Roman" w:hAnsi="Times New Roman" w:cs="Times New Roman" w:eastAsiaTheme="minorEastAsia"/>
                      <w:color w:val="auto"/>
                      <w:sz w:val="18"/>
                      <w:szCs w:val="18"/>
                      <w:highlight w:val="cyan"/>
                    </w:rPr>
                  </w:pPr>
                  <w:r>
                    <w:rPr>
                      <w:rFonts w:hint="default" w:ascii="Times New Roman" w:hAnsi="Times New Roman" w:cs="Times New Roman" w:eastAsiaTheme="minorEastAsia"/>
                      <w:color w:val="auto"/>
                      <w:sz w:val="18"/>
                      <w:szCs w:val="18"/>
                      <w:highlight w:val="none"/>
                    </w:rPr>
                    <w:t>《大气污染物综合排放标准》(GB16297-1996)表2二级标准</w:t>
                  </w:r>
                  <w:r>
                    <w:rPr>
                      <w:rFonts w:hint="default" w:ascii="Times New Roman" w:hAnsi="Times New Roman" w:cs="Times New Roman" w:eastAsiaTheme="minorEastAsia"/>
                      <w:bCs/>
                      <w:color w:val="auto"/>
                      <w:sz w:val="18"/>
                      <w:szCs w:val="18"/>
                      <w:highlight w:val="none"/>
                      <w:lang w:val="fr-FR"/>
                    </w:rPr>
                    <w:t>及新乡市生态环境局《关于进一步规范工业企业颗粒物排放限值的通知》的要求</w:t>
                  </w:r>
                </w:p>
              </w:tc>
            </w:tr>
          </w:tbl>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 xml:space="preserve">   无组织废气监测计划表</w:t>
            </w:r>
          </w:p>
          <w:tbl>
            <w:tblPr>
              <w:tblStyle w:val="1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983"/>
              <w:gridCol w:w="1282"/>
              <w:gridCol w:w="35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监测点位</w:t>
                  </w:r>
                </w:p>
              </w:tc>
              <w:tc>
                <w:tcPr>
                  <w:tcW w:w="680" w:type="pct"/>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监测指标</w:t>
                  </w:r>
                </w:p>
              </w:tc>
              <w:tc>
                <w:tcPr>
                  <w:tcW w:w="887" w:type="pct"/>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监测频次</w:t>
                  </w:r>
                </w:p>
              </w:tc>
              <w:tc>
                <w:tcPr>
                  <w:tcW w:w="2489" w:type="pct"/>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noWrap w:val="0"/>
                  <w:vAlign w:val="center"/>
                </w:tcPr>
                <w:p>
                  <w:pPr>
                    <w:adjustRightInd w:val="0"/>
                    <w:snapToGrid w:val="0"/>
                    <w:spacing w:line="240" w:lineRule="auto"/>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厂区上风向1个，下风向3个</w:t>
                  </w:r>
                </w:p>
              </w:tc>
              <w:tc>
                <w:tcPr>
                  <w:tcW w:w="680" w:type="pct"/>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颗粒物</w:t>
                  </w:r>
                </w:p>
              </w:tc>
              <w:tc>
                <w:tcPr>
                  <w:tcW w:w="887"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rPr>
                    <w:t>半年一次</w:t>
                  </w:r>
                </w:p>
              </w:tc>
              <w:tc>
                <w:tcPr>
                  <w:tcW w:w="2489" w:type="pct"/>
                  <w:noWrap w:val="0"/>
                  <w:vAlign w:val="center"/>
                </w:tcPr>
                <w:p>
                  <w:pPr>
                    <w:spacing w:line="240" w:lineRule="exact"/>
                    <w:ind w:firstLine="0" w:firstLineChars="0"/>
                    <w:jc w:val="center"/>
                    <w:rPr>
                      <w:rFonts w:hint="default" w:ascii="Times New Roman" w:hAnsi="Times New Roman" w:cs="Times New Roman"/>
                      <w:bCs/>
                      <w:color w:val="auto"/>
                      <w:sz w:val="18"/>
                      <w:szCs w:val="18"/>
                      <w:highlight w:val="none"/>
                      <w:lang w:val="zh-CN"/>
                    </w:rPr>
                  </w:pPr>
                  <w:r>
                    <w:rPr>
                      <w:rFonts w:hint="default" w:ascii="Times New Roman" w:hAnsi="Times New Roman" w:cs="Times New Roman"/>
                      <w:bCs/>
                      <w:color w:val="auto"/>
                      <w:sz w:val="18"/>
                      <w:szCs w:val="18"/>
                      <w:highlight w:val="none"/>
                      <w:lang w:val="zh-CN"/>
                    </w:rPr>
                    <w:t>《大气污染物综合排放标准》（GB16297-1996）表2二级标准限值要求和新乡市生态环境局关于进一步规范工业企业颗粒物排限值的通知</w:t>
                  </w:r>
                </w:p>
              </w:tc>
            </w:tr>
          </w:tbl>
          <w:p>
            <w:pPr>
              <w:pStyle w:val="2"/>
              <w:keepNext w:val="0"/>
              <w:keepLines w:val="0"/>
              <w:pageBreakBefore w:val="0"/>
              <w:widowControl w:val="0"/>
              <w:numPr>
                <w:ilvl w:val="0"/>
                <w:numId w:val="8"/>
              </w:numPr>
              <w:kinsoku/>
              <w:wordWrap/>
              <w:overflowPunct/>
              <w:topLinePunct w:val="0"/>
              <w:bidi w:val="0"/>
              <w:adjustRightInd/>
              <w:snapToGrid/>
              <w:spacing w:line="360" w:lineRule="auto"/>
              <w:ind w:left="0" w:leftChars="0" w:right="0" w:firstLine="422" w:firstLineChars="200"/>
              <w:jc w:val="left"/>
              <w:textAlignment w:val="auto"/>
              <w:rPr>
                <w:rFonts w:hint="eastAsia" w:ascii="宋体" w:hAnsi="宋体" w:eastAsia="宋体" w:cs="宋体"/>
                <w:b/>
                <w:bCs/>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废水</w:t>
            </w:r>
          </w:p>
          <w:p>
            <w:pPr>
              <w:pStyle w:val="8"/>
              <w:keepNext w:val="0"/>
              <w:keepLines w:val="0"/>
              <w:pageBreakBefore w:val="0"/>
              <w:widowControl w:val="0"/>
              <w:numPr>
                <w:ilvl w:val="0"/>
                <w:numId w:val="10"/>
              </w:numPr>
              <w:kinsoku/>
              <w:wordWrap/>
              <w:overflowPunct/>
              <w:topLinePunct w:val="0"/>
              <w:autoSpaceDE/>
              <w:autoSpaceDN/>
              <w:bidi w:val="0"/>
              <w:adjustRightInd/>
              <w:snapToGrid/>
              <w:spacing w:after="0" w:afterLines="0" w:line="360" w:lineRule="auto"/>
              <w:ind w:left="0" w:leftChars="0" w:right="0" w:firstLine="422" w:firstLineChars="200"/>
              <w:textAlignment w:val="auto"/>
              <w:rPr>
                <w:rFonts w:hint="default" w:ascii="Times New Roman" w:hAnsi="Times New Roman"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lang w:eastAsia="zh-CN"/>
              </w:rPr>
              <w:t>废水产生情况</w:t>
            </w:r>
          </w:p>
          <w:p>
            <w:pPr>
              <w:keepNext w:val="0"/>
              <w:keepLines w:val="0"/>
              <w:pageBreakBefore w:val="0"/>
              <w:widowControl w:val="0"/>
              <w:kinsoku/>
              <w:wordWrap/>
              <w:overflowPunct/>
              <w:topLinePunct w:val="0"/>
              <w:bidi w:val="0"/>
              <w:adjustRightInd/>
              <w:snapToGrid/>
              <w:spacing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rPr>
              <w:t>项目废水主要包括生活污水</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清洗废水</w:t>
            </w:r>
            <w:r>
              <w:rPr>
                <w:rFonts w:hint="default" w:ascii="Times New Roman" w:hAnsi="Times New Roman" w:cs="Times New Roman"/>
                <w:bCs/>
                <w:color w:val="auto"/>
                <w:sz w:val="21"/>
                <w:szCs w:val="21"/>
                <w:highlight w:val="none"/>
                <w:lang w:eastAsia="zh-CN"/>
              </w:rPr>
              <w:t>和纯水制备废水</w:t>
            </w:r>
            <w:r>
              <w:rPr>
                <w:rFonts w:hint="default" w:ascii="Times New Roman" w:hAnsi="Times New Roman" w:cs="Times New Roman"/>
                <w:bCs/>
                <w:color w:val="auto"/>
                <w:sz w:val="21"/>
                <w:szCs w:val="21"/>
                <w:highlight w:val="none"/>
              </w:rPr>
              <w:t>，其中清洗废水主要为设备清洗废水和地面清洗废水</w:t>
            </w:r>
            <w:r>
              <w:rPr>
                <w:rFonts w:hint="default" w:ascii="Times New Roman" w:hAnsi="Times New Roman" w:cs="Times New Roman"/>
                <w:bCs/>
                <w:color w:val="auto"/>
                <w:sz w:val="21"/>
                <w:szCs w:val="21"/>
                <w:highlight w:val="none"/>
                <w:lang w:eastAsia="zh-CN"/>
              </w:rPr>
              <w:t>，各类废水产生情况如下：</w:t>
            </w:r>
          </w:p>
          <w:p>
            <w:pPr>
              <w:keepNext w:val="0"/>
              <w:keepLines w:val="0"/>
              <w:pageBreakBefore w:val="0"/>
              <w:widowControl w:val="0"/>
              <w:kinsoku/>
              <w:wordWrap/>
              <w:overflowPunct/>
              <w:topLinePunct w:val="0"/>
              <w:bidi w:val="0"/>
              <w:adjustRightInd/>
              <w:snapToGrid/>
              <w:spacing w:line="360" w:lineRule="auto"/>
              <w:ind w:left="0" w:leftChars="0" w:right="0" w:firstLine="420" w:firstLineChars="200"/>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fldChar w:fldCharType="begin"/>
            </w:r>
            <w:r>
              <w:rPr>
                <w:rFonts w:hint="default" w:ascii="Times New Roman" w:hAnsi="Times New Roman" w:cs="Times New Roman"/>
                <w:bCs/>
                <w:color w:val="auto"/>
                <w:sz w:val="21"/>
                <w:szCs w:val="21"/>
                <w:highlight w:val="none"/>
              </w:rPr>
              <w:instrText xml:space="preserve"> = 1 \* GB3 \* MERGEFORMAT </w:instrText>
            </w:r>
            <w:r>
              <w:rPr>
                <w:rFonts w:hint="default" w:ascii="Times New Roman" w:hAnsi="Times New Roman" w:cs="Times New Roman"/>
                <w:bCs/>
                <w:color w:val="auto"/>
                <w:sz w:val="21"/>
                <w:szCs w:val="21"/>
                <w:highlight w:val="none"/>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bCs/>
                <w:color w:val="auto"/>
                <w:sz w:val="21"/>
                <w:szCs w:val="21"/>
                <w:highlight w:val="none"/>
              </w:rPr>
              <w:fldChar w:fldCharType="end"/>
            </w:r>
            <w:r>
              <w:rPr>
                <w:rFonts w:hint="default" w:ascii="Times New Roman" w:hAnsi="Times New Roman" w:cs="Times New Roman"/>
                <w:bCs/>
                <w:color w:val="auto"/>
                <w:sz w:val="21"/>
                <w:szCs w:val="21"/>
                <w:highlight w:val="none"/>
              </w:rPr>
              <w:t>生活污水</w:t>
            </w:r>
          </w:p>
          <w:p>
            <w:pPr>
              <w:keepNext w:val="0"/>
              <w:keepLines w:val="0"/>
              <w:pageBreakBefore w:val="0"/>
              <w:widowControl w:val="0"/>
              <w:kinsoku/>
              <w:wordWrap/>
              <w:overflowPunct/>
              <w:topLinePunct w:val="0"/>
              <w:bidi w:val="0"/>
              <w:adjustRightInd/>
              <w:snapToGrid/>
              <w:spacing w:line="360" w:lineRule="auto"/>
              <w:ind w:left="0" w:leftChars="0" w:right="0" w:firstLine="420" w:firstLineChars="200"/>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工程劳动定员5人，均不在厂区食宿，根据《建筑给水排水标准》（GB50015-2019），职工生活用水量按40L/（人d）计，则用水量为</w:t>
            </w:r>
            <w:r>
              <w:rPr>
                <w:rFonts w:hint="eastAsia" w:cs="Times New Roman"/>
                <w:bCs/>
                <w:color w:val="auto"/>
                <w:sz w:val="21"/>
                <w:szCs w:val="21"/>
                <w:highlight w:val="none"/>
                <w:lang w:val="en-US" w:eastAsia="zh-CN"/>
              </w:rPr>
              <w:t>0.2</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rPr>
              <w:t>/d（</w:t>
            </w:r>
            <w:r>
              <w:rPr>
                <w:rFonts w:hint="eastAsia" w:cs="Times New Roman"/>
                <w:bCs/>
                <w:color w:val="auto"/>
                <w:sz w:val="21"/>
                <w:szCs w:val="21"/>
                <w:highlight w:val="none"/>
                <w:lang w:val="en-US" w:eastAsia="zh-CN"/>
              </w:rPr>
              <w:t>60</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rPr>
              <w:t>/a），污水产生系数取0.8，则生活污水产生量为</w:t>
            </w:r>
            <w:r>
              <w:rPr>
                <w:rFonts w:hint="eastAsia" w:cs="Times New Roman"/>
                <w:bCs/>
                <w:color w:val="auto"/>
                <w:sz w:val="21"/>
                <w:szCs w:val="21"/>
                <w:highlight w:val="none"/>
                <w:lang w:val="en-US" w:eastAsia="zh-CN"/>
              </w:rPr>
              <w:t>0.16</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rPr>
              <w:t>/d（</w:t>
            </w:r>
            <w:r>
              <w:rPr>
                <w:rFonts w:hint="eastAsia" w:cs="Times New Roman"/>
                <w:bCs/>
                <w:color w:val="auto"/>
                <w:sz w:val="21"/>
                <w:szCs w:val="21"/>
                <w:highlight w:val="none"/>
                <w:lang w:val="en-US" w:eastAsia="zh-CN"/>
              </w:rPr>
              <w:t>48</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rPr>
              <w:t>/a）。废水中主要污染物</w:t>
            </w:r>
            <w:r>
              <w:rPr>
                <w:rFonts w:hint="default" w:ascii="Times New Roman" w:hAnsi="Times New Roman" w:cs="Times New Roman"/>
                <w:bCs/>
                <w:color w:val="auto"/>
                <w:sz w:val="21"/>
                <w:szCs w:val="21"/>
                <w:highlight w:val="none"/>
                <w:lang w:eastAsia="zh-CN"/>
              </w:rPr>
              <w:t>产生浓度及产生量为</w:t>
            </w:r>
            <w:r>
              <w:rPr>
                <w:rFonts w:hint="default" w:ascii="Times New Roman" w:hAnsi="Times New Roman" w:cs="Times New Roman"/>
                <w:bCs/>
                <w:color w:val="auto"/>
                <w:sz w:val="21"/>
                <w:szCs w:val="21"/>
                <w:highlight w:val="none"/>
              </w:rPr>
              <w:t>COD</w:t>
            </w:r>
            <w:r>
              <w:rPr>
                <w:rFonts w:hint="default" w:ascii="Times New Roman" w:hAnsi="Times New Roman" w:cs="Times New Roman"/>
                <w:bCs/>
                <w:color w:val="auto"/>
                <w:sz w:val="21"/>
                <w:szCs w:val="21"/>
                <w:highlight w:val="none"/>
                <w:lang w:val="en-US" w:eastAsia="zh-CN"/>
              </w:rPr>
              <w:t>300mg/L、0.01</w:t>
            </w:r>
            <w:r>
              <w:rPr>
                <w:rFonts w:hint="eastAsia" w:cs="Times New Roman"/>
                <w:bCs/>
                <w:color w:val="auto"/>
                <w:sz w:val="21"/>
                <w:szCs w:val="21"/>
                <w:highlight w:val="none"/>
                <w:lang w:val="en-US" w:eastAsia="zh-CN"/>
              </w:rPr>
              <w:t>44</w:t>
            </w:r>
            <w:r>
              <w:rPr>
                <w:rFonts w:hint="default" w:ascii="Times New Roman" w:hAnsi="Times New Roman" w:cs="Times New Roman"/>
                <w:bCs/>
                <w:color w:val="auto"/>
                <w:sz w:val="21"/>
                <w:szCs w:val="21"/>
                <w:highlight w:val="none"/>
                <w:lang w:val="en-US" w:eastAsia="zh-CN"/>
              </w:rPr>
              <w:t>t/a，</w:t>
            </w:r>
            <w:r>
              <w:rPr>
                <w:rFonts w:hint="default" w:ascii="Times New Roman" w:hAnsi="Times New Roman" w:cs="Times New Roman"/>
                <w:bCs/>
                <w:color w:val="auto"/>
                <w:sz w:val="21"/>
                <w:szCs w:val="21"/>
                <w:highlight w:val="none"/>
              </w:rPr>
              <w:t>SS</w:t>
            </w:r>
            <w:r>
              <w:rPr>
                <w:rFonts w:hint="default" w:ascii="Times New Roman" w:hAnsi="Times New Roman" w:cs="Times New Roman"/>
                <w:bCs/>
                <w:color w:val="auto"/>
                <w:sz w:val="21"/>
                <w:szCs w:val="21"/>
                <w:highlight w:val="none"/>
                <w:lang w:val="en-US" w:eastAsia="zh-CN"/>
              </w:rPr>
              <w:t>250mg/L、0.0</w:t>
            </w:r>
            <w:r>
              <w:rPr>
                <w:rFonts w:hint="eastAsia" w:cs="Times New Roman"/>
                <w:bCs/>
                <w:color w:val="auto"/>
                <w:sz w:val="21"/>
                <w:szCs w:val="21"/>
                <w:highlight w:val="none"/>
                <w:lang w:val="en-US" w:eastAsia="zh-CN"/>
              </w:rPr>
              <w:t>12</w:t>
            </w:r>
            <w:r>
              <w:rPr>
                <w:rFonts w:hint="default" w:ascii="Times New Roman" w:hAnsi="Times New Roman" w:cs="Times New Roman"/>
                <w:bCs/>
                <w:color w:val="auto"/>
                <w:sz w:val="21"/>
                <w:szCs w:val="21"/>
                <w:highlight w:val="none"/>
                <w:lang w:val="en-US" w:eastAsia="zh-CN"/>
              </w:rPr>
              <w:t>t/a</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NH</w:t>
            </w:r>
            <w:r>
              <w:rPr>
                <w:rFonts w:hint="default" w:ascii="Times New Roman" w:hAnsi="Times New Roman" w:cs="Times New Roman"/>
                <w:bCs/>
                <w:color w:val="auto"/>
                <w:sz w:val="21"/>
                <w:szCs w:val="21"/>
                <w:highlight w:val="none"/>
                <w:vertAlign w:val="subscript"/>
              </w:rPr>
              <w:t>3</w:t>
            </w:r>
            <w:r>
              <w:rPr>
                <w:rFonts w:hint="default" w:ascii="Times New Roman" w:hAnsi="Times New Roman" w:cs="Times New Roman"/>
                <w:bCs/>
                <w:color w:val="auto"/>
                <w:sz w:val="21"/>
                <w:szCs w:val="21"/>
                <w:highlight w:val="none"/>
              </w:rPr>
              <w:t>-N</w:t>
            </w:r>
            <w:r>
              <w:rPr>
                <w:rFonts w:hint="default" w:ascii="Times New Roman" w:hAnsi="Times New Roman" w:cs="Times New Roman"/>
                <w:bCs/>
                <w:color w:val="auto"/>
                <w:sz w:val="21"/>
                <w:szCs w:val="21"/>
                <w:highlight w:val="none"/>
                <w:lang w:val="en-US" w:eastAsia="zh-CN"/>
              </w:rPr>
              <w:t>30mg/L、0.001</w:t>
            </w:r>
            <w:r>
              <w:rPr>
                <w:rFonts w:hint="eastAsia" w:cs="Times New Roman"/>
                <w:bCs/>
                <w:color w:val="auto"/>
                <w:sz w:val="21"/>
                <w:szCs w:val="21"/>
                <w:highlight w:val="none"/>
                <w:lang w:val="en-US" w:eastAsia="zh-CN"/>
              </w:rPr>
              <w:t>4</w:t>
            </w:r>
            <w:r>
              <w:rPr>
                <w:rFonts w:hint="default" w:ascii="Times New Roman" w:hAnsi="Times New Roman" w:cs="Times New Roman"/>
                <w:bCs/>
                <w:color w:val="auto"/>
                <w:sz w:val="21"/>
                <w:szCs w:val="21"/>
                <w:highlight w:val="none"/>
                <w:lang w:val="en-US" w:eastAsia="zh-CN"/>
              </w:rPr>
              <w:t>t/a，TP4mg/L，0.000</w:t>
            </w:r>
            <w:r>
              <w:rPr>
                <w:rFonts w:hint="eastAsia"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lang w:val="en-US" w:eastAsia="zh-CN"/>
              </w:rPr>
              <w:t>t/a，该部分废水经化粪池处理后，定期清运。</w:t>
            </w:r>
          </w:p>
          <w:p>
            <w:pPr>
              <w:keepNext w:val="0"/>
              <w:keepLines w:val="0"/>
              <w:pageBreakBefore w:val="0"/>
              <w:widowControl w:val="0"/>
              <w:kinsoku/>
              <w:wordWrap/>
              <w:overflowPunct/>
              <w:topLinePunct w:val="0"/>
              <w:bidi w:val="0"/>
              <w:adjustRightInd/>
              <w:snapToGrid/>
              <w:spacing w:line="360" w:lineRule="auto"/>
              <w:ind w:left="0" w:leftChars="0" w:right="0" w:firstLine="420" w:firstLineChars="200"/>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fldChar w:fldCharType="begin"/>
            </w:r>
            <w:r>
              <w:rPr>
                <w:rFonts w:hint="default" w:ascii="Times New Roman" w:hAnsi="Times New Roman" w:cs="Times New Roman"/>
                <w:bCs/>
                <w:color w:val="auto"/>
                <w:sz w:val="21"/>
                <w:szCs w:val="21"/>
                <w:highlight w:val="none"/>
              </w:rPr>
              <w:instrText xml:space="preserve"> = 2 \* GB3 \* MERGEFORMAT </w:instrText>
            </w:r>
            <w:r>
              <w:rPr>
                <w:rFonts w:hint="default" w:ascii="Times New Roman" w:hAnsi="Times New Roman" w:cs="Times New Roman"/>
                <w:bCs/>
                <w:color w:val="auto"/>
                <w:sz w:val="21"/>
                <w:szCs w:val="21"/>
                <w:highlight w:val="none"/>
              </w:rPr>
              <w:fldChar w:fldCharType="separate"/>
            </w:r>
            <w:r>
              <w:rPr>
                <w:rFonts w:hint="default" w:ascii="Times New Roman" w:hAnsi="Times New Roman" w:cs="Times New Roman"/>
                <w:color w:val="auto"/>
                <w:sz w:val="21"/>
                <w:szCs w:val="21"/>
                <w:highlight w:val="none"/>
              </w:rPr>
              <w:t>②</w:t>
            </w:r>
            <w:r>
              <w:rPr>
                <w:rFonts w:hint="default" w:ascii="Times New Roman" w:hAnsi="Times New Roman" w:cs="Times New Roman"/>
                <w:bCs/>
                <w:color w:val="auto"/>
                <w:sz w:val="21"/>
                <w:szCs w:val="21"/>
                <w:highlight w:val="none"/>
              </w:rPr>
              <w:fldChar w:fldCharType="end"/>
            </w:r>
            <w:r>
              <w:rPr>
                <w:rFonts w:hint="default" w:ascii="Times New Roman" w:hAnsi="Times New Roman" w:cs="Times New Roman"/>
                <w:bCs/>
                <w:color w:val="auto"/>
                <w:sz w:val="21"/>
                <w:szCs w:val="21"/>
                <w:highlight w:val="none"/>
              </w:rPr>
              <w:t>设备清洗废水</w:t>
            </w:r>
          </w:p>
          <w:p>
            <w:pPr>
              <w:keepNext w:val="0"/>
              <w:keepLines w:val="0"/>
              <w:pageBreakBefore w:val="0"/>
              <w:widowControl w:val="0"/>
              <w:kinsoku/>
              <w:wordWrap/>
              <w:overflowPunct/>
              <w:topLinePunct w:val="0"/>
              <w:bidi w:val="0"/>
              <w:adjustRightInd/>
              <w:snapToGrid/>
              <w:spacing w:line="360" w:lineRule="auto"/>
              <w:ind w:left="0" w:leftChars="0" w:right="0" w:firstLine="420" w:firstLineChars="200"/>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项目</w:t>
            </w:r>
            <w:r>
              <w:rPr>
                <w:rFonts w:hint="default" w:ascii="Times New Roman" w:hAnsi="Times New Roman" w:cs="Times New Roman"/>
                <w:bCs/>
                <w:color w:val="auto"/>
                <w:sz w:val="21"/>
                <w:szCs w:val="21"/>
                <w:highlight w:val="none"/>
                <w:lang w:eastAsia="zh-CN"/>
              </w:rPr>
              <w:t>每天</w:t>
            </w:r>
            <w:r>
              <w:rPr>
                <w:rFonts w:hint="default" w:ascii="Times New Roman" w:hAnsi="Times New Roman" w:cs="Times New Roman"/>
                <w:bCs/>
                <w:color w:val="auto"/>
                <w:sz w:val="21"/>
                <w:szCs w:val="21"/>
                <w:highlight w:val="none"/>
              </w:rPr>
              <w:t>需对</w:t>
            </w:r>
            <w:r>
              <w:rPr>
                <w:rFonts w:hint="default" w:ascii="Times New Roman" w:hAnsi="Times New Roman" w:cs="Times New Roman"/>
                <w:bCs/>
                <w:color w:val="auto"/>
                <w:sz w:val="21"/>
                <w:szCs w:val="21"/>
                <w:highlight w:val="none"/>
                <w:lang w:eastAsia="zh-CN"/>
              </w:rPr>
              <w:t>和面机、搅拌机</w:t>
            </w:r>
            <w:r>
              <w:rPr>
                <w:rFonts w:hint="default" w:ascii="Times New Roman" w:hAnsi="Times New Roman" w:cs="Times New Roman"/>
                <w:bCs/>
                <w:color w:val="auto"/>
                <w:sz w:val="21"/>
                <w:szCs w:val="21"/>
                <w:highlight w:val="none"/>
              </w:rPr>
              <w:t>等生产设备进行一次清洗，由于生产设备均为不锈钢材质，</w:t>
            </w:r>
            <w:r>
              <w:rPr>
                <w:rFonts w:hint="default" w:ascii="Times New Roman" w:hAnsi="Times New Roman" w:cs="Times New Roman"/>
                <w:bCs/>
                <w:color w:val="auto"/>
                <w:sz w:val="21"/>
                <w:szCs w:val="21"/>
                <w:highlight w:val="none"/>
                <w:lang w:eastAsia="zh-CN"/>
              </w:rPr>
              <w:t>且和面机、搅拌机等设备上需清理物主要为面粉，在</w:t>
            </w:r>
            <w:r>
              <w:rPr>
                <w:rFonts w:hint="default" w:ascii="Times New Roman" w:hAnsi="Times New Roman" w:cs="Times New Roman"/>
                <w:bCs/>
                <w:color w:val="auto"/>
                <w:sz w:val="21"/>
                <w:szCs w:val="21"/>
                <w:highlight w:val="none"/>
              </w:rPr>
              <w:t>清理时使用刮刀将表面残留物料铲净，然后用湿抹布进行擦拭即可，</w:t>
            </w:r>
            <w:r>
              <w:rPr>
                <w:rFonts w:hint="default" w:ascii="Times New Roman" w:hAnsi="Times New Roman" w:cs="Times New Roman"/>
                <w:bCs/>
                <w:color w:val="auto"/>
                <w:sz w:val="21"/>
                <w:szCs w:val="21"/>
                <w:highlight w:val="none"/>
                <w:lang w:eastAsia="zh-CN"/>
              </w:rPr>
              <w:t>因此设备清洗废水主要为抹布清洗废水。</w:t>
            </w:r>
            <w:r>
              <w:rPr>
                <w:rFonts w:hint="default" w:ascii="Times New Roman" w:hAnsi="Times New Roman" w:cs="Times New Roman"/>
                <w:bCs/>
                <w:color w:val="auto"/>
                <w:sz w:val="21"/>
                <w:szCs w:val="21"/>
                <w:highlight w:val="none"/>
              </w:rPr>
              <w:t>根据企业提供资料，该过程每次清洗废水产生量约为0.</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rPr>
              <w:t>/d（</w:t>
            </w:r>
            <w:r>
              <w:rPr>
                <w:rFonts w:hint="default" w:ascii="Times New Roman" w:hAnsi="Times New Roman" w:cs="Times New Roman"/>
                <w:bCs/>
                <w:color w:val="auto"/>
                <w:sz w:val="21"/>
                <w:szCs w:val="21"/>
                <w:highlight w:val="none"/>
                <w:lang w:val="en-US" w:eastAsia="zh-CN"/>
              </w:rPr>
              <w:t>30</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rPr>
              <w:t>/a），废水中主要污染物</w:t>
            </w:r>
            <w:r>
              <w:rPr>
                <w:rFonts w:hint="default" w:ascii="Times New Roman" w:hAnsi="Times New Roman" w:cs="Times New Roman"/>
                <w:bCs/>
                <w:color w:val="auto"/>
                <w:sz w:val="21"/>
                <w:szCs w:val="21"/>
                <w:highlight w:val="none"/>
                <w:lang w:eastAsia="zh-CN"/>
              </w:rPr>
              <w:t>产生浓度及产生量为</w:t>
            </w:r>
            <w:r>
              <w:rPr>
                <w:rFonts w:hint="default" w:ascii="Times New Roman" w:hAnsi="Times New Roman" w:cs="Times New Roman"/>
                <w:bCs/>
                <w:color w:val="auto"/>
                <w:sz w:val="21"/>
                <w:szCs w:val="21"/>
                <w:highlight w:val="none"/>
              </w:rPr>
              <w:t>COD</w:t>
            </w:r>
            <w:r>
              <w:rPr>
                <w:rFonts w:hint="default" w:ascii="Times New Roman" w:hAnsi="Times New Roman" w:cs="Times New Roman"/>
                <w:bCs/>
                <w:color w:val="auto"/>
                <w:sz w:val="21"/>
                <w:szCs w:val="21"/>
                <w:highlight w:val="none"/>
                <w:lang w:val="en-US" w:eastAsia="zh-CN"/>
              </w:rPr>
              <w:t>500mg/L、0.015t/a，</w:t>
            </w:r>
            <w:r>
              <w:rPr>
                <w:rFonts w:hint="default" w:ascii="Times New Roman" w:hAnsi="Times New Roman" w:cs="Times New Roman"/>
                <w:bCs/>
                <w:color w:val="auto"/>
                <w:sz w:val="21"/>
                <w:szCs w:val="21"/>
                <w:highlight w:val="none"/>
              </w:rPr>
              <w:t>SS</w:t>
            </w:r>
            <w:r>
              <w:rPr>
                <w:rFonts w:hint="default" w:ascii="Times New Roman" w:hAnsi="Times New Roman" w:cs="Times New Roman"/>
                <w:bCs/>
                <w:color w:val="auto"/>
                <w:sz w:val="21"/>
                <w:szCs w:val="21"/>
                <w:highlight w:val="none"/>
                <w:lang w:val="en-US" w:eastAsia="zh-CN"/>
              </w:rPr>
              <w:t>300mg/L、0.009t/a</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NH</w:t>
            </w:r>
            <w:r>
              <w:rPr>
                <w:rFonts w:hint="default" w:ascii="Times New Roman" w:hAnsi="Times New Roman" w:cs="Times New Roman"/>
                <w:bCs/>
                <w:color w:val="auto"/>
                <w:sz w:val="21"/>
                <w:szCs w:val="21"/>
                <w:highlight w:val="none"/>
                <w:vertAlign w:val="subscript"/>
              </w:rPr>
              <w:t>3</w:t>
            </w:r>
            <w:r>
              <w:rPr>
                <w:rFonts w:hint="default" w:ascii="Times New Roman" w:hAnsi="Times New Roman" w:cs="Times New Roman"/>
                <w:bCs/>
                <w:color w:val="auto"/>
                <w:sz w:val="21"/>
                <w:szCs w:val="21"/>
                <w:highlight w:val="none"/>
              </w:rPr>
              <w:t>-N</w:t>
            </w:r>
            <w:r>
              <w:rPr>
                <w:rFonts w:hint="default" w:ascii="Times New Roman" w:hAnsi="Times New Roman" w:cs="Times New Roman"/>
                <w:bCs/>
                <w:color w:val="auto"/>
                <w:sz w:val="21"/>
                <w:szCs w:val="21"/>
                <w:highlight w:val="none"/>
                <w:lang w:val="en-US" w:eastAsia="zh-CN"/>
              </w:rPr>
              <w:t>30mg/L、0.0009t/a，该部分废水经化粪池处理后，定期清运。</w:t>
            </w:r>
          </w:p>
          <w:p>
            <w:pPr>
              <w:keepNext w:val="0"/>
              <w:keepLines w:val="0"/>
              <w:pageBreakBefore w:val="0"/>
              <w:widowControl w:val="0"/>
              <w:kinsoku/>
              <w:wordWrap/>
              <w:overflowPunct/>
              <w:topLinePunct w:val="0"/>
              <w:bidi w:val="0"/>
              <w:adjustRightInd/>
              <w:snapToGrid/>
              <w:spacing w:line="360" w:lineRule="auto"/>
              <w:ind w:left="0" w:leftChars="0" w:right="0" w:firstLine="420" w:firstLineChars="200"/>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fldChar w:fldCharType="begin"/>
            </w:r>
            <w:r>
              <w:rPr>
                <w:rFonts w:hint="default" w:ascii="Times New Roman" w:hAnsi="Times New Roman" w:cs="Times New Roman"/>
                <w:bCs/>
                <w:color w:val="auto"/>
                <w:sz w:val="21"/>
                <w:szCs w:val="21"/>
                <w:highlight w:val="none"/>
              </w:rPr>
              <w:instrText xml:space="preserve"> = 3 \* GB3 \* MERGEFORMAT </w:instrText>
            </w:r>
            <w:r>
              <w:rPr>
                <w:rFonts w:hint="default" w:ascii="Times New Roman" w:hAnsi="Times New Roman" w:cs="Times New Roman"/>
                <w:bCs/>
                <w:color w:val="auto"/>
                <w:sz w:val="21"/>
                <w:szCs w:val="21"/>
                <w:highlight w:val="none"/>
              </w:rPr>
              <w:fldChar w:fldCharType="separate"/>
            </w:r>
            <w:r>
              <w:rPr>
                <w:rFonts w:hint="default" w:ascii="Times New Roman" w:hAnsi="Times New Roman" w:cs="Times New Roman"/>
                <w:color w:val="auto"/>
                <w:sz w:val="21"/>
                <w:szCs w:val="21"/>
                <w:highlight w:val="none"/>
              </w:rPr>
              <w:t>③</w:t>
            </w:r>
            <w:r>
              <w:rPr>
                <w:rFonts w:hint="default" w:ascii="Times New Roman" w:hAnsi="Times New Roman" w:cs="Times New Roman"/>
                <w:bCs/>
                <w:color w:val="auto"/>
                <w:sz w:val="21"/>
                <w:szCs w:val="21"/>
                <w:highlight w:val="none"/>
              </w:rPr>
              <w:fldChar w:fldCharType="end"/>
            </w:r>
            <w:r>
              <w:rPr>
                <w:rFonts w:hint="default" w:ascii="Times New Roman" w:hAnsi="Times New Roman" w:cs="Times New Roman"/>
                <w:bCs/>
                <w:color w:val="auto"/>
                <w:sz w:val="21"/>
                <w:szCs w:val="21"/>
                <w:highlight w:val="none"/>
              </w:rPr>
              <w:t>地面清洗废水：</w:t>
            </w:r>
          </w:p>
          <w:p>
            <w:pPr>
              <w:keepNext w:val="0"/>
              <w:keepLines w:val="0"/>
              <w:pageBreakBefore w:val="0"/>
              <w:widowControl w:val="0"/>
              <w:kinsoku/>
              <w:wordWrap/>
              <w:overflowPunct/>
              <w:topLinePunct w:val="0"/>
              <w:bidi w:val="0"/>
              <w:adjustRightInd/>
              <w:snapToGrid/>
              <w:spacing w:line="360" w:lineRule="auto"/>
              <w:ind w:left="0" w:leftChars="0" w:right="0" w:firstLine="420" w:firstLineChars="200"/>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项目生产车间地面每天进行一次清洗，采用拖地方式清理，</w:t>
            </w:r>
            <w:r>
              <w:rPr>
                <w:rFonts w:hint="default" w:ascii="Times New Roman" w:hAnsi="Times New Roman" w:cs="Times New Roman"/>
                <w:bCs/>
                <w:color w:val="auto"/>
                <w:sz w:val="21"/>
                <w:szCs w:val="21"/>
                <w:highlight w:val="none"/>
                <w:lang w:eastAsia="zh-CN"/>
              </w:rPr>
              <w:t>项目生产车间总面积为</w:t>
            </w:r>
            <w:r>
              <w:rPr>
                <w:rFonts w:hint="default" w:ascii="Times New Roman" w:hAnsi="Times New Roman" w:cs="Times New Roman"/>
                <w:bCs/>
                <w:color w:val="auto"/>
                <w:sz w:val="21"/>
                <w:szCs w:val="21"/>
                <w:highlight w:val="none"/>
                <w:lang w:val="en-US" w:eastAsia="zh-CN"/>
              </w:rPr>
              <w:t>480m</w:t>
            </w:r>
            <w:r>
              <w:rPr>
                <w:rFonts w:hint="default" w:ascii="Times New Roman" w:hAnsi="Times New Roman" w:cs="Times New Roman"/>
                <w:bCs/>
                <w:color w:val="auto"/>
                <w:sz w:val="21"/>
                <w:szCs w:val="21"/>
                <w:highlight w:val="none"/>
                <w:vertAlign w:val="superscript"/>
                <w:lang w:val="en-US" w:eastAsia="zh-CN"/>
              </w:rPr>
              <w:t>2</w:t>
            </w:r>
            <w:r>
              <w:rPr>
                <w:rFonts w:hint="default" w:ascii="Times New Roman" w:hAnsi="Times New Roman" w:cs="Times New Roman"/>
                <w:bCs/>
                <w:color w:val="auto"/>
                <w:sz w:val="21"/>
                <w:szCs w:val="21"/>
                <w:highlight w:val="none"/>
                <w:vertAlign w:val="baseline"/>
                <w:lang w:val="en-US" w:eastAsia="zh-CN"/>
              </w:rPr>
              <w:t>，其中各生产设备占地约230m</w:t>
            </w:r>
            <w:r>
              <w:rPr>
                <w:rFonts w:hint="default" w:ascii="Times New Roman" w:hAnsi="Times New Roman" w:cs="Times New Roman"/>
                <w:bCs/>
                <w:color w:val="auto"/>
                <w:sz w:val="21"/>
                <w:szCs w:val="21"/>
                <w:highlight w:val="none"/>
                <w:vertAlign w:val="superscript"/>
                <w:lang w:val="en-US" w:eastAsia="zh-CN"/>
              </w:rPr>
              <w:t>2</w:t>
            </w:r>
            <w:r>
              <w:rPr>
                <w:rFonts w:hint="default" w:ascii="Times New Roman" w:hAnsi="Times New Roman" w:cs="Times New Roman"/>
                <w:bCs/>
                <w:color w:val="auto"/>
                <w:sz w:val="21"/>
                <w:szCs w:val="21"/>
                <w:highlight w:val="none"/>
                <w:vertAlign w:val="baseline"/>
                <w:lang w:val="en-US" w:eastAsia="zh-CN"/>
              </w:rPr>
              <w:t>，生产车间内</w:t>
            </w:r>
            <w:r>
              <w:rPr>
                <w:rFonts w:hint="default" w:ascii="Times New Roman" w:hAnsi="Times New Roman" w:cs="Times New Roman"/>
                <w:bCs/>
                <w:color w:val="auto"/>
                <w:sz w:val="21"/>
                <w:szCs w:val="21"/>
                <w:highlight w:val="none"/>
              </w:rPr>
              <w:t>需清洁地面面积约为</w:t>
            </w:r>
            <w:r>
              <w:rPr>
                <w:rFonts w:hint="default" w:ascii="Times New Roman" w:hAnsi="Times New Roman" w:cs="Times New Roman"/>
                <w:bCs/>
                <w:color w:val="auto"/>
                <w:sz w:val="21"/>
                <w:szCs w:val="21"/>
                <w:highlight w:val="none"/>
                <w:lang w:val="en-US" w:eastAsia="zh-CN"/>
              </w:rPr>
              <w:t>250</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根据类比，清洗用水量按每平方米用水0.003</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rPr>
              <w:t>计算，每次清洗用水量也约为</w:t>
            </w:r>
            <w:r>
              <w:rPr>
                <w:rFonts w:hint="default" w:ascii="Times New Roman" w:hAnsi="Times New Roman" w:cs="Times New Roman"/>
                <w:bCs/>
                <w:color w:val="auto"/>
                <w:sz w:val="21"/>
                <w:szCs w:val="21"/>
                <w:highlight w:val="none"/>
                <w:lang w:val="en-US" w:eastAsia="zh-CN"/>
              </w:rPr>
              <w:t>0.75</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rPr>
              <w:t>/d（</w:t>
            </w:r>
            <w:r>
              <w:rPr>
                <w:rFonts w:hint="default" w:ascii="Times New Roman" w:hAnsi="Times New Roman" w:cs="Times New Roman"/>
                <w:color w:val="auto"/>
                <w:sz w:val="21"/>
                <w:szCs w:val="21"/>
                <w:highlight w:val="none"/>
              </w:rPr>
              <w:t>折合为</w:t>
            </w:r>
            <w:r>
              <w:rPr>
                <w:rFonts w:hint="default" w:ascii="Times New Roman" w:hAnsi="Times New Roman" w:cs="Times New Roman"/>
                <w:color w:val="auto"/>
                <w:sz w:val="21"/>
                <w:szCs w:val="21"/>
                <w:highlight w:val="none"/>
                <w:lang w:val="en-US" w:eastAsia="zh-CN"/>
              </w:rPr>
              <w:t>225</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rPr>
              <w:t>/a</w:t>
            </w:r>
            <w:r>
              <w:rPr>
                <w:rFonts w:hint="default" w:ascii="Times New Roman" w:hAnsi="Times New Roman" w:cs="Times New Roman"/>
                <w:bCs/>
                <w:color w:val="auto"/>
                <w:sz w:val="21"/>
                <w:szCs w:val="21"/>
                <w:highlight w:val="none"/>
              </w:rPr>
              <w:t>），污水排放系数取0.8，则清洗废水产生量为</w:t>
            </w:r>
            <w:r>
              <w:rPr>
                <w:rFonts w:hint="default" w:ascii="Times New Roman" w:hAnsi="Times New Roman" w:cs="Times New Roman"/>
                <w:bCs/>
                <w:color w:val="auto"/>
                <w:sz w:val="21"/>
                <w:szCs w:val="21"/>
                <w:highlight w:val="none"/>
                <w:lang w:val="en-US" w:eastAsia="zh-CN"/>
              </w:rPr>
              <w:t>0.6</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rPr>
              <w:t>/d（</w:t>
            </w:r>
            <w:r>
              <w:rPr>
                <w:rFonts w:hint="default" w:ascii="Times New Roman" w:hAnsi="Times New Roman" w:cs="Times New Roman"/>
                <w:bCs/>
                <w:color w:val="auto"/>
                <w:sz w:val="21"/>
                <w:szCs w:val="21"/>
                <w:highlight w:val="none"/>
                <w:lang w:val="en-US" w:eastAsia="zh-CN"/>
              </w:rPr>
              <w:t>180</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rPr>
              <w:t>/a</w:t>
            </w:r>
            <w:r>
              <w:rPr>
                <w:rFonts w:hint="default" w:ascii="Times New Roman" w:hAnsi="Times New Roman" w:cs="Times New Roman"/>
                <w:bCs/>
                <w:color w:val="auto"/>
                <w:sz w:val="21"/>
                <w:szCs w:val="21"/>
                <w:highlight w:val="none"/>
              </w:rPr>
              <w:t>），废水中主要污染物</w:t>
            </w:r>
            <w:r>
              <w:rPr>
                <w:rFonts w:hint="default" w:ascii="Times New Roman" w:hAnsi="Times New Roman" w:cs="Times New Roman"/>
                <w:bCs/>
                <w:color w:val="auto"/>
                <w:sz w:val="21"/>
                <w:szCs w:val="21"/>
                <w:highlight w:val="none"/>
                <w:lang w:eastAsia="zh-CN"/>
              </w:rPr>
              <w:t>产生浓度及产生量为</w:t>
            </w:r>
            <w:r>
              <w:rPr>
                <w:rFonts w:hint="default" w:ascii="Times New Roman" w:hAnsi="Times New Roman" w:cs="Times New Roman"/>
                <w:bCs/>
                <w:color w:val="auto"/>
                <w:sz w:val="21"/>
                <w:szCs w:val="21"/>
                <w:highlight w:val="none"/>
              </w:rPr>
              <w:t>COD</w:t>
            </w:r>
            <w:r>
              <w:rPr>
                <w:rFonts w:hint="default" w:ascii="Times New Roman" w:hAnsi="Times New Roman" w:cs="Times New Roman"/>
                <w:bCs/>
                <w:color w:val="auto"/>
                <w:sz w:val="21"/>
                <w:szCs w:val="21"/>
                <w:highlight w:val="none"/>
                <w:lang w:val="en-US" w:eastAsia="zh-CN"/>
              </w:rPr>
              <w:t>100mg/L、0.018t/a，</w:t>
            </w:r>
            <w:r>
              <w:rPr>
                <w:rFonts w:hint="default" w:ascii="Times New Roman" w:hAnsi="Times New Roman" w:cs="Times New Roman"/>
                <w:bCs/>
                <w:color w:val="auto"/>
                <w:sz w:val="21"/>
                <w:szCs w:val="21"/>
                <w:highlight w:val="none"/>
              </w:rPr>
              <w:t>SS</w:t>
            </w:r>
            <w:r>
              <w:rPr>
                <w:rFonts w:hint="default" w:ascii="Times New Roman" w:hAnsi="Times New Roman" w:cs="Times New Roman"/>
                <w:bCs/>
                <w:color w:val="auto"/>
                <w:sz w:val="21"/>
                <w:szCs w:val="21"/>
                <w:highlight w:val="none"/>
                <w:lang w:val="en-US" w:eastAsia="zh-CN"/>
              </w:rPr>
              <w:t>500mg/L、0.09t/a</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NH</w:t>
            </w:r>
            <w:r>
              <w:rPr>
                <w:rFonts w:hint="default" w:ascii="Times New Roman" w:hAnsi="Times New Roman" w:cs="Times New Roman"/>
                <w:bCs/>
                <w:color w:val="auto"/>
                <w:sz w:val="21"/>
                <w:szCs w:val="21"/>
                <w:highlight w:val="none"/>
                <w:vertAlign w:val="subscript"/>
              </w:rPr>
              <w:t>3</w:t>
            </w:r>
            <w:r>
              <w:rPr>
                <w:rFonts w:hint="default" w:ascii="Times New Roman" w:hAnsi="Times New Roman" w:cs="Times New Roman"/>
                <w:bCs/>
                <w:color w:val="auto"/>
                <w:sz w:val="21"/>
                <w:szCs w:val="21"/>
                <w:highlight w:val="none"/>
              </w:rPr>
              <w:t>-N</w:t>
            </w:r>
            <w:r>
              <w:rPr>
                <w:rFonts w:hint="default" w:ascii="Times New Roman" w:hAnsi="Times New Roman" w:cs="Times New Roman"/>
                <w:bCs/>
                <w:color w:val="auto"/>
                <w:sz w:val="21"/>
                <w:szCs w:val="21"/>
                <w:highlight w:val="none"/>
                <w:lang w:val="en-US" w:eastAsia="zh-CN"/>
              </w:rPr>
              <w:t>10mg/L、0.0018t/a，该部分废水经化粪池处理后定期清运。</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20" w:firstLineChars="200"/>
              <w:textAlignment w:val="auto"/>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fldChar w:fldCharType="begin"/>
            </w:r>
            <w:r>
              <w:rPr>
                <w:rFonts w:hint="default" w:ascii="Times New Roman" w:hAnsi="Times New Roman" w:cs="Times New Roman"/>
                <w:color w:val="auto"/>
                <w:kern w:val="0"/>
                <w:sz w:val="21"/>
                <w:szCs w:val="21"/>
                <w:highlight w:val="none"/>
              </w:rPr>
              <w:instrText xml:space="preserve"> = 4 \* GB3 \* MERGEFORMAT </w:instrText>
            </w:r>
            <w:r>
              <w:rPr>
                <w:rFonts w:hint="default" w:ascii="Times New Roman" w:hAnsi="Times New Roman" w:cs="Times New Roman"/>
                <w:color w:val="auto"/>
                <w:kern w:val="0"/>
                <w:sz w:val="21"/>
                <w:szCs w:val="21"/>
                <w:highlight w:val="none"/>
              </w:rPr>
              <w:fldChar w:fldCharType="separate"/>
            </w:r>
            <w:r>
              <w:rPr>
                <w:rFonts w:hint="default" w:ascii="Times New Roman" w:hAnsi="Times New Roman" w:cs="Times New Roman"/>
                <w:color w:val="auto"/>
                <w:sz w:val="21"/>
                <w:szCs w:val="21"/>
                <w:highlight w:val="none"/>
              </w:rPr>
              <w:t>④</w:t>
            </w:r>
            <w:r>
              <w:rPr>
                <w:rFonts w:hint="default" w:ascii="Times New Roman" w:hAnsi="Times New Roman" w:cs="Times New Roman"/>
                <w:color w:val="auto"/>
                <w:kern w:val="0"/>
                <w:sz w:val="21"/>
                <w:szCs w:val="21"/>
                <w:highlight w:val="none"/>
              </w:rPr>
              <w:fldChar w:fldCharType="end"/>
            </w:r>
            <w:r>
              <w:rPr>
                <w:rFonts w:hint="default" w:ascii="Times New Roman" w:hAnsi="Times New Roman" w:cs="Times New Roman"/>
                <w:color w:val="auto"/>
                <w:kern w:val="0"/>
                <w:sz w:val="21"/>
                <w:szCs w:val="21"/>
                <w:highlight w:val="none"/>
                <w:lang w:eastAsia="zh-CN"/>
              </w:rPr>
              <w:t>软水制备用水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22" w:firstLineChars="249"/>
              <w:jc w:val="both"/>
              <w:textAlignment w:val="auto"/>
              <w:outlineLvl w:val="9"/>
              <w:rPr>
                <w:rFonts w:hint="eastAsia"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cs="Times New Roman"/>
                <w:bCs/>
                <w:color w:val="auto"/>
                <w:sz w:val="21"/>
                <w:szCs w:val="21"/>
                <w:highlight w:val="none"/>
              </w:rPr>
              <w:t>项目燃气锅炉用软水采用</w:t>
            </w:r>
            <w:r>
              <w:rPr>
                <w:rFonts w:hint="default" w:ascii="Times New Roman" w:hAnsi="Times New Roman" w:cs="Times New Roman"/>
                <w:bCs/>
                <w:color w:val="auto"/>
                <w:sz w:val="21"/>
                <w:szCs w:val="21"/>
                <w:highlight w:val="none"/>
                <w:lang w:eastAsia="zh-CN"/>
              </w:rPr>
              <w:t>反渗透装置</w:t>
            </w:r>
            <w:r>
              <w:rPr>
                <w:rFonts w:hint="default" w:ascii="Times New Roman" w:hAnsi="Times New Roman" w:cs="Times New Roman"/>
                <w:bCs/>
                <w:color w:val="auto"/>
                <w:sz w:val="21"/>
                <w:szCs w:val="21"/>
                <w:highlight w:val="none"/>
              </w:rPr>
              <w:t>制备，</w:t>
            </w:r>
            <w:r>
              <w:rPr>
                <w:rFonts w:hint="default" w:ascii="Times New Roman" w:hAnsi="Times New Roman" w:cs="Times New Roman"/>
                <w:bCs/>
                <w:color w:val="auto"/>
                <w:sz w:val="21"/>
                <w:szCs w:val="21"/>
                <w:highlight w:val="none"/>
                <w:lang w:eastAsia="zh-CN"/>
              </w:rPr>
              <w:t>在反渗透过程中</w:t>
            </w:r>
            <w:r>
              <w:rPr>
                <w:rFonts w:hint="default" w:ascii="Times New Roman" w:hAnsi="Times New Roman" w:cs="Times New Roman"/>
                <w:bCs/>
                <w:color w:val="auto"/>
                <w:sz w:val="21"/>
                <w:szCs w:val="21"/>
                <w:highlight w:val="none"/>
              </w:rPr>
              <w:t>会产生</w:t>
            </w:r>
            <w:r>
              <w:rPr>
                <w:rFonts w:hint="default" w:ascii="Times New Roman" w:hAnsi="Times New Roman" w:cs="Times New Roman"/>
                <w:bCs/>
                <w:color w:val="auto"/>
                <w:sz w:val="21"/>
                <w:szCs w:val="21"/>
                <w:highlight w:val="none"/>
                <w:lang w:eastAsia="zh-CN"/>
              </w:rPr>
              <w:t>一定量软水制备废水（含盐废水）</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eastAsia="zh-CN"/>
              </w:rPr>
              <w:t>根据水平衡可知</w:t>
            </w:r>
            <w:r>
              <w:rPr>
                <w:rFonts w:hint="default" w:ascii="Times New Roman" w:hAnsi="Times New Roman" w:cs="Times New Roman"/>
                <w:bCs/>
                <w:color w:val="auto"/>
                <w:sz w:val="21"/>
                <w:szCs w:val="21"/>
                <w:highlight w:val="none"/>
                <w:lang w:val="en-US" w:eastAsia="zh-CN"/>
              </w:rPr>
              <w:t>，</w:t>
            </w:r>
            <w:r>
              <w:rPr>
                <w:rFonts w:hint="eastAsia" w:cs="Times New Roman"/>
                <w:bCs/>
                <w:color w:val="auto"/>
                <w:sz w:val="21"/>
                <w:szCs w:val="21"/>
                <w:highlight w:val="none"/>
                <w:lang w:val="en-US" w:eastAsia="zh-CN"/>
              </w:rPr>
              <w:t>软水制备浓水</w:t>
            </w:r>
            <w:r>
              <w:rPr>
                <w:rFonts w:hint="default" w:ascii="Times New Roman" w:hAnsi="Times New Roman" w:cs="Times New Roman"/>
                <w:bCs/>
                <w:color w:val="auto"/>
                <w:sz w:val="21"/>
                <w:szCs w:val="21"/>
                <w:highlight w:val="none"/>
              </w:rPr>
              <w:t>产生量为</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727.2</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rPr>
              <w:t>/a</w:t>
            </w:r>
            <w:r>
              <w:rPr>
                <w:rFonts w:hint="eastAsia"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，主要污染因子为COD、SS，产生浓度及产生量分别为COD</w:t>
            </w:r>
            <w:r>
              <w:rPr>
                <w:rFonts w:hint="eastAsia" w:cs="Times New Roman"/>
                <w:bCs/>
                <w:color w:val="auto"/>
                <w:sz w:val="21"/>
                <w:szCs w:val="21"/>
                <w:highlight w:val="none"/>
                <w:lang w:val="en-US" w:eastAsia="zh-CN"/>
              </w:rPr>
              <w:t>50</w:t>
            </w:r>
            <w:r>
              <w:rPr>
                <w:rFonts w:hint="default" w:ascii="Times New Roman" w:hAnsi="Times New Roman" w:cs="Times New Roman"/>
                <w:bCs/>
                <w:color w:val="auto"/>
                <w:sz w:val="21"/>
                <w:szCs w:val="21"/>
                <w:highlight w:val="none"/>
              </w:rPr>
              <w:t>mg/L、</w:t>
            </w:r>
            <w:r>
              <w:rPr>
                <w:rFonts w:hint="eastAsia" w:cs="Times New Roman"/>
                <w:bCs/>
                <w:color w:val="auto"/>
                <w:sz w:val="21"/>
                <w:szCs w:val="21"/>
                <w:highlight w:val="none"/>
                <w:lang w:val="en-US" w:eastAsia="zh-CN"/>
              </w:rPr>
              <w:t>0.0364</w:t>
            </w:r>
            <w:r>
              <w:rPr>
                <w:rFonts w:hint="default" w:ascii="Times New Roman" w:hAnsi="Times New Roman" w:cs="Times New Roman"/>
                <w:bCs/>
                <w:color w:val="auto"/>
                <w:sz w:val="21"/>
                <w:szCs w:val="21"/>
                <w:highlight w:val="none"/>
              </w:rPr>
              <w:t>t/a，SS40mg/L、</w:t>
            </w:r>
            <w:r>
              <w:rPr>
                <w:rFonts w:hint="eastAsia" w:cs="Times New Roman"/>
                <w:bCs/>
                <w:color w:val="auto"/>
                <w:sz w:val="21"/>
                <w:szCs w:val="21"/>
                <w:highlight w:val="none"/>
                <w:lang w:val="en-US" w:eastAsia="zh-CN"/>
              </w:rPr>
              <w:t>0.0291</w:t>
            </w:r>
            <w:r>
              <w:rPr>
                <w:rFonts w:hint="default" w:ascii="Times New Roman" w:hAnsi="Times New Roman" w:cs="Times New Roman"/>
                <w:bCs/>
                <w:color w:val="auto"/>
                <w:sz w:val="21"/>
                <w:szCs w:val="21"/>
                <w:highlight w:val="none"/>
              </w:rPr>
              <w:t>t/a</w:t>
            </w:r>
            <w:r>
              <w:rPr>
                <w:rFonts w:hint="eastAsia" w:cs="Times New Roman"/>
                <w:bCs/>
                <w:color w:val="auto"/>
                <w:sz w:val="21"/>
                <w:szCs w:val="21"/>
                <w:highlight w:val="none"/>
                <w:lang w:eastAsia="zh-CN"/>
              </w:rPr>
              <w:t>，该部分废水约</w:t>
            </w:r>
            <w:r>
              <w:rPr>
                <w:rFonts w:hint="eastAsia" w:cs="Times New Roman"/>
                <w:bCs/>
                <w:color w:val="auto"/>
                <w:sz w:val="21"/>
                <w:szCs w:val="21"/>
                <w:highlight w:val="none"/>
                <w:lang w:val="en-US" w:eastAsia="zh-CN"/>
              </w:rPr>
              <w:t>225</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rPr>
              <w:t>/a</w:t>
            </w:r>
            <w:r>
              <w:rPr>
                <w:rFonts w:hint="eastAsia" w:cs="Times New Roman"/>
                <w:color w:val="auto"/>
                <w:sz w:val="21"/>
                <w:szCs w:val="21"/>
                <w:highlight w:val="none"/>
                <w:lang w:eastAsia="zh-CN"/>
              </w:rPr>
              <w:t>用于上述车间地面清洗用水，其余部分用于厂区地面洒水抑尘用水。</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right="0" w:firstLine="422" w:firstLineChars="200"/>
              <w:textAlignment w:val="auto"/>
              <w:rPr>
                <w:rFonts w:hint="default" w:ascii="Times New Roman" w:hAnsi="Times New Roman" w:cs="Times New Roman" w:eastAsiaTheme="majorEastAsia"/>
                <w:b/>
                <w:bCs/>
                <w:color w:val="auto"/>
                <w:sz w:val="21"/>
                <w:szCs w:val="21"/>
                <w:highlight w:val="none"/>
                <w:lang w:val="en-US" w:eastAsia="zh-CN"/>
              </w:rPr>
            </w:pPr>
            <w:r>
              <w:rPr>
                <w:rFonts w:hint="default" w:ascii="Times New Roman" w:hAnsi="Times New Roman" w:cs="Times New Roman" w:eastAsiaTheme="majorEastAsia"/>
                <w:b/>
                <w:bCs/>
                <w:color w:val="auto"/>
                <w:sz w:val="21"/>
                <w:szCs w:val="21"/>
                <w:highlight w:val="none"/>
                <w:lang w:val="en-US" w:eastAsia="zh-CN"/>
              </w:rPr>
              <w:t>废水处置及排放情况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20" w:firstLineChars="200"/>
              <w:textAlignment w:val="auto"/>
              <w:rPr>
                <w:rFonts w:hint="eastAsia" w:cs="Times New Roman" w:eastAsiaTheme="majorEastAsia"/>
                <w:color w:val="auto"/>
                <w:sz w:val="21"/>
                <w:szCs w:val="21"/>
                <w:highlight w:val="none"/>
                <w:lang w:val="en-US" w:eastAsia="zh-CN"/>
              </w:rPr>
            </w:pPr>
            <w:r>
              <w:rPr>
                <w:rFonts w:hint="default" w:ascii="Times New Roman" w:hAnsi="Times New Roman" w:cs="Times New Roman" w:eastAsiaTheme="majorEastAsia"/>
                <w:color w:val="auto"/>
                <w:sz w:val="21"/>
                <w:szCs w:val="21"/>
                <w:highlight w:val="none"/>
                <w:lang w:val="en-US" w:eastAsia="zh-CN"/>
              </w:rPr>
              <w:fldChar w:fldCharType="begin"/>
            </w:r>
            <w:r>
              <w:rPr>
                <w:rFonts w:hint="default" w:ascii="Times New Roman" w:hAnsi="Times New Roman" w:cs="Times New Roman" w:eastAsiaTheme="majorEastAsia"/>
                <w:color w:val="auto"/>
                <w:sz w:val="21"/>
                <w:szCs w:val="21"/>
                <w:highlight w:val="none"/>
                <w:lang w:val="en-US" w:eastAsia="zh-CN"/>
              </w:rPr>
              <w:instrText xml:space="preserve"> = 1 \* GB3 \* MERGEFORMAT </w:instrText>
            </w:r>
            <w:r>
              <w:rPr>
                <w:rFonts w:hint="default" w:ascii="Times New Roman" w:hAnsi="Times New Roman" w:cs="Times New Roman" w:eastAsiaTheme="majorEastAsia"/>
                <w:color w:val="auto"/>
                <w:sz w:val="21"/>
                <w:szCs w:val="21"/>
                <w:highlight w:val="none"/>
                <w:lang w:val="en-US" w:eastAsia="zh-CN"/>
              </w:rPr>
              <w:fldChar w:fldCharType="separate"/>
            </w:r>
            <w:r>
              <w:rPr>
                <w:color w:val="auto"/>
                <w:sz w:val="21"/>
                <w:szCs w:val="21"/>
              </w:rPr>
              <w:t>①</w:t>
            </w:r>
            <w:r>
              <w:rPr>
                <w:rFonts w:hint="default" w:ascii="Times New Roman" w:hAnsi="Times New Roman" w:cs="Times New Roman" w:eastAsiaTheme="majorEastAsia"/>
                <w:color w:val="auto"/>
                <w:sz w:val="21"/>
                <w:szCs w:val="21"/>
                <w:highlight w:val="none"/>
                <w:lang w:val="en-US" w:eastAsia="zh-CN"/>
              </w:rPr>
              <w:fldChar w:fldCharType="end"/>
            </w:r>
            <w:r>
              <w:rPr>
                <w:rFonts w:hint="eastAsia" w:cs="Times New Roman" w:eastAsiaTheme="majorEastAsia"/>
                <w:color w:val="auto"/>
                <w:sz w:val="21"/>
                <w:szCs w:val="21"/>
                <w:highlight w:val="none"/>
                <w:lang w:val="en-US" w:eastAsia="zh-CN"/>
              </w:rPr>
              <w:t>生活污水和清洗废水：</w:t>
            </w:r>
            <w:r>
              <w:rPr>
                <w:rFonts w:hint="default" w:ascii="Times New Roman" w:hAnsi="Times New Roman" w:cs="Times New Roman" w:eastAsiaTheme="majorEastAsia"/>
                <w:color w:val="auto"/>
                <w:sz w:val="21"/>
                <w:szCs w:val="21"/>
                <w:highlight w:val="none"/>
                <w:lang w:val="en-US" w:eastAsia="zh-CN"/>
              </w:rPr>
              <w:t>项目一般生活污水主要为员工日常洗漱产生的废水</w:t>
            </w:r>
            <w:r>
              <w:rPr>
                <w:rFonts w:hint="eastAsia" w:cs="Times New Roman" w:eastAsiaTheme="majorEastAsia"/>
                <w:color w:val="auto"/>
                <w:sz w:val="21"/>
                <w:szCs w:val="21"/>
                <w:highlight w:val="none"/>
                <w:lang w:val="en-US" w:eastAsia="zh-CN"/>
              </w:rPr>
              <w:t>，</w:t>
            </w:r>
            <w:r>
              <w:rPr>
                <w:rFonts w:hint="default" w:ascii="Times New Roman" w:hAnsi="Times New Roman" w:cs="Times New Roman" w:eastAsiaTheme="majorEastAsia"/>
                <w:color w:val="auto"/>
                <w:sz w:val="21"/>
                <w:szCs w:val="21"/>
                <w:highlight w:val="none"/>
                <w:lang w:val="en-US" w:eastAsia="zh-CN"/>
              </w:rPr>
              <w:t>清洗废水分为设备清洗废水和车间地面清洗废水，由于项目生产过程原料主要为面筋和面粉，因此清洗过程废水中主要为含面粉的废水，项目生活污水和清洗废水经厂区现有化粪池后，定期清运，目前厂区配套有1座40m</w:t>
            </w:r>
            <w:r>
              <w:rPr>
                <w:rFonts w:hint="default" w:ascii="Times New Roman" w:hAnsi="Times New Roman" w:cs="Times New Roman" w:eastAsiaTheme="majorEastAsia"/>
                <w:color w:val="auto"/>
                <w:sz w:val="21"/>
                <w:szCs w:val="21"/>
                <w:highlight w:val="none"/>
                <w:vertAlign w:val="superscript"/>
                <w:lang w:val="en-US" w:eastAsia="zh-CN"/>
              </w:rPr>
              <w:t>3</w:t>
            </w:r>
            <w:r>
              <w:rPr>
                <w:rFonts w:hint="default" w:ascii="Times New Roman" w:hAnsi="Times New Roman" w:cs="Times New Roman" w:eastAsiaTheme="majorEastAsia"/>
                <w:color w:val="auto"/>
                <w:sz w:val="21"/>
                <w:szCs w:val="21"/>
                <w:highlight w:val="none"/>
                <w:lang w:val="en-US" w:eastAsia="zh-CN"/>
              </w:rPr>
              <w:t>化粪池，能够满足生活污水和清洗废水处理需求</w:t>
            </w:r>
            <w:r>
              <w:rPr>
                <w:rFonts w:hint="eastAsia" w:cs="Times New Roman" w:eastAsiaTheme="majorEastAsia"/>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bCs/>
                <w:sz w:val="21"/>
                <w:szCs w:val="21"/>
                <w:highlight w:val="cyan"/>
                <w:vertAlign w:val="baseline"/>
                <w:lang w:val="en-US" w:eastAsia="zh-CN"/>
              </w:rPr>
            </w:pPr>
            <w:r>
              <w:rPr>
                <w:rFonts w:hint="default" w:ascii="Times New Roman" w:hAnsi="Times New Roman" w:cs="Times New Roman" w:eastAsiaTheme="majorEastAsia"/>
                <w:color w:val="auto"/>
                <w:sz w:val="21"/>
                <w:szCs w:val="21"/>
                <w:highlight w:val="none"/>
                <w:lang w:val="en-US" w:eastAsia="zh-CN"/>
              </w:rPr>
              <w:fldChar w:fldCharType="begin"/>
            </w:r>
            <w:r>
              <w:rPr>
                <w:rFonts w:hint="default" w:ascii="Times New Roman" w:hAnsi="Times New Roman" w:cs="Times New Roman" w:eastAsiaTheme="majorEastAsia"/>
                <w:color w:val="auto"/>
                <w:sz w:val="21"/>
                <w:szCs w:val="21"/>
                <w:highlight w:val="none"/>
                <w:lang w:val="en-US" w:eastAsia="zh-CN"/>
              </w:rPr>
              <w:instrText xml:space="preserve"> = 2 \* GB3 \* MERGEFORMAT </w:instrText>
            </w:r>
            <w:r>
              <w:rPr>
                <w:rFonts w:hint="default" w:ascii="Times New Roman" w:hAnsi="Times New Roman" w:cs="Times New Roman" w:eastAsiaTheme="majorEastAsia"/>
                <w:color w:val="auto"/>
                <w:sz w:val="21"/>
                <w:szCs w:val="21"/>
                <w:highlight w:val="none"/>
                <w:lang w:val="en-US" w:eastAsia="zh-CN"/>
              </w:rPr>
              <w:fldChar w:fldCharType="separate"/>
            </w:r>
            <w:r>
              <w:rPr>
                <w:color w:val="auto"/>
                <w:sz w:val="21"/>
                <w:szCs w:val="21"/>
                <w:highlight w:val="none"/>
              </w:rPr>
              <w:t>②</w:t>
            </w:r>
            <w:r>
              <w:rPr>
                <w:rFonts w:hint="default" w:ascii="Times New Roman" w:hAnsi="Times New Roman" w:cs="Times New Roman" w:eastAsiaTheme="majorEastAsia"/>
                <w:color w:val="auto"/>
                <w:sz w:val="21"/>
                <w:szCs w:val="21"/>
                <w:highlight w:val="none"/>
                <w:lang w:val="en-US" w:eastAsia="zh-CN"/>
              </w:rPr>
              <w:fldChar w:fldCharType="end"/>
            </w:r>
            <w:r>
              <w:rPr>
                <w:rFonts w:hint="eastAsia" w:cs="Times New Roman" w:eastAsiaTheme="majorEastAsia"/>
                <w:color w:val="auto"/>
                <w:sz w:val="21"/>
                <w:szCs w:val="21"/>
                <w:highlight w:val="none"/>
                <w:lang w:val="en-US" w:eastAsia="zh-CN"/>
              </w:rPr>
              <w:t>软水制备废水：</w:t>
            </w:r>
            <w:r>
              <w:rPr>
                <w:rFonts w:hint="default" w:ascii="Times New Roman" w:hAnsi="Times New Roman" w:cs="Times New Roman" w:eastAsiaTheme="majorEastAsia"/>
                <w:color w:val="auto"/>
                <w:sz w:val="21"/>
                <w:szCs w:val="21"/>
                <w:highlight w:val="none"/>
                <w:lang w:val="en-US" w:eastAsia="zh-CN"/>
              </w:rPr>
              <w:t>项目软水制备过程产生的废水主要为反渗透过程产生的高盐浓水，该部分废水属于清净下水，均经收集后用于厂区地面</w:t>
            </w:r>
            <w:r>
              <w:rPr>
                <w:rFonts w:hint="eastAsia" w:cs="Times New Roman" w:eastAsiaTheme="majorEastAsia"/>
                <w:color w:val="auto"/>
                <w:sz w:val="21"/>
                <w:szCs w:val="21"/>
                <w:highlight w:val="none"/>
                <w:lang w:val="en-US" w:eastAsia="zh-CN"/>
              </w:rPr>
              <w:t>洒</w:t>
            </w:r>
            <w:r>
              <w:rPr>
                <w:rFonts w:hint="default" w:ascii="Times New Roman" w:hAnsi="Times New Roman" w:cs="Times New Roman" w:eastAsiaTheme="majorEastAsia"/>
                <w:color w:val="auto"/>
                <w:sz w:val="21"/>
                <w:szCs w:val="21"/>
                <w:highlight w:val="none"/>
                <w:lang w:val="en-US" w:eastAsia="zh-CN"/>
              </w:rPr>
              <w:t>水抑尘</w:t>
            </w:r>
            <w:r>
              <w:rPr>
                <w:rFonts w:hint="eastAsia" w:cs="Times New Roman" w:eastAsiaTheme="majorEastAsia"/>
                <w:color w:val="auto"/>
                <w:sz w:val="21"/>
                <w:szCs w:val="21"/>
                <w:highlight w:val="none"/>
                <w:lang w:val="en-US" w:eastAsia="zh-CN"/>
              </w:rPr>
              <w:t>和车间地面清洗用水</w:t>
            </w:r>
            <w:r>
              <w:rPr>
                <w:rFonts w:hint="default" w:ascii="Times New Roman" w:hAnsi="Times New Roman" w:cs="Times New Roman" w:eastAsiaTheme="majorEastAsia"/>
                <w:color w:val="auto"/>
                <w:sz w:val="21"/>
                <w:szCs w:val="21"/>
                <w:highlight w:val="none"/>
                <w:lang w:val="en-US" w:eastAsia="zh-CN"/>
              </w:rPr>
              <w:t>，</w:t>
            </w:r>
            <w:r>
              <w:rPr>
                <w:rFonts w:hint="eastAsia" w:cs="Times New Roman" w:eastAsiaTheme="majorEastAsia"/>
                <w:color w:val="auto"/>
                <w:sz w:val="21"/>
                <w:szCs w:val="21"/>
                <w:highlight w:val="none"/>
                <w:lang w:val="en-US" w:eastAsia="zh-CN"/>
              </w:rPr>
              <w:t>本项目软水制备废产生量为2.424m</w:t>
            </w:r>
            <w:r>
              <w:rPr>
                <w:rFonts w:hint="eastAsia" w:cs="Times New Roman" w:eastAsiaTheme="majorEastAsia"/>
                <w:color w:val="auto"/>
                <w:sz w:val="21"/>
                <w:szCs w:val="21"/>
                <w:highlight w:val="none"/>
                <w:vertAlign w:val="superscript"/>
                <w:lang w:val="en-US" w:eastAsia="zh-CN"/>
              </w:rPr>
              <w:t>3</w:t>
            </w:r>
            <w:r>
              <w:rPr>
                <w:rFonts w:hint="eastAsia" w:cs="Times New Roman" w:eastAsiaTheme="majorEastAsia"/>
                <w:color w:val="auto"/>
                <w:sz w:val="21"/>
                <w:szCs w:val="21"/>
                <w:highlight w:val="none"/>
                <w:lang w:val="en-US" w:eastAsia="zh-CN"/>
              </w:rPr>
              <w:t>/d，其中每日车间地面进行清洗时可使用约</w:t>
            </w:r>
            <w:r>
              <w:rPr>
                <w:rFonts w:hint="default" w:ascii="Times New Roman" w:hAnsi="Times New Roman" w:cs="Times New Roman"/>
                <w:bCs/>
                <w:color w:val="auto"/>
                <w:sz w:val="21"/>
                <w:szCs w:val="21"/>
                <w:highlight w:val="none"/>
                <w:lang w:val="en-US" w:eastAsia="zh-CN"/>
              </w:rPr>
              <w:t>0.75</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rPr>
              <w:t>/d</w:t>
            </w:r>
            <w:r>
              <w:rPr>
                <w:rFonts w:hint="eastAsia" w:cs="Times New Roman" w:eastAsiaTheme="majorEastAsia"/>
                <w:color w:val="auto"/>
                <w:sz w:val="21"/>
                <w:szCs w:val="21"/>
                <w:highlight w:val="none"/>
                <w:lang w:val="en-US" w:eastAsia="zh-CN"/>
              </w:rPr>
              <w:t>，剩余1.673</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rPr>
              <w:t>/d</w:t>
            </w:r>
            <w:r>
              <w:rPr>
                <w:rFonts w:hint="eastAsia" w:cs="Times New Roman"/>
                <w:bCs/>
                <w:color w:val="auto"/>
                <w:sz w:val="21"/>
                <w:szCs w:val="21"/>
                <w:highlight w:val="none"/>
                <w:lang w:eastAsia="zh-CN"/>
              </w:rPr>
              <w:t>均用于厂区地面洒水抑尘使用</w:t>
            </w:r>
            <w:r>
              <w:rPr>
                <w:rFonts w:hint="eastAsia" w:cs="Times New Roman" w:eastAsiaTheme="majorEastAsia"/>
                <w:color w:val="auto"/>
                <w:sz w:val="21"/>
                <w:szCs w:val="21"/>
                <w:highlight w:val="none"/>
                <w:lang w:val="en-US" w:eastAsia="zh-CN"/>
              </w:rPr>
              <w:t>，</w:t>
            </w:r>
            <w:r>
              <w:rPr>
                <w:rFonts w:hint="default" w:ascii="Times New Roman" w:hAnsi="Times New Roman" w:cs="Times New Roman" w:eastAsiaTheme="majorEastAsia"/>
                <w:color w:val="auto"/>
                <w:sz w:val="21"/>
                <w:szCs w:val="21"/>
                <w:highlight w:val="none"/>
                <w:lang w:val="en-US" w:eastAsia="zh-CN"/>
              </w:rPr>
              <w:t>根据现场勘查，项目租用厂区约有900平方米</w:t>
            </w:r>
            <w:r>
              <w:rPr>
                <w:rFonts w:hint="eastAsia" w:cs="Times New Roman" w:eastAsiaTheme="majorEastAsia"/>
                <w:color w:val="auto"/>
                <w:sz w:val="21"/>
                <w:szCs w:val="21"/>
                <w:highlight w:val="none"/>
                <w:lang w:val="en-US" w:eastAsia="zh-CN"/>
              </w:rPr>
              <w:t>混凝土硬化地面</w:t>
            </w:r>
            <w:r>
              <w:rPr>
                <w:rFonts w:hint="default" w:ascii="Times New Roman" w:hAnsi="Times New Roman" w:cs="Times New Roman" w:eastAsiaTheme="majorEastAsia"/>
                <w:color w:val="auto"/>
                <w:sz w:val="21"/>
                <w:szCs w:val="21"/>
                <w:highlight w:val="none"/>
                <w:lang w:val="en-US" w:eastAsia="zh-CN"/>
              </w:rPr>
              <w:t>，</w:t>
            </w:r>
            <w:r>
              <w:rPr>
                <w:rFonts w:hint="eastAsia" w:cs="Times New Roman" w:eastAsiaTheme="majorEastAsia"/>
                <w:color w:val="auto"/>
                <w:sz w:val="21"/>
                <w:szCs w:val="21"/>
                <w:highlight w:val="none"/>
                <w:lang w:val="en-US" w:eastAsia="zh-CN"/>
              </w:rPr>
              <w:t>足够消纳</w:t>
            </w:r>
            <w:r>
              <w:rPr>
                <w:rFonts w:hint="default" w:ascii="Times New Roman" w:hAnsi="Times New Roman" w:cs="Times New Roman" w:eastAsiaTheme="majorEastAsia"/>
                <w:color w:val="auto"/>
                <w:sz w:val="21"/>
                <w:szCs w:val="21"/>
                <w:highlight w:val="none"/>
                <w:lang w:val="en-US" w:eastAsia="zh-CN"/>
              </w:rPr>
              <w:t>每日产生的</w:t>
            </w:r>
            <w:r>
              <w:rPr>
                <w:rFonts w:hint="eastAsia" w:cs="Times New Roman" w:eastAsiaTheme="majorEastAsia"/>
                <w:color w:val="auto"/>
                <w:sz w:val="21"/>
                <w:szCs w:val="21"/>
                <w:highlight w:val="none"/>
                <w:lang w:val="en-US" w:eastAsia="zh-CN"/>
              </w:rPr>
              <w:t>软水制备废水</w:t>
            </w:r>
            <w:r>
              <w:rPr>
                <w:rFonts w:hint="default" w:ascii="Times New Roman" w:hAnsi="Times New Roman" w:cs="Times New Roman" w:eastAsiaTheme="majorEastAsia"/>
                <w:color w:val="auto"/>
                <w:sz w:val="21"/>
                <w:szCs w:val="21"/>
                <w:highlight w:val="none"/>
                <w:lang w:val="en-US" w:eastAsia="zh-CN"/>
              </w:rPr>
              <w:t>。</w:t>
            </w:r>
            <w:r>
              <w:rPr>
                <w:rFonts w:hint="default" w:ascii="Times New Roman" w:hAnsi="Times New Roman" w:cs="Times New Roman" w:eastAsiaTheme="majorEastAsia"/>
                <w:color w:val="auto"/>
                <w:sz w:val="21"/>
                <w:szCs w:val="21"/>
                <w:highlight w:val="none"/>
                <w:lang w:val="en-US" w:eastAsia="zh-CN"/>
              </w:rPr>
              <w:br w:type="textWrapping"/>
            </w:r>
            <w:r>
              <w:rPr>
                <w:rFonts w:hint="default" w:ascii="Times New Roman" w:hAnsi="Times New Roman" w:cs="Times New Roman" w:eastAsiaTheme="majorEastAsia"/>
                <w:color w:val="auto"/>
                <w:sz w:val="21"/>
                <w:szCs w:val="21"/>
                <w:highlight w:val="none"/>
                <w:lang w:val="en-US" w:eastAsia="zh-CN"/>
              </w:rPr>
              <w:br w:type="textWrapping"/>
            </w:r>
            <w:r>
              <w:rPr>
                <w:rFonts w:hint="default" w:ascii="Times New Roman" w:hAnsi="Times New Roman" w:cs="Times New Roman" w:eastAsiaTheme="majorEastAsia"/>
                <w:color w:val="auto"/>
                <w:sz w:val="21"/>
                <w:szCs w:val="21"/>
                <w:highlight w:val="none"/>
                <w:lang w:val="en-US" w:eastAsia="zh-CN"/>
              </w:rPr>
              <w:br w:type="textWrapping"/>
            </w:r>
            <w:r>
              <w:rPr>
                <w:rFonts w:hint="default" w:ascii="Times New Roman" w:hAnsi="Times New Roman" w:cs="Times New Roman" w:eastAsiaTheme="majorEastAsia"/>
                <w:color w:val="auto"/>
                <w:sz w:val="21"/>
                <w:szCs w:val="21"/>
                <w:highlight w:val="none"/>
                <w:lang w:val="en-US" w:eastAsia="zh-CN"/>
              </w:rPr>
              <w:br w:type="textWrapping"/>
            </w:r>
            <w:r>
              <w:rPr>
                <w:rFonts w:hint="default" w:ascii="Times New Roman" w:hAnsi="Times New Roman" w:cs="Times New Roman" w:eastAsiaTheme="majorEastAsia"/>
                <w:color w:val="auto"/>
                <w:sz w:val="21"/>
                <w:szCs w:val="21"/>
                <w:highlight w:val="none"/>
                <w:lang w:val="en-US" w:eastAsia="zh-CN"/>
              </w:rPr>
              <w:br w:type="textWrapping"/>
            </w:r>
            <w:r>
              <w:rPr>
                <w:rFonts w:hint="default" w:ascii="Times New Roman" w:hAnsi="Times New Roman" w:cs="Times New Roman" w:eastAsiaTheme="majorEastAsia"/>
                <w:color w:val="auto"/>
                <w:sz w:val="21"/>
                <w:szCs w:val="21"/>
                <w:highlight w:val="none"/>
                <w:lang w:val="en-US" w:eastAsia="zh-CN"/>
              </w:rPr>
              <w:br w:type="textWrapping"/>
            </w:r>
            <w:r>
              <w:rPr>
                <w:rFonts w:hint="default" w:ascii="Times New Roman" w:hAnsi="Times New Roman" w:cs="Times New Roman" w:eastAsiaTheme="majorEastAsia"/>
                <w:color w:val="auto"/>
                <w:sz w:val="21"/>
                <w:szCs w:val="21"/>
                <w:highlight w:val="none"/>
                <w:lang w:val="en-US" w:eastAsia="zh-CN"/>
              </w:rPr>
              <w:br w:type="textWrapping"/>
            </w:r>
            <w:r>
              <w:rPr>
                <w:rFonts w:hint="default" w:ascii="Times New Roman" w:hAnsi="Times New Roman" w:cs="Times New Roman" w:eastAsiaTheme="majorEastAsia"/>
                <w:color w:val="auto"/>
                <w:sz w:val="21"/>
                <w:szCs w:val="21"/>
                <w:highlight w:val="none"/>
                <w:lang w:val="en-US" w:eastAsia="zh-CN"/>
              </w:rPr>
              <w:br w:type="textWrapping"/>
            </w:r>
            <w:r>
              <w:rPr>
                <w:rFonts w:hint="default" w:ascii="Times New Roman" w:hAnsi="Times New Roman" w:cs="Times New Roman" w:eastAsiaTheme="majorEastAsia"/>
                <w:color w:val="auto"/>
                <w:sz w:val="21"/>
                <w:szCs w:val="21"/>
                <w:highlight w:val="none"/>
                <w:lang w:val="en-US" w:eastAsia="zh-CN"/>
              </w:rPr>
              <w:br w:type="textWrapping"/>
            </w:r>
          </w:p>
        </w:tc>
      </w:tr>
    </w:tbl>
    <w:p>
      <w:pPr>
        <w:pStyle w:val="2"/>
        <w:rPr>
          <w:highlight w:val="cya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4174" w:type="dxa"/>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项目全厂废水产生及排放情况汇总如下：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 xml:space="preserve">   </w:t>
            </w:r>
            <w:r>
              <w:rPr>
                <w:rFonts w:hint="eastAsia" w:eastAsia="黑体" w:cs="Times New Roman"/>
                <w:color w:val="auto"/>
                <w:sz w:val="18"/>
                <w:szCs w:val="18"/>
                <w:highlight w:val="none"/>
                <w:lang w:val="en-US" w:eastAsia="zh-CN"/>
              </w:rPr>
              <w:t>废水产生及排放情况汇总表</w:t>
            </w:r>
          </w:p>
          <w:tbl>
            <w:tblPr>
              <w:tblStyle w:val="17"/>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715"/>
              <w:gridCol w:w="971"/>
              <w:gridCol w:w="888"/>
              <w:gridCol w:w="1111"/>
              <w:gridCol w:w="1111"/>
              <w:gridCol w:w="1113"/>
              <w:gridCol w:w="914"/>
              <w:gridCol w:w="914"/>
              <w:gridCol w:w="914"/>
              <w:gridCol w:w="977"/>
              <w:gridCol w:w="977"/>
              <w:gridCol w:w="978"/>
              <w:gridCol w:w="17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3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产污环节</w:t>
                  </w:r>
                </w:p>
              </w:tc>
              <w:tc>
                <w:tcPr>
                  <w:tcW w:w="2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污染源</w:t>
                  </w:r>
                </w:p>
              </w:tc>
              <w:tc>
                <w:tcPr>
                  <w:tcW w:w="3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污染物</w:t>
                  </w:r>
                </w:p>
              </w:tc>
              <w:tc>
                <w:tcPr>
                  <w:tcW w:w="3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核算</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方法</w:t>
                  </w:r>
                </w:p>
              </w:tc>
              <w:tc>
                <w:tcPr>
                  <w:tcW w:w="1195"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污染物产生</w:t>
                  </w:r>
                </w:p>
              </w:tc>
              <w:tc>
                <w:tcPr>
                  <w:tcW w:w="982"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治理措施</w:t>
                  </w:r>
                </w:p>
              </w:tc>
              <w:tc>
                <w:tcPr>
                  <w:tcW w:w="1665"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污染物排放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3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eastAsia="zh-CN"/>
                    </w:rPr>
                  </w:pPr>
                </w:p>
              </w:tc>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eastAsia="zh-CN"/>
                    </w:rPr>
                  </w:pPr>
                </w:p>
              </w:tc>
              <w:tc>
                <w:tcPr>
                  <w:tcW w:w="3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eastAsia="zh-CN"/>
                    </w:rPr>
                  </w:pPr>
                </w:p>
              </w:tc>
              <w:tc>
                <w:tcPr>
                  <w:tcW w:w="3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eastAsia="zh-CN"/>
                    </w:rPr>
                  </w:pP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废水产生量（</w:t>
                  </w:r>
                  <w:r>
                    <w:rPr>
                      <w:rFonts w:hint="default" w:ascii="Times New Roman" w:hAnsi="Times New Roman" w:cs="Times New Roman"/>
                      <w:sz w:val="18"/>
                      <w:szCs w:val="18"/>
                      <w:highlight w:val="none"/>
                      <w:vertAlign w:val="baseline"/>
                      <w:lang w:val="en-US" w:eastAsia="zh-CN"/>
                    </w:rPr>
                    <w:t>m</w:t>
                  </w:r>
                  <w:r>
                    <w:rPr>
                      <w:rFonts w:hint="default" w:ascii="Times New Roman" w:hAnsi="Times New Roman" w:cs="Times New Roman"/>
                      <w:sz w:val="18"/>
                      <w:szCs w:val="18"/>
                      <w:highlight w:val="none"/>
                      <w:vertAlign w:val="superscript"/>
                      <w:lang w:val="en-US" w:eastAsia="zh-CN"/>
                    </w:rPr>
                    <w:t>3</w:t>
                  </w:r>
                  <w:r>
                    <w:rPr>
                      <w:rFonts w:hint="default" w:ascii="Times New Roman" w:hAnsi="Times New Roman" w:cs="Times New Roman"/>
                      <w:sz w:val="18"/>
                      <w:szCs w:val="18"/>
                      <w:highlight w:val="none"/>
                      <w:vertAlign w:val="baseline"/>
                      <w:lang w:val="en-US" w:eastAsia="zh-CN"/>
                    </w:rPr>
                    <w:t>/a</w:t>
                  </w:r>
                  <w:r>
                    <w:rPr>
                      <w:rFonts w:hint="default" w:ascii="Times New Roman" w:hAnsi="Times New Roman" w:cs="Times New Roman"/>
                      <w:sz w:val="18"/>
                      <w:szCs w:val="18"/>
                      <w:highlight w:val="none"/>
                      <w:vertAlign w:val="baseline"/>
                      <w:lang w:eastAsia="zh-CN"/>
                    </w:rPr>
                    <w:t>）</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产生浓度（</w:t>
                  </w:r>
                  <w:r>
                    <w:rPr>
                      <w:rFonts w:hint="default" w:ascii="Times New Roman" w:hAnsi="Times New Roman" w:cs="Times New Roman"/>
                      <w:sz w:val="18"/>
                      <w:szCs w:val="18"/>
                      <w:highlight w:val="none"/>
                      <w:vertAlign w:val="baseline"/>
                      <w:lang w:val="en-US" w:eastAsia="zh-CN"/>
                    </w:rPr>
                    <w:t>mg/L</w:t>
                  </w:r>
                  <w:r>
                    <w:rPr>
                      <w:rFonts w:hint="default" w:ascii="Times New Roman" w:hAnsi="Times New Roman" w:cs="Times New Roman"/>
                      <w:sz w:val="18"/>
                      <w:szCs w:val="18"/>
                      <w:highlight w:val="none"/>
                      <w:vertAlign w:val="baseline"/>
                      <w:lang w:eastAsia="zh-CN"/>
                    </w:rPr>
                    <w:t>）</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产生量（</w:t>
                  </w:r>
                  <w:r>
                    <w:rPr>
                      <w:rFonts w:hint="default" w:ascii="Times New Roman" w:hAnsi="Times New Roman" w:cs="Times New Roman"/>
                      <w:sz w:val="18"/>
                      <w:szCs w:val="18"/>
                      <w:highlight w:val="none"/>
                      <w:vertAlign w:val="baseline"/>
                      <w:lang w:val="en-US" w:eastAsia="zh-CN"/>
                    </w:rPr>
                    <w:t>t/a</w:t>
                  </w:r>
                  <w:r>
                    <w:rPr>
                      <w:rFonts w:hint="default" w:ascii="Times New Roman" w:hAnsi="Times New Roman" w:cs="Times New Roman"/>
                      <w:sz w:val="18"/>
                      <w:szCs w:val="18"/>
                      <w:highlight w:val="none"/>
                      <w:vertAlign w:val="baseline"/>
                      <w:lang w:eastAsia="zh-CN"/>
                    </w:rPr>
                    <w:t>）</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工艺</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r>
                    <w:rPr>
                      <w:rFonts w:hint="default" w:ascii="Times New Roman" w:hAnsi="Times New Roman" w:cs="Times New Roman"/>
                      <w:sz w:val="18"/>
                      <w:szCs w:val="18"/>
                      <w:highlight w:val="none"/>
                      <w:vertAlign w:val="baseline"/>
                      <w:lang w:eastAsia="zh-CN"/>
                    </w:rPr>
                    <w:t>效率</w:t>
                  </w:r>
                  <w:r>
                    <w:rPr>
                      <w:rFonts w:hint="default" w:ascii="Times New Roman" w:hAnsi="Times New Roman" w:cs="Times New Roman"/>
                      <w:sz w:val="18"/>
                      <w:szCs w:val="18"/>
                      <w:highlight w:val="none"/>
                      <w:vertAlign w:val="baseline"/>
                      <w:lang w:val="en-US" w:eastAsia="zh-CN"/>
                    </w:rPr>
                    <w:t>%</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r>
                    <w:rPr>
                      <w:rFonts w:hint="eastAsia" w:ascii="Times New Roman" w:hAnsi="Times New Roman" w:cs="Times New Roman"/>
                      <w:sz w:val="18"/>
                      <w:szCs w:val="18"/>
                      <w:highlight w:val="none"/>
                      <w:vertAlign w:val="baseline"/>
                      <w:lang w:eastAsia="zh-CN"/>
                    </w:rPr>
                    <w:t>回</w:t>
                  </w:r>
                  <w:r>
                    <w:rPr>
                      <w:rFonts w:hint="default" w:ascii="Times New Roman" w:hAnsi="Times New Roman" w:cs="Times New Roman"/>
                      <w:sz w:val="18"/>
                      <w:szCs w:val="18"/>
                      <w:highlight w:val="none"/>
                      <w:vertAlign w:val="baseline"/>
                      <w:lang w:eastAsia="zh-CN"/>
                    </w:rPr>
                    <w:t>用率</w:t>
                  </w:r>
                  <w:r>
                    <w:rPr>
                      <w:rFonts w:hint="default" w:ascii="Times New Roman" w:hAnsi="Times New Roman"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废水排放量（</w:t>
                  </w:r>
                  <w:r>
                    <w:rPr>
                      <w:rFonts w:hint="default" w:ascii="Times New Roman" w:hAnsi="Times New Roman" w:cs="Times New Roman"/>
                      <w:sz w:val="18"/>
                      <w:szCs w:val="18"/>
                      <w:highlight w:val="none"/>
                      <w:vertAlign w:val="baseline"/>
                      <w:lang w:val="en-US" w:eastAsia="zh-CN"/>
                    </w:rPr>
                    <w:t>m</w:t>
                  </w:r>
                  <w:r>
                    <w:rPr>
                      <w:rFonts w:hint="default" w:ascii="Times New Roman" w:hAnsi="Times New Roman" w:cs="Times New Roman"/>
                      <w:sz w:val="18"/>
                      <w:szCs w:val="18"/>
                      <w:highlight w:val="none"/>
                      <w:vertAlign w:val="superscript"/>
                      <w:lang w:val="en-US" w:eastAsia="zh-CN"/>
                    </w:rPr>
                    <w:t>3</w:t>
                  </w:r>
                  <w:r>
                    <w:rPr>
                      <w:rFonts w:hint="default" w:ascii="Times New Roman" w:hAnsi="Times New Roman" w:cs="Times New Roman"/>
                      <w:sz w:val="18"/>
                      <w:szCs w:val="18"/>
                      <w:highlight w:val="none"/>
                      <w:vertAlign w:val="baseline"/>
                      <w:lang w:val="en-US" w:eastAsia="zh-CN"/>
                    </w:rPr>
                    <w:t>/a</w:t>
                  </w:r>
                  <w:r>
                    <w:rPr>
                      <w:rFonts w:hint="default" w:ascii="Times New Roman" w:hAnsi="Times New Roman" w:cs="Times New Roman"/>
                      <w:sz w:val="18"/>
                      <w:szCs w:val="18"/>
                      <w:highlight w:val="none"/>
                      <w:vertAlign w:val="baseline"/>
                      <w:lang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排放浓度（</w:t>
                  </w:r>
                  <w:r>
                    <w:rPr>
                      <w:rFonts w:hint="default" w:ascii="Times New Roman" w:hAnsi="Times New Roman" w:cs="Times New Roman"/>
                      <w:sz w:val="18"/>
                      <w:szCs w:val="18"/>
                      <w:highlight w:val="none"/>
                      <w:vertAlign w:val="baseline"/>
                      <w:lang w:val="en-US" w:eastAsia="zh-CN"/>
                    </w:rPr>
                    <w:t>mg/L</w:t>
                  </w:r>
                  <w:r>
                    <w:rPr>
                      <w:rFonts w:hint="default" w:ascii="Times New Roman" w:hAnsi="Times New Roman" w:cs="Times New Roman"/>
                      <w:sz w:val="18"/>
                      <w:szCs w:val="18"/>
                      <w:highlight w:val="none"/>
                      <w:vertAlign w:val="baseline"/>
                      <w:lang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排放量（</w:t>
                  </w:r>
                  <w:r>
                    <w:rPr>
                      <w:rFonts w:hint="default" w:ascii="Times New Roman" w:hAnsi="Times New Roman" w:cs="Times New Roman"/>
                      <w:sz w:val="18"/>
                      <w:szCs w:val="18"/>
                      <w:highlight w:val="none"/>
                      <w:vertAlign w:val="baseline"/>
                      <w:lang w:val="en-US" w:eastAsia="zh-CN"/>
                    </w:rPr>
                    <w:t>t/a</w:t>
                  </w:r>
                  <w:r>
                    <w:rPr>
                      <w:rFonts w:hint="default" w:ascii="Times New Roman" w:hAnsi="Times New Roman" w:cs="Times New Roman"/>
                      <w:sz w:val="18"/>
                      <w:szCs w:val="18"/>
                      <w:highlight w:val="none"/>
                      <w:vertAlign w:val="baseline"/>
                      <w:lang w:eastAsia="zh-CN"/>
                    </w:rPr>
                    <w:t>）</w:t>
                  </w:r>
                </w:p>
              </w:tc>
              <w:tc>
                <w:tcPr>
                  <w:tcW w:w="6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eastAsia" w:ascii="Times New Roman" w:hAnsi="Times New Roman" w:cs="Times New Roman" w:eastAsiaTheme="minorEastAsia"/>
                      <w:sz w:val="18"/>
                      <w:szCs w:val="18"/>
                      <w:highlight w:val="none"/>
                      <w:vertAlign w:val="baseline"/>
                      <w:lang w:eastAsia="zh-CN"/>
                    </w:rPr>
                    <w:t>排放去向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3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生活设施</w:t>
                  </w:r>
                </w:p>
              </w:tc>
              <w:tc>
                <w:tcPr>
                  <w:tcW w:w="2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生活污水</w:t>
                  </w: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r>
                    <w:rPr>
                      <w:rFonts w:hint="default" w:ascii="Times New Roman" w:hAnsi="Times New Roman" w:cs="Times New Roman"/>
                      <w:sz w:val="18"/>
                      <w:szCs w:val="18"/>
                      <w:highlight w:val="none"/>
                      <w:vertAlign w:val="baseline"/>
                      <w:lang w:val="en-US" w:eastAsia="zh-CN"/>
                    </w:rPr>
                    <w:t>COD</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类比法</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r>
                    <w:rPr>
                      <w:rFonts w:hint="eastAsia" w:cs="Times New Roman" w:eastAsiaTheme="minorEastAsia"/>
                      <w:sz w:val="18"/>
                      <w:szCs w:val="18"/>
                      <w:highlight w:val="none"/>
                      <w:vertAlign w:val="baseline"/>
                      <w:lang w:val="en-US" w:eastAsia="zh-CN"/>
                    </w:rPr>
                    <w:t>48</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300</w:t>
                  </w:r>
                </w:p>
              </w:tc>
              <w:tc>
                <w:tcPr>
                  <w:tcW w:w="11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0.0144</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eastAsia="zh-CN"/>
                    </w:rPr>
                  </w:pPr>
                  <w:r>
                    <w:rPr>
                      <w:rFonts w:hint="eastAsia" w:ascii="Times New Roman" w:hAnsi="Times New Roman" w:cs="Times New Roman"/>
                      <w:sz w:val="18"/>
                      <w:szCs w:val="18"/>
                      <w:highlight w:val="none"/>
                      <w:vertAlign w:val="baseline"/>
                      <w:lang w:eastAsia="zh-CN"/>
                    </w:rPr>
                    <w:t>化粪池</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r>
                    <w:rPr>
                      <w:rFonts w:hint="eastAsia" w:ascii="Times New Roman" w:hAnsi="Times New Roman" w:cs="Times New Roman"/>
                      <w:sz w:val="18"/>
                      <w:szCs w:val="18"/>
                      <w:highlight w:val="none"/>
                      <w:vertAlign w:val="baseline"/>
                      <w:lang w:val="en-US" w:eastAsia="zh-CN"/>
                    </w:rPr>
                    <w:t>30</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val="en-US" w:eastAsia="zh-CN"/>
                    </w:rPr>
                  </w:pPr>
                  <w:r>
                    <w:rPr>
                      <w:rFonts w:hint="eastAsia" w:ascii="Times New Roman" w:hAnsi="Times New Roman" w:cs="Times New Roman"/>
                      <w:sz w:val="18"/>
                      <w:szCs w:val="18"/>
                      <w:highlight w:val="none"/>
                      <w:vertAlign w:val="baseline"/>
                      <w:lang w:val="en-US" w:eastAsia="zh-CN"/>
                    </w:rPr>
                    <w:t>0</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r>
                    <w:rPr>
                      <w:rFonts w:hint="eastAsia" w:cs="Times New Roman" w:eastAsiaTheme="minorEastAsia"/>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eastAsia" w:cs="Times New Roman" w:eastAsiaTheme="minorEastAsia"/>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eastAsia" w:cs="Times New Roman" w:eastAsiaTheme="minorEastAsia"/>
                      <w:sz w:val="18"/>
                      <w:szCs w:val="18"/>
                      <w:highlight w:val="none"/>
                      <w:vertAlign w:val="baseline"/>
                      <w:lang w:val="en-US" w:eastAsia="zh-CN"/>
                    </w:rPr>
                    <w:t>/</w:t>
                  </w:r>
                </w:p>
              </w:tc>
              <w:tc>
                <w:tcPr>
                  <w:tcW w:w="6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eastAsia="zh-CN"/>
                    </w:rPr>
                  </w:pPr>
                  <w:r>
                    <w:rPr>
                      <w:rFonts w:hint="eastAsia" w:ascii="Times New Roman" w:hAnsi="Times New Roman" w:cs="Times New Roman" w:eastAsiaTheme="minorEastAsia"/>
                      <w:sz w:val="18"/>
                      <w:szCs w:val="18"/>
                      <w:highlight w:val="none"/>
                      <w:vertAlign w:val="baseline"/>
                      <w:lang w:eastAsia="zh-CN"/>
                    </w:rPr>
                    <w:t>化粪池处理后，定期清运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3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eastAsia="zh-CN"/>
                    </w:rPr>
                  </w:pP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r>
                    <w:rPr>
                      <w:rFonts w:hint="default" w:ascii="Times New Roman" w:hAnsi="Times New Roman" w:cs="Times New Roman"/>
                      <w:sz w:val="18"/>
                      <w:szCs w:val="18"/>
                      <w:highlight w:val="none"/>
                      <w:vertAlign w:val="baseline"/>
                      <w:lang w:val="en-US" w:eastAsia="zh-CN"/>
                    </w:rPr>
                    <w:t>SS</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sz w:val="18"/>
                      <w:szCs w:val="18"/>
                      <w:highlight w:val="none"/>
                      <w:vertAlign w:val="baseline"/>
                      <w:lang w:eastAsia="zh-CN"/>
                    </w:rPr>
                    <w:t>类比法</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48</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250</w:t>
                  </w:r>
                </w:p>
              </w:tc>
              <w:tc>
                <w:tcPr>
                  <w:tcW w:w="11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0.012</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r>
                    <w:rPr>
                      <w:rFonts w:hint="eastAsia" w:ascii="Times New Roman" w:hAnsi="Times New Roman" w:cs="Times New Roman"/>
                      <w:sz w:val="18"/>
                      <w:szCs w:val="18"/>
                      <w:highlight w:val="none"/>
                      <w:vertAlign w:val="baseline"/>
                      <w:lang w:eastAsia="zh-CN"/>
                    </w:rPr>
                    <w:t>化粪池</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r>
                    <w:rPr>
                      <w:rFonts w:hint="eastAsia" w:ascii="Times New Roman" w:hAnsi="Times New Roman" w:cs="Times New Roman"/>
                      <w:sz w:val="18"/>
                      <w:szCs w:val="18"/>
                      <w:highlight w:val="none"/>
                      <w:vertAlign w:val="baseline"/>
                      <w:lang w:val="en-US" w:eastAsia="zh-CN"/>
                    </w:rPr>
                    <w:t>60</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val="en-US" w:eastAsia="zh-CN"/>
                    </w:rPr>
                  </w:pPr>
                  <w:r>
                    <w:rPr>
                      <w:rFonts w:hint="eastAsia" w:ascii="Times New Roman" w:hAnsi="Times New Roman" w:cs="Times New Roman"/>
                      <w:sz w:val="18"/>
                      <w:szCs w:val="18"/>
                      <w:highlight w:val="none"/>
                      <w:vertAlign w:val="baseline"/>
                      <w:lang w:val="en-US" w:eastAsia="zh-CN"/>
                    </w:rPr>
                    <w:t>0</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w:t>
                  </w:r>
                </w:p>
              </w:tc>
              <w:tc>
                <w:tcPr>
                  <w:tcW w:w="6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3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eastAsia="zh-CN"/>
                    </w:rPr>
                  </w:pP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r>
                    <w:rPr>
                      <w:rFonts w:hint="default" w:ascii="Times New Roman" w:hAnsi="Times New Roman" w:cs="Times New Roman"/>
                      <w:sz w:val="18"/>
                      <w:szCs w:val="18"/>
                      <w:highlight w:val="none"/>
                      <w:vertAlign w:val="baseline"/>
                      <w:lang w:val="en-US" w:eastAsia="zh-CN"/>
                    </w:rPr>
                    <w:t>NH</w:t>
                  </w:r>
                  <w:r>
                    <w:rPr>
                      <w:rFonts w:hint="default" w:ascii="Times New Roman" w:hAnsi="Times New Roman" w:cs="Times New Roman"/>
                      <w:sz w:val="18"/>
                      <w:szCs w:val="18"/>
                      <w:highlight w:val="none"/>
                      <w:vertAlign w:val="subscript"/>
                      <w:lang w:val="en-US" w:eastAsia="zh-CN"/>
                    </w:rPr>
                    <w:t>3</w:t>
                  </w:r>
                  <w:r>
                    <w:rPr>
                      <w:rFonts w:hint="default" w:ascii="Times New Roman" w:hAnsi="Times New Roman" w:cs="Times New Roman"/>
                      <w:sz w:val="18"/>
                      <w:szCs w:val="18"/>
                      <w:highlight w:val="none"/>
                      <w:vertAlign w:val="baseline"/>
                      <w:lang w:val="en-US" w:eastAsia="zh-CN"/>
                    </w:rPr>
                    <w:t>-N</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sz w:val="18"/>
                      <w:szCs w:val="18"/>
                      <w:highlight w:val="none"/>
                      <w:vertAlign w:val="baseline"/>
                      <w:lang w:eastAsia="zh-CN"/>
                    </w:rPr>
                    <w:t>类比法</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48</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30</w:t>
                  </w:r>
                </w:p>
              </w:tc>
              <w:tc>
                <w:tcPr>
                  <w:tcW w:w="11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0.0014</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r>
                    <w:rPr>
                      <w:rFonts w:hint="eastAsia" w:ascii="Times New Roman" w:hAnsi="Times New Roman" w:cs="Times New Roman"/>
                      <w:sz w:val="18"/>
                      <w:szCs w:val="18"/>
                      <w:highlight w:val="none"/>
                      <w:vertAlign w:val="baseline"/>
                      <w:lang w:eastAsia="zh-CN"/>
                    </w:rPr>
                    <w:t>化粪池</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val="en-US" w:eastAsia="zh-CN"/>
                    </w:rPr>
                  </w:pPr>
                  <w:r>
                    <w:rPr>
                      <w:rFonts w:hint="eastAsia" w:ascii="Times New Roman" w:hAnsi="Times New Roman" w:cs="Times New Roman"/>
                      <w:sz w:val="18"/>
                      <w:szCs w:val="18"/>
                      <w:highlight w:val="none"/>
                      <w:vertAlign w:val="baseline"/>
                      <w:lang w:val="en-US" w:eastAsia="zh-CN"/>
                    </w:rPr>
                    <w:t>0</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val="en-US" w:eastAsia="zh-CN"/>
                    </w:rPr>
                  </w:pPr>
                  <w:r>
                    <w:rPr>
                      <w:rFonts w:hint="eastAsia" w:ascii="Times New Roman" w:hAnsi="Times New Roman" w:cs="Times New Roman"/>
                      <w:sz w:val="18"/>
                      <w:szCs w:val="18"/>
                      <w:highlight w:val="none"/>
                      <w:vertAlign w:val="baseline"/>
                      <w:lang w:val="en-US" w:eastAsia="zh-CN"/>
                    </w:rPr>
                    <w:t>0</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w:t>
                  </w:r>
                </w:p>
              </w:tc>
              <w:tc>
                <w:tcPr>
                  <w:tcW w:w="6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eastAsia="zh-CN"/>
                    </w:rPr>
                  </w:pP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总磷</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sz w:val="18"/>
                      <w:szCs w:val="18"/>
                      <w:highlight w:val="none"/>
                      <w:vertAlign w:val="baseline"/>
                      <w:lang w:eastAsia="zh-CN"/>
                    </w:rPr>
                    <w:t>类比法</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48</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4</w:t>
                  </w:r>
                </w:p>
              </w:tc>
              <w:tc>
                <w:tcPr>
                  <w:tcW w:w="11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0.0002</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r>
                    <w:rPr>
                      <w:rFonts w:hint="eastAsia" w:ascii="Times New Roman" w:hAnsi="Times New Roman" w:cs="Times New Roman"/>
                      <w:sz w:val="18"/>
                      <w:szCs w:val="18"/>
                      <w:highlight w:val="none"/>
                      <w:vertAlign w:val="baseline"/>
                      <w:lang w:eastAsia="zh-CN"/>
                    </w:rPr>
                    <w:t>化粪池</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val="en-US" w:eastAsia="zh-CN"/>
                    </w:rPr>
                  </w:pPr>
                  <w:r>
                    <w:rPr>
                      <w:rFonts w:hint="eastAsia" w:ascii="Times New Roman" w:hAnsi="Times New Roman" w:cs="Times New Roman"/>
                      <w:sz w:val="18"/>
                      <w:szCs w:val="18"/>
                      <w:highlight w:val="none"/>
                      <w:vertAlign w:val="baseline"/>
                      <w:lang w:val="en-US" w:eastAsia="zh-CN"/>
                    </w:rPr>
                    <w:t>0</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val="en-US" w:eastAsia="zh-CN"/>
                    </w:rPr>
                  </w:pPr>
                  <w:r>
                    <w:rPr>
                      <w:rFonts w:hint="eastAsia" w:ascii="Times New Roman" w:hAnsi="Times New Roman" w:cs="Times New Roman"/>
                      <w:sz w:val="18"/>
                      <w:szCs w:val="18"/>
                      <w:highlight w:val="none"/>
                      <w:vertAlign w:val="baseline"/>
                      <w:lang w:val="en-US" w:eastAsia="zh-CN"/>
                    </w:rPr>
                    <w:t>0</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w:t>
                  </w:r>
                </w:p>
              </w:tc>
              <w:tc>
                <w:tcPr>
                  <w:tcW w:w="6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3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eastAsia="zh-CN"/>
                    </w:rPr>
                  </w:pPr>
                  <w:r>
                    <w:rPr>
                      <w:rFonts w:hint="eastAsia" w:cs="Times New Roman" w:eastAsiaTheme="minorEastAsia"/>
                      <w:sz w:val="18"/>
                      <w:szCs w:val="18"/>
                      <w:highlight w:val="none"/>
                      <w:vertAlign w:val="baseline"/>
                      <w:lang w:eastAsia="zh-CN"/>
                    </w:rPr>
                    <w:t>设备清洗</w:t>
                  </w:r>
                </w:p>
              </w:tc>
              <w:tc>
                <w:tcPr>
                  <w:tcW w:w="2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eastAsia="zh-CN"/>
                    </w:rPr>
                  </w:pPr>
                  <w:r>
                    <w:rPr>
                      <w:rFonts w:hint="eastAsia" w:cs="Times New Roman"/>
                      <w:sz w:val="18"/>
                      <w:szCs w:val="18"/>
                      <w:highlight w:val="none"/>
                      <w:vertAlign w:val="baseline"/>
                      <w:lang w:eastAsia="zh-CN"/>
                    </w:rPr>
                    <w:t>清洗</w:t>
                  </w:r>
                  <w:r>
                    <w:rPr>
                      <w:rFonts w:hint="eastAsia" w:ascii="Times New Roman" w:hAnsi="Times New Roman" w:cs="Times New Roman"/>
                      <w:sz w:val="18"/>
                      <w:szCs w:val="18"/>
                      <w:highlight w:val="none"/>
                      <w:vertAlign w:val="baseline"/>
                      <w:lang w:eastAsia="zh-CN"/>
                    </w:rPr>
                    <w:t>废水</w:t>
                  </w: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default" w:ascii="Times New Roman" w:hAnsi="Times New Roman" w:cs="Times New Roman"/>
                      <w:sz w:val="18"/>
                      <w:szCs w:val="18"/>
                      <w:highlight w:val="none"/>
                      <w:vertAlign w:val="baseline"/>
                      <w:lang w:val="en-US" w:eastAsia="zh-CN"/>
                    </w:rPr>
                    <w:t>COD</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sz w:val="18"/>
                      <w:szCs w:val="18"/>
                      <w:highlight w:val="none"/>
                      <w:vertAlign w:val="baseline"/>
                      <w:lang w:eastAsia="zh-CN"/>
                    </w:rPr>
                    <w:t>类比法</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r>
                    <w:rPr>
                      <w:rFonts w:hint="eastAsia" w:cs="Times New Roman" w:eastAsiaTheme="minorEastAsia"/>
                      <w:sz w:val="18"/>
                      <w:szCs w:val="18"/>
                      <w:highlight w:val="none"/>
                      <w:vertAlign w:val="baseline"/>
                      <w:lang w:val="en-US" w:eastAsia="zh-CN"/>
                    </w:rPr>
                    <w:t>30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500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0.015</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eastAsia="zh-CN"/>
                    </w:rPr>
                    <w:t>化粪池</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val="en-US" w:eastAsia="zh-CN"/>
                    </w:rPr>
                    <w:t>30</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val="en-US" w:eastAsia="zh-CN"/>
                    </w:rPr>
                    <w:t>0</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r>
                    <w:rPr>
                      <w:rFonts w:hint="eastAsia" w:cs="Times New Roman" w:eastAsiaTheme="minorEastAsia"/>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kern w:val="2"/>
                      <w:sz w:val="18"/>
                      <w:szCs w:val="18"/>
                      <w:highlight w:val="none"/>
                      <w:vertAlign w:val="baseline"/>
                      <w:lang w:val="en-US" w:eastAsia="zh-CN" w:bidi="ar-SA"/>
                    </w:rPr>
                  </w:pPr>
                  <w:r>
                    <w:rPr>
                      <w:rFonts w:hint="eastAsia" w:cs="Times New Roman" w:eastAsiaTheme="minorEastAsia"/>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kern w:val="2"/>
                      <w:sz w:val="18"/>
                      <w:szCs w:val="18"/>
                      <w:highlight w:val="none"/>
                      <w:vertAlign w:val="baseline"/>
                      <w:lang w:val="en-US" w:eastAsia="zh-CN" w:bidi="ar-SA"/>
                    </w:rPr>
                  </w:pPr>
                  <w:r>
                    <w:rPr>
                      <w:rFonts w:hint="eastAsia" w:cs="Times New Roman" w:eastAsiaTheme="minorEastAsia"/>
                      <w:sz w:val="18"/>
                      <w:szCs w:val="18"/>
                      <w:highlight w:val="none"/>
                      <w:vertAlign w:val="baseline"/>
                      <w:lang w:val="en-US" w:eastAsia="zh-CN"/>
                    </w:rPr>
                    <w:t>/</w:t>
                  </w:r>
                </w:p>
              </w:tc>
              <w:tc>
                <w:tcPr>
                  <w:tcW w:w="6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3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default" w:ascii="Times New Roman" w:hAnsi="Times New Roman" w:cs="Times New Roman"/>
                      <w:sz w:val="18"/>
                      <w:szCs w:val="18"/>
                      <w:highlight w:val="none"/>
                      <w:vertAlign w:val="baseline"/>
                      <w:lang w:val="en-US" w:eastAsia="zh-CN"/>
                    </w:rPr>
                    <w:t>SS</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sz w:val="18"/>
                      <w:szCs w:val="18"/>
                      <w:highlight w:val="none"/>
                      <w:vertAlign w:val="baseline"/>
                      <w:lang w:eastAsia="zh-CN"/>
                    </w:rPr>
                    <w:t>类比法</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r>
                    <w:rPr>
                      <w:rFonts w:hint="eastAsia" w:cs="Times New Roman" w:eastAsiaTheme="minorEastAsia"/>
                      <w:sz w:val="18"/>
                      <w:szCs w:val="18"/>
                      <w:highlight w:val="none"/>
                      <w:vertAlign w:val="baseline"/>
                      <w:lang w:val="en-US" w:eastAsia="zh-CN"/>
                    </w:rPr>
                    <w:t>30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300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0.009</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eastAsia="zh-CN"/>
                    </w:rPr>
                    <w:t>化粪池</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val="en-US" w:eastAsia="zh-CN"/>
                    </w:rPr>
                    <w:t>60</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val="en-US" w:eastAsia="zh-CN"/>
                    </w:rPr>
                    <w:t>0</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r>
                    <w:rPr>
                      <w:rFonts w:hint="eastAsia" w:cs="Times New Roman" w:eastAsiaTheme="minorEastAsia"/>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kern w:val="2"/>
                      <w:sz w:val="18"/>
                      <w:szCs w:val="18"/>
                      <w:highlight w:val="none"/>
                      <w:vertAlign w:val="baseline"/>
                      <w:lang w:val="en-US" w:eastAsia="zh-CN" w:bidi="ar-SA"/>
                    </w:rPr>
                  </w:pPr>
                  <w:r>
                    <w:rPr>
                      <w:rFonts w:hint="eastAsia" w:cs="Times New Roman" w:eastAsiaTheme="minorEastAsia"/>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kern w:val="2"/>
                      <w:sz w:val="18"/>
                      <w:szCs w:val="18"/>
                      <w:highlight w:val="none"/>
                      <w:vertAlign w:val="baseline"/>
                      <w:lang w:val="en-US" w:eastAsia="zh-CN" w:bidi="ar-SA"/>
                    </w:rPr>
                  </w:pPr>
                  <w:r>
                    <w:rPr>
                      <w:rFonts w:hint="eastAsia" w:cs="Times New Roman" w:eastAsiaTheme="minorEastAsia"/>
                      <w:sz w:val="18"/>
                      <w:szCs w:val="18"/>
                      <w:highlight w:val="none"/>
                      <w:vertAlign w:val="baseline"/>
                      <w:lang w:val="en-US" w:eastAsia="zh-CN"/>
                    </w:rPr>
                    <w:t>/</w:t>
                  </w:r>
                </w:p>
              </w:tc>
              <w:tc>
                <w:tcPr>
                  <w:tcW w:w="6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3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eastAsia="zh-CN"/>
                    </w:rPr>
                  </w:pPr>
                  <w:r>
                    <w:rPr>
                      <w:rFonts w:hint="default" w:ascii="Times New Roman" w:hAnsi="Times New Roman" w:cs="Times New Roman"/>
                      <w:sz w:val="18"/>
                      <w:szCs w:val="18"/>
                      <w:highlight w:val="none"/>
                      <w:vertAlign w:val="baseline"/>
                      <w:lang w:val="en-US" w:eastAsia="zh-CN"/>
                    </w:rPr>
                    <w:t>NH</w:t>
                  </w:r>
                  <w:r>
                    <w:rPr>
                      <w:rFonts w:hint="default" w:ascii="Times New Roman" w:hAnsi="Times New Roman" w:cs="Times New Roman"/>
                      <w:sz w:val="18"/>
                      <w:szCs w:val="18"/>
                      <w:highlight w:val="none"/>
                      <w:vertAlign w:val="subscript"/>
                      <w:lang w:val="en-US" w:eastAsia="zh-CN"/>
                    </w:rPr>
                    <w:t>3</w:t>
                  </w:r>
                  <w:r>
                    <w:rPr>
                      <w:rFonts w:hint="default" w:ascii="Times New Roman" w:hAnsi="Times New Roman" w:cs="Times New Roman"/>
                      <w:sz w:val="18"/>
                      <w:szCs w:val="18"/>
                      <w:highlight w:val="none"/>
                      <w:vertAlign w:val="baseline"/>
                      <w:lang w:val="en-US" w:eastAsia="zh-CN"/>
                    </w:rPr>
                    <w:t>-N</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sz w:val="18"/>
                      <w:szCs w:val="18"/>
                      <w:highlight w:val="none"/>
                      <w:vertAlign w:val="baseline"/>
                      <w:lang w:eastAsia="zh-CN"/>
                    </w:rPr>
                    <w:t>类比法</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r>
                    <w:rPr>
                      <w:rFonts w:hint="eastAsia" w:cs="Times New Roman" w:eastAsiaTheme="minorEastAsia"/>
                      <w:sz w:val="18"/>
                      <w:szCs w:val="18"/>
                      <w:highlight w:val="none"/>
                      <w:vertAlign w:val="baseline"/>
                      <w:lang w:val="en-US" w:eastAsia="zh-CN"/>
                    </w:rPr>
                    <w:t>30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30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0.0009</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eastAsia="zh-CN"/>
                    </w:rPr>
                    <w:t>化粪池</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val="en-US" w:eastAsia="zh-CN"/>
                    </w:rPr>
                    <w:t>0</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val="en-US" w:eastAsia="zh-CN"/>
                    </w:rPr>
                    <w:t>0</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18"/>
                      <w:szCs w:val="18"/>
                      <w:highlight w:val="none"/>
                      <w:vertAlign w:val="baseline"/>
                      <w:lang w:val="en-US" w:eastAsia="zh-CN"/>
                    </w:rPr>
                  </w:pPr>
                  <w:r>
                    <w:rPr>
                      <w:rFonts w:hint="eastAsia" w:cs="Times New Roman" w:eastAsiaTheme="minorEastAsia"/>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kern w:val="2"/>
                      <w:sz w:val="18"/>
                      <w:szCs w:val="18"/>
                      <w:highlight w:val="none"/>
                      <w:vertAlign w:val="baseline"/>
                      <w:lang w:val="en-US" w:eastAsia="zh-CN" w:bidi="ar-SA"/>
                    </w:rPr>
                  </w:pPr>
                  <w:r>
                    <w:rPr>
                      <w:rFonts w:hint="eastAsia" w:cs="Times New Roman" w:eastAsiaTheme="minorEastAsia"/>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kern w:val="2"/>
                      <w:sz w:val="18"/>
                      <w:szCs w:val="18"/>
                      <w:highlight w:val="none"/>
                      <w:vertAlign w:val="baseline"/>
                      <w:lang w:val="en-US" w:eastAsia="zh-CN" w:bidi="ar-SA"/>
                    </w:rPr>
                  </w:pPr>
                  <w:r>
                    <w:rPr>
                      <w:rFonts w:hint="eastAsia" w:cs="Times New Roman" w:eastAsiaTheme="minorEastAsia"/>
                      <w:sz w:val="18"/>
                      <w:szCs w:val="18"/>
                      <w:highlight w:val="none"/>
                      <w:vertAlign w:val="baseline"/>
                      <w:lang w:val="en-US" w:eastAsia="zh-CN"/>
                    </w:rPr>
                    <w:t>/</w:t>
                  </w:r>
                </w:p>
              </w:tc>
              <w:tc>
                <w:tcPr>
                  <w:tcW w:w="6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34" w:type="pct"/>
                  <w:vMerge w:val="restar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eastAsiaTheme="minorEastAsia"/>
                      <w:color w:val="auto"/>
                      <w:sz w:val="18"/>
                      <w:szCs w:val="18"/>
                    </w:rPr>
                    <w:t>地面清洗</w:t>
                  </w:r>
                </w:p>
              </w:tc>
              <w:tc>
                <w:tcPr>
                  <w:tcW w:w="2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18"/>
                      <w:szCs w:val="18"/>
                      <w:highlight w:val="none"/>
                      <w:vertAlign w:val="baseline"/>
                      <w:lang w:eastAsia="zh-CN"/>
                    </w:rPr>
                  </w:pPr>
                  <w:r>
                    <w:rPr>
                      <w:rFonts w:hint="eastAsia" w:cs="Times New Roman"/>
                      <w:sz w:val="18"/>
                      <w:szCs w:val="18"/>
                      <w:highlight w:val="none"/>
                      <w:vertAlign w:val="baseline"/>
                      <w:lang w:eastAsia="zh-CN"/>
                    </w:rPr>
                    <w:t>清洗废水</w:t>
                  </w: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default" w:ascii="Times New Roman" w:hAnsi="Times New Roman" w:cs="Times New Roman"/>
                      <w:sz w:val="18"/>
                      <w:szCs w:val="18"/>
                      <w:highlight w:val="none"/>
                      <w:vertAlign w:val="baseline"/>
                      <w:lang w:val="en-US" w:eastAsia="zh-CN"/>
                    </w:rPr>
                    <w:t>COD</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default" w:ascii="Times New Roman" w:hAnsi="Times New Roman" w:cs="Times New Roman"/>
                      <w:sz w:val="18"/>
                      <w:szCs w:val="18"/>
                      <w:highlight w:val="none"/>
                      <w:vertAlign w:val="baseline"/>
                      <w:lang w:eastAsia="zh-CN"/>
                    </w:rPr>
                    <w:t>类比法</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s="Times New Roman" w:eastAsiaTheme="minorEastAsia"/>
                      <w:sz w:val="18"/>
                      <w:szCs w:val="18"/>
                      <w:highlight w:val="none"/>
                      <w:vertAlign w:val="baseline"/>
                      <w:lang w:val="en-US" w:eastAsia="zh-CN"/>
                    </w:rPr>
                  </w:pPr>
                  <w:r>
                    <w:rPr>
                      <w:rFonts w:hint="eastAsia" w:cs="Times New Roman" w:eastAsiaTheme="minorEastAsia"/>
                      <w:sz w:val="18"/>
                      <w:szCs w:val="18"/>
                      <w:highlight w:val="none"/>
                      <w:vertAlign w:val="baseline"/>
                      <w:lang w:val="en-US" w:eastAsia="zh-CN"/>
                    </w:rPr>
                    <w:t>180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100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0.018</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eastAsia="zh-CN"/>
                    </w:rPr>
                    <w:t>化粪池</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val="en-US" w:eastAsia="zh-CN"/>
                    </w:rPr>
                    <w:t>30</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val="en-US" w:eastAsia="zh-CN"/>
                    </w:rPr>
                    <w:t>0</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w:t>
                  </w:r>
                </w:p>
              </w:tc>
              <w:tc>
                <w:tcPr>
                  <w:tcW w:w="6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default" w:ascii="Times New Roman" w:hAnsi="Times New Roman" w:cs="Times New Roman"/>
                      <w:sz w:val="18"/>
                      <w:szCs w:val="18"/>
                      <w:highlight w:val="none"/>
                      <w:vertAlign w:val="baseline"/>
                      <w:lang w:val="en-US" w:eastAsia="zh-CN"/>
                    </w:rPr>
                    <w:t>SS</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default" w:ascii="Times New Roman" w:hAnsi="Times New Roman" w:cs="Times New Roman"/>
                      <w:sz w:val="18"/>
                      <w:szCs w:val="18"/>
                      <w:highlight w:val="none"/>
                      <w:vertAlign w:val="baseline"/>
                      <w:lang w:eastAsia="zh-CN"/>
                    </w:rPr>
                    <w:t>类比法</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s="Times New Roman" w:eastAsiaTheme="minorEastAsia"/>
                      <w:sz w:val="18"/>
                      <w:szCs w:val="18"/>
                      <w:highlight w:val="none"/>
                      <w:vertAlign w:val="baseline"/>
                      <w:lang w:val="en-US" w:eastAsia="zh-CN"/>
                    </w:rPr>
                  </w:pPr>
                  <w:r>
                    <w:rPr>
                      <w:rFonts w:hint="eastAsia" w:cs="Times New Roman" w:eastAsiaTheme="minorEastAsia"/>
                      <w:sz w:val="18"/>
                      <w:szCs w:val="18"/>
                      <w:highlight w:val="none"/>
                      <w:vertAlign w:val="baseline"/>
                      <w:lang w:val="en-US" w:eastAsia="zh-CN"/>
                    </w:rPr>
                    <w:t>180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500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0.009</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eastAsia="zh-CN"/>
                    </w:rPr>
                    <w:t>化粪池</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val="en-US" w:eastAsia="zh-CN"/>
                    </w:rPr>
                    <w:t>60</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val="en-US" w:eastAsia="zh-CN"/>
                    </w:rPr>
                    <w:t>0</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w:t>
                  </w:r>
                </w:p>
              </w:tc>
              <w:tc>
                <w:tcPr>
                  <w:tcW w:w="6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3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default" w:ascii="Times New Roman" w:hAnsi="Times New Roman" w:cs="Times New Roman"/>
                      <w:sz w:val="18"/>
                      <w:szCs w:val="18"/>
                      <w:highlight w:val="none"/>
                      <w:vertAlign w:val="baseline"/>
                      <w:lang w:val="en-US" w:eastAsia="zh-CN"/>
                    </w:rPr>
                    <w:t>NH</w:t>
                  </w:r>
                  <w:r>
                    <w:rPr>
                      <w:rFonts w:hint="default" w:ascii="Times New Roman" w:hAnsi="Times New Roman" w:cs="Times New Roman"/>
                      <w:sz w:val="18"/>
                      <w:szCs w:val="18"/>
                      <w:highlight w:val="none"/>
                      <w:vertAlign w:val="subscript"/>
                      <w:lang w:val="en-US" w:eastAsia="zh-CN"/>
                    </w:rPr>
                    <w:t>3</w:t>
                  </w:r>
                  <w:r>
                    <w:rPr>
                      <w:rFonts w:hint="default" w:ascii="Times New Roman" w:hAnsi="Times New Roman" w:cs="Times New Roman"/>
                      <w:sz w:val="18"/>
                      <w:szCs w:val="18"/>
                      <w:highlight w:val="none"/>
                      <w:vertAlign w:val="baseline"/>
                      <w:lang w:val="en-US" w:eastAsia="zh-CN"/>
                    </w:rPr>
                    <w:t>-N</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default" w:ascii="Times New Roman" w:hAnsi="Times New Roman" w:cs="Times New Roman"/>
                      <w:sz w:val="18"/>
                      <w:szCs w:val="18"/>
                      <w:highlight w:val="none"/>
                      <w:vertAlign w:val="baseline"/>
                      <w:lang w:eastAsia="zh-CN"/>
                    </w:rPr>
                    <w:t>类比法</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s="Times New Roman" w:eastAsiaTheme="minorEastAsia"/>
                      <w:sz w:val="18"/>
                      <w:szCs w:val="18"/>
                      <w:highlight w:val="none"/>
                      <w:vertAlign w:val="baseline"/>
                      <w:lang w:val="en-US" w:eastAsia="zh-CN"/>
                    </w:rPr>
                  </w:pPr>
                  <w:r>
                    <w:rPr>
                      <w:rFonts w:hint="eastAsia" w:cs="Times New Roman" w:eastAsiaTheme="minorEastAsia"/>
                      <w:sz w:val="18"/>
                      <w:szCs w:val="18"/>
                      <w:highlight w:val="none"/>
                      <w:vertAlign w:val="baseline"/>
                      <w:lang w:val="en-US" w:eastAsia="zh-CN"/>
                    </w:rPr>
                    <w:t>180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10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0.0018</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eastAsia="zh-CN"/>
                    </w:rPr>
                    <w:t>化粪池</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val="en-US" w:eastAsia="zh-CN"/>
                    </w:rPr>
                    <w:t>0</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kern w:val="2"/>
                      <w:sz w:val="18"/>
                      <w:szCs w:val="18"/>
                      <w:highlight w:val="none"/>
                      <w:vertAlign w:val="baseline"/>
                      <w:lang w:val="en-US" w:eastAsia="zh-CN" w:bidi="ar-SA"/>
                    </w:rPr>
                  </w:pPr>
                  <w:r>
                    <w:rPr>
                      <w:rFonts w:hint="eastAsia" w:ascii="Times New Roman" w:hAnsi="Times New Roman" w:cs="Times New Roman"/>
                      <w:sz w:val="18"/>
                      <w:szCs w:val="18"/>
                      <w:highlight w:val="none"/>
                      <w:vertAlign w:val="baseline"/>
                      <w:lang w:val="en-US" w:eastAsia="zh-CN"/>
                    </w:rPr>
                    <w:t>0</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18"/>
                      <w:szCs w:val="18"/>
                      <w:highlight w:val="none"/>
                      <w:vertAlign w:val="baseline"/>
                      <w:lang w:val="en-US" w:eastAsia="zh-CN" w:bidi="ar-SA"/>
                    </w:rPr>
                  </w:pPr>
                  <w:r>
                    <w:rPr>
                      <w:rFonts w:hint="eastAsia" w:cs="Times New Roman"/>
                      <w:sz w:val="18"/>
                      <w:szCs w:val="18"/>
                      <w:highlight w:val="none"/>
                      <w:vertAlign w:val="baseline"/>
                      <w:lang w:val="en-US" w:eastAsia="zh-CN"/>
                    </w:rPr>
                    <w:t>/</w:t>
                  </w:r>
                </w:p>
              </w:tc>
              <w:tc>
                <w:tcPr>
                  <w:tcW w:w="6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34" w:type="pct"/>
                  <w:vMerge w:val="restar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eastAsiaTheme="minorEastAsia"/>
                      <w:color w:val="auto"/>
                      <w:sz w:val="18"/>
                      <w:szCs w:val="18"/>
                    </w:rPr>
                    <w:t>软水制备</w:t>
                  </w:r>
                  <w:r>
                    <w:rPr>
                      <w:rFonts w:hint="eastAsia" w:cs="Times New Roman" w:eastAsiaTheme="minorEastAsia"/>
                      <w:color w:val="auto"/>
                      <w:sz w:val="18"/>
                      <w:szCs w:val="18"/>
                      <w:lang w:eastAsia="zh-CN"/>
                    </w:rPr>
                    <w:t>工艺</w:t>
                  </w:r>
                </w:p>
              </w:tc>
              <w:tc>
                <w:tcPr>
                  <w:tcW w:w="2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18"/>
                      <w:szCs w:val="18"/>
                      <w:highlight w:val="none"/>
                      <w:vertAlign w:val="baseline"/>
                      <w:lang w:eastAsia="zh-CN"/>
                    </w:rPr>
                  </w:pPr>
                  <w:r>
                    <w:rPr>
                      <w:rFonts w:hint="eastAsia" w:cs="Times New Roman"/>
                      <w:sz w:val="18"/>
                      <w:szCs w:val="18"/>
                      <w:highlight w:val="none"/>
                      <w:vertAlign w:val="baseline"/>
                      <w:lang w:eastAsia="zh-CN"/>
                    </w:rPr>
                    <w:t>浓水</w:t>
                  </w: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default" w:ascii="Times New Roman" w:hAnsi="Times New Roman" w:cs="Times New Roman"/>
                      <w:sz w:val="18"/>
                      <w:szCs w:val="18"/>
                      <w:highlight w:val="none"/>
                      <w:vertAlign w:val="baseline"/>
                      <w:lang w:val="en-US" w:eastAsia="zh-CN"/>
                    </w:rPr>
                    <w:t>COD</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default" w:ascii="Times New Roman" w:hAnsi="Times New Roman" w:cs="Times New Roman"/>
                      <w:sz w:val="18"/>
                      <w:szCs w:val="18"/>
                      <w:highlight w:val="none"/>
                      <w:vertAlign w:val="baseline"/>
                      <w:lang w:eastAsia="zh-CN"/>
                    </w:rPr>
                    <w:t>类比法</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s="Times New Roman" w:eastAsiaTheme="minorEastAsia"/>
                      <w:sz w:val="18"/>
                      <w:szCs w:val="18"/>
                      <w:highlight w:val="none"/>
                      <w:vertAlign w:val="baseline"/>
                      <w:lang w:val="en-US" w:eastAsia="zh-CN"/>
                    </w:rPr>
                  </w:pPr>
                  <w:r>
                    <w:rPr>
                      <w:rFonts w:hint="eastAsia" w:cs="Times New Roman" w:eastAsiaTheme="minorEastAsia"/>
                      <w:sz w:val="18"/>
                      <w:szCs w:val="18"/>
                      <w:highlight w:val="none"/>
                      <w:vertAlign w:val="baseline"/>
                      <w:lang w:val="en-US" w:eastAsia="zh-CN"/>
                    </w:rPr>
                    <w:t>727.2</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50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0.0364</w:t>
                  </w:r>
                </w:p>
              </w:tc>
              <w:tc>
                <w:tcPr>
                  <w:tcW w:w="3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0</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100</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w:t>
                  </w:r>
                </w:p>
              </w:tc>
              <w:tc>
                <w:tcPr>
                  <w:tcW w:w="6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none"/>
                      <w:vertAlign w:val="baseline"/>
                      <w:lang w:val="en-US" w:eastAsia="zh-CN"/>
                    </w:rPr>
                  </w:pPr>
                  <w:r>
                    <w:rPr>
                      <w:rFonts w:hint="eastAsia" w:ascii="Times New Roman" w:hAnsi="Times New Roman" w:cs="Times New Roman" w:eastAsiaTheme="minorEastAsia"/>
                      <w:sz w:val="18"/>
                      <w:szCs w:val="18"/>
                      <w:highlight w:val="none"/>
                      <w:vertAlign w:val="baseline"/>
                      <w:lang w:val="en-US" w:eastAsia="zh-CN"/>
                    </w:rPr>
                    <w:t>部分用于厂区内外道路洒水</w:t>
                  </w:r>
                  <w:r>
                    <w:rPr>
                      <w:rFonts w:hint="eastAsia" w:cs="Times New Roman" w:eastAsiaTheme="minorEastAsia"/>
                      <w:sz w:val="18"/>
                      <w:szCs w:val="18"/>
                      <w:highlight w:val="none"/>
                      <w:vertAlign w:val="baseline"/>
                      <w:lang w:val="en-US" w:eastAsia="zh-CN"/>
                    </w:rPr>
                    <w:t>抑尘</w:t>
                  </w:r>
                  <w:r>
                    <w:rPr>
                      <w:rFonts w:hint="eastAsia" w:ascii="Times New Roman" w:hAnsi="Times New Roman" w:cs="Times New Roman" w:eastAsiaTheme="minorEastAsia"/>
                      <w:sz w:val="18"/>
                      <w:szCs w:val="18"/>
                      <w:highlight w:val="none"/>
                      <w:vertAlign w:val="baseline"/>
                      <w:lang w:val="en-US" w:eastAsia="zh-CN"/>
                    </w:rPr>
                    <w:t>，部分用于地面清洗用水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3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rPr>
                  </w:pP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kern w:val="2"/>
                      <w:sz w:val="18"/>
                      <w:szCs w:val="18"/>
                      <w:highlight w:val="none"/>
                      <w:vertAlign w:val="baseline"/>
                      <w:lang w:val="en-US" w:eastAsia="zh-CN" w:bidi="ar-SA"/>
                    </w:rPr>
                  </w:pPr>
                  <w:r>
                    <w:rPr>
                      <w:rFonts w:hint="default" w:ascii="Times New Roman" w:hAnsi="Times New Roman" w:cs="Times New Roman"/>
                      <w:sz w:val="18"/>
                      <w:szCs w:val="18"/>
                      <w:highlight w:val="none"/>
                      <w:vertAlign w:val="baseline"/>
                      <w:lang w:val="en-US" w:eastAsia="zh-CN"/>
                    </w:rPr>
                    <w:t>SS</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default" w:ascii="Times New Roman" w:hAnsi="Times New Roman" w:cs="Times New Roman"/>
                      <w:sz w:val="18"/>
                      <w:szCs w:val="18"/>
                      <w:highlight w:val="none"/>
                      <w:vertAlign w:val="baseline"/>
                      <w:lang w:eastAsia="zh-CN"/>
                    </w:rPr>
                    <w:t>类比法</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cs="Times New Roman" w:eastAsiaTheme="minorEastAsia"/>
                      <w:sz w:val="18"/>
                      <w:szCs w:val="18"/>
                      <w:highlight w:val="none"/>
                      <w:vertAlign w:val="baseline"/>
                      <w:lang w:val="en-US" w:eastAsia="zh-CN"/>
                    </w:rPr>
                  </w:pPr>
                  <w:r>
                    <w:rPr>
                      <w:rFonts w:hint="eastAsia" w:cs="Times New Roman" w:eastAsiaTheme="minorEastAsia"/>
                      <w:sz w:val="18"/>
                      <w:szCs w:val="18"/>
                      <w:highlight w:val="none"/>
                      <w:vertAlign w:val="baseline"/>
                      <w:lang w:val="en-US" w:eastAsia="zh-CN"/>
                    </w:rPr>
                    <w:t>727.2</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40</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0.0291</w:t>
                  </w: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sz w:val="18"/>
                      <w:szCs w:val="18"/>
                      <w:highlight w:val="none"/>
                      <w:vertAlign w:val="baseline"/>
                      <w:lang w:eastAsia="zh-CN"/>
                    </w:rPr>
                  </w:pP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0</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100</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w:t>
                  </w:r>
                </w:p>
              </w:tc>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w:t>
                  </w:r>
                </w:p>
              </w:tc>
              <w:tc>
                <w:tcPr>
                  <w:tcW w:w="6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sz w:val="18"/>
                      <w:szCs w:val="18"/>
                      <w:highlight w:val="cyan"/>
                      <w:vertAlign w:val="baseline"/>
                      <w:lang w:val="en-US" w:eastAsia="zh-CN"/>
                    </w:rPr>
                  </w:pPr>
                </w:p>
              </w:tc>
            </w:tr>
          </w:tbl>
          <w:p>
            <w:pPr>
              <w:pStyle w:val="2"/>
              <w:jc w:val="both"/>
              <w:rPr>
                <w:rFonts w:hint="eastAsia" w:cs="Times New Roman"/>
                <w:color w:val="auto"/>
                <w:sz w:val="21"/>
                <w:szCs w:val="21"/>
                <w:highlight w:val="cyan"/>
                <w:lang w:val="en-US" w:eastAsia="zh-CN"/>
              </w:rPr>
            </w:pPr>
            <w:r>
              <w:rPr>
                <w:rFonts w:hint="eastAsia" w:ascii="Times New Roman" w:hAnsi="Times New Roman" w:eastAsia="黑体" w:cs="Times New Roman"/>
                <w:color w:val="auto"/>
                <w:kern w:val="2"/>
                <w:sz w:val="18"/>
                <w:szCs w:val="18"/>
                <w:highlight w:val="cyan"/>
                <w:lang w:val="en-US" w:eastAsia="zh-CN" w:bidi="ar-SA"/>
              </w:rPr>
              <w:br w:type="textWrapping"/>
            </w:r>
            <w:r>
              <w:rPr>
                <w:rFonts w:hint="eastAsia" w:ascii="Times New Roman" w:hAnsi="Times New Roman" w:eastAsia="黑体" w:cs="Times New Roman"/>
                <w:color w:val="auto"/>
                <w:kern w:val="2"/>
                <w:sz w:val="18"/>
                <w:szCs w:val="18"/>
                <w:highlight w:val="cyan"/>
                <w:lang w:val="en-US" w:eastAsia="zh-CN" w:bidi="ar-SA"/>
              </w:rPr>
              <w:br w:type="textWrapping"/>
            </w:r>
            <w:r>
              <w:rPr>
                <w:rFonts w:hint="eastAsia" w:ascii="Times New Roman" w:hAnsi="Times New Roman" w:eastAsia="黑体" w:cs="Times New Roman"/>
                <w:color w:val="auto"/>
                <w:kern w:val="2"/>
                <w:sz w:val="18"/>
                <w:szCs w:val="18"/>
                <w:highlight w:val="cyan"/>
                <w:lang w:val="en-US" w:eastAsia="zh-CN" w:bidi="ar-SA"/>
              </w:rPr>
              <w:br w:type="textWrapping"/>
            </w:r>
          </w:p>
        </w:tc>
      </w:tr>
    </w:tbl>
    <w:p>
      <w:pPr>
        <w:pStyle w:val="2"/>
        <w:rPr>
          <w:highlight w:val="cyan"/>
        </w:rPr>
        <w:sectPr>
          <w:pgSz w:w="16838" w:h="11906" w:orient="landscape"/>
          <w:pgMar w:top="1800" w:right="1440" w:bottom="1800" w:left="144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pPr>
              <w:pStyle w:val="2"/>
              <w:rPr>
                <w:highlight w:val="cyan"/>
                <w:vertAlign w:val="baseline"/>
              </w:rPr>
            </w:pPr>
          </w:p>
        </w:tc>
        <w:tc>
          <w:tcPr>
            <w:tcW w:w="7472" w:type="dxa"/>
          </w:tcPr>
          <w:p>
            <w:pPr>
              <w:pStyle w:val="2"/>
              <w:keepNext w:val="0"/>
              <w:keepLines w:val="0"/>
              <w:pageBreakBefore w:val="0"/>
              <w:numPr>
                <w:ilvl w:val="0"/>
                <w:numId w:val="0"/>
              </w:numPr>
              <w:kinsoku/>
              <w:wordWrap/>
              <w:overflowPunct/>
              <w:topLinePunct w:val="0"/>
              <w:bidi w:val="0"/>
              <w:adjustRightInd/>
              <w:snapToGrid/>
              <w:spacing w:line="360" w:lineRule="auto"/>
              <w:ind w:leftChars="200"/>
              <w:jc w:val="left"/>
              <w:rPr>
                <w:rFonts w:hint="eastAsia" w:ascii="宋体" w:hAnsi="宋体" w:eastAsia="宋体" w:cs="宋体"/>
                <w:b/>
                <w:bCs/>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3、噪声</w:t>
            </w:r>
          </w:p>
          <w:p>
            <w:pPr>
              <w:pStyle w:val="9"/>
              <w:keepNext w:val="0"/>
              <w:keepLines w:val="0"/>
              <w:pageBreakBefore w:val="0"/>
              <w:kinsoku/>
              <w:wordWrap/>
              <w:overflowPunct/>
              <w:topLinePunct w:val="0"/>
              <w:bidi w:val="0"/>
              <w:adjustRightInd/>
              <w:snapToGrid/>
              <w:spacing w:line="360" w:lineRule="auto"/>
              <w:ind w:left="0" w:firstLine="422" w:firstLineChars="20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（1）噪声源强</w:t>
            </w:r>
          </w:p>
          <w:p>
            <w:pPr>
              <w:keepNext w:val="0"/>
              <w:keepLines w:val="0"/>
              <w:pageBreakBefore w:val="0"/>
              <w:kinsoku/>
              <w:wordWrap/>
              <w:overflowPunct/>
              <w:topLinePunct w:val="0"/>
              <w:bidi w:val="0"/>
              <w:adjustRightInd/>
              <w:snapToGrid/>
              <w:spacing w:line="360" w:lineRule="auto"/>
              <w:ind w:firstLine="420" w:firstLineChars="200"/>
              <w:rPr>
                <w:rFonts w:hint="default" w:ascii="Times New Roman" w:hAnsi="Times New Roman" w:eastAsia="宋体" w:cs="Times New Roman"/>
                <w:color w:val="auto"/>
                <w:spacing w:val="6"/>
                <w:sz w:val="21"/>
                <w:szCs w:val="21"/>
                <w:highlight w:val="cyan"/>
              </w:rPr>
            </w:pPr>
            <w:r>
              <w:rPr>
                <w:rFonts w:hint="default" w:ascii="Times New Roman" w:hAnsi="Times New Roman" w:eastAsia="宋体" w:cs="Times New Roman"/>
                <w:color w:val="auto"/>
                <w:sz w:val="21"/>
                <w:szCs w:val="21"/>
                <w:highlight w:val="none"/>
              </w:rPr>
              <w:t>工程噪声主要包括切片机、和面机、包装机等设备工作过程产生的机械噪声和风机工作产生的空气动力噪声，噪声源强为70~90dB(A)，</w:t>
            </w:r>
            <w:r>
              <w:rPr>
                <w:rFonts w:hint="default" w:ascii="Times New Roman" w:hAnsi="Times New Roman" w:cs="Times New Roman"/>
                <w:color w:val="auto"/>
                <w:sz w:val="21"/>
                <w:szCs w:val="21"/>
                <w:highlight w:val="none"/>
                <w:lang w:eastAsia="zh-CN"/>
              </w:rPr>
              <w:t>通过采取</w:t>
            </w:r>
            <w:r>
              <w:rPr>
                <w:rFonts w:hint="default" w:ascii="Times New Roman" w:hAnsi="Times New Roman" w:eastAsia="宋体" w:cs="Times New Roman"/>
                <w:color w:val="auto"/>
                <w:sz w:val="21"/>
                <w:szCs w:val="21"/>
                <w:highlight w:val="none"/>
              </w:rPr>
              <w:t>优先采用低噪声设备，在室内设置的同时对设备加装减振基础</w:t>
            </w:r>
            <w:r>
              <w:rPr>
                <w:rFonts w:hint="default" w:ascii="Times New Roman" w:hAnsi="Times New Roman" w:cs="Times New Roman"/>
                <w:color w:val="auto"/>
                <w:sz w:val="21"/>
                <w:szCs w:val="21"/>
                <w:highlight w:val="none"/>
                <w:lang w:eastAsia="zh-CN"/>
              </w:rPr>
              <w:t>等措施后</w:t>
            </w:r>
            <w:r>
              <w:rPr>
                <w:rFonts w:hint="default" w:ascii="Times New Roman" w:hAnsi="Times New Roman" w:eastAsia="宋体" w:cs="Times New Roman"/>
                <w:color w:val="auto"/>
                <w:spacing w:val="6"/>
                <w:sz w:val="21"/>
                <w:szCs w:val="21"/>
                <w:highlight w:val="none"/>
              </w:rPr>
              <w:t>，项目各噪声设备源强及其降噪情况见</w:t>
            </w:r>
            <w:r>
              <w:rPr>
                <w:rFonts w:hint="eastAsia" w:cs="Times New Roman"/>
                <w:color w:val="auto"/>
                <w:spacing w:val="6"/>
                <w:sz w:val="21"/>
                <w:szCs w:val="21"/>
                <w:highlight w:val="none"/>
                <w:lang w:eastAsia="zh-CN"/>
              </w:rPr>
              <w:t>下表</w:t>
            </w:r>
            <w:r>
              <w:rPr>
                <w:rFonts w:hint="default" w:ascii="Times New Roman" w:hAnsi="Times New Roman" w:eastAsia="宋体" w:cs="Times New Roman"/>
                <w:color w:val="auto"/>
                <w:spacing w:val="6"/>
                <w:sz w:val="21"/>
                <w:szCs w:val="21"/>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eastAsia" w:eastAsia="黑体" w:cs="Times New Roman"/>
                <w:color w:val="auto"/>
                <w:sz w:val="18"/>
                <w:szCs w:val="18"/>
                <w:highlight w:val="none"/>
                <w:lang w:val="en-US" w:eastAsia="zh-CN"/>
              </w:rPr>
              <w:t xml:space="preserve">   </w:t>
            </w:r>
            <w:r>
              <w:rPr>
                <w:rFonts w:hint="default" w:ascii="Times New Roman" w:hAnsi="Times New Roman" w:eastAsia="黑体" w:cs="Times New Roman"/>
                <w:color w:val="auto"/>
                <w:sz w:val="18"/>
                <w:szCs w:val="18"/>
                <w:highlight w:val="none"/>
                <w:lang w:val="en-US" w:eastAsia="zh-CN"/>
              </w:rPr>
              <w:t>主要噪声源强及治理情况一览表</w:t>
            </w:r>
          </w:p>
          <w:tbl>
            <w:tblPr>
              <w:tblStyle w:val="16"/>
              <w:tblW w:w="4998"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09"/>
              <w:gridCol w:w="1322"/>
              <w:gridCol w:w="960"/>
              <w:gridCol w:w="963"/>
              <w:gridCol w:w="2599"/>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71" w:type="pct"/>
                  <w:vMerge w:val="restar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噪声类型</w:t>
                  </w:r>
                </w:p>
              </w:tc>
              <w:tc>
                <w:tcPr>
                  <w:tcW w:w="911" w:type="pct"/>
                  <w:vMerge w:val="restar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污染源</w:t>
                  </w:r>
                </w:p>
              </w:tc>
              <w:tc>
                <w:tcPr>
                  <w:tcW w:w="132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声源值</w:t>
                  </w:r>
                  <w:r>
                    <w:rPr>
                      <w:rFonts w:hint="default" w:ascii="Times New Roman" w:hAnsi="Times New Roman" w:cs="Times New Roman"/>
                      <w:color w:val="auto"/>
                      <w:sz w:val="18"/>
                      <w:szCs w:val="18"/>
                      <w:highlight w:val="none"/>
                    </w:rPr>
                    <w:t>[dB(A)]</w:t>
                  </w:r>
                </w:p>
              </w:tc>
              <w:tc>
                <w:tcPr>
                  <w:tcW w:w="1791"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治理措施</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7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p>
              </w:tc>
              <w:tc>
                <w:tcPr>
                  <w:tcW w:w="911" w:type="pct"/>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p>
              </w:tc>
              <w:tc>
                <w:tcPr>
                  <w:tcW w:w="66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治理前</w:t>
                  </w:r>
                </w:p>
              </w:tc>
              <w:tc>
                <w:tcPr>
                  <w:tcW w:w="664"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治理后</w:t>
                  </w:r>
                </w:p>
              </w:tc>
              <w:tc>
                <w:tcPr>
                  <w:tcW w:w="179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7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机械设备噪声</w:t>
                  </w:r>
                </w:p>
              </w:tc>
              <w:tc>
                <w:tcPr>
                  <w:tcW w:w="91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和面机</w:t>
                  </w: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90</w:t>
                  </w:r>
                </w:p>
              </w:tc>
              <w:tc>
                <w:tcPr>
                  <w:tcW w:w="664"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50</w:t>
                  </w:r>
                </w:p>
              </w:tc>
              <w:tc>
                <w:tcPr>
                  <w:tcW w:w="1791"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减振、隔声、消音</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7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p>
              </w:tc>
              <w:tc>
                <w:tcPr>
                  <w:tcW w:w="91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切片机</w:t>
                  </w: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70</w:t>
                  </w:r>
                </w:p>
              </w:tc>
              <w:tc>
                <w:tcPr>
                  <w:tcW w:w="664"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55</w:t>
                  </w:r>
                </w:p>
              </w:tc>
              <w:tc>
                <w:tcPr>
                  <w:tcW w:w="179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7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p>
              </w:tc>
              <w:tc>
                <w:tcPr>
                  <w:tcW w:w="91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包装机</w:t>
                  </w: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85</w:t>
                  </w:r>
                </w:p>
              </w:tc>
              <w:tc>
                <w:tcPr>
                  <w:tcW w:w="664"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60</w:t>
                  </w:r>
                </w:p>
              </w:tc>
              <w:tc>
                <w:tcPr>
                  <w:tcW w:w="179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7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p>
              </w:tc>
              <w:tc>
                <w:tcPr>
                  <w:tcW w:w="91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水泵</w:t>
                  </w: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90</w:t>
                  </w:r>
                </w:p>
              </w:tc>
              <w:tc>
                <w:tcPr>
                  <w:tcW w:w="664"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60</w:t>
                  </w:r>
                </w:p>
              </w:tc>
              <w:tc>
                <w:tcPr>
                  <w:tcW w:w="179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jc w:val="center"/>
              </w:trPr>
              <w:tc>
                <w:tcPr>
                  <w:tcW w:w="97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空气动力噪声</w:t>
                  </w:r>
                </w:p>
              </w:tc>
              <w:tc>
                <w:tcPr>
                  <w:tcW w:w="91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风机</w:t>
                  </w:r>
                </w:p>
              </w:tc>
              <w:tc>
                <w:tcPr>
                  <w:tcW w:w="662"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90</w:t>
                  </w:r>
                </w:p>
              </w:tc>
              <w:tc>
                <w:tcPr>
                  <w:tcW w:w="664"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60</w:t>
                  </w:r>
                </w:p>
              </w:tc>
              <w:tc>
                <w:tcPr>
                  <w:tcW w:w="1791"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室内布置，软管连接</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rPr>
                <w:rFonts w:hint="default" w:ascii="Times New Roman" w:hAnsi="Times New Roman" w:cs="Times New Roman"/>
                <w:b/>
                <w:bCs/>
                <w:snapToGrid w:val="0"/>
                <w:color w:val="auto"/>
                <w:sz w:val="21"/>
                <w:szCs w:val="21"/>
                <w:highlight w:val="none"/>
                <w:lang w:eastAsia="zh-CN"/>
              </w:rPr>
            </w:pPr>
            <w:r>
              <w:rPr>
                <w:rFonts w:hint="default" w:ascii="Times New Roman" w:hAnsi="Times New Roman" w:cs="Times New Roman"/>
                <w:b/>
                <w:bCs/>
                <w:snapToGrid w:val="0"/>
                <w:color w:val="auto"/>
                <w:sz w:val="21"/>
                <w:szCs w:val="21"/>
                <w:highlight w:val="none"/>
                <w:lang w:eastAsia="zh-CN"/>
              </w:rPr>
              <w:t>（</w:t>
            </w:r>
            <w:r>
              <w:rPr>
                <w:rFonts w:hint="default" w:ascii="Times New Roman" w:hAnsi="Times New Roman" w:cs="Times New Roman"/>
                <w:b/>
                <w:bCs/>
                <w:snapToGrid w:val="0"/>
                <w:color w:val="auto"/>
                <w:sz w:val="21"/>
                <w:szCs w:val="21"/>
                <w:highlight w:val="none"/>
                <w:lang w:val="en-US" w:eastAsia="zh-CN"/>
              </w:rPr>
              <w:t>2</w:t>
            </w:r>
            <w:r>
              <w:rPr>
                <w:rFonts w:hint="default" w:ascii="Times New Roman" w:hAnsi="Times New Roman" w:cs="Times New Roman"/>
                <w:b/>
                <w:bCs/>
                <w:snapToGrid w:val="0"/>
                <w:color w:val="auto"/>
                <w:sz w:val="21"/>
                <w:szCs w:val="21"/>
                <w:highlight w:val="none"/>
                <w:lang w:eastAsia="zh-CN"/>
              </w:rPr>
              <w:t>）</w:t>
            </w:r>
            <w:r>
              <w:rPr>
                <w:rFonts w:hint="eastAsia" w:cs="Times New Roman"/>
                <w:b/>
                <w:bCs/>
                <w:snapToGrid w:val="0"/>
                <w:color w:val="auto"/>
                <w:sz w:val="21"/>
                <w:szCs w:val="21"/>
                <w:highlight w:val="none"/>
                <w:lang w:eastAsia="zh-CN"/>
              </w:rPr>
              <w:t>噪声环境影响分析</w:t>
            </w:r>
          </w:p>
          <w:p>
            <w:pPr>
              <w:keepNext w:val="0"/>
              <w:keepLines w:val="0"/>
              <w:pageBreakBefore w:val="0"/>
              <w:kinsoku/>
              <w:wordWrap/>
              <w:overflowPunct/>
              <w:topLinePunct w:val="0"/>
              <w:bidi w:val="0"/>
              <w:adjustRightInd/>
              <w:snapToGrid/>
              <w:spacing w:line="360" w:lineRule="auto"/>
              <w:ind w:firstLine="420" w:firstLineChars="200"/>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本次评价选用《环境影响评价技术导则声环境》（HJ2.4-2009）点声源衰减模式进行预测，将</w:t>
            </w:r>
            <w:r>
              <w:rPr>
                <w:rFonts w:hint="default" w:ascii="Times New Roman" w:hAnsi="Times New Roman" w:cs="Times New Roman"/>
                <w:bCs/>
                <w:snapToGrid w:val="0"/>
                <w:color w:val="auto"/>
                <w:sz w:val="21"/>
                <w:szCs w:val="21"/>
                <w:highlight w:val="none"/>
              </w:rPr>
              <w:t>生产车间的每个设备</w:t>
            </w:r>
            <w:r>
              <w:rPr>
                <w:rFonts w:hint="default" w:ascii="Times New Roman" w:hAnsi="Times New Roman" w:cs="Times New Roman"/>
                <w:color w:val="auto"/>
                <w:sz w:val="21"/>
                <w:szCs w:val="21"/>
                <w:highlight w:val="none"/>
              </w:rPr>
              <w:t>分别作为一个点声源。预测方法采用多声源至受声点声压级估算方法，先用衰减模式分别计算出每个噪声源对某受声点的声压级，然后再叠加，即得到该点的总声压级。预测公式如下：</w:t>
            </w:r>
          </w:p>
          <w:p>
            <w:pPr>
              <w:keepNext w:val="0"/>
              <w:keepLines w:val="0"/>
              <w:pageBreakBefore w:val="0"/>
              <w:widowControl/>
              <w:kinsoku/>
              <w:wordWrap/>
              <w:overflowPunct/>
              <w:topLinePunct w:val="0"/>
              <w:bidi w:val="0"/>
              <w:adjustRightInd/>
              <w:snapToGrid/>
              <w:spacing w:line="360" w:lineRule="auto"/>
              <w:ind w:firstLine="413" w:firstLineChars="197"/>
              <w:jc w:val="left"/>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①点源</w:t>
            </w:r>
            <w:r>
              <w:rPr>
                <w:rFonts w:hint="default" w:ascii="Times New Roman" w:hAnsi="Times New Roman" w:cs="Times New Roman"/>
                <w:bCs/>
                <w:color w:val="auto"/>
                <w:sz w:val="21"/>
                <w:szCs w:val="21"/>
                <w:highlight w:val="none"/>
              </w:rPr>
              <w:t>衰减模式：L=L</w:t>
            </w:r>
            <w:r>
              <w:rPr>
                <w:rFonts w:hint="default" w:ascii="Times New Roman" w:hAnsi="Times New Roman" w:cs="Times New Roman"/>
                <w:bCs/>
                <w:color w:val="auto"/>
                <w:sz w:val="21"/>
                <w:szCs w:val="21"/>
                <w:highlight w:val="none"/>
                <w:vertAlign w:val="subscript"/>
              </w:rPr>
              <w:t>0</w:t>
            </w:r>
            <w:r>
              <w:rPr>
                <w:rFonts w:hint="default" w:ascii="Times New Roman" w:hAnsi="Times New Roman" w:cs="Times New Roman"/>
                <w:bCs/>
                <w:color w:val="auto"/>
                <w:sz w:val="21"/>
                <w:szCs w:val="21"/>
                <w:highlight w:val="none"/>
              </w:rPr>
              <w:t>-20lg(r/r</w:t>
            </w:r>
            <w:r>
              <w:rPr>
                <w:rFonts w:hint="default" w:ascii="Times New Roman" w:hAnsi="Times New Roman" w:cs="Times New Roman"/>
                <w:bCs/>
                <w:color w:val="auto"/>
                <w:sz w:val="21"/>
                <w:szCs w:val="21"/>
                <w:highlight w:val="none"/>
                <w:vertAlign w:val="subscript"/>
              </w:rPr>
              <w:t>0</w:t>
            </w:r>
            <w:r>
              <w:rPr>
                <w:rFonts w:hint="default" w:ascii="Times New Roman" w:hAnsi="Times New Roman" w:cs="Times New Roman"/>
                <w:bCs/>
                <w:color w:val="auto"/>
                <w:sz w:val="21"/>
                <w:szCs w:val="21"/>
                <w:highlight w:val="none"/>
              </w:rPr>
              <w:t>)</w:t>
            </w:r>
          </w:p>
          <w:p>
            <w:pPr>
              <w:keepNext w:val="0"/>
              <w:keepLines w:val="0"/>
              <w:pageBreakBefore w:val="0"/>
              <w:widowControl/>
              <w:kinsoku/>
              <w:wordWrap/>
              <w:overflowPunct/>
              <w:topLinePunct w:val="0"/>
              <w:bidi w:val="0"/>
              <w:adjustRightInd/>
              <w:snapToGrid/>
              <w:spacing w:line="360" w:lineRule="auto"/>
              <w:ind w:firstLine="420" w:firstLineChars="20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式中：L—受声点的声压级，dB（A）；</w:t>
            </w:r>
          </w:p>
          <w:p>
            <w:pPr>
              <w:keepNext w:val="0"/>
              <w:keepLines w:val="0"/>
              <w:pageBreakBefore w:val="0"/>
              <w:widowControl/>
              <w:kinsoku/>
              <w:wordWrap/>
              <w:overflowPunct/>
              <w:topLinePunct w:val="0"/>
              <w:bidi w:val="0"/>
              <w:adjustRightInd/>
              <w:snapToGrid/>
              <w:spacing w:line="360" w:lineRule="auto"/>
              <w:ind w:firstLine="1155" w:firstLineChars="55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L</w:t>
            </w:r>
            <w:r>
              <w:rPr>
                <w:rFonts w:hint="default" w:ascii="Times New Roman" w:hAnsi="Times New Roman" w:cs="Times New Roman"/>
                <w:bCs/>
                <w:color w:val="auto"/>
                <w:sz w:val="21"/>
                <w:szCs w:val="21"/>
                <w:highlight w:val="none"/>
                <w:vertAlign w:val="subscript"/>
              </w:rPr>
              <w:t>0</w:t>
            </w:r>
            <w:r>
              <w:rPr>
                <w:rFonts w:hint="default" w:ascii="Times New Roman" w:hAnsi="Times New Roman" w:cs="Times New Roman"/>
                <w:bCs/>
                <w:color w:val="auto"/>
                <w:sz w:val="21"/>
                <w:szCs w:val="21"/>
                <w:highlight w:val="none"/>
              </w:rPr>
              <w:t>—厂房外声源源强，dB（A）；</w:t>
            </w:r>
          </w:p>
          <w:p>
            <w:pPr>
              <w:keepNext w:val="0"/>
              <w:keepLines w:val="0"/>
              <w:pageBreakBefore w:val="0"/>
              <w:widowControl/>
              <w:kinsoku/>
              <w:wordWrap/>
              <w:overflowPunct/>
              <w:topLinePunct w:val="0"/>
              <w:bidi w:val="0"/>
              <w:adjustRightInd/>
              <w:snapToGrid/>
              <w:spacing w:line="360" w:lineRule="auto"/>
              <w:ind w:firstLine="420" w:firstLineChars="20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       r—厂房外声源与厂界之间的距离，m；</w:t>
            </w:r>
          </w:p>
          <w:p>
            <w:pPr>
              <w:keepNext w:val="0"/>
              <w:keepLines w:val="0"/>
              <w:pageBreakBefore w:val="0"/>
              <w:widowControl/>
              <w:kinsoku/>
              <w:wordWrap/>
              <w:overflowPunct/>
              <w:topLinePunct w:val="0"/>
              <w:bidi w:val="0"/>
              <w:adjustRightInd/>
              <w:snapToGrid/>
              <w:spacing w:line="360" w:lineRule="auto"/>
              <w:ind w:firstLine="420" w:firstLineChars="20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       r</w:t>
            </w:r>
            <w:r>
              <w:rPr>
                <w:rFonts w:hint="default" w:ascii="Times New Roman" w:hAnsi="Times New Roman" w:cs="Times New Roman"/>
                <w:bCs/>
                <w:color w:val="auto"/>
                <w:sz w:val="21"/>
                <w:szCs w:val="21"/>
                <w:highlight w:val="none"/>
                <w:vertAlign w:val="subscript"/>
              </w:rPr>
              <w:t>0</w:t>
            </w:r>
            <w:r>
              <w:rPr>
                <w:rFonts w:hint="default" w:ascii="Times New Roman" w:hAnsi="Times New Roman" w:cs="Times New Roman"/>
                <w:bCs/>
                <w:color w:val="auto"/>
                <w:sz w:val="21"/>
                <w:szCs w:val="21"/>
                <w:highlight w:val="none"/>
              </w:rPr>
              <w:t>—距噪声源距离，取1m。</w:t>
            </w:r>
          </w:p>
          <w:p>
            <w:pPr>
              <w:keepNext w:val="0"/>
              <w:keepLines w:val="0"/>
              <w:pageBreakBefore w:val="0"/>
              <w:widowControl/>
              <w:kinsoku/>
              <w:wordWrap/>
              <w:overflowPunct/>
              <w:topLinePunct w:val="0"/>
              <w:bidi w:val="0"/>
              <w:adjustRightInd/>
              <w:snapToGrid/>
              <w:spacing w:line="360" w:lineRule="auto"/>
              <w:ind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②噪声叠加模式：L</w:t>
            </w:r>
            <w:r>
              <w:rPr>
                <w:rFonts w:hint="default" w:ascii="Times New Roman" w:hAnsi="Times New Roman" w:cs="Times New Roman"/>
                <w:color w:val="auto"/>
                <w:sz w:val="21"/>
                <w:szCs w:val="21"/>
                <w:highlight w:val="none"/>
                <w:vertAlign w:val="subscript"/>
              </w:rPr>
              <w:t>A</w:t>
            </w:r>
            <w:r>
              <w:rPr>
                <w:rFonts w:hint="default" w:ascii="Times New Roman" w:hAnsi="Times New Roman" w:cs="Times New Roman"/>
                <w:color w:val="auto"/>
                <w:sz w:val="21"/>
                <w:szCs w:val="21"/>
                <w:highlight w:val="none"/>
              </w:rPr>
              <w:t>=10lg(∑10</w:t>
            </w:r>
            <w:r>
              <w:rPr>
                <w:rFonts w:hint="default" w:ascii="Times New Roman" w:hAnsi="Times New Roman" w:cs="Times New Roman"/>
                <w:color w:val="auto"/>
                <w:sz w:val="21"/>
                <w:szCs w:val="21"/>
                <w:highlight w:val="none"/>
                <w:vertAlign w:val="superscript"/>
              </w:rPr>
              <w:t>0.1Li</w:t>
            </w:r>
            <w:r>
              <w:rPr>
                <w:rFonts w:hint="default" w:ascii="Times New Roman" w:hAnsi="Times New Roman" w:cs="Times New Roman"/>
                <w:color w:val="auto"/>
                <w:sz w:val="21"/>
                <w:szCs w:val="21"/>
                <w:highlight w:val="none"/>
              </w:rPr>
              <w:t>)，dB(A)</w:t>
            </w:r>
          </w:p>
          <w:p>
            <w:pPr>
              <w:keepNext w:val="0"/>
              <w:keepLines w:val="0"/>
              <w:pageBreakBefore w:val="0"/>
              <w:kinsoku/>
              <w:wordWrap/>
              <w:overflowPunct/>
              <w:topLinePunct w:val="0"/>
              <w:autoSpaceDE w:val="0"/>
              <w:autoSpaceDN w:val="0"/>
              <w:bidi w:val="0"/>
              <w:adjustRightInd/>
              <w:snapToGrid/>
              <w:spacing w:line="360" w:lineRule="auto"/>
              <w:ind w:firstLine="518" w:firstLineChars="24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式中：L</w:t>
            </w:r>
            <w:r>
              <w:rPr>
                <w:rFonts w:hint="default" w:ascii="Times New Roman" w:hAnsi="Times New Roman" w:cs="Times New Roman"/>
                <w:color w:val="auto"/>
                <w:sz w:val="21"/>
                <w:szCs w:val="21"/>
                <w:highlight w:val="none"/>
                <w:vertAlign w:val="subscript"/>
              </w:rPr>
              <w:t>A</w:t>
            </w:r>
            <w:r>
              <w:rPr>
                <w:rFonts w:hint="default" w:ascii="Times New Roman" w:hAnsi="Times New Roman" w:cs="Times New Roman"/>
                <w:color w:val="auto"/>
                <w:sz w:val="21"/>
                <w:szCs w:val="21"/>
                <w:highlight w:val="none"/>
              </w:rPr>
              <w:t>—预</w:t>
            </w:r>
            <w:r>
              <w:rPr>
                <w:rFonts w:hint="default" w:ascii="Times New Roman" w:hAnsi="Times New Roman" w:cs="Times New Roman"/>
                <w:color w:val="auto"/>
                <w:sz w:val="21"/>
                <w:szCs w:val="21"/>
                <w:highlight w:val="none"/>
                <w:lang w:eastAsia="zh-CN"/>
              </w:rPr>
              <w:t>测</w:t>
            </w:r>
            <w:r>
              <w:rPr>
                <w:rFonts w:hint="default" w:ascii="Times New Roman" w:hAnsi="Times New Roman" w:cs="Times New Roman"/>
                <w:color w:val="auto"/>
                <w:sz w:val="21"/>
                <w:szCs w:val="21"/>
                <w:highlight w:val="none"/>
              </w:rPr>
              <w:t>点噪声叠加值，dB（A）；</w:t>
            </w:r>
          </w:p>
          <w:p>
            <w:pPr>
              <w:keepNext w:val="0"/>
              <w:keepLines w:val="0"/>
              <w:pageBreakBefore w:val="0"/>
              <w:kinsoku/>
              <w:wordWrap/>
              <w:overflowPunct/>
              <w:topLinePunct w:val="0"/>
              <w:bidi w:val="0"/>
              <w:adjustRightInd/>
              <w:snapToGrid/>
              <w:spacing w:line="360" w:lineRule="auto"/>
              <w:ind w:firstLine="1155" w:firstLineChars="550"/>
              <w:rPr>
                <w:rFonts w:hint="default" w:ascii="Times New Roman" w:hAnsi="Times New Roman" w:cs="Times New Roman"/>
                <w:snapToGrid w:val="0"/>
                <w:color w:val="auto"/>
                <w:sz w:val="21"/>
                <w:szCs w:val="21"/>
                <w:highlight w:val="none"/>
              </w:rPr>
            </w:pPr>
            <w:r>
              <w:rPr>
                <w:rFonts w:hint="default" w:ascii="Times New Roman" w:hAnsi="Times New Roman" w:cs="Times New Roman"/>
                <w:color w:val="auto"/>
                <w:sz w:val="21"/>
                <w:szCs w:val="21"/>
                <w:highlight w:val="none"/>
              </w:rPr>
              <w:t>Li—第i个声源的声压级，dB（A）</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（3）预测结果及评价</w:t>
            </w:r>
          </w:p>
          <w:p>
            <w:pPr>
              <w:keepNext w:val="0"/>
              <w:keepLines w:val="0"/>
              <w:pageBreakBefore w:val="0"/>
              <w:widowControl/>
              <w:kinsoku/>
              <w:wordWrap/>
              <w:overflowPunct/>
              <w:topLinePunct w:val="0"/>
              <w:bidi w:val="0"/>
              <w:adjustRightInd/>
              <w:snapToGrid/>
              <w:spacing w:line="360" w:lineRule="auto"/>
              <w:ind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本项目实行</w:t>
            </w:r>
            <w:r>
              <w:rPr>
                <w:rFonts w:hint="default" w:ascii="Times New Roman" w:hAnsi="Times New Roman" w:cs="Times New Roman"/>
                <w:color w:val="auto"/>
                <w:kern w:val="0"/>
                <w:sz w:val="21"/>
                <w:szCs w:val="21"/>
                <w:highlight w:val="none"/>
                <w:lang w:val="en-US" w:eastAsia="zh-CN"/>
              </w:rPr>
              <w:t>8</w:t>
            </w:r>
            <w:r>
              <w:rPr>
                <w:rFonts w:hint="default" w:ascii="Times New Roman" w:hAnsi="Times New Roman" w:eastAsia="宋体" w:cs="Times New Roman"/>
                <w:color w:val="auto"/>
                <w:kern w:val="0"/>
                <w:sz w:val="21"/>
                <w:szCs w:val="21"/>
                <w:highlight w:val="none"/>
              </w:rPr>
              <w:t>小时工作制度，故本评价对昼间进行环境影响分析，预测结果详见</w:t>
            </w:r>
            <w:r>
              <w:rPr>
                <w:rFonts w:hint="default" w:ascii="Times New Roman" w:hAnsi="Times New Roman" w:cs="Times New Roman"/>
                <w:color w:val="auto"/>
                <w:kern w:val="0"/>
                <w:sz w:val="21"/>
                <w:szCs w:val="21"/>
                <w:highlight w:val="none"/>
                <w:lang w:eastAsia="zh-CN"/>
              </w:rPr>
              <w:t>下表：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default" w:eastAsia="黑体" w:cs="Times New Roman"/>
                <w:color w:val="auto"/>
                <w:sz w:val="18"/>
                <w:szCs w:val="18"/>
                <w:highlight w:val="none"/>
                <w:lang w:val="en-US" w:eastAsia="zh-CN"/>
              </w:rPr>
              <w:t xml:space="preserve">     工程声环境贡献结果统计及分析</w:t>
            </w:r>
          </w:p>
          <w:tbl>
            <w:tblPr>
              <w:tblStyle w:val="1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2"/>
              <w:gridCol w:w="1910"/>
              <w:gridCol w:w="1910"/>
              <w:gridCol w:w="14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401" w:type="pct"/>
                  <w:tcBorders>
                    <w:tl2br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 xml:space="preserve">  项目</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预测点位</w:t>
                  </w:r>
                </w:p>
              </w:tc>
              <w:tc>
                <w:tcPr>
                  <w:tcW w:w="13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贡献值dB（A）</w:t>
                  </w:r>
                </w:p>
              </w:tc>
              <w:tc>
                <w:tcPr>
                  <w:tcW w:w="13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eastAsia="zh-CN"/>
                    </w:rPr>
                    <w:t>昼间</w:t>
                  </w:r>
                  <w:r>
                    <w:rPr>
                      <w:rFonts w:hint="default" w:ascii="Times New Roman" w:hAnsi="Times New Roman" w:eastAsia="宋体" w:cs="Times New Roman"/>
                      <w:color w:val="auto"/>
                      <w:sz w:val="18"/>
                      <w:szCs w:val="18"/>
                      <w:highlight w:val="none"/>
                    </w:rPr>
                    <w:t>标准dB（A）</w:t>
                  </w:r>
                </w:p>
              </w:tc>
              <w:tc>
                <w:tcPr>
                  <w:tcW w:w="9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4" w:hRule="atLeast"/>
                <w:jc w:val="center"/>
              </w:trPr>
              <w:tc>
                <w:tcPr>
                  <w:tcW w:w="1401" w:type="pct"/>
                  <w:noWrap w:val="0"/>
                  <w:vAlign w:val="center"/>
                </w:tcPr>
                <w:p>
                  <w:pPr>
                    <w:spacing w:line="32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东厂界</w:t>
                  </w:r>
                </w:p>
              </w:tc>
              <w:tc>
                <w:tcPr>
                  <w:tcW w:w="1316" w:type="pct"/>
                  <w:noWrap w:val="0"/>
                  <w:vAlign w:val="center"/>
                </w:tcPr>
                <w:p>
                  <w:pPr>
                    <w:spacing w:line="320" w:lineRule="exact"/>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45</w:t>
                  </w:r>
                </w:p>
              </w:tc>
              <w:tc>
                <w:tcPr>
                  <w:tcW w:w="13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60</w:t>
                  </w:r>
                </w:p>
              </w:tc>
              <w:tc>
                <w:tcPr>
                  <w:tcW w:w="9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1401" w:type="pct"/>
                  <w:noWrap w:val="0"/>
                  <w:vAlign w:val="center"/>
                </w:tcPr>
                <w:p>
                  <w:pPr>
                    <w:spacing w:line="32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西厂界</w:t>
                  </w:r>
                </w:p>
              </w:tc>
              <w:tc>
                <w:tcPr>
                  <w:tcW w:w="1316" w:type="pct"/>
                  <w:noWrap w:val="0"/>
                  <w:vAlign w:val="center"/>
                </w:tcPr>
                <w:p>
                  <w:pPr>
                    <w:spacing w:line="320" w:lineRule="exact"/>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53.97</w:t>
                  </w:r>
                </w:p>
              </w:tc>
              <w:tc>
                <w:tcPr>
                  <w:tcW w:w="13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60</w:t>
                  </w:r>
                </w:p>
              </w:tc>
              <w:tc>
                <w:tcPr>
                  <w:tcW w:w="9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401" w:type="pct"/>
                  <w:noWrap w:val="0"/>
                  <w:vAlign w:val="center"/>
                </w:tcPr>
                <w:p>
                  <w:pPr>
                    <w:spacing w:line="32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南厂界</w:t>
                  </w:r>
                </w:p>
              </w:tc>
              <w:tc>
                <w:tcPr>
                  <w:tcW w:w="1316" w:type="pct"/>
                  <w:noWrap w:val="0"/>
                  <w:vAlign w:val="center"/>
                </w:tcPr>
                <w:p>
                  <w:pPr>
                    <w:spacing w:line="320" w:lineRule="exact"/>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53.97</w:t>
                  </w:r>
                </w:p>
              </w:tc>
              <w:tc>
                <w:tcPr>
                  <w:tcW w:w="13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60</w:t>
                  </w:r>
                </w:p>
              </w:tc>
              <w:tc>
                <w:tcPr>
                  <w:tcW w:w="9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401" w:type="pct"/>
                  <w:noWrap w:val="0"/>
                  <w:vAlign w:val="center"/>
                </w:tcPr>
                <w:p>
                  <w:pPr>
                    <w:spacing w:line="32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北厂界</w:t>
                  </w:r>
                </w:p>
              </w:tc>
              <w:tc>
                <w:tcPr>
                  <w:tcW w:w="1316" w:type="pct"/>
                  <w:noWrap w:val="0"/>
                  <w:vAlign w:val="center"/>
                </w:tcPr>
                <w:p>
                  <w:pPr>
                    <w:spacing w:line="320" w:lineRule="exact"/>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53.97</w:t>
                  </w:r>
                </w:p>
              </w:tc>
              <w:tc>
                <w:tcPr>
                  <w:tcW w:w="13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60</w:t>
                  </w:r>
                </w:p>
              </w:tc>
              <w:tc>
                <w:tcPr>
                  <w:tcW w:w="9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bl>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由以上预测结果可知，项目营运期噪声经消声、隔声、减振及距离衰减后，项目东、南、西、北四厂界昼间噪声值均可以满足《工业企业厂界环境噪声排放标准》（GB12348-2008）中的2类标准要求。</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综上所述，项目噪声对周围声环境影响可接受。</w:t>
            </w:r>
          </w:p>
          <w:p>
            <w:pPr>
              <w:pStyle w:val="4"/>
              <w:keepNext w:val="0"/>
              <w:keepLines w:val="0"/>
              <w:pageBreakBefore w:val="0"/>
              <w:widowControl w:val="0"/>
              <w:numPr>
                <w:ilvl w:val="2"/>
                <w:numId w:val="0"/>
              </w:numPr>
              <w:kinsoku/>
              <w:wordWrap/>
              <w:overflowPunct/>
              <w:topLinePunct w:val="0"/>
              <w:autoSpaceDE/>
              <w:autoSpaceDN/>
              <w:bidi w:val="0"/>
              <w:adjustRightInd/>
              <w:snapToGrid/>
              <w:spacing w:before="0" w:beforeLines="0" w:line="360" w:lineRule="auto"/>
              <w:ind w:left="436" w:leftChars="0" w:right="0" w:rightChars="0"/>
              <w:textAlignment w:val="auto"/>
              <w:rPr>
                <w:rFonts w:hint="eastAsia" w:cs="Times New Roman"/>
                <w:b/>
                <w:bCs/>
                <w:snapToGrid w:val="0"/>
                <w:color w:val="auto"/>
                <w:sz w:val="21"/>
                <w:szCs w:val="21"/>
                <w:highlight w:val="none"/>
                <w:lang w:eastAsia="zh-CN"/>
              </w:rPr>
            </w:pPr>
            <w:r>
              <w:rPr>
                <w:rFonts w:hint="eastAsia" w:cs="Times New Roman"/>
                <w:b/>
                <w:bCs/>
                <w:snapToGrid w:val="0"/>
                <w:color w:val="auto"/>
                <w:sz w:val="21"/>
                <w:szCs w:val="21"/>
                <w:highlight w:val="none"/>
                <w:lang w:eastAsia="zh-CN"/>
              </w:rPr>
              <w:t>（</w:t>
            </w:r>
            <w:r>
              <w:rPr>
                <w:rFonts w:hint="eastAsia" w:cs="Times New Roman"/>
                <w:b/>
                <w:bCs/>
                <w:snapToGrid w:val="0"/>
                <w:color w:val="auto"/>
                <w:sz w:val="21"/>
                <w:szCs w:val="21"/>
                <w:highlight w:val="none"/>
                <w:lang w:val="en-US" w:eastAsia="zh-CN"/>
              </w:rPr>
              <w:t>3</w:t>
            </w:r>
            <w:r>
              <w:rPr>
                <w:rFonts w:hint="eastAsia" w:cs="Times New Roman"/>
                <w:b/>
                <w:bCs/>
                <w:snapToGrid w:val="0"/>
                <w:color w:val="auto"/>
                <w:sz w:val="21"/>
                <w:szCs w:val="21"/>
                <w:highlight w:val="none"/>
                <w:lang w:eastAsia="zh-CN"/>
              </w:rPr>
              <w:t>）监测要求</w:t>
            </w:r>
          </w:p>
          <w:p>
            <w:pPr>
              <w:pStyle w:val="4"/>
              <w:keepNext w:val="0"/>
              <w:keepLines w:val="0"/>
              <w:pageBreakBefore w:val="0"/>
              <w:widowControl w:val="0"/>
              <w:numPr>
                <w:ilvl w:val="2"/>
                <w:numId w:val="0"/>
              </w:numPr>
              <w:kinsoku/>
              <w:wordWrap/>
              <w:overflowPunct/>
              <w:topLinePunct w:val="0"/>
              <w:autoSpaceDE/>
              <w:autoSpaceDN/>
              <w:bidi w:val="0"/>
              <w:adjustRightInd/>
              <w:snapToGrid/>
              <w:spacing w:before="0" w:beforeLines="0" w:line="360" w:lineRule="auto"/>
              <w:ind w:right="0" w:rightChars="0" w:firstLine="420" w:firstLineChars="200"/>
              <w:textAlignment w:val="auto"/>
              <w:rPr>
                <w:rFonts w:hint="eastAsia" w:cs="Times New Roman"/>
                <w:b w:val="0"/>
                <w:bCs/>
                <w:color w:val="auto"/>
                <w:spacing w:val="-4"/>
                <w:sz w:val="21"/>
                <w:szCs w:val="21"/>
                <w:highlight w:val="none"/>
                <w:lang w:eastAsia="zh-CN"/>
              </w:rPr>
            </w:pPr>
            <w:r>
              <w:rPr>
                <w:rFonts w:hint="default" w:ascii="Times New Roman" w:hAnsi="Times New Roman" w:eastAsia="宋体" w:cs="Times New Roman"/>
                <w:b w:val="0"/>
                <w:bCs w:val="0"/>
                <w:sz w:val="21"/>
                <w:szCs w:val="21"/>
                <w:highlight w:val="none"/>
                <w:vertAlign w:val="baseline"/>
                <w:lang w:eastAsia="zh-CN"/>
              </w:rPr>
              <w:t>参考《</w:t>
            </w:r>
            <w:r>
              <w:rPr>
                <w:rFonts w:hint="eastAsia" w:ascii="Times New Roman" w:hAnsi="Times New Roman" w:eastAsia="宋体" w:cs="Times New Roman"/>
                <w:b w:val="0"/>
                <w:bCs w:val="0"/>
                <w:sz w:val="21"/>
                <w:szCs w:val="21"/>
                <w:highlight w:val="none"/>
                <w:vertAlign w:val="baseline"/>
                <w:lang w:eastAsia="zh-CN"/>
              </w:rPr>
              <w:t>排污单位自行监测技术指南</w:t>
            </w:r>
            <w:r>
              <w:rPr>
                <w:rFonts w:hint="eastAsia" w:ascii="Times New Roman" w:hAnsi="Times New Roman" w:eastAsia="宋体" w:cs="Times New Roman"/>
                <w:b w:val="0"/>
                <w:bCs w:val="0"/>
                <w:sz w:val="21"/>
                <w:szCs w:val="21"/>
                <w:highlight w:val="none"/>
                <w:vertAlign w:val="baseline"/>
                <w:lang w:val="en-US" w:eastAsia="zh-CN"/>
              </w:rPr>
              <w:t>—</w:t>
            </w:r>
            <w:r>
              <w:rPr>
                <w:rFonts w:hint="eastAsia" w:cs="Times New Roman"/>
                <w:b w:val="0"/>
                <w:bCs w:val="0"/>
                <w:sz w:val="21"/>
                <w:szCs w:val="21"/>
                <w:highlight w:val="none"/>
                <w:vertAlign w:val="baseline"/>
                <w:lang w:val="en-US" w:eastAsia="zh-CN"/>
              </w:rPr>
              <w:t>食品制造</w:t>
            </w:r>
            <w:r>
              <w:rPr>
                <w:rFonts w:hint="default" w:ascii="Times New Roman" w:hAnsi="Times New Roman" w:eastAsia="宋体" w:cs="Times New Roman"/>
                <w:b w:val="0"/>
                <w:bCs w:val="0"/>
                <w:sz w:val="21"/>
                <w:szCs w:val="21"/>
                <w:highlight w:val="none"/>
                <w:vertAlign w:val="baseline"/>
                <w:lang w:eastAsia="zh-CN"/>
              </w:rPr>
              <w:t>》</w:t>
            </w:r>
            <w:r>
              <w:rPr>
                <w:rFonts w:hint="eastAsia" w:cs="Times New Roman"/>
                <w:b w:val="0"/>
                <w:bCs w:val="0"/>
                <w:sz w:val="21"/>
                <w:szCs w:val="21"/>
                <w:highlight w:val="none"/>
                <w:vertAlign w:val="baseline"/>
                <w:lang w:eastAsia="zh-CN"/>
              </w:rPr>
              <w:t>（</w:t>
            </w:r>
            <w:r>
              <w:rPr>
                <w:rFonts w:hint="eastAsia" w:cs="Times New Roman"/>
                <w:b w:val="0"/>
                <w:bCs w:val="0"/>
                <w:sz w:val="21"/>
                <w:szCs w:val="21"/>
                <w:highlight w:val="none"/>
                <w:vertAlign w:val="baseline"/>
                <w:lang w:val="en-US" w:eastAsia="zh-CN"/>
              </w:rPr>
              <w:t>HJ1084-2020</w:t>
            </w:r>
            <w:r>
              <w:rPr>
                <w:rFonts w:hint="eastAsia" w:cs="Times New Roman"/>
                <w:b w:val="0"/>
                <w:bCs w:val="0"/>
                <w:sz w:val="21"/>
                <w:szCs w:val="21"/>
                <w:highlight w:val="none"/>
                <w:vertAlign w:val="baseline"/>
                <w:lang w:eastAsia="zh-CN"/>
              </w:rPr>
              <w:t>）</w:t>
            </w:r>
            <w:r>
              <w:rPr>
                <w:rFonts w:hint="eastAsia" w:ascii="Times New Roman" w:hAnsi="Times New Roman" w:eastAsia="宋体" w:cs="Times New Roman"/>
                <w:b w:val="0"/>
                <w:bCs w:val="0"/>
                <w:sz w:val="21"/>
                <w:szCs w:val="21"/>
                <w:highlight w:val="none"/>
                <w:vertAlign w:val="baseline"/>
                <w:lang w:eastAsia="zh-CN"/>
              </w:rPr>
              <w:t>相关要求</w:t>
            </w:r>
            <w:r>
              <w:rPr>
                <w:rFonts w:hint="default" w:ascii="Times New Roman" w:hAnsi="Times New Roman" w:eastAsia="宋体" w:cs="Times New Roman"/>
                <w:b w:val="0"/>
                <w:bCs w:val="0"/>
                <w:sz w:val="21"/>
                <w:szCs w:val="21"/>
                <w:highlight w:val="none"/>
                <w:vertAlign w:val="baseline"/>
                <w:lang w:eastAsia="zh-CN"/>
              </w:rPr>
              <w:t>，</w:t>
            </w:r>
            <w:r>
              <w:rPr>
                <w:rFonts w:hint="eastAsia" w:cs="Times New Roman"/>
                <w:b w:val="0"/>
                <w:bCs/>
                <w:color w:val="auto"/>
                <w:spacing w:val="-4"/>
                <w:sz w:val="21"/>
                <w:szCs w:val="21"/>
                <w:highlight w:val="none"/>
                <w:lang w:eastAsia="zh-CN"/>
              </w:rPr>
              <w:t>项目噪声监测要求如下：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 xml:space="preserve">   </w:t>
            </w:r>
            <w:r>
              <w:rPr>
                <w:rFonts w:hint="eastAsia" w:eastAsia="黑体" w:cs="Times New Roman"/>
                <w:color w:val="auto"/>
                <w:sz w:val="18"/>
                <w:szCs w:val="18"/>
                <w:highlight w:val="none"/>
                <w:lang w:val="en-US" w:eastAsia="zh-CN"/>
              </w:rPr>
              <w:t>噪声</w:t>
            </w:r>
            <w:r>
              <w:rPr>
                <w:rFonts w:hint="default" w:ascii="Times New Roman" w:hAnsi="Times New Roman" w:eastAsia="黑体" w:cs="Times New Roman"/>
                <w:color w:val="auto"/>
                <w:sz w:val="18"/>
                <w:szCs w:val="18"/>
                <w:highlight w:val="none"/>
                <w:lang w:val="en-US" w:eastAsia="zh-CN"/>
              </w:rPr>
              <w:t>监测计划表</w:t>
            </w:r>
          </w:p>
          <w:tbl>
            <w:tblPr>
              <w:tblStyle w:val="1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146"/>
              <w:gridCol w:w="1265"/>
              <w:gridCol w:w="1077"/>
              <w:gridCol w:w="25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 w:type="pct"/>
                  <w:noWrap w:val="0"/>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18"/>
                      <w:szCs w:val="18"/>
                      <w:highlight w:val="none"/>
                      <w:lang w:eastAsia="zh-CN"/>
                    </w:rPr>
                  </w:pPr>
                  <w:r>
                    <w:rPr>
                      <w:rFonts w:hint="eastAsia" w:cs="Times New Roman"/>
                      <w:color w:val="auto"/>
                      <w:kern w:val="0"/>
                      <w:sz w:val="18"/>
                      <w:szCs w:val="18"/>
                      <w:highlight w:val="none"/>
                      <w:lang w:eastAsia="zh-CN"/>
                    </w:rPr>
                    <w:t>监测内容</w:t>
                  </w:r>
                </w:p>
              </w:tc>
              <w:tc>
                <w:tcPr>
                  <w:tcW w:w="790" w:type="pct"/>
                  <w:noWrap w:val="0"/>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监测</w:t>
                  </w:r>
                  <w:r>
                    <w:rPr>
                      <w:rFonts w:hint="eastAsia" w:cs="Times New Roman"/>
                      <w:color w:val="auto"/>
                      <w:kern w:val="0"/>
                      <w:sz w:val="18"/>
                      <w:szCs w:val="18"/>
                      <w:highlight w:val="none"/>
                      <w:lang w:eastAsia="zh-CN"/>
                    </w:rPr>
                    <w:t>项目</w:t>
                  </w:r>
                </w:p>
              </w:tc>
              <w:tc>
                <w:tcPr>
                  <w:tcW w:w="872" w:type="pct"/>
                  <w:noWrap w:val="0"/>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18"/>
                      <w:szCs w:val="18"/>
                      <w:highlight w:val="none"/>
                      <w:lang w:eastAsia="zh-CN"/>
                    </w:rPr>
                  </w:pPr>
                  <w:r>
                    <w:rPr>
                      <w:rFonts w:hint="eastAsia" w:cs="Times New Roman"/>
                      <w:color w:val="auto"/>
                      <w:kern w:val="0"/>
                      <w:sz w:val="18"/>
                      <w:szCs w:val="18"/>
                      <w:highlight w:val="none"/>
                      <w:lang w:eastAsia="zh-CN"/>
                    </w:rPr>
                    <w:t>监测点位</w:t>
                  </w:r>
                </w:p>
              </w:tc>
              <w:tc>
                <w:tcPr>
                  <w:tcW w:w="742" w:type="pct"/>
                  <w:noWrap w:val="0"/>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18"/>
                      <w:szCs w:val="18"/>
                      <w:highlight w:val="none"/>
                      <w:lang w:eastAsia="zh-CN"/>
                    </w:rPr>
                  </w:pPr>
                  <w:r>
                    <w:rPr>
                      <w:rFonts w:hint="eastAsia" w:cs="Times New Roman"/>
                      <w:color w:val="auto"/>
                      <w:kern w:val="0"/>
                      <w:sz w:val="18"/>
                      <w:szCs w:val="18"/>
                      <w:highlight w:val="none"/>
                      <w:lang w:eastAsia="zh-CN"/>
                    </w:rPr>
                    <w:t>监测频次</w:t>
                  </w:r>
                </w:p>
              </w:tc>
              <w:tc>
                <w:tcPr>
                  <w:tcW w:w="1785" w:type="pct"/>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 w:type="pct"/>
                  <w:noWrap w:val="0"/>
                  <w:vAlign w:val="center"/>
                </w:tcPr>
                <w:p>
                  <w:pPr>
                    <w:adjustRightInd w:val="0"/>
                    <w:snapToGrid w:val="0"/>
                    <w:spacing w:line="240" w:lineRule="auto"/>
                    <w:ind w:firstLine="0" w:firstLineChars="0"/>
                    <w:jc w:val="center"/>
                    <w:rPr>
                      <w:rFonts w:hint="eastAsia" w:ascii="Times New Roman" w:hAnsi="Times New Roman" w:eastAsia="宋体" w:cs="Times New Roman"/>
                      <w:bCs/>
                      <w:color w:val="auto"/>
                      <w:sz w:val="18"/>
                      <w:szCs w:val="18"/>
                      <w:highlight w:val="none"/>
                      <w:lang w:eastAsia="zh-CN"/>
                    </w:rPr>
                  </w:pPr>
                  <w:r>
                    <w:rPr>
                      <w:rFonts w:hint="eastAsia" w:cs="Times New Roman"/>
                      <w:bCs/>
                      <w:color w:val="auto"/>
                      <w:sz w:val="18"/>
                      <w:szCs w:val="18"/>
                      <w:highlight w:val="none"/>
                      <w:lang w:eastAsia="zh-CN"/>
                    </w:rPr>
                    <w:t>噪声</w:t>
                  </w:r>
                </w:p>
              </w:tc>
              <w:tc>
                <w:tcPr>
                  <w:tcW w:w="790" w:type="pct"/>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等效A声级</w:t>
                  </w:r>
                </w:p>
              </w:tc>
              <w:tc>
                <w:tcPr>
                  <w:tcW w:w="872"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厂界外1m出，东、西、南、北4个点位</w:t>
                  </w:r>
                </w:p>
              </w:tc>
              <w:tc>
                <w:tcPr>
                  <w:tcW w:w="742" w:type="pct"/>
                  <w:noWrap w:val="0"/>
                  <w:vAlign w:val="center"/>
                </w:tcPr>
                <w:p>
                  <w:pPr>
                    <w:adjustRightInd w:val="0"/>
                    <w:snapToGrid w:val="0"/>
                    <w:spacing w:line="240" w:lineRule="auto"/>
                    <w:ind w:firstLine="0" w:firstLineChars="0"/>
                    <w:jc w:val="center"/>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eastAsia="zh-CN"/>
                    </w:rPr>
                    <w:t>一次</w:t>
                  </w:r>
                  <w:r>
                    <w:rPr>
                      <w:rFonts w:hint="eastAsia" w:cs="Times New Roman"/>
                      <w:color w:val="auto"/>
                      <w:kern w:val="0"/>
                      <w:sz w:val="18"/>
                      <w:szCs w:val="18"/>
                      <w:highlight w:val="none"/>
                      <w:lang w:val="en-US" w:eastAsia="zh-CN"/>
                    </w:rPr>
                    <w:t>/季度</w:t>
                  </w:r>
                </w:p>
              </w:tc>
              <w:tc>
                <w:tcPr>
                  <w:tcW w:w="1785" w:type="pct"/>
                  <w:noWrap w:val="0"/>
                  <w:vAlign w:val="center"/>
                </w:tcPr>
                <w:p>
                  <w:pPr>
                    <w:spacing w:line="240" w:lineRule="exact"/>
                    <w:ind w:firstLine="0" w:firstLineChars="0"/>
                    <w:jc w:val="center"/>
                    <w:rPr>
                      <w:rFonts w:hint="default" w:ascii="Times New Roman" w:hAnsi="Times New Roman" w:cs="Times New Roman"/>
                      <w:bCs/>
                      <w:color w:val="auto"/>
                      <w:sz w:val="18"/>
                      <w:szCs w:val="18"/>
                      <w:highlight w:val="none"/>
                      <w:lang w:val="zh-CN"/>
                    </w:rPr>
                  </w:pPr>
                  <w:r>
                    <w:rPr>
                      <w:rFonts w:hint="default" w:ascii="Times New Roman" w:hAnsi="Times New Roman" w:eastAsia="宋体" w:cs="Times New Roman"/>
                      <w:color w:val="auto"/>
                      <w:sz w:val="18"/>
                      <w:szCs w:val="18"/>
                      <w:highlight w:val="none"/>
                    </w:rPr>
                    <w:t>《工业企业厂界环境噪声排放标准》（GB12348-2008）中的2类标准</w:t>
                  </w:r>
                </w:p>
              </w:tc>
            </w:tr>
          </w:tbl>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jc w:val="left"/>
              <w:textAlignment w:val="auto"/>
              <w:rPr>
                <w:rFonts w:hint="eastAsia" w:ascii="宋体" w:hAnsi="宋体" w:eastAsia="宋体" w:cs="宋体"/>
                <w:b/>
                <w:bCs/>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4、固废废物</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cs="宋体"/>
                <w:bCs/>
                <w:kern w:val="0"/>
                <w:szCs w:val="21"/>
                <w:highlight w:val="none"/>
              </w:rPr>
            </w:pPr>
            <w:r>
              <w:rPr>
                <w:rFonts w:cs="宋体"/>
                <w:bCs/>
                <w:kern w:val="0"/>
                <w:szCs w:val="21"/>
                <w:highlight w:val="none"/>
              </w:rPr>
              <w:t>根据《建设项目危险废物环境影响评价指南》（环保部公告2017年第43号）、《固体废物鉴别标准 通则》（GB34330-2017）等文件要求对拟建项目的固体废物污染源强进行分析核算。</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cs="宋体"/>
                <w:bCs/>
                <w:kern w:val="0"/>
                <w:szCs w:val="21"/>
                <w:highlight w:val="none"/>
              </w:rPr>
            </w:pPr>
            <w:r>
              <w:rPr>
                <w:rFonts w:hint="eastAsia" w:cs="宋体"/>
                <w:b/>
                <w:bCs/>
                <w:kern w:val="0"/>
                <w:szCs w:val="21"/>
                <w:highlight w:val="none"/>
              </w:rPr>
              <w:t>（1）</w:t>
            </w:r>
            <w:r>
              <w:rPr>
                <w:rFonts w:cs="宋体"/>
                <w:b/>
                <w:bCs/>
                <w:kern w:val="0"/>
                <w:szCs w:val="21"/>
                <w:highlight w:val="none"/>
              </w:rPr>
              <w:t>污染源及治理措施</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cs="宋体"/>
                <w:bCs/>
                <w:kern w:val="0"/>
                <w:szCs w:val="21"/>
                <w:highlight w:val="none"/>
              </w:rPr>
            </w:pPr>
            <w:r>
              <w:rPr>
                <w:rFonts w:cs="宋体"/>
                <w:bCs/>
                <w:kern w:val="0"/>
                <w:szCs w:val="21"/>
                <w:highlight w:val="none"/>
              </w:rPr>
              <w:t>根据《建设项目危险废物环境影响评价指南》（环保部公告2017年第43号）、《固体废物鉴别标准 通则》（GB34330-2017）等文件要求对拟建项目的固体废物污染源强进行分析核算。</w:t>
            </w:r>
          </w:p>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line="360" w:lineRule="auto"/>
              <w:ind w:leftChars="0"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1 \* GB3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sz w:val="21"/>
                <w:szCs w:val="21"/>
                <w:highlight w:val="none"/>
              </w:rPr>
              <w:t>①</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eastAsia="zh-CN"/>
              </w:rPr>
              <w:t>原辅材料废包装：</w:t>
            </w:r>
            <w:r>
              <w:rPr>
                <w:rFonts w:hint="eastAsia" w:ascii="Times New Roman" w:hAnsi="Times New Roman" w:cs="Times New Roman"/>
                <w:color w:val="auto"/>
                <w:sz w:val="21"/>
                <w:szCs w:val="21"/>
                <w:highlight w:val="none"/>
                <w:lang w:eastAsia="zh-CN"/>
              </w:rPr>
              <w:t>项目原辅材料使用后会产生一定量的废包装材料，产生量约为</w:t>
            </w:r>
            <w:r>
              <w:rPr>
                <w:rFonts w:hint="eastAsia" w:ascii="Times New Roman" w:hAnsi="Times New Roman" w:cs="Times New Roman"/>
                <w:color w:val="auto"/>
                <w:sz w:val="21"/>
                <w:szCs w:val="21"/>
                <w:highlight w:val="none"/>
                <w:lang w:val="en-US" w:eastAsia="zh-CN"/>
              </w:rPr>
              <w:t>1.5t/a，均经企业拟设置的一般固废暂存间暂存后，定期外售于废品回收单位。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highlight w:val="none"/>
                <w:lang w:eastAsia="zh-CN"/>
              </w:rPr>
              <w:fldChar w:fldCharType="begin"/>
            </w:r>
            <w:r>
              <w:rPr>
                <w:rFonts w:hint="default"/>
                <w:highlight w:val="none"/>
                <w:lang w:eastAsia="zh-CN"/>
              </w:rPr>
              <w:instrText xml:space="preserve"> = 2 \* GB3 \* MERGEFORMAT </w:instrText>
            </w:r>
            <w:r>
              <w:rPr>
                <w:rFonts w:hint="default"/>
                <w:highlight w:val="none"/>
                <w:lang w:eastAsia="zh-CN"/>
              </w:rPr>
              <w:fldChar w:fldCharType="separate"/>
            </w:r>
            <w:r>
              <w:rPr>
                <w:highlight w:val="none"/>
              </w:rPr>
              <w:t>②</w:t>
            </w:r>
            <w:r>
              <w:rPr>
                <w:rFonts w:hint="default"/>
                <w:highlight w:val="none"/>
                <w:lang w:eastAsia="zh-CN"/>
              </w:rPr>
              <w:fldChar w:fldCharType="end"/>
            </w:r>
            <w:r>
              <w:rPr>
                <w:rFonts w:hint="eastAsia"/>
                <w:highlight w:val="none"/>
                <w:lang w:eastAsia="zh-CN"/>
              </w:rPr>
              <w:t>切片过程废边角料：项目生产过程在产品切片过程会产生一定量废边角料，主要为成分为面筋，根据企业提供资料，产生量约为</w:t>
            </w:r>
            <w:r>
              <w:rPr>
                <w:rFonts w:hint="eastAsia"/>
                <w:highlight w:val="none"/>
                <w:lang w:val="en-US" w:eastAsia="zh-CN"/>
              </w:rPr>
              <w:t>2.5t/a</w:t>
            </w:r>
            <w:r>
              <w:rPr>
                <w:rFonts w:hint="eastAsia"/>
                <w:highlight w:val="none"/>
                <w:lang w:eastAsia="zh-CN"/>
              </w:rPr>
              <w:t>，经收集并于一般固废暂存间暂存后，</w:t>
            </w:r>
            <w:r>
              <w:rPr>
                <w:rFonts w:hint="eastAsia" w:cs="Times New Roman"/>
                <w:color w:val="auto"/>
                <w:sz w:val="21"/>
                <w:szCs w:val="21"/>
                <w:highlight w:val="none"/>
                <w:lang w:val="en-US" w:eastAsia="zh-CN"/>
              </w:rPr>
              <w:t>定期交由环卫部门清运处理。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3 \* GB3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③</w:t>
            </w:r>
            <w:r>
              <w:rPr>
                <w:rFonts w:hint="default" w:ascii="Times New Roman" w:hAnsi="Times New Roman" w:cs="Times New Roman"/>
                <w:color w:val="auto"/>
                <w:sz w:val="21"/>
                <w:szCs w:val="21"/>
                <w:highlight w:val="none"/>
                <w:lang w:eastAsia="zh-CN"/>
              </w:rPr>
              <w:fldChar w:fldCharType="end"/>
            </w:r>
            <w:r>
              <w:rPr>
                <w:rFonts w:hint="eastAsia" w:ascii="Times New Roman" w:hAnsi="Times New Roman" w:cs="Times New Roman"/>
                <w:color w:val="auto"/>
                <w:sz w:val="21"/>
                <w:szCs w:val="21"/>
                <w:highlight w:val="none"/>
                <w:lang w:eastAsia="zh-CN"/>
              </w:rPr>
              <w:t>设备清理过程：</w:t>
            </w:r>
            <w:r>
              <w:rPr>
                <w:rFonts w:hint="eastAsia" w:cs="Times New Roman"/>
                <w:color w:val="auto"/>
                <w:sz w:val="21"/>
                <w:szCs w:val="21"/>
                <w:highlight w:val="none"/>
                <w:lang w:eastAsia="zh-CN"/>
              </w:rPr>
              <w:t>项目设备定期清理时会产生一定量的清理残渣，其成分主要为面粉，均</w:t>
            </w:r>
            <w:r>
              <w:rPr>
                <w:rFonts w:hint="eastAsia"/>
                <w:highlight w:val="none"/>
                <w:lang w:eastAsia="zh-CN"/>
              </w:rPr>
              <w:t>经收集并于一般固废暂存间暂存后，</w:t>
            </w:r>
            <w:r>
              <w:rPr>
                <w:rFonts w:hint="eastAsia" w:cs="Times New Roman"/>
                <w:color w:val="auto"/>
                <w:sz w:val="21"/>
                <w:szCs w:val="21"/>
                <w:highlight w:val="none"/>
                <w:lang w:val="en-US" w:eastAsia="zh-CN"/>
              </w:rPr>
              <w:t>定期交由环卫部门清运处理。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highlight w:val="none"/>
                <w:lang w:eastAsia="zh-CN"/>
              </w:rPr>
              <w:fldChar w:fldCharType="begin"/>
            </w:r>
            <w:r>
              <w:rPr>
                <w:rFonts w:hint="default"/>
                <w:highlight w:val="none"/>
                <w:lang w:eastAsia="zh-CN"/>
              </w:rPr>
              <w:instrText xml:space="preserve"> = 4 \* GB3 \* MERGEFORMAT </w:instrText>
            </w:r>
            <w:r>
              <w:rPr>
                <w:rFonts w:hint="default"/>
                <w:highlight w:val="none"/>
                <w:lang w:eastAsia="zh-CN"/>
              </w:rPr>
              <w:fldChar w:fldCharType="separate"/>
            </w:r>
            <w:r>
              <w:rPr>
                <w:highlight w:val="none"/>
              </w:rPr>
              <w:t>④</w:t>
            </w:r>
            <w:r>
              <w:rPr>
                <w:rFonts w:hint="default"/>
                <w:highlight w:val="none"/>
                <w:lang w:eastAsia="zh-CN"/>
              </w:rPr>
              <w:fldChar w:fldCharType="end"/>
            </w:r>
            <w:r>
              <w:rPr>
                <w:rFonts w:hint="default" w:ascii="Times New Roman" w:hAnsi="Times New Roman" w:cs="Times New Roman"/>
                <w:color w:val="auto"/>
                <w:sz w:val="21"/>
                <w:szCs w:val="21"/>
                <w:highlight w:val="none"/>
                <w:lang w:eastAsia="zh-CN"/>
              </w:rPr>
              <w:t>袋式除尘器集尘：</w:t>
            </w:r>
            <w:r>
              <w:rPr>
                <w:rFonts w:hint="eastAsia" w:cs="Times New Roman"/>
                <w:color w:val="auto"/>
                <w:sz w:val="21"/>
                <w:szCs w:val="21"/>
                <w:highlight w:val="none"/>
                <w:lang w:eastAsia="zh-CN"/>
              </w:rPr>
              <w:t>项目配套袋式除尘器定清理过程会产生一定量集尘，经计算，产生量约为</w:t>
            </w:r>
            <w:r>
              <w:rPr>
                <w:rFonts w:hint="eastAsia" w:cs="Times New Roman"/>
                <w:color w:val="auto"/>
                <w:sz w:val="21"/>
                <w:szCs w:val="21"/>
                <w:highlight w:val="none"/>
                <w:lang w:val="en-US" w:eastAsia="zh-CN"/>
              </w:rPr>
              <w:t>0.0371t/a，均经容器收集后于企业设置的一般固废暂存间内暂存，定期交由环卫部门清运处理。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5 \* GB3 \* MERGEFORMAT </w:instrText>
            </w:r>
            <w:r>
              <w:rPr>
                <w:rFonts w:hint="default" w:ascii="Times New Roman" w:hAnsi="Times New Roman" w:cs="Times New Roman"/>
                <w:color w:val="auto"/>
                <w:sz w:val="21"/>
                <w:szCs w:val="21"/>
                <w:highlight w:val="none"/>
              </w:rPr>
              <w:fldChar w:fldCharType="separate"/>
            </w:r>
            <w:r>
              <w:rPr>
                <w:highlight w:val="none"/>
              </w:rPr>
              <w:t>⑤</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eastAsia="zh-CN"/>
              </w:rPr>
              <w:t>砂过滤装置：</w:t>
            </w:r>
            <w:r>
              <w:rPr>
                <w:rFonts w:hint="eastAsia" w:cs="Times New Roman"/>
                <w:color w:val="auto"/>
                <w:sz w:val="21"/>
                <w:szCs w:val="21"/>
                <w:highlight w:val="none"/>
                <w:lang w:eastAsia="zh-CN"/>
              </w:rPr>
              <w:t>项目软水制备设备采用</w:t>
            </w:r>
            <w:r>
              <w:rPr>
                <w:rFonts w:hint="eastAsia" w:cs="Times New Roman"/>
                <w:color w:val="auto"/>
                <w:sz w:val="21"/>
                <w:szCs w:val="21"/>
                <w:highlight w:val="none"/>
                <w:lang w:val="en-US" w:eastAsia="zh-CN"/>
              </w:rPr>
              <w:t>1套反渗透装置进行制备，该装置在使用过程中会不定期更换过滤使用的石英砂，该类固废属于一般固废，根据设备供应商提供资料，更换量约为0.02t/a，经企业设置的一般固废暂存间内暂存，定期交由环卫部门清运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sz w:val="21"/>
                <w:szCs w:val="21"/>
                <w:highlight w:val="none"/>
                <w:lang w:eastAsia="zh-CN"/>
              </w:rPr>
              <w:fldChar w:fldCharType="begin"/>
            </w:r>
            <w:r>
              <w:rPr>
                <w:rFonts w:hint="eastAsia" w:ascii="宋体" w:hAnsi="宋体" w:eastAsia="宋体" w:cs="宋体"/>
                <w:sz w:val="21"/>
                <w:szCs w:val="21"/>
                <w:highlight w:val="none"/>
                <w:lang w:eastAsia="zh-CN"/>
              </w:rPr>
              <w:instrText xml:space="preserve"> = 6 \* GB3 \* MERGEFORMAT </w:instrText>
            </w:r>
            <w:r>
              <w:rPr>
                <w:rFonts w:hint="eastAsia" w:ascii="宋体" w:hAnsi="宋体" w:eastAsia="宋体" w:cs="宋体"/>
                <w:sz w:val="21"/>
                <w:szCs w:val="21"/>
                <w:highlight w:val="none"/>
                <w:lang w:eastAsia="zh-CN"/>
              </w:rPr>
              <w:fldChar w:fldCharType="separate"/>
            </w:r>
            <w:r>
              <w:rPr>
                <w:rFonts w:hint="eastAsia" w:ascii="宋体" w:hAnsi="宋体" w:eastAsia="宋体" w:cs="宋体"/>
                <w:sz w:val="21"/>
                <w:szCs w:val="21"/>
                <w:highlight w:val="none"/>
              </w:rPr>
              <w:t>⑥</w:t>
            </w:r>
            <w:r>
              <w:rPr>
                <w:rFonts w:hint="eastAsia" w:ascii="宋体" w:hAnsi="宋体" w:eastAsia="宋体" w:cs="宋体"/>
                <w:sz w:val="21"/>
                <w:szCs w:val="21"/>
                <w:highlight w:val="none"/>
                <w:lang w:eastAsia="zh-CN"/>
              </w:rPr>
              <w:fldChar w:fldCharType="end"/>
            </w:r>
            <w:r>
              <w:rPr>
                <w:rFonts w:hint="eastAsia" w:ascii="宋体" w:hAnsi="宋体" w:eastAsia="宋体" w:cs="宋体"/>
                <w:sz w:val="21"/>
                <w:szCs w:val="21"/>
                <w:highlight w:val="none"/>
                <w:lang w:eastAsia="zh-CN"/>
              </w:rPr>
              <w:t>反渗透装置</w:t>
            </w:r>
            <w:r>
              <w:rPr>
                <w:rFonts w:hint="eastAsia" w:ascii="宋体" w:hAnsi="宋体" w:cs="宋体"/>
                <w:sz w:val="21"/>
                <w:szCs w:val="21"/>
                <w:highlight w:val="none"/>
                <w:lang w:eastAsia="zh-CN"/>
              </w:rPr>
              <w:t>：</w:t>
            </w:r>
            <w:r>
              <w:rPr>
                <w:rFonts w:hint="eastAsia" w:cs="Times New Roman"/>
                <w:color w:val="auto"/>
                <w:sz w:val="21"/>
                <w:szCs w:val="21"/>
                <w:highlight w:val="none"/>
                <w:lang w:eastAsia="zh-CN"/>
              </w:rPr>
              <w:t>项目软水制备设备采用</w:t>
            </w:r>
            <w:r>
              <w:rPr>
                <w:rFonts w:hint="eastAsia" w:cs="Times New Roman"/>
                <w:color w:val="auto"/>
                <w:sz w:val="21"/>
                <w:szCs w:val="21"/>
                <w:highlight w:val="none"/>
                <w:lang w:val="en-US" w:eastAsia="zh-CN"/>
              </w:rPr>
              <w:t>1套反渗透装置进行制备，该装置在使用过程中会不定期更换使用的反渗透膜，根据设备供应商提供资料，更换量约为0.005t/a，经企业设置的一般固废暂存间内暂存，定期交由环卫部门清运处理。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cs="宋体"/>
                <w:bCs/>
                <w:kern w:val="0"/>
                <w:szCs w:val="21"/>
                <w:highlight w:val="none"/>
              </w:rPr>
              <w:t>项目运营期固体废物产生及处理处置情况见</w:t>
            </w:r>
            <w:r>
              <w:rPr>
                <w:rFonts w:hint="eastAsia" w:cs="宋体"/>
                <w:bCs/>
                <w:kern w:val="0"/>
                <w:szCs w:val="21"/>
                <w:highlight w:val="none"/>
                <w:lang w:eastAsia="zh-CN"/>
              </w:rPr>
              <w:t>下表</w:t>
            </w:r>
            <w:r>
              <w:rPr>
                <w:rFonts w:hint="eastAsia" w:cs="宋体"/>
                <w:bCs/>
                <w:kern w:val="0"/>
                <w:szCs w:val="21"/>
                <w:highlight w:val="none"/>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default" w:eastAsia="黑体" w:cs="Times New Roman"/>
                <w:color w:val="auto"/>
                <w:sz w:val="18"/>
                <w:szCs w:val="18"/>
                <w:highlight w:val="none"/>
                <w:lang w:val="en-US" w:eastAsia="zh-CN"/>
              </w:rPr>
              <w:t xml:space="preserve">     固废产生情况及治理措施一览表</w:t>
            </w:r>
          </w:p>
          <w:tbl>
            <w:tblPr>
              <w:tblStyle w:val="16"/>
              <w:tblW w:w="4997"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80"/>
              <w:gridCol w:w="2087"/>
              <w:gridCol w:w="1009"/>
              <w:gridCol w:w="1121"/>
              <w:gridCol w:w="2455"/>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400" w:type="pct"/>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序号</w:t>
                  </w:r>
                </w:p>
              </w:tc>
              <w:tc>
                <w:tcPr>
                  <w:tcW w:w="1438" w:type="pct"/>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名称</w:t>
                  </w:r>
                </w:p>
              </w:tc>
              <w:tc>
                <w:tcPr>
                  <w:tcW w:w="695"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属性</w:t>
                  </w:r>
                </w:p>
              </w:tc>
              <w:tc>
                <w:tcPr>
                  <w:tcW w:w="772" w:type="pct"/>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产生量（t/a）</w:t>
                  </w:r>
                </w:p>
              </w:tc>
              <w:tc>
                <w:tcPr>
                  <w:tcW w:w="1691" w:type="pct"/>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处置措施</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400" w:type="pct"/>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1</w:t>
                  </w:r>
                </w:p>
              </w:tc>
              <w:tc>
                <w:tcPr>
                  <w:tcW w:w="14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bCs/>
                      <w:color w:val="auto"/>
                      <w:sz w:val="18"/>
                      <w:szCs w:val="18"/>
                      <w:highlight w:val="none"/>
                      <w:lang w:eastAsia="zh-CN"/>
                    </w:rPr>
                    <w:t>原料拆包使用过程</w:t>
                  </w:r>
                  <w:r>
                    <w:rPr>
                      <w:rFonts w:hint="eastAsia" w:cs="Times New Roman"/>
                      <w:bCs/>
                      <w:color w:val="auto"/>
                      <w:sz w:val="18"/>
                      <w:szCs w:val="18"/>
                      <w:highlight w:val="none"/>
                      <w:lang w:eastAsia="zh-CN"/>
                    </w:rPr>
                    <w:t>废包装</w:t>
                  </w:r>
                </w:p>
              </w:tc>
              <w:tc>
                <w:tcPr>
                  <w:tcW w:w="695"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7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bCs/>
                      <w:color w:val="auto"/>
                      <w:sz w:val="18"/>
                      <w:szCs w:val="18"/>
                      <w:highlight w:val="none"/>
                      <w:lang w:val="en-US" w:eastAsia="zh-CN"/>
                    </w:rPr>
                    <w:t>1.5</w:t>
                  </w:r>
                </w:p>
              </w:tc>
              <w:tc>
                <w:tcPr>
                  <w:tcW w:w="16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bCs/>
                      <w:color w:val="auto"/>
                      <w:sz w:val="18"/>
                      <w:szCs w:val="18"/>
                      <w:highlight w:val="none"/>
                      <w:lang w:eastAsia="zh-CN"/>
                    </w:rPr>
                    <w:t>一般固废暂存间分类暂存后，有废品回收单位回收处理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400" w:type="pct"/>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lang w:val="en-US" w:eastAsia="zh-CN"/>
                    </w:rPr>
                    <w:t>2</w:t>
                  </w:r>
                </w:p>
              </w:tc>
              <w:tc>
                <w:tcPr>
                  <w:tcW w:w="14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bCs/>
                      <w:color w:val="auto"/>
                      <w:sz w:val="18"/>
                      <w:szCs w:val="18"/>
                      <w:highlight w:val="none"/>
                      <w:lang w:eastAsia="zh-CN"/>
                    </w:rPr>
                    <w:t>切片过程</w:t>
                  </w:r>
                  <w:r>
                    <w:rPr>
                      <w:rFonts w:hint="eastAsia" w:cs="Times New Roman"/>
                      <w:bCs/>
                      <w:color w:val="auto"/>
                      <w:sz w:val="18"/>
                      <w:szCs w:val="18"/>
                      <w:highlight w:val="none"/>
                      <w:lang w:eastAsia="zh-CN"/>
                    </w:rPr>
                    <w:t>废边料</w:t>
                  </w:r>
                </w:p>
              </w:tc>
              <w:tc>
                <w:tcPr>
                  <w:tcW w:w="695"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7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bCs/>
                      <w:color w:val="auto"/>
                      <w:sz w:val="18"/>
                      <w:szCs w:val="18"/>
                      <w:highlight w:val="none"/>
                      <w:lang w:val="en-US" w:eastAsia="zh-CN"/>
                    </w:rPr>
                    <w:t>2.5</w:t>
                  </w:r>
                </w:p>
              </w:tc>
              <w:tc>
                <w:tcPr>
                  <w:tcW w:w="1691" w:type="pct"/>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bCs/>
                      <w:color w:val="auto"/>
                      <w:sz w:val="18"/>
                      <w:szCs w:val="18"/>
                      <w:highlight w:val="none"/>
                      <w:lang w:eastAsia="zh-CN"/>
                    </w:rPr>
                    <w:t>一般固废暂存间分类暂存后，定期由环卫部门清理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400" w:type="pct"/>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3</w:t>
                  </w:r>
                </w:p>
              </w:tc>
              <w:tc>
                <w:tcPr>
                  <w:tcW w:w="14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bCs/>
                      <w:color w:val="auto"/>
                      <w:sz w:val="18"/>
                      <w:szCs w:val="18"/>
                      <w:highlight w:val="none"/>
                      <w:lang w:eastAsia="zh-CN"/>
                    </w:rPr>
                    <w:t>设备清理过程</w:t>
                  </w:r>
                  <w:r>
                    <w:rPr>
                      <w:rFonts w:hint="eastAsia" w:cs="Times New Roman"/>
                      <w:bCs/>
                      <w:color w:val="auto"/>
                      <w:sz w:val="18"/>
                      <w:szCs w:val="18"/>
                      <w:highlight w:val="none"/>
                      <w:lang w:eastAsia="zh-CN"/>
                    </w:rPr>
                    <w:t>残渣</w:t>
                  </w:r>
                </w:p>
              </w:tc>
              <w:tc>
                <w:tcPr>
                  <w:tcW w:w="695"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7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bCs/>
                      <w:color w:val="auto"/>
                      <w:sz w:val="18"/>
                      <w:szCs w:val="18"/>
                      <w:highlight w:val="none"/>
                      <w:lang w:val="en-US" w:eastAsia="zh-CN"/>
                    </w:rPr>
                    <w:t>0.5</w:t>
                  </w:r>
                </w:p>
              </w:tc>
              <w:tc>
                <w:tcPr>
                  <w:tcW w:w="1691"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400" w:type="pct"/>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4</w:t>
                  </w:r>
                </w:p>
              </w:tc>
              <w:tc>
                <w:tcPr>
                  <w:tcW w:w="14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bCs/>
                      <w:color w:val="auto"/>
                      <w:sz w:val="18"/>
                      <w:szCs w:val="18"/>
                      <w:highlight w:val="none"/>
                      <w:lang w:eastAsia="zh-CN"/>
                    </w:rPr>
                    <w:t>袋式除尘器</w:t>
                  </w:r>
                  <w:r>
                    <w:rPr>
                      <w:rFonts w:hint="eastAsia" w:cs="Times New Roman"/>
                      <w:bCs/>
                      <w:color w:val="auto"/>
                      <w:sz w:val="18"/>
                      <w:szCs w:val="18"/>
                      <w:highlight w:val="none"/>
                      <w:lang w:eastAsia="zh-CN"/>
                    </w:rPr>
                    <w:t>集尘</w:t>
                  </w:r>
                </w:p>
              </w:tc>
              <w:tc>
                <w:tcPr>
                  <w:tcW w:w="695"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7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bCs/>
                      <w:color w:val="auto"/>
                      <w:sz w:val="18"/>
                      <w:szCs w:val="18"/>
                      <w:highlight w:val="none"/>
                      <w:lang w:val="en-US" w:eastAsia="zh-CN"/>
                    </w:rPr>
                    <w:t>0.0371</w:t>
                  </w:r>
                </w:p>
              </w:tc>
              <w:tc>
                <w:tcPr>
                  <w:tcW w:w="1691"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227" w:hRule="atLeast"/>
                <w:jc w:val="center"/>
              </w:trPr>
              <w:tc>
                <w:tcPr>
                  <w:tcW w:w="400" w:type="pct"/>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5</w:t>
                  </w:r>
                </w:p>
              </w:tc>
              <w:tc>
                <w:tcPr>
                  <w:tcW w:w="14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bCs/>
                      <w:color w:val="auto"/>
                      <w:sz w:val="18"/>
                      <w:szCs w:val="18"/>
                      <w:highlight w:val="none"/>
                      <w:lang w:eastAsia="zh-CN"/>
                    </w:rPr>
                    <w:t>砂过滤装置</w:t>
                  </w:r>
                  <w:r>
                    <w:rPr>
                      <w:rFonts w:hint="eastAsia" w:cs="Times New Roman"/>
                      <w:bCs/>
                      <w:color w:val="auto"/>
                      <w:sz w:val="18"/>
                      <w:szCs w:val="18"/>
                      <w:highlight w:val="none"/>
                      <w:lang w:eastAsia="zh-CN"/>
                    </w:rPr>
                    <w:t>更换的废砂</w:t>
                  </w:r>
                </w:p>
              </w:tc>
              <w:tc>
                <w:tcPr>
                  <w:tcW w:w="695"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lang w:eastAsia="zh-CN"/>
                    </w:rPr>
                    <w:t>一般固废</w:t>
                  </w:r>
                </w:p>
              </w:tc>
              <w:tc>
                <w:tcPr>
                  <w:tcW w:w="7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bCs/>
                      <w:color w:val="auto"/>
                      <w:sz w:val="18"/>
                      <w:szCs w:val="18"/>
                      <w:highlight w:val="none"/>
                      <w:lang w:val="en-US" w:eastAsia="zh-CN"/>
                    </w:rPr>
                    <w:t>0.02</w:t>
                  </w:r>
                </w:p>
              </w:tc>
              <w:tc>
                <w:tcPr>
                  <w:tcW w:w="1691" w:type="pct"/>
                  <w:vMerge w:val="continue"/>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400" w:type="pct"/>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eastAsia" w:cs="Times New Roman" w:eastAsiaTheme="minorEastAsia"/>
                      <w:b w:val="0"/>
                      <w:bCs w:val="0"/>
                      <w:color w:val="auto"/>
                      <w:sz w:val="18"/>
                      <w:szCs w:val="18"/>
                      <w:highlight w:val="none"/>
                      <w:u w:val="none"/>
                      <w:lang w:val="en-US" w:eastAsia="zh-CN"/>
                    </w:rPr>
                    <w:t>6</w:t>
                  </w:r>
                </w:p>
              </w:tc>
              <w:tc>
                <w:tcPr>
                  <w:tcW w:w="14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反渗透装置</w:t>
                  </w:r>
                  <w:r>
                    <w:rPr>
                      <w:rFonts w:hint="eastAsia" w:cs="Times New Roman"/>
                      <w:bCs/>
                      <w:color w:val="auto"/>
                      <w:sz w:val="18"/>
                      <w:szCs w:val="18"/>
                      <w:highlight w:val="none"/>
                      <w:lang w:eastAsia="zh-CN"/>
                    </w:rPr>
                    <w:t>更换的反渗透膜</w:t>
                  </w:r>
                </w:p>
              </w:tc>
              <w:tc>
                <w:tcPr>
                  <w:tcW w:w="695"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eastAsiaTheme="minorEastAsia"/>
                      <w:b w:val="0"/>
                      <w:bCs w:val="0"/>
                      <w:color w:val="auto"/>
                      <w:sz w:val="18"/>
                      <w:szCs w:val="18"/>
                      <w:highlight w:val="none"/>
                      <w:u w:val="none"/>
                      <w:lang w:eastAsia="zh-CN"/>
                    </w:rPr>
                    <w:t>一般固废</w:t>
                  </w:r>
                </w:p>
              </w:tc>
              <w:tc>
                <w:tcPr>
                  <w:tcW w:w="7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bCs/>
                      <w:color w:val="auto"/>
                      <w:sz w:val="18"/>
                      <w:szCs w:val="18"/>
                      <w:highlight w:val="none"/>
                      <w:lang w:val="en-US" w:eastAsia="zh-CN"/>
                    </w:rPr>
                    <w:t>0.0</w:t>
                  </w:r>
                  <w:r>
                    <w:rPr>
                      <w:rFonts w:hint="eastAsia" w:ascii="Times New Roman" w:hAnsi="Times New Roman" w:cs="Times New Roman"/>
                      <w:bCs/>
                      <w:color w:val="auto"/>
                      <w:sz w:val="18"/>
                      <w:szCs w:val="18"/>
                      <w:highlight w:val="none"/>
                      <w:lang w:val="en-US" w:eastAsia="zh-CN"/>
                    </w:rPr>
                    <w:t>05</w:t>
                  </w:r>
                </w:p>
              </w:tc>
              <w:tc>
                <w:tcPr>
                  <w:tcW w:w="1691" w:type="pct"/>
                  <w:vMerge w:val="continue"/>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eastAsia" w:cs="宋体"/>
                <w:b/>
                <w:bCs/>
                <w:kern w:val="0"/>
                <w:szCs w:val="21"/>
                <w:highlight w:val="none"/>
              </w:rPr>
            </w:pPr>
            <w:r>
              <w:rPr>
                <w:rFonts w:hint="eastAsia" w:cs="宋体"/>
                <w:b/>
                <w:bCs/>
                <w:kern w:val="0"/>
                <w:szCs w:val="21"/>
                <w:highlight w:val="none"/>
              </w:rPr>
              <w:t>（2）</w:t>
            </w:r>
            <w:r>
              <w:rPr>
                <w:rFonts w:cs="宋体"/>
                <w:b/>
                <w:bCs/>
                <w:kern w:val="0"/>
                <w:szCs w:val="21"/>
                <w:highlight w:val="none"/>
              </w:rPr>
              <w:t>环境管理要求</w:t>
            </w:r>
          </w:p>
          <w:p>
            <w:pPr>
              <w:keepNext w:val="0"/>
              <w:keepLines w:val="0"/>
              <w:pageBreakBefore w:val="0"/>
              <w:widowControl w:val="0"/>
              <w:kinsoku/>
              <w:wordWrap/>
              <w:overflowPunct/>
              <w:topLinePunct w:val="0"/>
              <w:bidi w:val="0"/>
              <w:adjustRightInd/>
              <w:snapToGrid/>
              <w:spacing w:line="360" w:lineRule="auto"/>
              <w:ind w:firstLine="422" w:firstLineChars="200"/>
              <w:textAlignment w:val="auto"/>
              <w:rPr>
                <w:rFonts w:hint="eastAsia" w:eastAsia="宋体" w:cs="宋体"/>
                <w:b/>
                <w:bCs/>
                <w:kern w:val="0"/>
                <w:szCs w:val="21"/>
                <w:highlight w:val="none"/>
                <w:lang w:eastAsia="zh-CN"/>
              </w:rPr>
            </w:pPr>
            <w:r>
              <w:rPr>
                <w:rFonts w:hint="eastAsia" w:cs="宋体"/>
                <w:b/>
                <w:bCs/>
                <w:kern w:val="0"/>
                <w:szCs w:val="21"/>
                <w:highlight w:val="none"/>
                <w:lang w:eastAsia="zh-CN"/>
              </w:rPr>
              <w:t>一般固废管理要求</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cs="宋体"/>
                <w:bCs/>
                <w:kern w:val="0"/>
                <w:szCs w:val="21"/>
                <w:highlight w:val="none"/>
              </w:rPr>
            </w:pPr>
            <w:r>
              <w:rPr>
                <w:rFonts w:hint="eastAsia" w:cs="宋体"/>
                <w:bCs/>
                <w:kern w:val="0"/>
                <w:szCs w:val="21"/>
                <w:highlight w:val="none"/>
              </w:rPr>
              <w:t>项目一般固体废物主要有原辅材料使用后剩余的包装材料、分切过程产生的边角料、设备清理残渣、袋式除尘器集尘和反渗透系统长期过滤后更换的废石英砂、反渗透透膜等，均属于一般固体废物。其中</w:t>
            </w:r>
            <w:r>
              <w:rPr>
                <w:rFonts w:hint="eastAsia" w:cs="宋体"/>
                <w:bCs/>
                <w:kern w:val="0"/>
                <w:szCs w:val="21"/>
                <w:highlight w:val="none"/>
                <w:lang w:eastAsia="zh-CN"/>
              </w:rPr>
              <w:t>原辅材料废包装均经</w:t>
            </w:r>
            <w:r>
              <w:rPr>
                <w:rFonts w:hint="eastAsia" w:cs="宋体"/>
                <w:bCs/>
                <w:kern w:val="0"/>
                <w:szCs w:val="21"/>
                <w:highlight w:val="none"/>
              </w:rPr>
              <w:t>工程设置</w:t>
            </w:r>
            <w:r>
              <w:rPr>
                <w:rFonts w:hint="eastAsia" w:cs="宋体"/>
                <w:bCs/>
                <w:kern w:val="0"/>
                <w:szCs w:val="21"/>
                <w:highlight w:val="none"/>
                <w:lang w:eastAsia="zh-CN"/>
              </w:rPr>
              <w:t>拟设的</w:t>
            </w:r>
            <w:r>
              <w:rPr>
                <w:rFonts w:hint="eastAsia" w:cs="宋体"/>
                <w:bCs/>
                <w:kern w:val="0"/>
                <w:szCs w:val="21"/>
                <w:highlight w:val="none"/>
              </w:rPr>
              <w:t>一般固废暂存间暂存后，定期外售于废品回收单位。</w:t>
            </w:r>
            <w:r>
              <w:rPr>
                <w:rFonts w:hint="eastAsia" w:cs="宋体"/>
                <w:bCs/>
                <w:kern w:val="0"/>
                <w:szCs w:val="21"/>
                <w:highlight w:val="none"/>
                <w:lang w:eastAsia="zh-CN"/>
              </w:rPr>
              <w:t>一</w:t>
            </w:r>
            <w:r>
              <w:rPr>
                <w:rFonts w:hint="eastAsia" w:cs="宋体"/>
                <w:bCs/>
                <w:kern w:val="0"/>
                <w:szCs w:val="21"/>
                <w:highlight w:val="none"/>
              </w:rPr>
              <w:t>般固废暂存间</w:t>
            </w:r>
            <w:r>
              <w:rPr>
                <w:rFonts w:hint="eastAsia" w:cs="宋体"/>
                <w:bCs/>
                <w:kern w:val="0"/>
                <w:szCs w:val="21"/>
                <w:highlight w:val="none"/>
                <w:lang w:eastAsia="zh-CN"/>
              </w:rPr>
              <w:t>应</w:t>
            </w:r>
            <w:r>
              <w:rPr>
                <w:rFonts w:hint="eastAsia" w:cs="宋体"/>
                <w:bCs/>
                <w:kern w:val="0"/>
                <w:szCs w:val="21"/>
                <w:highlight w:val="none"/>
              </w:rPr>
              <w:t>按照《一般工业固体废物贮存、处理场污染控制标准（GB18599-2001）》（2013修订）进行设置，能够满足“防风、防雨、防渗”要求。</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highlight w:val="none"/>
              </w:rPr>
            </w:pPr>
            <w:r>
              <w:rPr>
                <w:rFonts w:hint="eastAsia" w:cs="宋体"/>
                <w:bCs/>
                <w:kern w:val="0"/>
                <w:szCs w:val="21"/>
                <w:highlight w:val="none"/>
              </w:rPr>
              <w:t>综上，项目各类固废能得到合理利用，妥善处置，不擅自向环境排放，符合国家对固体废物减量化、资源化、无害化的要求，不会对周围环境造成影响，因此本项目固废处置方案可行。</w:t>
            </w:r>
          </w:p>
          <w:p>
            <w:pPr>
              <w:pStyle w:val="15"/>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firstLine="422" w:firstLineChars="200"/>
              <w:textAlignment w:val="auto"/>
              <w:rPr>
                <w:rFonts w:hint="eastAsia" w:cs="宋体"/>
                <w:b/>
                <w:bCs w:val="0"/>
                <w:kern w:val="0"/>
                <w:szCs w:val="21"/>
                <w:highlight w:val="none"/>
                <w:lang w:val="en-US" w:eastAsia="zh-CN"/>
              </w:rPr>
            </w:pPr>
            <w:r>
              <w:rPr>
                <w:rFonts w:hint="eastAsia" w:cs="宋体"/>
                <w:b/>
                <w:bCs w:val="0"/>
                <w:kern w:val="0"/>
                <w:szCs w:val="21"/>
                <w:highlight w:val="none"/>
                <w:lang w:val="en-US" w:eastAsia="zh-CN"/>
              </w:rPr>
              <w:t>5、地下水、土壤</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 xml:space="preserve">本项目主要是对生产过程中产生的废气、固体废物和废水进行治理，生产过程中产生的颗粒物废气采用袋式除尘器进行处理后，经15m高排气筒达标排放；锅炉燃气废气经采用低氮燃烧+烟气循环技术处理后，外排废气经8m高排气筒达标排放。项目生活污水、设备清洗废水和车间地面清洗废水经厂区化粪池处理后，定期清运；备用锅炉所用软水制备过程产生的废水经收集后，用于厂区洒水抑尘。项目一般固废暂存场所按照《一般工业固体废物贮存、处置场污染控制标准》（GB18599－2001）及其2013修改单的要求进行建设。 </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为减轻或避免对土壤造成不利影响，根据土壤导则评价对项目建设提出相应的控制措施，主要从源头控制、过程控制以及跟踪监测三方面来说，具体如下：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 xml:space="preserve">①源头控制：本项目污染源主要为废气、废水、固体废物，企业应加强管理，做好节能减排和清洁生产工作，一方面减少污染物产生量，另一方面降低污染物排放浓度和排放量，源强的降低可在发生泄漏时减轻对土壤和地下水的影响。 </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 xml:space="preserve">②过程防控措施 </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本项目主要是对生产过程中产生的废气、废水、固体废物进行治理，对生产过程中产生的颗粒物废气采取袋式除尘器进行处理，燃气锅炉采用低氮燃烧+烟气循环技术处理，能够确保废气处置过程环保措施的运行稳定，使废气污染物达标排放，最大程度降低废气入环境总量，降低大气沉降累积污染；生活污水、设备清洗废水和车间地面清洗废水经厂区化粪池处理后，定期清运；备用锅炉所用软水制备过程产生的废水经收集后，用于厂区洒水抑尘。建设单位应加强监控和巡检，如果发生泄漏要及时处理，不得漫流到与土壤接触的地面；</w:t>
            </w:r>
            <w:r>
              <w:rPr>
                <w:rFonts w:cs="宋体"/>
                <w:bCs/>
                <w:kern w:val="0"/>
                <w:szCs w:val="21"/>
                <w:highlight w:val="none"/>
              </w:rPr>
              <w:t>厂区内固废运送至具有三防措施的暂存堆场存放，不得直接接触土壤。各类危险废物应采用规范的容器包装，在室内分区堆放，储存地面采取防渗措施，经常检查发现包装渗漏等情况要及时处理。危废在从工艺装置中卸出、包装、暂存到按照管理要求装车转移过程，以及运输过程中，均不得接触土壤。各种原料、产品、中间产物在卸出、装车、转运过程中均要在经过防渗的场地进行，不得发生物料接触土壤的情况，如果有事故状态发生要及时处置，采取措施不得使车间内物料和车间冲洗废水漫流至车间外</w:t>
            </w:r>
            <w:r>
              <w:rPr>
                <w:rFonts w:hint="eastAsia"/>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2" w:firstLineChars="200"/>
              <w:textAlignment w:val="auto"/>
              <w:rPr>
                <w:rFonts w:hint="eastAsia" w:cs="宋体"/>
                <w:b/>
                <w:bCs w:val="0"/>
                <w:kern w:val="0"/>
                <w:szCs w:val="21"/>
                <w:highlight w:val="none"/>
                <w:lang w:val="en-US" w:eastAsia="zh-CN"/>
              </w:rPr>
            </w:pPr>
            <w:r>
              <w:rPr>
                <w:rFonts w:hint="eastAsia" w:cs="宋体"/>
                <w:b/>
                <w:bCs w:val="0"/>
                <w:kern w:val="0"/>
                <w:szCs w:val="21"/>
                <w:highlight w:val="none"/>
                <w:lang w:val="en-US" w:eastAsia="zh-CN"/>
              </w:rPr>
              <w:t>6、生态环境</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eastAsia" w:cs="宋体"/>
                <w:bCs/>
                <w:kern w:val="0"/>
                <w:szCs w:val="21"/>
                <w:highlight w:val="none"/>
                <w:lang w:val="en-US" w:eastAsia="zh-CN"/>
              </w:rPr>
            </w:pPr>
            <w:r>
              <w:rPr>
                <w:rFonts w:hint="eastAsia" w:cs="宋体"/>
                <w:bCs/>
                <w:kern w:val="0"/>
                <w:szCs w:val="21"/>
                <w:highlight w:val="none"/>
                <w:lang w:val="en-US" w:eastAsia="zh-CN"/>
              </w:rPr>
              <w:t>项目租用位于新乡市凤泉区大块镇小块村西已建厂房及厂房进行建设，无新增用地，施工期新建车间，同时根据调查，目前项目用地范围内无生态环境保护目标，项目建设不会对周边生态环境产生较大影响。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firstLine="422" w:firstLineChars="200"/>
              <w:textAlignment w:val="auto"/>
              <w:rPr>
                <w:rFonts w:hint="eastAsia" w:cs="宋体"/>
                <w:b/>
                <w:bCs w:val="0"/>
                <w:kern w:val="0"/>
                <w:szCs w:val="21"/>
                <w:highlight w:val="none"/>
                <w:lang w:val="en-US" w:eastAsia="zh-CN"/>
              </w:rPr>
            </w:pPr>
            <w:r>
              <w:rPr>
                <w:rFonts w:hint="eastAsia" w:cs="宋体"/>
                <w:b/>
                <w:bCs w:val="0"/>
                <w:kern w:val="0"/>
                <w:szCs w:val="21"/>
                <w:highlight w:val="none"/>
                <w:lang w:val="en-US" w:eastAsia="zh-CN"/>
              </w:rPr>
              <w:t>7、环境风险</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22" w:firstLineChars="200"/>
              <w:textAlignment w:val="auto"/>
              <w:rPr>
                <w:rFonts w:hint="default" w:ascii="Times New Roman" w:hAnsi="Times New Roman" w:eastAsia="宋体" w:cs="Times New Roman"/>
                <w:b/>
                <w:bCs w:val="0"/>
                <w:color w:val="auto"/>
                <w:kern w:val="0"/>
                <w:sz w:val="21"/>
                <w:szCs w:val="21"/>
                <w:highlight w:val="none"/>
              </w:rPr>
            </w:pPr>
            <w:r>
              <w:rPr>
                <w:rFonts w:hint="default" w:ascii="Times New Roman" w:hAnsi="Times New Roman" w:cs="Times New Roman"/>
                <w:b/>
                <w:bCs w:val="0"/>
                <w:color w:val="auto"/>
                <w:kern w:val="0"/>
                <w:sz w:val="21"/>
                <w:szCs w:val="21"/>
                <w:highlight w:val="none"/>
                <w:lang w:val="en-US" w:eastAsia="zh-CN"/>
              </w:rPr>
              <w:t>7</w:t>
            </w:r>
            <w:r>
              <w:rPr>
                <w:rFonts w:hint="default" w:ascii="Times New Roman" w:hAnsi="Times New Roman" w:eastAsia="宋体" w:cs="Times New Roman"/>
                <w:b/>
                <w:bCs w:val="0"/>
                <w:color w:val="auto"/>
                <w:kern w:val="0"/>
                <w:sz w:val="21"/>
                <w:szCs w:val="21"/>
                <w:highlight w:val="none"/>
              </w:rPr>
              <w:t>.1评价依据</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（1）风险调查</w:t>
            </w:r>
          </w:p>
          <w:p>
            <w:pPr>
              <w:keepNext w:val="0"/>
              <w:keepLines w:val="0"/>
              <w:pageBreakBefore w:val="0"/>
              <w:widowControl w:val="0"/>
              <w:kinsoku/>
              <w:wordWrap/>
              <w:overflowPunct/>
              <w:topLinePunct w:val="0"/>
              <w:autoSpaceDE w:val="0"/>
              <w:autoSpaceDN w:val="0"/>
              <w:bidi w:val="0"/>
              <w:adjustRightInd/>
              <w:snapToGrid/>
              <w:spacing w:line="360" w:lineRule="auto"/>
              <w:ind w:right="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工程涉及的主要原料主要为</w:t>
            </w:r>
            <w:r>
              <w:rPr>
                <w:rFonts w:hint="default" w:ascii="Times New Roman" w:hAnsi="Times New Roman" w:cs="Times New Roman"/>
                <w:color w:val="auto"/>
                <w:kern w:val="0"/>
                <w:sz w:val="21"/>
                <w:szCs w:val="21"/>
                <w:highlight w:val="none"/>
                <w:lang w:eastAsia="zh-CN"/>
              </w:rPr>
              <w:t>面筋、面粉</w:t>
            </w:r>
            <w:r>
              <w:rPr>
                <w:rFonts w:hint="default" w:ascii="Times New Roman" w:hAnsi="Times New Roman" w:eastAsia="宋体" w:cs="Times New Roman"/>
                <w:color w:val="auto"/>
                <w:kern w:val="0"/>
                <w:sz w:val="21"/>
                <w:szCs w:val="21"/>
                <w:highlight w:val="none"/>
              </w:rPr>
              <w:t>等，其中</w:t>
            </w:r>
            <w:r>
              <w:rPr>
                <w:rFonts w:hint="default" w:ascii="Times New Roman" w:hAnsi="Times New Roman" w:cs="Times New Roman"/>
                <w:color w:val="auto"/>
                <w:kern w:val="0"/>
                <w:sz w:val="21"/>
                <w:szCs w:val="21"/>
                <w:highlight w:val="none"/>
                <w:lang w:eastAsia="zh-CN"/>
              </w:rPr>
              <w:t>面筋、面粉</w:t>
            </w:r>
            <w:r>
              <w:rPr>
                <w:rFonts w:hint="default" w:ascii="Times New Roman" w:hAnsi="Times New Roman" w:eastAsia="宋体" w:cs="Times New Roman"/>
                <w:color w:val="auto"/>
                <w:kern w:val="0"/>
                <w:sz w:val="21"/>
                <w:szCs w:val="21"/>
                <w:highlight w:val="none"/>
              </w:rPr>
              <w:t>等均属于一般固体物质，不易泄漏引发环境风险；项目资源能源消耗主要为天然气，属于易燃易爆气体，因此确定工程风险物质为</w:t>
            </w:r>
            <w:r>
              <w:rPr>
                <w:rFonts w:hint="eastAsia" w:cs="Times New Roman"/>
                <w:color w:val="auto"/>
                <w:kern w:val="0"/>
                <w:sz w:val="21"/>
                <w:szCs w:val="21"/>
                <w:highlight w:val="none"/>
                <w:lang w:eastAsia="zh-CN"/>
              </w:rPr>
              <w:t>燃气管道</w:t>
            </w:r>
            <w:r>
              <w:rPr>
                <w:rFonts w:hint="default" w:ascii="Times New Roman" w:hAnsi="Times New Roman" w:eastAsia="宋体" w:cs="Times New Roman"/>
                <w:color w:val="auto"/>
                <w:kern w:val="0"/>
                <w:sz w:val="21"/>
                <w:szCs w:val="21"/>
                <w:highlight w:val="none"/>
              </w:rPr>
              <w:t>天然气</w:t>
            </w:r>
            <w:r>
              <w:rPr>
                <w:rFonts w:hint="eastAsia" w:cs="Times New Roman"/>
                <w:color w:val="auto"/>
                <w:kern w:val="0"/>
                <w:sz w:val="21"/>
                <w:szCs w:val="21"/>
                <w:highlight w:val="none"/>
                <w:lang w:eastAsia="zh-CN"/>
              </w:rPr>
              <w:t>，具体</w:t>
            </w:r>
            <w:r>
              <w:rPr>
                <w:rFonts w:hint="default" w:ascii="Times New Roman" w:hAnsi="Times New Roman" w:eastAsia="宋体" w:cs="Times New Roman"/>
                <w:color w:val="auto"/>
                <w:kern w:val="0"/>
                <w:sz w:val="21"/>
                <w:szCs w:val="21"/>
                <w:highlight w:val="none"/>
              </w:rPr>
              <w:t>储存方式及储存量见</w:t>
            </w:r>
            <w:r>
              <w:rPr>
                <w:rFonts w:hint="default" w:ascii="Times New Roman" w:hAnsi="Times New Roman" w:cs="Times New Roman"/>
                <w:color w:val="auto"/>
                <w:kern w:val="0"/>
                <w:sz w:val="21"/>
                <w:szCs w:val="21"/>
                <w:highlight w:val="none"/>
                <w:lang w:eastAsia="zh-CN"/>
              </w:rPr>
              <w:t>下表</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rPr>
              <w:br w:type="textWrapping"/>
            </w:r>
            <w:r>
              <w:rPr>
                <w:rFonts w:hint="default" w:ascii="Times New Roman" w:hAnsi="Times New Roman" w:eastAsia="宋体" w:cs="Times New Roman"/>
                <w:color w:val="auto"/>
                <w:kern w:val="0"/>
                <w:sz w:val="21"/>
                <w:szCs w:val="21"/>
                <w:highlight w:val="none"/>
              </w:rPr>
              <w:br w:type="textWrapping"/>
            </w:r>
            <w:r>
              <w:rPr>
                <w:rFonts w:hint="default" w:ascii="Times New Roman" w:hAnsi="Times New Roman" w:eastAsia="宋体" w:cs="Times New Roman"/>
                <w:color w:val="auto"/>
                <w:kern w:val="0"/>
                <w:sz w:val="21"/>
                <w:szCs w:val="21"/>
                <w:highlight w:val="none"/>
              </w:rPr>
              <w:br w:type="textWrapping"/>
            </w:r>
            <w:r>
              <w:rPr>
                <w:rFonts w:hint="default" w:ascii="Times New Roman" w:hAnsi="Times New Roman" w:eastAsia="宋体" w:cs="Times New Roman"/>
                <w:color w:val="auto"/>
                <w:kern w:val="0"/>
                <w:sz w:val="21"/>
                <w:szCs w:val="21"/>
                <w:highlight w:val="none"/>
              </w:rPr>
              <w:br w:type="textWrapp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default" w:eastAsia="黑体" w:cs="Times New Roman"/>
                <w:color w:val="auto"/>
                <w:sz w:val="18"/>
                <w:szCs w:val="18"/>
                <w:highlight w:val="none"/>
                <w:lang w:val="en-US" w:eastAsia="zh-CN"/>
              </w:rPr>
              <w:t xml:space="preserve">   项目风险物质储存方式及储存量一览表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2119"/>
              <w:gridCol w:w="1072"/>
              <w:gridCol w:w="1128"/>
              <w:gridCol w:w="192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96" w:type="pct"/>
                  <w:noWrap w:val="0"/>
                  <w:vAlign w:val="center"/>
                </w:tcPr>
                <w:p>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1460" w:type="pct"/>
                  <w:noWrap w:val="0"/>
                  <w:vAlign w:val="center"/>
                </w:tcPr>
                <w:p>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主要成分</w:t>
                  </w:r>
                </w:p>
              </w:tc>
              <w:tc>
                <w:tcPr>
                  <w:tcW w:w="739" w:type="pct"/>
                  <w:noWrap w:val="0"/>
                  <w:vAlign w:val="center"/>
                </w:tcPr>
                <w:p>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形态</w:t>
                  </w:r>
                </w:p>
              </w:tc>
              <w:tc>
                <w:tcPr>
                  <w:tcW w:w="777" w:type="pct"/>
                  <w:noWrap w:val="0"/>
                  <w:vAlign w:val="center"/>
                </w:tcPr>
                <w:p>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储存方式</w:t>
                  </w:r>
                </w:p>
              </w:tc>
              <w:tc>
                <w:tcPr>
                  <w:tcW w:w="1326" w:type="pct"/>
                  <w:noWrap w:val="0"/>
                  <w:vAlign w:val="center"/>
                </w:tcPr>
                <w:p>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一次最大储存量（t）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96" w:type="pct"/>
                  <w:noWrap w:val="0"/>
                  <w:vAlign w:val="center"/>
                </w:tcPr>
                <w:p>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天然气</w:t>
                  </w:r>
                </w:p>
              </w:tc>
              <w:tc>
                <w:tcPr>
                  <w:tcW w:w="1460" w:type="pct"/>
                  <w:noWrap w:val="0"/>
                  <w:vAlign w:val="center"/>
                </w:tcPr>
                <w:p>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CH</w:t>
                  </w:r>
                  <w:r>
                    <w:rPr>
                      <w:rFonts w:hint="default" w:ascii="Times New Roman" w:hAnsi="Times New Roman" w:cs="Times New Roman"/>
                      <w:color w:val="auto"/>
                      <w:sz w:val="18"/>
                      <w:szCs w:val="18"/>
                      <w:highlight w:val="none"/>
                      <w:vertAlign w:val="subscript"/>
                    </w:rPr>
                    <w:t>4</w:t>
                  </w:r>
                </w:p>
              </w:tc>
              <w:tc>
                <w:tcPr>
                  <w:tcW w:w="739" w:type="pct"/>
                  <w:noWrap w:val="0"/>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气态</w:t>
                  </w:r>
                </w:p>
              </w:tc>
              <w:tc>
                <w:tcPr>
                  <w:tcW w:w="777" w:type="pct"/>
                  <w:noWrap w:val="0"/>
                  <w:vAlign w:val="center"/>
                </w:tcPr>
                <w:p>
                  <w:pPr>
                    <w:spacing w:line="240" w:lineRule="auto"/>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燃气管道</w:t>
                  </w:r>
                </w:p>
              </w:tc>
              <w:tc>
                <w:tcPr>
                  <w:tcW w:w="1326" w:type="pct"/>
                  <w:noWrap w:val="0"/>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0.002</w:t>
                  </w:r>
                </w:p>
              </w:tc>
            </w:tr>
          </w:tbl>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default" w:eastAsia="黑体" w:cs="Times New Roman"/>
                <w:color w:val="auto"/>
                <w:sz w:val="18"/>
                <w:szCs w:val="18"/>
                <w:highlight w:val="none"/>
                <w:lang w:val="en-US" w:eastAsia="zh-CN"/>
              </w:rPr>
              <w:t xml:space="preserve">  天然气理化性质及毒性数据</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936"/>
              <w:gridCol w:w="705"/>
              <w:gridCol w:w="1294"/>
              <w:gridCol w:w="347"/>
              <w:gridCol w:w="17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noWrap w:val="0"/>
                  <w:vAlign w:val="center"/>
                </w:tcPr>
                <w:p>
                  <w:pPr>
                    <w:spacing w:line="240" w:lineRule="auto"/>
                    <w:jc w:val="center"/>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第一部分危险性概述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危险性类别：</w:t>
                  </w:r>
                </w:p>
              </w:tc>
              <w:tc>
                <w:tcPr>
                  <w:tcW w:w="1820"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第2.1类易燃气体。</w:t>
                  </w:r>
                </w:p>
              </w:tc>
              <w:tc>
                <w:tcPr>
                  <w:tcW w:w="1131"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燃爆危险：</w:t>
                  </w:r>
                </w:p>
              </w:tc>
              <w:tc>
                <w:tcPr>
                  <w:tcW w:w="1216"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易燃、易爆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侵入途径：</w:t>
                  </w:r>
                </w:p>
              </w:tc>
              <w:tc>
                <w:tcPr>
                  <w:tcW w:w="1820"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吸入</w:t>
                  </w:r>
                </w:p>
              </w:tc>
              <w:tc>
                <w:tcPr>
                  <w:tcW w:w="1131"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有害燃烧产物：</w:t>
                  </w:r>
                </w:p>
              </w:tc>
              <w:tc>
                <w:tcPr>
                  <w:tcW w:w="1216"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一氧化碳、二氧化碳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第二部分理化特性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外观及性状：</w:t>
                  </w:r>
                </w:p>
              </w:tc>
              <w:tc>
                <w:tcPr>
                  <w:tcW w:w="4169" w:type="pct"/>
                  <w:gridSpan w:val="5"/>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无色无味气体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闪点（℃）：</w:t>
                  </w:r>
                </w:p>
              </w:tc>
              <w:tc>
                <w:tcPr>
                  <w:tcW w:w="1334"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-218</w:t>
                  </w:r>
                </w:p>
              </w:tc>
              <w:tc>
                <w:tcPr>
                  <w:tcW w:w="1378"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密度</w:t>
                  </w:r>
                </w:p>
              </w:tc>
              <w:tc>
                <w:tcPr>
                  <w:tcW w:w="1456" w:type="pct"/>
                  <w:gridSpan w:val="2"/>
                  <w:noWrap w:val="0"/>
                  <w:vAlign w:val="center"/>
                </w:tcPr>
                <w:p>
                  <w:pPr>
                    <w:spacing w:line="240" w:lineRule="auto"/>
                    <w:jc w:val="left"/>
                    <w:rPr>
                      <w:rFonts w:hint="default" w:ascii="Times New Roman" w:hAnsi="Times New Roman" w:eastAsia="宋体" w:cs="Times New Roman"/>
                      <w:bCs/>
                      <w:color w:val="auto"/>
                      <w:spacing w:val="-4"/>
                      <w:sz w:val="18"/>
                      <w:szCs w:val="18"/>
                      <w:highlight w:val="none"/>
                      <w:lang w:val="en-US" w:eastAsia="zh-CN"/>
                    </w:rPr>
                  </w:pPr>
                  <w:r>
                    <w:rPr>
                      <w:rFonts w:hint="default" w:ascii="Times New Roman" w:hAnsi="Times New Roman" w:cs="Times New Roman"/>
                      <w:bCs/>
                      <w:color w:val="auto"/>
                      <w:spacing w:val="-4"/>
                      <w:sz w:val="18"/>
                      <w:szCs w:val="18"/>
                      <w:highlight w:val="none"/>
                    </w:rPr>
                    <w:t>0.70kg/N</w:t>
                  </w:r>
                  <w:r>
                    <w:rPr>
                      <w:rFonts w:hint="default" w:ascii="Times New Roman" w:hAnsi="Times New Roman" w:cs="Times New Roman" w:eastAsiaTheme="minorEastAsia"/>
                      <w:b w:val="0"/>
                      <w:bCs/>
                      <w:color w:val="auto"/>
                      <w:sz w:val="18"/>
                      <w:szCs w:val="18"/>
                      <w:highlight w:val="none"/>
                      <w:lang w:val="en-US" w:eastAsia="zh-CN"/>
                    </w:rPr>
                    <w:t>m</w:t>
                  </w:r>
                  <w:r>
                    <w:rPr>
                      <w:rFonts w:hint="default" w:ascii="Times New Roman" w:hAnsi="Times New Roman" w:cs="Times New Roman" w:eastAsiaTheme="minorEastAsia"/>
                      <w:b w:val="0"/>
                      <w:bCs/>
                      <w:color w:val="auto"/>
                      <w:sz w:val="18"/>
                      <w:szCs w:val="18"/>
                      <w:highlight w:val="none"/>
                      <w:vertAlign w:val="superscript"/>
                      <w:lang w:val="en-US" w:eastAsia="zh-CN"/>
                    </w:rPr>
                    <w:t>3</w:t>
                  </w:r>
                  <w:r>
                    <w:rPr>
                      <w:rFonts w:hint="default" w:ascii="Times New Roman" w:hAnsi="Times New Roman" w:cs="Times New Roman"/>
                      <w:bCs/>
                      <w:color w:val="auto"/>
                      <w:spacing w:val="-4"/>
                      <w:sz w:val="18"/>
                      <w:szCs w:val="18"/>
                      <w:highlight w:val="none"/>
                    </w:rPr>
                    <w:t>（气态）</w:t>
                  </w:r>
                  <w:r>
                    <w:rPr>
                      <w:rFonts w:hint="default" w:ascii="Times New Roman" w:hAnsi="Times New Roman" w:cs="Times New Roman"/>
                      <w:bCs/>
                      <w:color w:val="auto"/>
                      <w:spacing w:val="-4"/>
                      <w:sz w:val="18"/>
                      <w:szCs w:val="18"/>
                      <w:highlight w:val="none"/>
                    </w:rPr>
                    <w:br w:type="textWrapping"/>
                  </w:r>
                  <w:r>
                    <w:rPr>
                      <w:rFonts w:hint="default" w:ascii="Times New Roman" w:hAnsi="Times New Roman" w:cs="Times New Roman"/>
                      <w:bCs/>
                      <w:color w:val="auto"/>
                      <w:spacing w:val="-4"/>
                      <w:sz w:val="18"/>
                      <w:szCs w:val="18"/>
                      <w:highlight w:val="none"/>
                      <w:lang w:val="en-US" w:eastAsia="zh-CN"/>
                    </w:rPr>
                    <w:t>0.46t/m</w:t>
                  </w:r>
                  <w:r>
                    <w:rPr>
                      <w:rFonts w:hint="default" w:ascii="Times New Roman" w:hAnsi="Times New Roman" w:cs="Times New Roman"/>
                      <w:bCs/>
                      <w:color w:val="auto"/>
                      <w:spacing w:val="-4"/>
                      <w:sz w:val="18"/>
                      <w:szCs w:val="18"/>
                      <w:highlight w:val="none"/>
                      <w:vertAlign w:val="superscript"/>
                      <w:lang w:val="en-US" w:eastAsia="zh-CN"/>
                    </w:rPr>
                    <w:t>3</w:t>
                  </w:r>
                  <w:r>
                    <w:rPr>
                      <w:rFonts w:hint="default" w:ascii="Times New Roman" w:hAnsi="Times New Roman" w:cs="Times New Roman"/>
                      <w:bCs/>
                      <w:color w:val="auto"/>
                      <w:spacing w:val="-4"/>
                      <w:sz w:val="18"/>
                      <w:szCs w:val="18"/>
                      <w:highlight w:val="none"/>
                      <w:lang w:val="en-US" w:eastAsia="zh-CN"/>
                    </w:rPr>
                    <w:t>（液态）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自然点（℃）：</w:t>
                  </w:r>
                </w:p>
              </w:tc>
              <w:tc>
                <w:tcPr>
                  <w:tcW w:w="1334"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500~700</w:t>
                  </w:r>
                </w:p>
              </w:tc>
              <w:tc>
                <w:tcPr>
                  <w:tcW w:w="1378"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相对密度（空气=1）</w:t>
                  </w:r>
                </w:p>
              </w:tc>
              <w:tc>
                <w:tcPr>
                  <w:tcW w:w="1456"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0.56～1.0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温度（℃）：</w:t>
                  </w:r>
                </w:p>
              </w:tc>
              <w:tc>
                <w:tcPr>
                  <w:tcW w:w="1334"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15±5</w:t>
                  </w:r>
                </w:p>
              </w:tc>
              <w:tc>
                <w:tcPr>
                  <w:tcW w:w="1378"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爆炸上限％（V/V）：</w:t>
                  </w:r>
                </w:p>
              </w:tc>
              <w:tc>
                <w:tcPr>
                  <w:tcW w:w="1456"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13~17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液化温度（℃）：</w:t>
                  </w:r>
                </w:p>
              </w:tc>
              <w:tc>
                <w:tcPr>
                  <w:tcW w:w="1334"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-161</w:t>
                  </w:r>
                </w:p>
              </w:tc>
              <w:tc>
                <w:tcPr>
                  <w:tcW w:w="1378"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爆炸下限％（V/V）：</w:t>
                  </w:r>
                </w:p>
              </w:tc>
              <w:tc>
                <w:tcPr>
                  <w:tcW w:w="1456"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3.6~6.5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主要用途：</w:t>
                  </w:r>
                </w:p>
              </w:tc>
              <w:tc>
                <w:tcPr>
                  <w:tcW w:w="4169" w:type="pct"/>
                  <w:gridSpan w:val="5"/>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主要用作发电、化工原料、民用及工业燃料、汽车燃料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第三部分稳定性及化学活性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稳定性：</w:t>
                  </w:r>
                </w:p>
              </w:tc>
              <w:tc>
                <w:tcPr>
                  <w:tcW w:w="1334"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稳定</w:t>
                  </w:r>
                </w:p>
              </w:tc>
              <w:tc>
                <w:tcPr>
                  <w:tcW w:w="1378"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避免接触的条件：</w:t>
                  </w:r>
                </w:p>
              </w:tc>
              <w:tc>
                <w:tcPr>
                  <w:tcW w:w="1456"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明火、高热。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禁配物：</w:t>
                  </w:r>
                </w:p>
              </w:tc>
              <w:tc>
                <w:tcPr>
                  <w:tcW w:w="1334"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强氧化剂</w:t>
                  </w:r>
                </w:p>
              </w:tc>
              <w:tc>
                <w:tcPr>
                  <w:tcW w:w="1378"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聚合危害：</w:t>
                  </w:r>
                </w:p>
              </w:tc>
              <w:tc>
                <w:tcPr>
                  <w:tcW w:w="1456" w:type="pct"/>
                  <w:gridSpan w:val="2"/>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不聚合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第四部分毒理学资料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急性中毒：</w:t>
                  </w:r>
                </w:p>
              </w:tc>
              <w:tc>
                <w:tcPr>
                  <w:tcW w:w="4169" w:type="pct"/>
                  <w:gridSpan w:val="5"/>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主要为中枢神经系统和心血管系统，约16.5%中重中毒者留有后遗症，主要表现为神经系统症状头痛、头昏、乏力、多梦、失眠、反应迟钝、记忆力下降，个别有阵发性肌颤、失语、偏瘫，经过适当治疗可以恢复正常，即使严重的后遗症也呈可逆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慢性中毒：</w:t>
                  </w:r>
                </w:p>
              </w:tc>
              <w:tc>
                <w:tcPr>
                  <w:tcW w:w="4169" w:type="pct"/>
                  <w:gridSpan w:val="5"/>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头痛、头晕、胸闷、恶心、呕吐、乏力，重者昏迷、紫绀、咳嗽、胸痛、呼吸急促、呼吸困难、抽搐、心律失常，部分病例出现精神症状。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健康危害：</w:t>
                  </w:r>
                </w:p>
              </w:tc>
              <w:tc>
                <w:tcPr>
                  <w:tcW w:w="4169" w:type="pct"/>
                  <w:gridSpan w:val="5"/>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天然气中毒主要表现在中枢神经系统和心血管系统，轻者头痛、头晕、胸闷、恶心、呕吐、乏力，重者昏迷、紫绀、咳嗽、胸痛、呼吸急促、呼吸困难、抽搐、心律失常，部分病例出现精神症状。有脑水肿、肺水肿、心肌炎、肺炎等并发症。约16.5%中重中毒者留有后遗症，主要表现为神经系统症状头痛、头昏、乏力、多梦、失眠、反应迟钝、记忆力下降，个别有阵发性肌颤、失语、偏瘫，经过适当治疗可以恢复正常，即使严重的后遗症也呈可逆性。长期接触天然气，主要表现为类神经症，头晕、头痛、失眠、记忆力减退、恶心、乏力、食欲不振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0" w:type="pct"/>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环境危害：</w:t>
                  </w:r>
                </w:p>
              </w:tc>
              <w:tc>
                <w:tcPr>
                  <w:tcW w:w="4169" w:type="pct"/>
                  <w:gridSpan w:val="5"/>
                  <w:noWrap w:val="0"/>
                  <w:vAlign w:val="center"/>
                </w:tcPr>
                <w:p>
                  <w:pPr>
                    <w:spacing w:line="240" w:lineRule="auto"/>
                    <w:jc w:val="left"/>
                    <w:rPr>
                      <w:rFonts w:hint="default" w:ascii="Times New Roman" w:hAnsi="Times New Roman" w:cs="Times New Roman"/>
                      <w:bCs/>
                      <w:color w:val="auto"/>
                      <w:spacing w:val="-4"/>
                      <w:sz w:val="18"/>
                      <w:szCs w:val="18"/>
                      <w:highlight w:val="none"/>
                    </w:rPr>
                  </w:pPr>
                  <w:r>
                    <w:rPr>
                      <w:rFonts w:hint="default" w:ascii="Times New Roman" w:hAnsi="Times New Roman" w:cs="Times New Roman"/>
                      <w:bCs/>
                      <w:color w:val="auto"/>
                      <w:spacing w:val="-4"/>
                      <w:sz w:val="18"/>
                      <w:szCs w:val="18"/>
                      <w:highlight w:val="none"/>
                    </w:rPr>
                    <w:t>该物质对环境有危害，应特别注意对大气的污染。</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（2）风险潜势初判</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建设项目环境风险评价技术导则》（HJ169-2018）中规定，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当只涉及一种危险物质时，计算该物质的总量与其临界量比值，即为Q；</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当存在多种危险物质时，则按下式计算物质总量与其临界量比值（Q）：</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Q=q</w:t>
            </w:r>
            <w:r>
              <w:rPr>
                <w:rFonts w:hint="default" w:ascii="Times New Roman" w:hAnsi="Times New Roman" w:cs="Times New Roman"/>
                <w:color w:val="auto"/>
                <w:sz w:val="21"/>
                <w:szCs w:val="21"/>
                <w:highlight w:val="none"/>
                <w:vertAlign w:val="subscript"/>
              </w:rPr>
              <w:t>1</w:t>
            </w:r>
            <w:r>
              <w:rPr>
                <w:rFonts w:hint="default" w:ascii="Times New Roman" w:hAnsi="Times New Roman" w:cs="Times New Roman"/>
                <w:color w:val="auto"/>
                <w:sz w:val="21"/>
                <w:szCs w:val="21"/>
                <w:highlight w:val="none"/>
              </w:rPr>
              <w:t>/Q</w:t>
            </w:r>
            <w:r>
              <w:rPr>
                <w:rFonts w:hint="default" w:ascii="Times New Roman" w:hAnsi="Times New Roman" w:cs="Times New Roman"/>
                <w:color w:val="auto"/>
                <w:sz w:val="21"/>
                <w:szCs w:val="21"/>
                <w:highlight w:val="none"/>
                <w:vertAlign w:val="subscript"/>
              </w:rPr>
              <w:t>1</w:t>
            </w:r>
            <w:r>
              <w:rPr>
                <w:rFonts w:hint="default" w:ascii="Times New Roman" w:hAnsi="Times New Roman" w:cs="Times New Roman"/>
                <w:color w:val="auto"/>
                <w:sz w:val="21"/>
                <w:szCs w:val="21"/>
                <w:highlight w:val="none"/>
              </w:rPr>
              <w:t>+q</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/Q</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+q</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/Q</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+……+q</w:t>
            </w:r>
            <w:r>
              <w:rPr>
                <w:rFonts w:hint="default" w:ascii="Times New Roman" w:hAnsi="Times New Roman" w:cs="Times New Roman"/>
                <w:color w:val="auto"/>
                <w:sz w:val="21"/>
                <w:szCs w:val="21"/>
                <w:highlight w:val="none"/>
                <w:vertAlign w:val="subscript"/>
              </w:rPr>
              <w:t>n</w:t>
            </w:r>
            <w:r>
              <w:rPr>
                <w:rFonts w:hint="default" w:ascii="Times New Roman" w:hAnsi="Times New Roman" w:cs="Times New Roman"/>
                <w:color w:val="auto"/>
                <w:sz w:val="21"/>
                <w:szCs w:val="21"/>
                <w:highlight w:val="none"/>
              </w:rPr>
              <w:t>/Qn</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式中：q</w:t>
            </w:r>
            <w:r>
              <w:rPr>
                <w:rFonts w:hint="default" w:ascii="Times New Roman" w:hAnsi="Times New Roman" w:cs="Times New Roman"/>
                <w:color w:val="auto"/>
                <w:sz w:val="21"/>
                <w:szCs w:val="21"/>
                <w:highlight w:val="none"/>
                <w:vertAlign w:val="subscript"/>
              </w:rPr>
              <w:t>1</w:t>
            </w:r>
            <w:r>
              <w:rPr>
                <w:rFonts w:hint="default" w:ascii="Times New Roman" w:hAnsi="Times New Roman" w:cs="Times New Roman"/>
                <w:color w:val="auto"/>
                <w:sz w:val="21"/>
                <w:szCs w:val="21"/>
                <w:highlight w:val="none"/>
              </w:rPr>
              <w:t>，q</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，……q</w:t>
            </w:r>
            <w:r>
              <w:rPr>
                <w:rFonts w:hint="default" w:ascii="Times New Roman" w:hAnsi="Times New Roman" w:cs="Times New Roman"/>
                <w:color w:val="auto"/>
                <w:sz w:val="21"/>
                <w:szCs w:val="21"/>
                <w:highlight w:val="none"/>
                <w:vertAlign w:val="subscript"/>
              </w:rPr>
              <w:t>n</w:t>
            </w:r>
            <w:r>
              <w:rPr>
                <w:rFonts w:hint="default" w:ascii="Times New Roman" w:hAnsi="Times New Roman" w:cs="Times New Roman"/>
                <w:color w:val="auto"/>
                <w:sz w:val="21"/>
                <w:szCs w:val="21"/>
                <w:highlight w:val="none"/>
              </w:rPr>
              <w:t>－每种危险物质的最大存在总量，t；</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Q</w:t>
            </w:r>
            <w:r>
              <w:rPr>
                <w:rFonts w:hint="default" w:ascii="Times New Roman" w:hAnsi="Times New Roman" w:cs="Times New Roman"/>
                <w:color w:val="auto"/>
                <w:sz w:val="21"/>
                <w:szCs w:val="21"/>
                <w:highlight w:val="none"/>
                <w:vertAlign w:val="subscript"/>
              </w:rPr>
              <w:t>1</w:t>
            </w:r>
            <w:r>
              <w:rPr>
                <w:rFonts w:hint="default" w:ascii="Times New Roman" w:hAnsi="Times New Roman" w:cs="Times New Roman"/>
                <w:color w:val="auto"/>
                <w:sz w:val="21"/>
                <w:szCs w:val="21"/>
                <w:highlight w:val="none"/>
              </w:rPr>
              <w:t>，Q</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，……Q</w:t>
            </w:r>
            <w:r>
              <w:rPr>
                <w:rFonts w:hint="default" w:ascii="Times New Roman" w:hAnsi="Times New Roman" w:cs="Times New Roman"/>
                <w:color w:val="auto"/>
                <w:sz w:val="21"/>
                <w:szCs w:val="21"/>
                <w:highlight w:val="none"/>
                <w:vertAlign w:val="subscript"/>
              </w:rPr>
              <w:t>n</w:t>
            </w:r>
            <w:r>
              <w:rPr>
                <w:rFonts w:hint="default" w:ascii="Times New Roman" w:hAnsi="Times New Roman" w:cs="Times New Roman"/>
                <w:color w:val="auto"/>
                <w:sz w:val="21"/>
                <w:szCs w:val="21"/>
                <w:highlight w:val="none"/>
              </w:rPr>
              <w:t>－每种危险物质的临界量，t。</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当Q＜1时，该项目环境风险潜势为Ⅰ。</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当Q≥1时，将Q值划分为：（1）1≤Q＜10；（2）10≤Q＜100；（3）Q≥100。</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本项目重点关注危险物质为天然气，根据《建设项目环境风险评价技术导则》（HJ169-2018）附录B突发环境事件风险物质及临界量，本项目危险物质一次最大储存量与临界量对比情况见下表。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color w:val="auto"/>
                <w:sz w:val="18"/>
                <w:szCs w:val="18"/>
                <w:highlight w:val="none"/>
                <w:lang w:val="en-US" w:eastAsia="zh-CN"/>
              </w:rPr>
            </w:pPr>
            <w:r>
              <w:rPr>
                <w:rFonts w:hint="default" w:eastAsia="黑体" w:cs="Times New Roman"/>
                <w:color w:val="auto"/>
                <w:sz w:val="18"/>
                <w:szCs w:val="18"/>
                <w:highlight w:val="none"/>
                <w:lang w:val="en-US" w:eastAsia="zh-CN"/>
              </w:rPr>
              <w:t xml:space="preserve">  项目危险物质一次最大储存量与临界量对比表单位：t</w:t>
            </w:r>
          </w:p>
          <w:tbl>
            <w:tblPr>
              <w:tblStyle w:val="1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28" w:type="dxa"/>
                <w:bottom w:w="28" w:type="dxa"/>
                <w:right w:w="28" w:type="dxa"/>
              </w:tblCellMar>
            </w:tblPr>
            <w:tblGrid>
              <w:gridCol w:w="1568"/>
              <w:gridCol w:w="1567"/>
              <w:gridCol w:w="1661"/>
              <w:gridCol w:w="1064"/>
              <w:gridCol w:w="13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5" w:hRule="atLeast"/>
                <w:jc w:val="center"/>
              </w:trPr>
              <w:tc>
                <w:tcPr>
                  <w:tcW w:w="1081" w:type="pct"/>
                  <w:noWrap w:val="0"/>
                  <w:vAlign w:val="center"/>
                </w:tcPr>
                <w:p>
                  <w:pPr>
                    <w:spacing w:line="24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风险源</w:t>
                  </w:r>
                </w:p>
              </w:tc>
              <w:tc>
                <w:tcPr>
                  <w:tcW w:w="1080" w:type="pct"/>
                  <w:noWrap w:val="0"/>
                  <w:vAlign w:val="center"/>
                </w:tcPr>
                <w:p>
                  <w:pPr>
                    <w:spacing w:line="24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危化品名称</w:t>
                  </w:r>
                </w:p>
              </w:tc>
              <w:tc>
                <w:tcPr>
                  <w:tcW w:w="1145" w:type="pct"/>
                  <w:noWrap w:val="0"/>
                  <w:vAlign w:val="center"/>
                </w:tcPr>
                <w:p>
                  <w:pPr>
                    <w:spacing w:line="240" w:lineRule="exact"/>
                    <w:ind w:firstLine="90" w:firstLineChars="5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最大储存量</w:t>
                  </w:r>
                </w:p>
              </w:tc>
              <w:tc>
                <w:tcPr>
                  <w:tcW w:w="733" w:type="pct"/>
                  <w:noWrap w:val="0"/>
                  <w:vAlign w:val="center"/>
                </w:tcPr>
                <w:p>
                  <w:pPr>
                    <w:spacing w:line="24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临界量</w:t>
                  </w:r>
                </w:p>
              </w:tc>
              <w:tc>
                <w:tcPr>
                  <w:tcW w:w="959" w:type="pct"/>
                  <w:noWrap w:val="0"/>
                  <w:vAlign w:val="center"/>
                </w:tcPr>
                <w:p>
                  <w:pPr>
                    <w:spacing w:line="24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q</w:t>
                  </w:r>
                  <w:r>
                    <w:rPr>
                      <w:rFonts w:hint="default" w:ascii="Times New Roman" w:hAnsi="Times New Roman" w:cs="Times New Roman"/>
                      <w:color w:val="auto"/>
                      <w:sz w:val="18"/>
                      <w:szCs w:val="18"/>
                      <w:highlight w:val="none"/>
                      <w:vertAlign w:val="subscript"/>
                    </w:rPr>
                    <w:t>i</w:t>
                  </w:r>
                  <w:r>
                    <w:rPr>
                      <w:rFonts w:hint="default" w:ascii="Times New Roman" w:hAnsi="Times New Roman" w:cs="Times New Roman"/>
                      <w:color w:val="auto"/>
                      <w:sz w:val="18"/>
                      <w:szCs w:val="18"/>
                      <w:highlight w:val="none"/>
                    </w:rPr>
                    <w:t>/Q</w:t>
                  </w:r>
                  <w:r>
                    <w:rPr>
                      <w:rFonts w:hint="default" w:ascii="Times New Roman" w:hAnsi="Times New Roman" w:cs="Times New Roman"/>
                      <w:color w:val="auto"/>
                      <w:sz w:val="18"/>
                      <w:szCs w:val="18"/>
                      <w:highlight w:val="none"/>
                      <w:vertAlign w:val="subscript"/>
                    </w:rPr>
                    <w:t>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22" w:hRule="atLeast"/>
                <w:jc w:val="center"/>
              </w:trPr>
              <w:tc>
                <w:tcPr>
                  <w:tcW w:w="1081" w:type="pct"/>
                  <w:noWrap w:val="0"/>
                  <w:vAlign w:val="center"/>
                </w:tcPr>
                <w:p>
                  <w:pPr>
                    <w:spacing w:line="24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液化</w:t>
                  </w:r>
                  <w:r>
                    <w:rPr>
                      <w:rFonts w:hint="default" w:ascii="Times New Roman" w:hAnsi="Times New Roman" w:cs="Times New Roman"/>
                      <w:color w:val="auto"/>
                      <w:sz w:val="18"/>
                      <w:szCs w:val="18"/>
                      <w:highlight w:val="none"/>
                    </w:rPr>
                    <w:t>天然气</w:t>
                  </w:r>
                  <w:r>
                    <w:rPr>
                      <w:rFonts w:hint="default" w:ascii="Times New Roman" w:hAnsi="Times New Roman" w:cs="Times New Roman"/>
                      <w:color w:val="auto"/>
                      <w:sz w:val="18"/>
                      <w:szCs w:val="18"/>
                      <w:highlight w:val="none"/>
                      <w:lang w:eastAsia="zh-CN"/>
                    </w:rPr>
                    <w:t>储罐</w:t>
                  </w:r>
                </w:p>
              </w:tc>
              <w:tc>
                <w:tcPr>
                  <w:tcW w:w="1080" w:type="pct"/>
                  <w:noWrap w:val="0"/>
                  <w:vAlign w:val="center"/>
                </w:tcPr>
                <w:p>
                  <w:pPr>
                    <w:spacing w:line="24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甲烷</w:t>
                  </w:r>
                </w:p>
              </w:tc>
              <w:tc>
                <w:tcPr>
                  <w:tcW w:w="1145" w:type="pct"/>
                  <w:noWrap w:val="0"/>
                  <w:vAlign w:val="center"/>
                </w:tcPr>
                <w:p>
                  <w:pPr>
                    <w:spacing w:line="240" w:lineRule="exact"/>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0.002</w:t>
                  </w:r>
                </w:p>
              </w:tc>
              <w:tc>
                <w:tcPr>
                  <w:tcW w:w="733" w:type="pct"/>
                  <w:noWrap w:val="0"/>
                  <w:vAlign w:val="center"/>
                </w:tcPr>
                <w:p>
                  <w:pPr>
                    <w:spacing w:line="24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959" w:type="pct"/>
                  <w:noWrap w:val="0"/>
                  <w:vAlign w:val="center"/>
                </w:tcPr>
                <w:p>
                  <w:pPr>
                    <w:spacing w:line="240" w:lineRule="exact"/>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0.0002</w:t>
                  </w:r>
                </w:p>
              </w:tc>
            </w:tr>
          </w:tbl>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outlineLvl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由上表可见，</w:t>
            </w:r>
            <w:r>
              <w:rPr>
                <w:rFonts w:hint="default" w:ascii="Times New Roman" w:hAnsi="Times New Roman" w:eastAsia="黑体" w:cs="Times New Roman"/>
                <w:bCs/>
                <w:color w:val="auto"/>
                <w:sz w:val="21"/>
                <w:szCs w:val="21"/>
                <w:highlight w:val="none"/>
              </w:rPr>
              <w:t>q</w:t>
            </w:r>
            <w:r>
              <w:rPr>
                <w:rFonts w:hint="default" w:ascii="Times New Roman" w:hAnsi="Times New Roman" w:eastAsia="黑体" w:cs="Times New Roman"/>
                <w:bCs/>
                <w:color w:val="auto"/>
                <w:sz w:val="21"/>
                <w:szCs w:val="21"/>
                <w:highlight w:val="none"/>
                <w:vertAlign w:val="subscript"/>
              </w:rPr>
              <w:t>1</w:t>
            </w:r>
            <w:r>
              <w:rPr>
                <w:rFonts w:hint="default" w:ascii="Times New Roman" w:hAnsi="Times New Roman" w:eastAsia="黑体" w:cs="Times New Roman"/>
                <w:bCs/>
                <w:color w:val="auto"/>
                <w:sz w:val="21"/>
                <w:szCs w:val="21"/>
                <w:highlight w:val="none"/>
              </w:rPr>
              <w:t>/Q</w:t>
            </w:r>
            <w:r>
              <w:rPr>
                <w:rFonts w:hint="default" w:ascii="Times New Roman" w:hAnsi="Times New Roman" w:eastAsia="黑体" w:cs="Times New Roman"/>
                <w:bCs/>
                <w:color w:val="auto"/>
                <w:sz w:val="21"/>
                <w:szCs w:val="21"/>
                <w:highlight w:val="none"/>
                <w:vertAlign w:val="subscript"/>
              </w:rPr>
              <w:t>1</w:t>
            </w:r>
            <w:r>
              <w:rPr>
                <w:rFonts w:hint="default" w:ascii="Times New Roman" w:hAnsi="Times New Roman" w:eastAsia="黑体" w:cs="Times New Roman"/>
                <w:bCs/>
                <w:color w:val="auto"/>
                <w:sz w:val="21"/>
                <w:szCs w:val="21"/>
                <w:highlight w:val="none"/>
              </w:rPr>
              <w:t>+q</w:t>
            </w:r>
            <w:r>
              <w:rPr>
                <w:rFonts w:hint="default" w:ascii="Times New Roman" w:hAnsi="Times New Roman" w:eastAsia="黑体" w:cs="Times New Roman"/>
                <w:bCs/>
                <w:color w:val="auto"/>
                <w:sz w:val="21"/>
                <w:szCs w:val="21"/>
                <w:highlight w:val="none"/>
                <w:vertAlign w:val="subscript"/>
              </w:rPr>
              <w:t>2</w:t>
            </w:r>
            <w:r>
              <w:rPr>
                <w:rFonts w:hint="default" w:ascii="Times New Roman" w:hAnsi="Times New Roman" w:eastAsia="黑体" w:cs="Times New Roman"/>
                <w:bCs/>
                <w:color w:val="auto"/>
                <w:sz w:val="21"/>
                <w:szCs w:val="21"/>
                <w:highlight w:val="none"/>
              </w:rPr>
              <w:t>/Q</w:t>
            </w:r>
            <w:r>
              <w:rPr>
                <w:rFonts w:hint="default" w:ascii="Times New Roman" w:hAnsi="Times New Roman" w:eastAsia="黑体" w:cs="Times New Roman"/>
                <w:bCs/>
                <w:color w:val="auto"/>
                <w:sz w:val="21"/>
                <w:szCs w:val="21"/>
                <w:highlight w:val="none"/>
                <w:vertAlign w:val="subscript"/>
              </w:rPr>
              <w:t>2</w:t>
            </w:r>
            <w:r>
              <w:rPr>
                <w:rFonts w:hint="default" w:ascii="Times New Roman" w:hAnsi="Times New Roman" w:eastAsia="黑体" w:cs="Times New Roman"/>
                <w:bCs/>
                <w:color w:val="auto"/>
                <w:sz w:val="21"/>
                <w:szCs w:val="21"/>
                <w:highlight w:val="none"/>
              </w:rPr>
              <w:t>＜1</w:t>
            </w:r>
            <w:r>
              <w:rPr>
                <w:rFonts w:hint="default" w:ascii="Times New Roman" w:hAnsi="Times New Roman" w:cs="Times New Roman"/>
                <w:bCs/>
                <w:color w:val="auto"/>
                <w:sz w:val="21"/>
                <w:szCs w:val="21"/>
                <w:highlight w:val="none"/>
              </w:rPr>
              <w:t>，因此确定该项目环境风险潜势为I</w:t>
            </w:r>
            <w:r>
              <w:rPr>
                <w:rFonts w:hint="default" w:ascii="Times New Roman" w:hAnsi="Times New Roman" w:cs="Times New Roman"/>
                <w:color w:val="auto"/>
                <w:sz w:val="21"/>
                <w:szCs w:val="21"/>
                <w:highlight w:val="none"/>
              </w:rPr>
              <w:t>。</w:t>
            </w:r>
          </w:p>
          <w:p>
            <w:pPr>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环境风险识别</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①风险识别范围</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风险识别范围包括生产设施风险识别和生产过程所涉及的物质风险识别。</w:t>
            </w:r>
          </w:p>
          <w:p>
            <w:pPr>
              <w:keepNext w:val="0"/>
              <w:keepLines w:val="0"/>
              <w:pageBreakBefore w:val="0"/>
              <w:widowControl w:val="0"/>
              <w:kinsoku/>
              <w:wordWrap/>
              <w:overflowPunct/>
              <w:topLinePunct w:val="0"/>
              <w:bidi w:val="0"/>
              <w:adjustRightInd/>
              <w:snapToGrid/>
              <w:spacing w:line="360" w:lineRule="auto"/>
              <w:ind w:firstLine="412" w:firstLineChars="200"/>
              <w:textAlignment w:val="auto"/>
              <w:rPr>
                <w:rFonts w:hint="default" w:ascii="Times New Roman" w:hAnsi="Times New Roman" w:cs="Times New Roman"/>
                <w:color w:val="auto"/>
                <w:spacing w:val="-2"/>
                <w:sz w:val="21"/>
                <w:szCs w:val="21"/>
                <w:highlight w:val="none"/>
              </w:rPr>
            </w:pPr>
            <w:r>
              <w:rPr>
                <w:rFonts w:hint="default" w:ascii="Times New Roman" w:hAnsi="Times New Roman" w:cs="Times New Roman"/>
                <w:color w:val="auto"/>
                <w:spacing w:val="-2"/>
                <w:sz w:val="21"/>
                <w:szCs w:val="21"/>
                <w:highlight w:val="none"/>
              </w:rPr>
              <w:t>生产设施风险识别范围包括主要生产装置、贮运系统、公用工程系统、环保设施及辅助生产设施等。本项目生产设施主要存在的风险事故为</w:t>
            </w:r>
            <w:r>
              <w:rPr>
                <w:rFonts w:hint="default" w:ascii="Times New Roman" w:hAnsi="Times New Roman" w:cs="Times New Roman"/>
                <w:color w:val="auto"/>
                <w:spacing w:val="-2"/>
                <w:sz w:val="21"/>
                <w:szCs w:val="21"/>
                <w:highlight w:val="none"/>
                <w:lang w:eastAsia="zh-CN"/>
              </w:rPr>
              <w:t>管道、</w:t>
            </w:r>
            <w:r>
              <w:rPr>
                <w:rFonts w:hint="default" w:ascii="Times New Roman" w:hAnsi="Times New Roman" w:cs="Times New Roman"/>
                <w:color w:val="auto"/>
                <w:spacing w:val="-2"/>
                <w:sz w:val="21"/>
                <w:szCs w:val="21"/>
                <w:highlight w:val="none"/>
              </w:rPr>
              <w:t>阀门</w:t>
            </w:r>
            <w:r>
              <w:rPr>
                <w:rFonts w:hint="default" w:ascii="Times New Roman" w:hAnsi="Times New Roman" w:cs="Times New Roman"/>
                <w:color w:val="auto"/>
                <w:spacing w:val="-2"/>
                <w:sz w:val="21"/>
                <w:szCs w:val="21"/>
                <w:highlight w:val="none"/>
                <w:lang w:eastAsia="zh-CN"/>
              </w:rPr>
              <w:t>等</w:t>
            </w:r>
            <w:r>
              <w:rPr>
                <w:rFonts w:hint="default" w:ascii="Times New Roman" w:hAnsi="Times New Roman" w:cs="Times New Roman"/>
                <w:color w:val="auto"/>
                <w:spacing w:val="-2"/>
                <w:sz w:val="21"/>
                <w:szCs w:val="21"/>
                <w:highlight w:val="none"/>
              </w:rPr>
              <w:t>破裂造成的</w:t>
            </w:r>
            <w:r>
              <w:rPr>
                <w:rFonts w:hint="default" w:ascii="Times New Roman" w:hAnsi="Times New Roman" w:cs="Times New Roman"/>
                <w:color w:val="auto"/>
                <w:spacing w:val="-2"/>
                <w:sz w:val="21"/>
                <w:szCs w:val="21"/>
                <w:highlight w:val="none"/>
                <w:lang w:eastAsia="zh-CN"/>
              </w:rPr>
              <w:t>燃气管道</w:t>
            </w:r>
            <w:r>
              <w:rPr>
                <w:rFonts w:hint="default" w:ascii="Times New Roman" w:hAnsi="Times New Roman" w:cs="Times New Roman"/>
                <w:color w:val="auto"/>
                <w:spacing w:val="-2"/>
                <w:sz w:val="21"/>
                <w:szCs w:val="21"/>
                <w:highlight w:val="none"/>
              </w:rPr>
              <w:t>泄露风险及</w:t>
            </w:r>
            <w:r>
              <w:rPr>
                <w:rFonts w:hint="default" w:ascii="Times New Roman" w:hAnsi="Times New Roman" w:cs="Times New Roman"/>
                <w:color w:val="auto"/>
                <w:spacing w:val="-2"/>
                <w:sz w:val="21"/>
                <w:szCs w:val="21"/>
                <w:highlight w:val="none"/>
                <w:lang w:eastAsia="zh-CN"/>
              </w:rPr>
              <w:t>遇明火</w:t>
            </w:r>
            <w:r>
              <w:rPr>
                <w:rFonts w:hint="default" w:ascii="Times New Roman" w:hAnsi="Times New Roman" w:cs="Times New Roman"/>
                <w:color w:val="auto"/>
                <w:spacing w:val="-2"/>
                <w:sz w:val="21"/>
                <w:szCs w:val="21"/>
                <w:highlight w:val="none"/>
              </w:rPr>
              <w:t>发生火灾爆炸、中毒窒息事故的风险。</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②风险类型</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风险类型主要为天然气的泄漏引起火灾爆炸或地下水污染。</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③物质风险性识别</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本项目存在风险物质主要为天然气，根据《建设项目环境风险评价技术导则》（HJ169-2018）有关资料，本项目涉及到的危险物质主要是天然气。</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④风险识别</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项目天然气采用</w:t>
            </w:r>
            <w:r>
              <w:rPr>
                <w:rFonts w:hint="default" w:ascii="Times New Roman" w:hAnsi="Times New Roman" w:cs="Times New Roman"/>
                <w:color w:val="auto"/>
                <w:sz w:val="21"/>
                <w:szCs w:val="21"/>
                <w:highlight w:val="none"/>
                <w:lang w:eastAsia="zh-CN"/>
              </w:rPr>
              <w:t>管道天然气</w:t>
            </w:r>
            <w:r>
              <w:rPr>
                <w:rFonts w:hint="default" w:ascii="Times New Roman" w:hAnsi="Times New Roman" w:cs="Times New Roman"/>
                <w:color w:val="auto"/>
                <w:sz w:val="21"/>
                <w:szCs w:val="21"/>
                <w:highlight w:val="none"/>
              </w:rPr>
              <w:t>，在使用过程中因管道、阀门等破裂会引发泄漏，遇高热或明后会引发火灾、爆炸，对厂区职工人身安全及财产安全造成影响。</w:t>
            </w:r>
          </w:p>
          <w:p>
            <w:pPr>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环境风险分析</w:t>
            </w:r>
          </w:p>
          <w:p>
            <w:pPr>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①对大气环境影响分析</w:t>
            </w:r>
          </w:p>
          <w:p>
            <w:pPr>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eastAsia="zh-CN"/>
              </w:rPr>
              <w:t>使用的</w:t>
            </w:r>
            <w:r>
              <w:rPr>
                <w:rFonts w:hint="default" w:ascii="Times New Roman" w:hAnsi="Times New Roman" w:cs="Times New Roman"/>
                <w:color w:val="auto"/>
                <w:sz w:val="21"/>
                <w:szCs w:val="21"/>
                <w:highlight w:val="none"/>
              </w:rPr>
              <w:t>天然气为易燃气体，与空气能形成爆炸性混合物，容易发生火灾爆炸。除爆炸冲击波和热辐射伤害外，火灾和爆炸过程中天然气燃烧后主要生产水、CO、CO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等物质。应落实各项风险防治及应急预案，消防应急人员迅速采取灭火措施有效抑制CO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和SO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等有害物质的排放，并及时疏导下风向人员、减轻环境影响。</w:t>
            </w:r>
          </w:p>
          <w:p>
            <w:pPr>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②对水环境影响分析</w:t>
            </w:r>
          </w:p>
          <w:p>
            <w:pPr>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天然气泄漏发生火灾爆炸事故时，消防应急人员灭火将产生消防废水。由于天然气无毒，微溶于水，因此消防废水对环境影响不大。</w:t>
            </w:r>
          </w:p>
          <w:p>
            <w:pPr>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当厂区局部发生火灾、爆炸事故，现场火灾扑救措施主要采用干粉，大的火灾扑救产生消防水，对周围地表水造成影响。</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当厂区发生火灾或者爆炸事故时，产生的消防废水不能直接排放，需设置消防废水收集池收集厂区灭火时产生的消防废水。参照《事故状态下水体污染的预防与控制技术要求》、《消防给水及消防栓系统技术规范》（GB50974-2014）和《化工建设项目环境保护设计规范》（GB50483-2009），项目需设置符合要求的事故储存设施对事故情况下废水进行收集。项目设置1座</w:t>
            </w:r>
            <w:r>
              <w:rPr>
                <w:rFonts w:hint="default" w:ascii="Times New Roman" w:hAnsi="Times New Roman" w:cs="Times New Roman"/>
                <w:color w:val="auto"/>
                <w:sz w:val="21"/>
                <w:szCs w:val="21"/>
                <w:highlight w:val="none"/>
                <w:lang w:val="en-US" w:eastAsia="zh-CN"/>
              </w:rPr>
              <w:t>15</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rPr>
              <w:t>的事故池。事故池必须有耐腐蚀的硬化地面和基础防渗层，地面无裂隙。</w:t>
            </w:r>
          </w:p>
          <w:p>
            <w:pPr>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环境风险防范措施及应急要求</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为降低工程环境风险影响，评价要求对天然气存储区采取相应的风险防范措施。</w:t>
            </w:r>
          </w:p>
          <w:p>
            <w:pPr>
              <w:keepNext w:val="0"/>
              <w:keepLines w:val="0"/>
              <w:pageBreakBefore w:val="0"/>
              <w:widowControl w:val="0"/>
              <w:kinsoku/>
              <w:wordWrap/>
              <w:overflowPunct/>
              <w:topLinePunct w:val="0"/>
              <w:bidi w:val="0"/>
              <w:adjustRightInd/>
              <w:snapToGrid/>
              <w:spacing w:line="360" w:lineRule="auto"/>
              <w:ind w:firstLine="404"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fldChar w:fldCharType="begin"/>
            </w:r>
            <w:r>
              <w:rPr>
                <w:rFonts w:hint="default" w:ascii="Times New Roman" w:hAnsi="Times New Roman" w:cs="Times New Roman"/>
                <w:color w:val="auto"/>
                <w:spacing w:val="-4"/>
                <w:sz w:val="21"/>
                <w:szCs w:val="21"/>
              </w:rPr>
              <w:instrText xml:space="preserve"> = 1 \* GB3 \* MERGEFORMAT </w:instrText>
            </w:r>
            <w:r>
              <w:rPr>
                <w:rFonts w:hint="default" w:ascii="Times New Roman" w:hAnsi="Times New Roman" w:cs="Times New Roman"/>
                <w:color w:val="auto"/>
                <w:spacing w:val="-4"/>
                <w:sz w:val="21"/>
                <w:szCs w:val="21"/>
              </w:rPr>
              <w:fldChar w:fldCharType="separate"/>
            </w:r>
            <w:r>
              <w:rPr>
                <w:rFonts w:hint="default" w:ascii="Times New Roman" w:hAnsi="Times New Roman" w:cs="Times New Roman"/>
                <w:color w:val="auto"/>
                <w:sz w:val="21"/>
                <w:szCs w:val="21"/>
              </w:rPr>
              <w:t>①</w:t>
            </w:r>
            <w:r>
              <w:rPr>
                <w:rFonts w:hint="default" w:ascii="Times New Roman" w:hAnsi="Times New Roman" w:cs="Times New Roman"/>
                <w:color w:val="auto"/>
                <w:spacing w:val="-4"/>
                <w:sz w:val="21"/>
                <w:szCs w:val="21"/>
              </w:rPr>
              <w:fldChar w:fldCharType="end"/>
            </w:r>
            <w:r>
              <w:rPr>
                <w:rFonts w:hint="default" w:ascii="Times New Roman" w:hAnsi="Times New Roman" w:cs="Times New Roman"/>
                <w:color w:val="auto"/>
                <w:spacing w:val="-4"/>
                <w:sz w:val="21"/>
                <w:szCs w:val="21"/>
              </w:rPr>
              <w:t>天然气储罐风险防范措施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天然气管道、阀门及弯曲连接处等设施必须在正压状态下运行，严禁在负压下运行</w:t>
            </w:r>
            <w:r>
              <w:rPr>
                <w:rFonts w:hint="eastAsia" w:cs="Times New Roman"/>
                <w:color w:val="auto"/>
                <w:sz w:val="21"/>
                <w:szCs w:val="21"/>
                <w:lang w:eastAsia="zh-CN"/>
              </w:rPr>
              <w:t>，</w:t>
            </w:r>
            <w:r>
              <w:rPr>
                <w:rFonts w:hint="default" w:ascii="Times New Roman" w:hAnsi="Times New Roman" w:cs="Times New Roman"/>
                <w:bCs/>
                <w:color w:val="auto"/>
                <w:sz w:val="21"/>
                <w:szCs w:val="21"/>
              </w:rPr>
              <w:t>在</w:t>
            </w:r>
            <w:r>
              <w:rPr>
                <w:rFonts w:hint="eastAsia" w:cs="Times New Roman"/>
                <w:bCs/>
                <w:color w:val="auto"/>
                <w:sz w:val="21"/>
                <w:szCs w:val="21"/>
                <w:lang w:eastAsia="zh-CN"/>
              </w:rPr>
              <w:t>调节柜</w:t>
            </w:r>
            <w:r>
              <w:rPr>
                <w:rFonts w:hint="default" w:ascii="Times New Roman" w:hAnsi="Times New Roman" w:cs="Times New Roman"/>
                <w:bCs/>
                <w:color w:val="auto"/>
                <w:sz w:val="21"/>
                <w:szCs w:val="21"/>
              </w:rPr>
              <w:t>设有安全阀、温度计、压力表、人孔、紧急切断装置等主要部件及导静电接地装置，阀门箱、防冲板、铭牌等附属部件组成。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紧急切断装置：紧急切断装置安装在罐体与液相管、气相管接口处，以便在管道发生大量泄漏时进行紧急止漏。</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2 \* GB3 \* MERGEFORMAT </w:instrText>
            </w:r>
            <w:r>
              <w:rPr>
                <w:rFonts w:hint="default" w:ascii="Times New Roman" w:hAnsi="Times New Roman" w:cs="Times New Roman"/>
                <w:color w:val="auto"/>
                <w:sz w:val="21"/>
                <w:szCs w:val="21"/>
              </w:rPr>
              <w:fldChar w:fldCharType="separate"/>
            </w:r>
            <w:r>
              <w:rPr>
                <w:sz w:val="21"/>
                <w:szCs w:val="21"/>
              </w:rPr>
              <w:t>②</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锅炉安全事故风险防范措施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由于项目锅炉存在潜在的火灾爆炸危险性、建设单位加强对锅炉房的监督管理，严格执行安全生产制度，严格管理，提高操作人员的素质和水平，以杜绝事故的发生。为防止预防燃烧事故采取了以下防范措施：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A、</w:t>
            </w:r>
            <w:r>
              <w:rPr>
                <w:rFonts w:hint="default" w:ascii="Times New Roman" w:hAnsi="Times New Roman" w:cs="Times New Roman"/>
                <w:bCs/>
                <w:color w:val="auto"/>
                <w:sz w:val="21"/>
                <w:szCs w:val="21"/>
              </w:rPr>
              <w:t>严格按各规范设计要求落实工程防雷、防电、消防、通风、压力表、超压安全阀、防静电接地装置等安全措施。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B、针对事故产生的原因，建立正确的操作程序，同时应采取安全保护设计和反事故措施。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C、对生产操作工人进行上岗前专业技术培训，严格管理，提高职工安全环保意识。定期进行安全环保宣传教育及紧急事故模拟演习，提高事故应变能力。</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D、强化安全、消防和环保管理，建立管理机构，制订各项管理制度，加强日常监督检查。</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（2）应急措施</w:t>
            </w:r>
          </w:p>
          <w:p>
            <w:pPr>
              <w:pStyle w:val="8"/>
              <w:keepNext w:val="0"/>
              <w:keepLines w:val="0"/>
              <w:pageBreakBefore w:val="0"/>
              <w:widowControl w:val="0"/>
              <w:kinsoku/>
              <w:wordWrap/>
              <w:overflowPunct/>
              <w:topLinePunct w:val="0"/>
              <w:bidi w:val="0"/>
              <w:adjustRightInd/>
              <w:snapToGrid/>
              <w:spacing w:after="0" w:afterLines="0"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①火灾爆炸应急措施</w:t>
            </w:r>
          </w:p>
          <w:p>
            <w:pPr>
              <w:pStyle w:val="8"/>
              <w:keepNext w:val="0"/>
              <w:keepLines w:val="0"/>
              <w:pageBreakBefore w:val="0"/>
              <w:widowControl w:val="0"/>
              <w:kinsoku/>
              <w:wordWrap/>
              <w:overflowPunct/>
              <w:topLinePunct w:val="0"/>
              <w:bidi w:val="0"/>
              <w:adjustRightInd/>
              <w:snapToGrid/>
              <w:spacing w:after="0" w:afterLines="0"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当天然气</w:t>
            </w:r>
            <w:r>
              <w:rPr>
                <w:rFonts w:hint="eastAsia" w:cs="Times New Roman"/>
                <w:color w:val="auto"/>
                <w:sz w:val="21"/>
                <w:szCs w:val="21"/>
                <w:lang w:val="en-US" w:eastAsia="zh-CN"/>
              </w:rPr>
              <w:t>管道</w:t>
            </w:r>
            <w:r>
              <w:rPr>
                <w:rFonts w:hint="default" w:ascii="Times New Roman" w:hAnsi="Times New Roman" w:cs="Times New Roman"/>
                <w:color w:val="auto"/>
                <w:sz w:val="21"/>
                <w:szCs w:val="21"/>
                <w:lang w:val="en-US" w:eastAsia="zh-CN"/>
              </w:rPr>
              <w:t>发生泄漏，遇明火爆炸时，发现人员应根据发生的情况，迅速做出判断，应将此信息传递给厂事故应急处置领导小组，或者直接向消防队和救护中心报警。天然气储罐及其设备一旦发生爆炸事故，必须设法躲避爆炸物，在可能的情况下尽快将人撤离现场。爆炸停止后立即查看是否有伤亡人员，并进行救助。</w:t>
            </w:r>
          </w:p>
          <w:p>
            <w:pPr>
              <w:pStyle w:val="8"/>
              <w:keepNext w:val="0"/>
              <w:keepLines w:val="0"/>
              <w:pageBreakBefore w:val="0"/>
              <w:widowControl w:val="0"/>
              <w:kinsoku/>
              <w:wordWrap/>
              <w:overflowPunct/>
              <w:topLinePunct w:val="0"/>
              <w:bidi w:val="0"/>
              <w:adjustRightInd/>
              <w:snapToGrid/>
              <w:spacing w:after="0" w:afterLines="0"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②物料泄漏和防窒息处理措施</w:t>
            </w:r>
          </w:p>
          <w:p>
            <w:pPr>
              <w:pStyle w:val="8"/>
              <w:keepNext w:val="0"/>
              <w:keepLines w:val="0"/>
              <w:pageBreakBefore w:val="0"/>
              <w:widowControl w:val="0"/>
              <w:kinsoku/>
              <w:wordWrap/>
              <w:overflowPunct/>
              <w:topLinePunct w:val="0"/>
              <w:bidi w:val="0"/>
              <w:adjustRightInd/>
              <w:snapToGrid/>
              <w:spacing w:after="0" w:afterLines="0"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迅速撤离泄漏污染区人员至上风处，并进行隔离，严格限制出入。切断火源。建议应急人员戴自给正压式呼吸器，穿一般作业工作服。避免与可燃物或易燃物接触。尽可能切断泄漏源。合理通风，加速扩散。漏气容器要妥善处理，修复、检验后再用。</w:t>
            </w:r>
          </w:p>
          <w:p>
            <w:pPr>
              <w:pStyle w:val="8"/>
              <w:keepNext w:val="0"/>
              <w:keepLines w:val="0"/>
              <w:pageBreakBefore w:val="0"/>
              <w:widowControl w:val="0"/>
              <w:kinsoku/>
              <w:wordWrap/>
              <w:overflowPunct/>
              <w:topLinePunct w:val="0"/>
              <w:bidi w:val="0"/>
              <w:adjustRightInd/>
              <w:snapToGrid/>
              <w:spacing w:after="0" w:afterLines="0"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③其他防范措施</w:t>
            </w:r>
          </w:p>
          <w:p>
            <w:pPr>
              <w:pStyle w:val="8"/>
              <w:keepNext w:val="0"/>
              <w:keepLines w:val="0"/>
              <w:pageBreakBefore w:val="0"/>
              <w:widowControl w:val="0"/>
              <w:kinsoku/>
              <w:wordWrap/>
              <w:overflowPunct/>
              <w:topLinePunct w:val="0"/>
              <w:bidi w:val="0"/>
              <w:adjustRightInd/>
              <w:snapToGrid/>
              <w:spacing w:after="0" w:afterLines="0"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厂区设置事故池一座，当发生火灾时用于收集消防废水，事故池容积15</w:t>
            </w:r>
            <w:r>
              <w:rPr>
                <w:rFonts w:hint="default" w:ascii="Times New Roman" w:hAnsi="Times New Roman" w:cs="Times New Roman" w:eastAsiaTheme="minorEastAsia"/>
                <w:b w:val="0"/>
                <w:bCs/>
                <w:color w:val="auto"/>
                <w:sz w:val="21"/>
                <w:szCs w:val="21"/>
                <w:lang w:val="en-US" w:eastAsia="zh-CN"/>
              </w:rPr>
              <w:t>m</w:t>
            </w:r>
            <w:r>
              <w:rPr>
                <w:rFonts w:hint="default" w:ascii="Times New Roman" w:hAnsi="Times New Roman" w:cs="Times New Roman" w:eastAsiaTheme="minorEastAsia"/>
                <w:b w:val="0"/>
                <w:bCs/>
                <w:color w:val="auto"/>
                <w:sz w:val="21"/>
                <w:szCs w:val="21"/>
                <w:vertAlign w:val="superscript"/>
                <w:lang w:val="en-US" w:eastAsia="zh-CN"/>
              </w:rPr>
              <w:t>3</w:t>
            </w:r>
            <w:r>
              <w:rPr>
                <w:rFonts w:hint="default" w:ascii="Times New Roman" w:hAnsi="Times New Roman" w:cs="Times New Roman"/>
                <w:color w:val="auto"/>
                <w:sz w:val="21"/>
                <w:szCs w:val="21"/>
                <w:highlight w:val="none"/>
                <w:lang w:val="en-US" w:eastAsia="zh-CN"/>
              </w:rPr>
              <w:t>；厂区内应按照规范的要求配置手提式干粉灭火器、二氧化碳灭火器及消防栓等。按规范要求配备足够的正压式防毒面具。</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（2）应急措施</w:t>
            </w:r>
          </w:p>
          <w:p>
            <w:pPr>
              <w:pStyle w:val="8"/>
              <w:keepNext w:val="0"/>
              <w:keepLines w:val="0"/>
              <w:pageBreakBefore w:val="0"/>
              <w:widowControl w:val="0"/>
              <w:kinsoku/>
              <w:wordWrap/>
              <w:overflowPunct/>
              <w:topLinePunct w:val="0"/>
              <w:bidi w:val="0"/>
              <w:adjustRightInd/>
              <w:snapToGrid/>
              <w:spacing w:after="0" w:afterLines="0"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①火灾爆炸应急措施</w:t>
            </w:r>
          </w:p>
          <w:p>
            <w:pPr>
              <w:pStyle w:val="8"/>
              <w:keepNext w:val="0"/>
              <w:keepLines w:val="0"/>
              <w:pageBreakBefore w:val="0"/>
              <w:widowControl w:val="0"/>
              <w:kinsoku/>
              <w:wordWrap/>
              <w:overflowPunct/>
              <w:topLinePunct w:val="0"/>
              <w:bidi w:val="0"/>
              <w:adjustRightInd/>
              <w:snapToGrid/>
              <w:spacing w:after="0" w:afterLines="0"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当天然气</w:t>
            </w:r>
            <w:r>
              <w:rPr>
                <w:rFonts w:hint="eastAsia" w:cs="Times New Roman"/>
                <w:color w:val="auto"/>
                <w:sz w:val="21"/>
                <w:szCs w:val="21"/>
                <w:highlight w:val="none"/>
                <w:lang w:val="en-US" w:eastAsia="zh-CN"/>
              </w:rPr>
              <w:t>管道</w:t>
            </w:r>
            <w:r>
              <w:rPr>
                <w:rFonts w:hint="default" w:ascii="Times New Roman" w:hAnsi="Times New Roman" w:cs="Times New Roman"/>
                <w:color w:val="auto"/>
                <w:sz w:val="21"/>
                <w:szCs w:val="21"/>
                <w:highlight w:val="none"/>
                <w:lang w:val="en-US" w:eastAsia="zh-CN"/>
              </w:rPr>
              <w:t>发生泄漏，遇明火爆炸时，发现人员应根据发生的情况，迅速做出判断，应将此信息传递给厂事故应急处置领导小组，或者直接向消防队和救护中心报警。天然气</w:t>
            </w:r>
            <w:r>
              <w:rPr>
                <w:rFonts w:hint="eastAsia" w:cs="Times New Roman"/>
                <w:color w:val="auto"/>
                <w:sz w:val="21"/>
                <w:szCs w:val="21"/>
                <w:highlight w:val="none"/>
                <w:lang w:val="en-US" w:eastAsia="zh-CN"/>
              </w:rPr>
              <w:t>管道</w:t>
            </w:r>
            <w:r>
              <w:rPr>
                <w:rFonts w:hint="default" w:ascii="Times New Roman" w:hAnsi="Times New Roman" w:cs="Times New Roman"/>
                <w:color w:val="auto"/>
                <w:sz w:val="21"/>
                <w:szCs w:val="21"/>
                <w:highlight w:val="none"/>
                <w:lang w:val="en-US" w:eastAsia="zh-CN"/>
              </w:rPr>
              <w:t>及其设备一旦发生爆炸事故，必须设法躲避爆炸物，在可能的情况下尽快将人撤离现场。爆炸停止后立即查看是否有伤亡人员，并进行救助。</w:t>
            </w:r>
          </w:p>
          <w:p>
            <w:pPr>
              <w:pStyle w:val="8"/>
              <w:keepNext w:val="0"/>
              <w:keepLines w:val="0"/>
              <w:pageBreakBefore w:val="0"/>
              <w:widowControl w:val="0"/>
              <w:kinsoku/>
              <w:wordWrap/>
              <w:overflowPunct/>
              <w:topLinePunct w:val="0"/>
              <w:bidi w:val="0"/>
              <w:adjustRightInd/>
              <w:snapToGrid/>
              <w:spacing w:after="0" w:afterLines="0"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②物料泄漏和防窒息处理措施</w:t>
            </w:r>
          </w:p>
          <w:p>
            <w:pPr>
              <w:pStyle w:val="8"/>
              <w:keepNext w:val="0"/>
              <w:keepLines w:val="0"/>
              <w:pageBreakBefore w:val="0"/>
              <w:widowControl w:val="0"/>
              <w:kinsoku/>
              <w:wordWrap/>
              <w:overflowPunct/>
              <w:topLinePunct w:val="0"/>
              <w:bidi w:val="0"/>
              <w:adjustRightInd/>
              <w:snapToGrid/>
              <w:spacing w:after="0" w:afterLines="0"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迅速撤离泄漏污染区人员至上风处，并进行隔离，严格限制出入。切断火源。建议应急人员戴自给正压式呼吸器，穿一般作业工作服。避免与可燃物或易燃物接触。尽可能切断泄漏源。合理通风，加速扩散。漏气容器要妥善处理，修复、检验后再用。</w:t>
            </w:r>
          </w:p>
          <w:p>
            <w:pPr>
              <w:pStyle w:val="8"/>
              <w:keepNext w:val="0"/>
              <w:keepLines w:val="0"/>
              <w:pageBreakBefore w:val="0"/>
              <w:widowControl w:val="0"/>
              <w:kinsoku/>
              <w:wordWrap/>
              <w:overflowPunct/>
              <w:topLinePunct w:val="0"/>
              <w:bidi w:val="0"/>
              <w:adjustRightInd/>
              <w:snapToGrid/>
              <w:spacing w:after="0" w:afterLines="0"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③其他防范措施</w:t>
            </w:r>
          </w:p>
          <w:p>
            <w:pPr>
              <w:pStyle w:val="8"/>
              <w:keepNext w:val="0"/>
              <w:keepLines w:val="0"/>
              <w:pageBreakBefore w:val="0"/>
              <w:widowControl w:val="0"/>
              <w:kinsoku/>
              <w:wordWrap/>
              <w:overflowPunct/>
              <w:topLinePunct w:val="0"/>
              <w:bidi w:val="0"/>
              <w:adjustRightInd/>
              <w:snapToGrid/>
              <w:spacing w:after="0" w:afterLines="0"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厂区设置事故池一座，当发生火灾时用于收集消防废水，事故池容积15</w:t>
            </w:r>
            <w:r>
              <w:rPr>
                <w:rFonts w:hint="default" w:ascii="Times New Roman" w:hAnsi="Times New Roman" w:cs="Times New Roman" w:eastAsiaTheme="minorEastAsia"/>
                <w:b w:val="0"/>
                <w:bCs/>
                <w:color w:val="auto"/>
                <w:sz w:val="21"/>
                <w:szCs w:val="21"/>
                <w:highlight w:val="none"/>
                <w:lang w:val="en-US" w:eastAsia="zh-CN"/>
              </w:rPr>
              <w:t>m</w:t>
            </w:r>
            <w:r>
              <w:rPr>
                <w:rFonts w:hint="default" w:ascii="Times New Roman" w:hAnsi="Times New Roman" w:cs="Times New Roman" w:eastAsiaTheme="minorEastAsia"/>
                <w:b w:val="0"/>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；厂区内应按照规范的要求配置手提式干粉灭火器、二氧化碳灭火器及消防栓等。按规范要求配备足够的正压式防毒面具。</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2" w:firstLineChars="200"/>
              <w:textAlignment w:val="auto"/>
              <w:rPr>
                <w:rFonts w:hint="eastAsia" w:cs="宋体"/>
                <w:b/>
                <w:bCs w:val="0"/>
                <w:kern w:val="0"/>
                <w:szCs w:val="21"/>
                <w:highlight w:val="none"/>
                <w:lang w:val="en-US" w:eastAsia="zh-CN"/>
              </w:rPr>
            </w:pPr>
            <w:r>
              <w:rPr>
                <w:rFonts w:hint="eastAsia" w:cs="宋体"/>
                <w:b/>
                <w:bCs w:val="0"/>
                <w:kern w:val="0"/>
                <w:szCs w:val="21"/>
                <w:highlight w:val="none"/>
                <w:lang w:val="en-US" w:eastAsia="zh-CN"/>
              </w:rPr>
              <w:t>8、电磁辐射</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highlight w:val="cyan"/>
                <w:vertAlign w:val="baseline"/>
              </w:rPr>
            </w:pPr>
            <w:r>
              <w:rPr>
                <w:rFonts w:hint="eastAsia" w:cs="宋体"/>
                <w:bCs/>
                <w:kern w:val="0"/>
                <w:szCs w:val="21"/>
                <w:highlight w:val="none"/>
                <w:lang w:val="en-US" w:eastAsia="zh-CN"/>
              </w:rPr>
              <w:t>本项目不涉及电磁辐射影响。</w:t>
            </w:r>
          </w:p>
        </w:tc>
      </w:tr>
    </w:tbl>
    <w:p>
      <w:pPr>
        <w:pStyle w:val="2"/>
        <w:rPr>
          <w:highlight w:val="cya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p>
    <w:p>
      <w:pPr>
        <w:pStyle w:val="13"/>
        <w:jc w:val="center"/>
        <w:outlineLvl w:val="0"/>
        <w:rPr>
          <w:highlight w:val="none"/>
        </w:rPr>
      </w:pPr>
      <w:r>
        <w:rPr>
          <w:rFonts w:hint="eastAsia" w:ascii="Times New Roman" w:hAnsi="Times New Roman" w:eastAsia="黑体"/>
          <w:snapToGrid w:val="0"/>
          <w:sz w:val="30"/>
          <w:szCs w:val="30"/>
          <w:highlight w:val="none"/>
        </w:rPr>
        <w:t>五、</w:t>
      </w:r>
      <w:bookmarkStart w:id="5" w:name="_Hlk54167917"/>
      <w:r>
        <w:rPr>
          <w:rFonts w:hint="eastAsia" w:ascii="Times New Roman" w:hAnsi="Times New Roman" w:eastAsia="黑体"/>
          <w:snapToGrid w:val="0"/>
          <w:sz w:val="30"/>
          <w:szCs w:val="30"/>
          <w:highlight w:val="none"/>
        </w:rPr>
        <w:t>环境保护措施监督检查清单</w:t>
      </w:r>
      <w:bookmarkEnd w:id="5"/>
    </w:p>
    <w:tbl>
      <w:tblPr>
        <w:tblStyle w:val="16"/>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488"/>
        <w:gridCol w:w="1473"/>
        <w:gridCol w:w="1909"/>
        <w:gridCol w:w="25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38" w:type="dxa"/>
            <w:tcBorders>
              <w:tl2br w:val="single" w:color="auto" w:sz="4" w:space="0"/>
            </w:tcBorders>
            <w:noWrap w:val="0"/>
            <w:vAlign w:val="top"/>
          </w:tcPr>
          <w:p>
            <w:pPr>
              <w:keepNext w:val="0"/>
              <w:keepLines w:val="0"/>
              <w:pageBreakBefore w:val="0"/>
              <w:widowControl w:val="0"/>
              <w:kinsoku/>
              <w:wordWrap/>
              <w:overflowPunct/>
              <w:topLinePunct w:val="0"/>
              <w:bidi w:val="0"/>
              <w:adjustRightInd w:val="0"/>
              <w:snapToGrid w:val="0"/>
              <w:spacing w:line="240" w:lineRule="auto"/>
              <w:jc w:val="right"/>
              <w:textAlignment w:val="auto"/>
              <w:rPr>
                <w:rFonts w:hint="eastAsia" w:eastAsia="宋体" w:cs="宋体"/>
                <w:sz w:val="21"/>
                <w:szCs w:val="21"/>
                <w:highlight w:val="none"/>
                <w:lang w:eastAsia="zh-CN"/>
              </w:rPr>
            </w:pPr>
            <w:r>
              <w:rPr>
                <w:rFonts w:hint="eastAsia" w:cs="宋体"/>
                <w:sz w:val="21"/>
                <w:szCs w:val="21"/>
                <w:highlight w:val="none"/>
              </w:rPr>
              <w:t>内</w:t>
            </w:r>
            <w:r>
              <w:rPr>
                <w:rFonts w:hint="eastAsia" w:cs="宋体"/>
                <w:sz w:val="21"/>
                <w:szCs w:val="21"/>
                <w:highlight w:val="none"/>
                <w:lang w:eastAsia="zh-CN"/>
              </w:rPr>
              <w:t>容</w:t>
            </w:r>
          </w:p>
          <w:p>
            <w:pPr>
              <w:keepNext w:val="0"/>
              <w:keepLines w:val="0"/>
              <w:pageBreakBefore w:val="0"/>
              <w:widowControl w:val="0"/>
              <w:kinsoku/>
              <w:wordWrap/>
              <w:overflowPunct/>
              <w:topLinePunct w:val="0"/>
              <w:bidi w:val="0"/>
              <w:adjustRightInd w:val="0"/>
              <w:snapToGrid w:val="0"/>
              <w:spacing w:line="240" w:lineRule="auto"/>
              <w:textAlignment w:val="auto"/>
              <w:rPr>
                <w:rFonts w:hint="eastAsia" w:cs="宋体"/>
                <w:sz w:val="21"/>
                <w:szCs w:val="21"/>
                <w:highlight w:val="none"/>
              </w:rPr>
            </w:pPr>
            <w:r>
              <w:rPr>
                <w:rFonts w:hint="eastAsia" w:cs="宋体"/>
                <w:sz w:val="21"/>
                <w:szCs w:val="21"/>
                <w:highlight w:val="none"/>
              </w:rPr>
              <w:t>要素</w:t>
            </w:r>
          </w:p>
        </w:tc>
        <w:tc>
          <w:tcPr>
            <w:tcW w:w="1488"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r>
              <w:rPr>
                <w:rFonts w:hint="eastAsia" w:cs="宋体"/>
                <w:sz w:val="21"/>
                <w:szCs w:val="21"/>
                <w:highlight w:val="none"/>
              </w:rPr>
              <w:t>排放口(编号、</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r>
              <w:rPr>
                <w:rFonts w:hint="eastAsia" w:cs="宋体"/>
                <w:sz w:val="21"/>
                <w:szCs w:val="21"/>
                <w:highlight w:val="none"/>
              </w:rPr>
              <w:t>名称)/污染源</w:t>
            </w:r>
          </w:p>
        </w:tc>
        <w:tc>
          <w:tcPr>
            <w:tcW w:w="1473"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r>
              <w:rPr>
                <w:rFonts w:hint="eastAsia" w:cs="宋体"/>
                <w:sz w:val="21"/>
                <w:szCs w:val="21"/>
                <w:highlight w:val="none"/>
              </w:rPr>
              <w:t>污染物项目</w:t>
            </w:r>
          </w:p>
        </w:tc>
        <w:tc>
          <w:tcPr>
            <w:tcW w:w="1909"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r>
              <w:rPr>
                <w:rFonts w:hint="eastAsia" w:cs="宋体"/>
                <w:sz w:val="21"/>
                <w:szCs w:val="21"/>
                <w:highlight w:val="none"/>
              </w:rPr>
              <w:t>环境保护措施</w:t>
            </w:r>
          </w:p>
        </w:tc>
        <w:tc>
          <w:tcPr>
            <w:tcW w:w="2592"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r>
              <w:rPr>
                <w:rFonts w:hint="eastAsia" w:cs="宋体"/>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338" w:type="dxa"/>
            <w:vMerge w:val="restar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r>
              <w:rPr>
                <w:rFonts w:hint="eastAsia" w:cs="宋体"/>
                <w:sz w:val="21"/>
                <w:szCs w:val="21"/>
                <w:highlight w:val="none"/>
              </w:rPr>
              <w:t>大气环境</w:t>
            </w:r>
          </w:p>
        </w:tc>
        <w:tc>
          <w:tcPr>
            <w:tcW w:w="1488"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s="宋体"/>
                <w:sz w:val="21"/>
                <w:szCs w:val="21"/>
                <w:highlight w:val="none"/>
                <w:lang w:eastAsia="zh-CN"/>
              </w:rPr>
            </w:pPr>
            <w:r>
              <w:rPr>
                <w:rFonts w:hint="eastAsia" w:cs="宋体"/>
                <w:sz w:val="21"/>
                <w:szCs w:val="21"/>
                <w:highlight w:val="none"/>
                <w:lang w:eastAsia="zh-CN"/>
              </w:rPr>
              <w:t>燃气锅炉</w:t>
            </w:r>
          </w:p>
        </w:tc>
        <w:tc>
          <w:tcPr>
            <w:tcW w:w="1473"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cs="宋体"/>
                <w:sz w:val="21"/>
                <w:szCs w:val="21"/>
                <w:highlight w:val="none"/>
                <w:lang w:val="en-US" w:eastAsia="zh-CN"/>
              </w:rPr>
            </w:pPr>
            <w:r>
              <w:rPr>
                <w:rFonts w:hint="eastAsia" w:cs="宋体"/>
                <w:sz w:val="21"/>
                <w:szCs w:val="21"/>
                <w:highlight w:val="none"/>
                <w:lang w:eastAsia="zh-CN"/>
              </w:rPr>
              <w:t>颗粒物、</w:t>
            </w:r>
            <w:r>
              <w:rPr>
                <w:rFonts w:hint="eastAsia" w:cs="宋体"/>
                <w:sz w:val="21"/>
                <w:szCs w:val="21"/>
                <w:highlight w:val="none"/>
                <w:lang w:val="en-US" w:eastAsia="zh-CN"/>
              </w:rPr>
              <w:t>SO</w:t>
            </w:r>
            <w:r>
              <w:rPr>
                <w:rFonts w:hint="eastAsia" w:cs="宋体"/>
                <w:sz w:val="21"/>
                <w:szCs w:val="21"/>
                <w:highlight w:val="none"/>
                <w:vertAlign w:val="subscript"/>
                <w:lang w:val="en-US" w:eastAsia="zh-CN"/>
              </w:rPr>
              <w:t>2</w:t>
            </w:r>
            <w:r>
              <w:rPr>
                <w:rFonts w:hint="eastAsia" w:cs="宋体"/>
                <w:sz w:val="21"/>
                <w:szCs w:val="21"/>
                <w:highlight w:val="none"/>
                <w:lang w:val="en-US" w:eastAsia="zh-CN"/>
              </w:rPr>
              <w:t>、NO</w:t>
            </w:r>
            <w:r>
              <w:rPr>
                <w:rFonts w:hint="eastAsia" w:cs="宋体"/>
                <w:sz w:val="21"/>
                <w:szCs w:val="21"/>
                <w:highlight w:val="none"/>
                <w:vertAlign w:val="subscript"/>
                <w:lang w:val="en-US" w:eastAsia="zh-CN"/>
              </w:rPr>
              <w:t>x</w:t>
            </w:r>
          </w:p>
        </w:tc>
        <w:tc>
          <w:tcPr>
            <w:tcW w:w="1909" w:type="dxa"/>
            <w:tcBorders>
              <w:bottom w:val="single" w:color="000000" w:sz="4" w:space="0"/>
            </w:tcBorders>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eastAsia="宋体" w:cs="宋体"/>
                <w:sz w:val="21"/>
                <w:szCs w:val="21"/>
                <w:highlight w:val="none"/>
                <w:lang w:val="en-US" w:eastAsia="zh-CN"/>
              </w:rPr>
            </w:pPr>
            <w:r>
              <w:rPr>
                <w:rFonts w:hint="eastAsia" w:cs="宋体"/>
                <w:sz w:val="21"/>
                <w:szCs w:val="21"/>
                <w:highlight w:val="none"/>
                <w:lang w:eastAsia="zh-CN"/>
              </w:rPr>
              <w:t>低氮燃烧</w:t>
            </w:r>
            <w:r>
              <w:rPr>
                <w:rFonts w:hint="eastAsia" w:cs="宋体"/>
                <w:sz w:val="21"/>
                <w:szCs w:val="21"/>
                <w:highlight w:val="none"/>
                <w:lang w:val="en-US" w:eastAsia="zh-CN"/>
              </w:rPr>
              <w:t>+8m高排气筒</w:t>
            </w:r>
          </w:p>
        </w:tc>
        <w:tc>
          <w:tcPr>
            <w:tcW w:w="2592" w:type="dxa"/>
            <w:tcBorders>
              <w:bottom w:val="single" w:color="000000" w:sz="4" w:space="0"/>
            </w:tcBorders>
            <w:noWrap w:val="0"/>
            <w:vAlign w:val="center"/>
          </w:tcPr>
          <w:p>
            <w:pPr>
              <w:pStyle w:val="2"/>
              <w:keepNext w:val="0"/>
              <w:keepLines w:val="0"/>
              <w:pageBreakBefore w:val="0"/>
              <w:widowControl w:val="0"/>
              <w:kinsoku/>
              <w:wordWrap/>
              <w:overflowPunct/>
              <w:topLinePunct w:val="0"/>
              <w:bidi w:val="0"/>
              <w:adjustRightInd/>
              <w:spacing w:line="240" w:lineRule="auto"/>
              <w:textAlignment w:val="auto"/>
              <w:rPr>
                <w:rFonts w:hint="eastAsia" w:cs="宋体"/>
                <w:sz w:val="21"/>
                <w:szCs w:val="21"/>
                <w:highlight w:val="cyan"/>
              </w:rPr>
            </w:pPr>
            <w:r>
              <w:rPr>
                <w:rFonts w:hint="default" w:ascii="Times New Roman" w:hAnsi="Times New Roman" w:cs="Times New Roman" w:eastAsiaTheme="minorEastAsia"/>
                <w:color w:val="auto"/>
                <w:sz w:val="21"/>
                <w:szCs w:val="21"/>
                <w:highlight w:val="none"/>
              </w:rPr>
              <w:t>《锅炉大气污染物排放标准》（</w:t>
            </w:r>
            <w:r>
              <w:rPr>
                <w:rFonts w:hint="eastAsia" w:ascii="Times New Roman" w:cs="Times New Roman" w:eastAsiaTheme="minorEastAsia"/>
                <w:color w:val="auto"/>
                <w:sz w:val="21"/>
                <w:szCs w:val="21"/>
                <w:highlight w:val="none"/>
                <w:lang w:val="en-US" w:eastAsia="zh-CN"/>
              </w:rPr>
              <w:t>DB41/2089-2021</w:t>
            </w:r>
            <w:r>
              <w:rPr>
                <w:rFonts w:hint="default" w:ascii="Times New Roman" w:hAnsi="Times New Roman" w:cs="Times New Roman" w:eastAsiaTheme="minorEastAsia"/>
                <w:color w:val="auto"/>
                <w:sz w:val="21"/>
                <w:szCs w:val="21"/>
                <w:highlight w:val="none"/>
              </w:rPr>
              <w:t>）表</w:t>
            </w:r>
            <w:r>
              <w:rPr>
                <w:rFonts w:hint="eastAsia" w:ascii="Times New Roman" w:cs="Times New Roman" w:eastAsiaTheme="minorEastAsia"/>
                <w:color w:val="auto"/>
                <w:sz w:val="21"/>
                <w:szCs w:val="21"/>
                <w:highlight w:val="none"/>
                <w:lang w:val="en-US" w:eastAsia="zh-CN"/>
              </w:rPr>
              <w:t>1</w:t>
            </w:r>
            <w:r>
              <w:rPr>
                <w:rFonts w:hint="default" w:ascii="Times New Roman" w:hAnsi="Times New Roman" w:cs="Times New Roman" w:eastAsiaTheme="minorEastAsia"/>
                <w:color w:val="auto"/>
                <w:sz w:val="21"/>
                <w:szCs w:val="21"/>
                <w:highlight w:val="none"/>
              </w:rPr>
              <w:t>燃气锅炉标准和《新乡市2019年大气污染防治攻坚战实施方案》（新环攻坚办〔2019〕74号）中天燃气锅炉排放要求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338" w:type="dxa"/>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p>
        </w:tc>
        <w:tc>
          <w:tcPr>
            <w:tcW w:w="1488"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lang w:eastAsia="zh-CN"/>
              </w:rPr>
            </w:pPr>
            <w:r>
              <w:rPr>
                <w:rFonts w:hint="eastAsia" w:cs="宋体"/>
                <w:sz w:val="21"/>
                <w:szCs w:val="21"/>
                <w:highlight w:val="none"/>
                <w:lang w:eastAsia="zh-CN"/>
              </w:rPr>
              <w:t>投料工序</w:t>
            </w:r>
          </w:p>
        </w:tc>
        <w:tc>
          <w:tcPr>
            <w:tcW w:w="1473"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lang w:eastAsia="zh-CN"/>
              </w:rPr>
            </w:pPr>
            <w:r>
              <w:rPr>
                <w:rFonts w:hint="eastAsia" w:cs="宋体"/>
                <w:sz w:val="21"/>
                <w:szCs w:val="21"/>
                <w:highlight w:val="none"/>
                <w:lang w:eastAsia="zh-CN"/>
              </w:rPr>
              <w:t>颗粒物</w:t>
            </w:r>
          </w:p>
        </w:tc>
        <w:tc>
          <w:tcPr>
            <w:tcW w:w="1909" w:type="dxa"/>
            <w:tcBorders>
              <w:top w:val="single" w:color="000000" w:sz="4" w:space="0"/>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cs="宋体"/>
                <w:bCs/>
                <w:sz w:val="21"/>
                <w:szCs w:val="21"/>
                <w:highlight w:val="none"/>
                <w:lang w:val="en-US" w:eastAsia="zh-CN"/>
              </w:rPr>
            </w:pPr>
            <w:r>
              <w:rPr>
                <w:rFonts w:hint="eastAsia" w:cs="宋体"/>
                <w:bCs/>
                <w:sz w:val="21"/>
                <w:szCs w:val="21"/>
                <w:highlight w:val="none"/>
                <w:lang w:eastAsia="zh-CN"/>
              </w:rPr>
              <w:t>密闭间</w:t>
            </w:r>
            <w:r>
              <w:rPr>
                <w:rFonts w:hint="eastAsia" w:cs="宋体"/>
                <w:bCs/>
                <w:sz w:val="21"/>
                <w:szCs w:val="21"/>
                <w:highlight w:val="none"/>
                <w:lang w:val="en-US" w:eastAsia="zh-CN"/>
              </w:rPr>
              <w:t>+脉冲袋式除尘器+15m高排气筒</w:t>
            </w:r>
          </w:p>
        </w:tc>
        <w:tc>
          <w:tcPr>
            <w:tcW w:w="2592" w:type="dxa"/>
            <w:tcBorders>
              <w:top w:val="single" w:color="000000" w:sz="4" w:space="0"/>
              <w:bottom w:val="single" w:color="000000" w:sz="4" w:space="0"/>
            </w:tcBorders>
            <w:noWrap w:val="0"/>
            <w:vAlign w:val="center"/>
          </w:tcPr>
          <w:p>
            <w:pPr>
              <w:pStyle w:val="2"/>
              <w:keepNext w:val="0"/>
              <w:keepLines w:val="0"/>
              <w:pageBreakBefore w:val="0"/>
              <w:widowControl w:val="0"/>
              <w:kinsoku/>
              <w:wordWrap/>
              <w:overflowPunct/>
              <w:topLinePunct w:val="0"/>
              <w:bidi w:val="0"/>
              <w:adjustRightInd/>
              <w:spacing w:line="240" w:lineRule="auto"/>
              <w:textAlignment w:val="auto"/>
              <w:rPr>
                <w:rFonts w:hint="eastAsia" w:cs="宋体"/>
                <w:sz w:val="21"/>
                <w:szCs w:val="21"/>
                <w:highlight w:val="cyan"/>
              </w:rPr>
            </w:pPr>
            <w:r>
              <w:rPr>
                <w:rFonts w:hint="default" w:ascii="Times New Roman" w:hAnsi="Times New Roman" w:cs="Times New Roman" w:eastAsiaTheme="minorEastAsia"/>
                <w:color w:val="auto"/>
                <w:sz w:val="21"/>
                <w:szCs w:val="21"/>
                <w:highlight w:val="none"/>
              </w:rPr>
              <w:t>《大气污染物综合排放标准》(GB16297-1996)表2二级标准</w:t>
            </w:r>
            <w:r>
              <w:rPr>
                <w:rFonts w:hint="default" w:ascii="Times New Roman" w:hAnsi="Times New Roman" w:cs="Times New Roman" w:eastAsiaTheme="minorEastAsia"/>
                <w:bCs/>
                <w:color w:val="auto"/>
                <w:sz w:val="21"/>
                <w:szCs w:val="21"/>
                <w:highlight w:val="none"/>
                <w:lang w:val="fr-FR"/>
              </w:rPr>
              <w:t>及新乡市生态环境局《关于进一步规范工业企业颗粒物排放限值的通知》的要求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338" w:type="dxa"/>
            <w:vMerge w:val="restart"/>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cs="宋体"/>
                <w:sz w:val="21"/>
                <w:szCs w:val="21"/>
                <w:highlight w:val="none"/>
              </w:rPr>
            </w:pPr>
            <w:r>
              <w:rPr>
                <w:rFonts w:hint="eastAsia" w:cs="宋体"/>
                <w:sz w:val="21"/>
                <w:szCs w:val="21"/>
                <w:highlight w:val="none"/>
              </w:rPr>
              <w:t>地表水环境</w:t>
            </w:r>
          </w:p>
        </w:tc>
        <w:tc>
          <w:tcPr>
            <w:tcW w:w="1488" w:type="dxa"/>
            <w:tcBorders>
              <w:top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kern w:val="0"/>
                <w:sz w:val="21"/>
                <w:szCs w:val="21"/>
                <w:highlight w:val="none"/>
                <w:lang w:val="zh-CN" w:eastAsia="en-US"/>
              </w:rPr>
            </w:pPr>
            <w:r>
              <w:rPr>
                <w:rFonts w:hint="eastAsia"/>
                <w:kern w:val="0"/>
                <w:sz w:val="21"/>
                <w:szCs w:val="21"/>
                <w:highlight w:val="none"/>
                <w:lang w:val="zh-CN" w:eastAsia="en-US"/>
              </w:rPr>
              <w:t>生活污水</w:t>
            </w:r>
          </w:p>
        </w:tc>
        <w:tc>
          <w:tcPr>
            <w:tcW w:w="1473" w:type="dxa"/>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宋体"/>
                <w:sz w:val="21"/>
                <w:szCs w:val="21"/>
                <w:highlight w:val="none"/>
                <w:lang w:val="en-US" w:eastAsia="zh-CN"/>
              </w:rPr>
            </w:pPr>
            <w:r>
              <w:rPr>
                <w:rFonts w:hint="eastAsia" w:cs="宋体"/>
                <w:sz w:val="21"/>
                <w:szCs w:val="21"/>
                <w:highlight w:val="none"/>
                <w:lang w:val="en-US" w:eastAsia="zh-CN"/>
              </w:rPr>
              <w:t>COD、SS、NH</w:t>
            </w:r>
            <w:r>
              <w:rPr>
                <w:rFonts w:hint="eastAsia" w:cs="宋体"/>
                <w:sz w:val="21"/>
                <w:szCs w:val="21"/>
                <w:highlight w:val="none"/>
                <w:vertAlign w:val="subscript"/>
                <w:lang w:val="en-US" w:eastAsia="zh-CN"/>
              </w:rPr>
              <w:t>3</w:t>
            </w:r>
            <w:r>
              <w:rPr>
                <w:rFonts w:hint="eastAsia" w:cs="宋体"/>
                <w:sz w:val="21"/>
                <w:szCs w:val="21"/>
                <w:highlight w:val="none"/>
                <w:lang w:val="en-US" w:eastAsia="zh-CN"/>
              </w:rPr>
              <w:t>-N、TP</w:t>
            </w:r>
          </w:p>
        </w:tc>
        <w:tc>
          <w:tcPr>
            <w:tcW w:w="1909" w:type="dxa"/>
            <w:vMerge w:val="restart"/>
            <w:noWrap w:val="0"/>
            <w:vAlign w:val="center"/>
          </w:tcPr>
          <w:p>
            <w:pPr>
              <w:keepNext w:val="0"/>
              <w:keepLines w:val="0"/>
              <w:pageBreakBefore w:val="0"/>
              <w:widowControl w:val="0"/>
              <w:kinsoku/>
              <w:wordWrap/>
              <w:overflowPunct/>
              <w:topLinePunct w:val="0"/>
              <w:autoSpaceDN/>
              <w:bidi w:val="0"/>
              <w:adjustRightInd/>
              <w:snapToGrid/>
              <w:spacing w:line="240" w:lineRule="auto"/>
              <w:jc w:val="center"/>
              <w:textAlignment w:val="auto"/>
              <w:rPr>
                <w:rFonts w:hint="eastAsia" w:eastAsia="宋体" w:cs="宋体"/>
                <w:sz w:val="21"/>
                <w:szCs w:val="21"/>
                <w:highlight w:val="none"/>
                <w:lang w:eastAsia="zh-CN"/>
              </w:rPr>
            </w:pPr>
            <w:r>
              <w:rPr>
                <w:rFonts w:hint="default" w:ascii="Times New Roman" w:hAnsi="Times New Roman" w:cs="Times New Roman"/>
                <w:color w:val="auto"/>
                <w:sz w:val="21"/>
                <w:szCs w:val="21"/>
                <w:highlight w:val="none"/>
                <w:lang w:val="en-US" w:eastAsia="zh-CN"/>
              </w:rPr>
              <w:t>厂区现有40m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化粪池处理后，定期清运</w:t>
            </w:r>
          </w:p>
        </w:tc>
        <w:tc>
          <w:tcPr>
            <w:tcW w:w="2592" w:type="dxa"/>
            <w:vMerge w:val="restart"/>
            <w:tcBorders>
              <w:top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宋体"/>
                <w:sz w:val="21"/>
                <w:szCs w:val="21"/>
                <w:highlight w:val="none"/>
                <w:lang w:val="en-US" w:eastAsia="zh-CN"/>
              </w:rPr>
            </w:pPr>
            <w:r>
              <w:rPr>
                <w:rFonts w:hint="eastAsia" w:cs="宋体"/>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38" w:type="dxa"/>
            <w:vMerge w:val="continue"/>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cs="宋体"/>
                <w:sz w:val="21"/>
                <w:szCs w:val="21"/>
                <w:highlight w:val="none"/>
              </w:rPr>
            </w:pPr>
          </w:p>
        </w:tc>
        <w:tc>
          <w:tcPr>
            <w:tcW w:w="14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kern w:val="0"/>
                <w:sz w:val="21"/>
                <w:szCs w:val="21"/>
                <w:highlight w:val="none"/>
                <w:lang w:val="zh-CN" w:eastAsia="en-US"/>
              </w:rPr>
            </w:pPr>
            <w:r>
              <w:rPr>
                <w:rFonts w:hint="default" w:ascii="Times New Roman" w:hAnsi="Times New Roman" w:cs="Times New Roman"/>
                <w:color w:val="auto"/>
                <w:sz w:val="21"/>
                <w:szCs w:val="21"/>
                <w:highlight w:val="none"/>
                <w:lang w:eastAsia="zh-CN"/>
              </w:rPr>
              <w:t>设备清洗废水</w:t>
            </w:r>
          </w:p>
        </w:tc>
        <w:tc>
          <w:tcPr>
            <w:tcW w:w="1473" w:type="dxa"/>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s="宋体"/>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COD、SS、NH</w:t>
            </w:r>
            <w:r>
              <w:rPr>
                <w:rFonts w:hint="default" w:ascii="Times New Roman" w:hAnsi="Times New Roman" w:cs="Times New Roman" w:eastAsiaTheme="minorEastAsia"/>
                <w:color w:val="auto"/>
                <w:sz w:val="21"/>
                <w:szCs w:val="21"/>
                <w:highlight w:val="none"/>
                <w:vertAlign w:val="subscript"/>
                <w:lang w:val="en-US" w:eastAsia="zh-CN"/>
              </w:rPr>
              <w:t>3</w:t>
            </w:r>
            <w:r>
              <w:rPr>
                <w:rFonts w:hint="default" w:ascii="Times New Roman" w:hAnsi="Times New Roman" w:cs="Times New Roman" w:eastAsiaTheme="minorEastAsia"/>
                <w:color w:val="auto"/>
                <w:sz w:val="21"/>
                <w:szCs w:val="21"/>
                <w:highlight w:val="none"/>
                <w:lang w:val="en-US" w:eastAsia="zh-CN"/>
              </w:rPr>
              <w:t>-N</w:t>
            </w:r>
          </w:p>
        </w:tc>
        <w:tc>
          <w:tcPr>
            <w:tcW w:w="1909" w:type="dxa"/>
            <w:vMerge w:val="continue"/>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s="宋体"/>
                <w:sz w:val="21"/>
                <w:szCs w:val="21"/>
                <w:highlight w:val="none"/>
                <w:lang w:eastAsia="zh-CN"/>
              </w:rPr>
            </w:pPr>
          </w:p>
        </w:tc>
        <w:tc>
          <w:tcPr>
            <w:tcW w:w="2592" w:type="dxa"/>
            <w:vMerge w:val="continue"/>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s="宋体"/>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38" w:type="dxa"/>
            <w:vMerge w:val="continue"/>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cs="宋体"/>
                <w:sz w:val="21"/>
                <w:szCs w:val="21"/>
                <w:highlight w:val="none"/>
              </w:rPr>
            </w:pPr>
          </w:p>
        </w:tc>
        <w:tc>
          <w:tcPr>
            <w:tcW w:w="14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0"/>
                <w:sz w:val="21"/>
                <w:szCs w:val="21"/>
                <w:highlight w:val="none"/>
                <w:lang w:val="zh-CN" w:eastAsia="en-US"/>
              </w:rPr>
            </w:pPr>
            <w:r>
              <w:rPr>
                <w:rFonts w:hint="default" w:ascii="Times New Roman" w:hAnsi="Times New Roman" w:cs="Times New Roman"/>
                <w:color w:val="auto"/>
                <w:sz w:val="21"/>
                <w:szCs w:val="21"/>
                <w:highlight w:val="none"/>
                <w:lang w:eastAsia="zh-CN"/>
              </w:rPr>
              <w:t>车间清洗废水</w:t>
            </w:r>
          </w:p>
        </w:tc>
        <w:tc>
          <w:tcPr>
            <w:tcW w:w="1473" w:type="dxa"/>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cs="宋体"/>
                <w:sz w:val="21"/>
                <w:szCs w:val="21"/>
                <w:highlight w:val="none"/>
              </w:rPr>
            </w:pPr>
            <w:r>
              <w:rPr>
                <w:rFonts w:hint="default" w:ascii="Times New Roman" w:hAnsi="Times New Roman" w:cs="Times New Roman" w:eastAsiaTheme="minorEastAsia"/>
                <w:color w:val="auto"/>
                <w:sz w:val="21"/>
                <w:szCs w:val="21"/>
                <w:highlight w:val="none"/>
                <w:lang w:val="en-US" w:eastAsia="zh-CN"/>
              </w:rPr>
              <w:t>COD、SS、NH</w:t>
            </w:r>
            <w:r>
              <w:rPr>
                <w:rFonts w:hint="default" w:ascii="Times New Roman" w:hAnsi="Times New Roman" w:cs="Times New Roman" w:eastAsiaTheme="minorEastAsia"/>
                <w:color w:val="auto"/>
                <w:sz w:val="21"/>
                <w:szCs w:val="21"/>
                <w:highlight w:val="none"/>
                <w:vertAlign w:val="subscript"/>
                <w:lang w:val="en-US" w:eastAsia="zh-CN"/>
              </w:rPr>
              <w:t>3</w:t>
            </w:r>
            <w:r>
              <w:rPr>
                <w:rFonts w:hint="default" w:ascii="Times New Roman" w:hAnsi="Times New Roman" w:cs="Times New Roman" w:eastAsiaTheme="minorEastAsia"/>
                <w:color w:val="auto"/>
                <w:sz w:val="21"/>
                <w:szCs w:val="21"/>
                <w:highlight w:val="none"/>
                <w:lang w:val="en-US" w:eastAsia="zh-CN"/>
              </w:rPr>
              <w:t>-N</w:t>
            </w:r>
          </w:p>
        </w:tc>
        <w:tc>
          <w:tcPr>
            <w:tcW w:w="1909" w:type="dxa"/>
            <w:vMerge w:val="continue"/>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cs="宋体"/>
                <w:sz w:val="21"/>
                <w:szCs w:val="21"/>
                <w:highlight w:val="none"/>
                <w:lang w:eastAsia="zh-CN"/>
              </w:rPr>
            </w:pPr>
          </w:p>
        </w:tc>
        <w:tc>
          <w:tcPr>
            <w:tcW w:w="2592" w:type="dxa"/>
            <w:vMerge w:val="continue"/>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cs="宋体"/>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38" w:type="dxa"/>
            <w:vMerge w:val="continue"/>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cs="宋体"/>
                <w:sz w:val="21"/>
                <w:szCs w:val="21"/>
                <w:highlight w:val="none"/>
              </w:rPr>
            </w:pPr>
          </w:p>
        </w:tc>
        <w:tc>
          <w:tcPr>
            <w:tcW w:w="14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0"/>
                <w:sz w:val="21"/>
                <w:szCs w:val="21"/>
                <w:highlight w:val="none"/>
                <w:lang w:val="zh-CN" w:eastAsia="en-US"/>
              </w:rPr>
            </w:pPr>
            <w:r>
              <w:rPr>
                <w:rFonts w:hint="default" w:ascii="Times New Roman" w:hAnsi="Times New Roman" w:cs="Times New Roman"/>
                <w:color w:val="auto"/>
                <w:sz w:val="21"/>
                <w:szCs w:val="21"/>
                <w:highlight w:val="none"/>
                <w:lang w:eastAsia="zh-CN"/>
              </w:rPr>
              <w:t>软水制备废水</w:t>
            </w:r>
          </w:p>
        </w:tc>
        <w:tc>
          <w:tcPr>
            <w:tcW w:w="1473" w:type="dxa"/>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宋体"/>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COD、SS</w:t>
            </w:r>
          </w:p>
        </w:tc>
        <w:tc>
          <w:tcPr>
            <w:tcW w:w="1909"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sz w:val="21"/>
                <w:szCs w:val="21"/>
                <w:highlight w:val="none"/>
                <w:lang w:eastAsia="zh-CN"/>
              </w:rPr>
            </w:pPr>
            <w:r>
              <w:rPr>
                <w:rFonts w:hint="default" w:ascii="Times New Roman" w:hAnsi="Times New Roman" w:cs="Times New Roman"/>
                <w:color w:val="auto"/>
                <w:sz w:val="21"/>
                <w:szCs w:val="21"/>
                <w:highlight w:val="none"/>
                <w:lang w:val="en-US" w:eastAsia="zh-CN"/>
              </w:rPr>
              <w:t>收集暂存后，用于厂区地面洒水抑尘</w:t>
            </w:r>
          </w:p>
        </w:tc>
        <w:tc>
          <w:tcPr>
            <w:tcW w:w="2592" w:type="dxa"/>
            <w:tcBorders>
              <w:top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cs="宋体"/>
                <w:sz w:val="21"/>
                <w:szCs w:val="21"/>
                <w:highlight w:val="none"/>
                <w:lang w:val="en-US" w:eastAsia="zh-CN"/>
              </w:rPr>
            </w:pPr>
            <w:r>
              <w:rPr>
                <w:rFonts w:hint="eastAsia" w:cs="宋体"/>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38"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r>
              <w:rPr>
                <w:rFonts w:hint="eastAsia" w:cs="宋体"/>
                <w:sz w:val="21"/>
                <w:szCs w:val="21"/>
                <w:highlight w:val="none"/>
              </w:rPr>
              <w:t>声环境</w:t>
            </w:r>
          </w:p>
        </w:tc>
        <w:tc>
          <w:tcPr>
            <w:tcW w:w="1488"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r>
              <w:rPr>
                <w:rFonts w:hint="eastAsia" w:cs="宋体"/>
                <w:sz w:val="21"/>
                <w:szCs w:val="21"/>
                <w:highlight w:val="none"/>
              </w:rPr>
              <w:t>机械噪声</w:t>
            </w:r>
          </w:p>
        </w:tc>
        <w:tc>
          <w:tcPr>
            <w:tcW w:w="1473"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r>
              <w:rPr>
                <w:rFonts w:hint="eastAsia" w:cs="宋体"/>
                <w:sz w:val="21"/>
                <w:szCs w:val="21"/>
                <w:highlight w:val="none"/>
              </w:rPr>
              <w:t>噪声</w:t>
            </w:r>
          </w:p>
        </w:tc>
        <w:tc>
          <w:tcPr>
            <w:tcW w:w="1909"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r>
              <w:rPr>
                <w:rFonts w:cs="宋体"/>
                <w:sz w:val="21"/>
                <w:szCs w:val="21"/>
                <w:highlight w:val="none"/>
              </w:rPr>
              <w:t>低噪声设备、基础减振、厂房隔声</w:t>
            </w:r>
          </w:p>
        </w:tc>
        <w:tc>
          <w:tcPr>
            <w:tcW w:w="2592"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r>
              <w:rPr>
                <w:rFonts w:cs="宋体"/>
                <w:sz w:val="21"/>
                <w:szCs w:val="21"/>
                <w:highlight w:val="none"/>
              </w:rPr>
              <w:t>《工业企业厂界环境噪声排放标准》（GB12348-2008）</w:t>
            </w:r>
            <w:r>
              <w:rPr>
                <w:rFonts w:hint="eastAsia" w:cs="宋体"/>
                <w:sz w:val="21"/>
                <w:szCs w:val="21"/>
                <w:highlight w:val="none"/>
                <w:lang w:val="en-US" w:eastAsia="zh-CN"/>
              </w:rPr>
              <w:t>2</w:t>
            </w:r>
            <w:r>
              <w:rPr>
                <w:rFonts w:cs="宋体"/>
                <w:sz w:val="21"/>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38"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r>
              <w:rPr>
                <w:rFonts w:hint="eastAsia" w:cs="宋体"/>
                <w:sz w:val="21"/>
                <w:szCs w:val="21"/>
                <w:highlight w:val="none"/>
              </w:rPr>
              <w:t>固体废物</w:t>
            </w:r>
          </w:p>
        </w:tc>
        <w:tc>
          <w:tcPr>
            <w:tcW w:w="746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eastAsia="宋体" w:cs="宋体"/>
                <w:sz w:val="21"/>
                <w:szCs w:val="21"/>
                <w:highlight w:val="cyan"/>
                <w:lang w:eastAsia="zh-CN"/>
              </w:rPr>
            </w:pPr>
            <w:r>
              <w:rPr>
                <w:rFonts w:hint="eastAsia"/>
                <w:sz w:val="21"/>
                <w:szCs w:val="21"/>
                <w:highlight w:val="none"/>
                <w:lang w:eastAsia="zh-CN"/>
              </w:rPr>
              <w:t>项目一般固废主要为有原辅材料使用后剩余的包装材料、分切过程产生的边角料、设备清理残渣、袋式除尘器集尘和反渗透系统长期过滤后更换的废石英砂、反渗透透膜等，均经厂区内设置的一般固废暂存区域暂存，其中废包装袋有废品回收单位回收处理，其余一般固废均交由环卫部门定期清理，一般固废暂存间应严格按照《一般工业固体废物贮存、处理场污染控制标准（GB18599-2001）》（2013修订）进行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38"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z w:val="21"/>
                <w:szCs w:val="21"/>
                <w:highlight w:val="none"/>
              </w:rPr>
            </w:pPr>
            <w:r>
              <w:rPr>
                <w:rFonts w:hint="eastAsia" w:cs="宋体"/>
                <w:sz w:val="21"/>
                <w:szCs w:val="21"/>
                <w:highlight w:val="none"/>
              </w:rPr>
              <w:t>土壤及地下水污染防治措施</w:t>
            </w:r>
          </w:p>
        </w:tc>
        <w:tc>
          <w:tcPr>
            <w:tcW w:w="7462"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eastAsia="宋体" w:cs="宋体"/>
                <w:sz w:val="21"/>
                <w:szCs w:val="21"/>
                <w:highlight w:val="cyan"/>
                <w:lang w:eastAsia="zh-CN"/>
              </w:rPr>
            </w:pPr>
            <w:r>
              <w:rPr>
                <w:rFonts w:hint="eastAsia"/>
                <w:sz w:val="21"/>
                <w:szCs w:val="21"/>
                <w:highlight w:val="none"/>
                <w:lang w:eastAsia="zh-CN"/>
              </w:rPr>
              <w:t>一般固废暂存间应严格按照《一般工业固体废物贮存、处理场污染控制标准（GB18599-2001）》（2013修订）进行设置，加强燃气锅炉和配套燃气管线监控和巡检，如果发生泄漏要及时处理，不得漫流到与土壤接触的地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8"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cs="宋体"/>
                <w:spacing w:val="-8"/>
                <w:sz w:val="21"/>
                <w:szCs w:val="21"/>
                <w:highlight w:val="none"/>
              </w:rPr>
            </w:pPr>
            <w:r>
              <w:rPr>
                <w:rFonts w:hint="eastAsia" w:cs="宋体"/>
                <w:spacing w:val="-8"/>
                <w:sz w:val="21"/>
                <w:szCs w:val="21"/>
                <w:highlight w:val="none"/>
              </w:rPr>
              <w:t>环境风险</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pacing w:val="-8"/>
                <w:sz w:val="21"/>
                <w:szCs w:val="21"/>
                <w:highlight w:val="none"/>
              </w:rPr>
            </w:pPr>
            <w:r>
              <w:rPr>
                <w:rFonts w:hint="eastAsia" w:cs="宋体"/>
                <w:spacing w:val="-8"/>
                <w:sz w:val="21"/>
                <w:szCs w:val="21"/>
                <w:highlight w:val="none"/>
              </w:rPr>
              <w:t>防范措施</w:t>
            </w:r>
          </w:p>
        </w:tc>
        <w:tc>
          <w:tcPr>
            <w:tcW w:w="7462"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eastAsia="宋体" w:cs="宋体"/>
                <w:sz w:val="21"/>
                <w:szCs w:val="21"/>
                <w:highlight w:val="none"/>
                <w:lang w:val="en-US" w:eastAsia="zh-CN"/>
              </w:rPr>
            </w:pPr>
            <w:r>
              <w:rPr>
                <w:rFonts w:hint="eastAsia" w:eastAsia="宋体" w:cs="宋体"/>
                <w:sz w:val="21"/>
                <w:szCs w:val="21"/>
                <w:highlight w:val="none"/>
                <w:lang w:val="en-US" w:eastAsia="zh-CN"/>
              </w:rPr>
              <w:t>燃气管道及调节设施处配备灭火器、泄漏检测装置、消防器材、设置警示牌、防护器具等等；一座15m</w:t>
            </w:r>
            <w:r>
              <w:rPr>
                <w:rFonts w:hint="eastAsia" w:eastAsia="宋体" w:cs="宋体"/>
                <w:sz w:val="21"/>
                <w:szCs w:val="21"/>
                <w:highlight w:val="none"/>
                <w:vertAlign w:val="superscript"/>
                <w:lang w:val="en-US" w:eastAsia="zh-CN"/>
              </w:rPr>
              <w:t>3</w:t>
            </w:r>
            <w:r>
              <w:rPr>
                <w:rFonts w:hint="eastAsia" w:eastAsia="宋体" w:cs="宋体"/>
                <w:sz w:val="21"/>
                <w:szCs w:val="21"/>
                <w:highlight w:val="none"/>
                <w:lang w:val="en-US" w:eastAsia="zh-CN"/>
              </w:rPr>
              <w:t>消防池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8"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cs="宋体"/>
                <w:spacing w:val="-8"/>
                <w:sz w:val="21"/>
                <w:szCs w:val="21"/>
                <w:highlight w:val="none"/>
              </w:rPr>
            </w:pPr>
            <w:r>
              <w:rPr>
                <w:rFonts w:hint="eastAsia" w:cs="宋体"/>
                <w:spacing w:val="-8"/>
                <w:sz w:val="21"/>
                <w:szCs w:val="21"/>
                <w:highlight w:val="none"/>
              </w:rPr>
              <w:t>其他环境</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宋体"/>
                <w:spacing w:val="-8"/>
                <w:sz w:val="21"/>
                <w:szCs w:val="21"/>
                <w:highlight w:val="none"/>
              </w:rPr>
            </w:pPr>
            <w:r>
              <w:rPr>
                <w:rFonts w:hint="eastAsia" w:cs="宋体"/>
                <w:spacing w:val="-8"/>
                <w:sz w:val="21"/>
                <w:szCs w:val="21"/>
                <w:highlight w:val="none"/>
              </w:rPr>
              <w:t>管理要求</w:t>
            </w:r>
          </w:p>
        </w:tc>
        <w:tc>
          <w:tcPr>
            <w:tcW w:w="7462" w:type="dxa"/>
            <w:gridSpan w:val="4"/>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rFonts w:hint="eastAsia" w:cs="宋体"/>
                <w:bCs/>
                <w:sz w:val="21"/>
                <w:szCs w:val="21"/>
                <w:highlight w:val="none"/>
              </w:rPr>
            </w:pPr>
            <w:r>
              <w:rPr>
                <w:rFonts w:cs="宋体"/>
                <w:bCs/>
                <w:sz w:val="21"/>
                <w:szCs w:val="21"/>
                <w:highlight w:val="none"/>
              </w:rPr>
              <w:fldChar w:fldCharType="begin"/>
            </w:r>
            <w:r>
              <w:rPr>
                <w:rFonts w:cs="宋体"/>
                <w:bCs/>
                <w:sz w:val="21"/>
                <w:szCs w:val="21"/>
                <w:highlight w:val="none"/>
              </w:rPr>
              <w:instrText xml:space="preserve"> = 1 \* GB3 \* MERGEFORMAT </w:instrText>
            </w:r>
            <w:r>
              <w:rPr>
                <w:rFonts w:cs="宋体"/>
                <w:bCs/>
                <w:sz w:val="21"/>
                <w:szCs w:val="21"/>
                <w:highlight w:val="none"/>
              </w:rPr>
              <w:fldChar w:fldCharType="separate"/>
            </w:r>
            <w:r>
              <w:rPr>
                <w:sz w:val="21"/>
                <w:szCs w:val="21"/>
                <w:highlight w:val="none"/>
              </w:rPr>
              <w:t>①</w:t>
            </w:r>
            <w:r>
              <w:rPr>
                <w:rFonts w:cs="宋体"/>
                <w:bCs/>
                <w:sz w:val="21"/>
                <w:szCs w:val="21"/>
                <w:highlight w:val="none"/>
              </w:rPr>
              <w:fldChar w:fldCharType="end"/>
            </w:r>
            <w:r>
              <w:rPr>
                <w:rFonts w:cs="宋体"/>
                <w:bCs/>
                <w:sz w:val="21"/>
                <w:szCs w:val="21"/>
                <w:highlight w:val="none"/>
              </w:rPr>
              <w:t>总用电控制位置、主要生产设施和污染治理设施安装用电量监控系统终端</w:t>
            </w:r>
            <w:r>
              <w:rPr>
                <w:rFonts w:hint="eastAsia" w:cs="宋体"/>
                <w:bCs/>
                <w:sz w:val="21"/>
                <w:szCs w:val="21"/>
                <w:highlight w:val="none"/>
              </w:rPr>
              <w:t>；</w:t>
            </w:r>
          </w:p>
          <w:p>
            <w:pPr>
              <w:keepNext w:val="0"/>
              <w:keepLines w:val="0"/>
              <w:pageBreakBefore w:val="0"/>
              <w:widowControl w:val="0"/>
              <w:kinsoku/>
              <w:wordWrap/>
              <w:overflowPunct/>
              <w:topLinePunct w:val="0"/>
              <w:bidi w:val="0"/>
              <w:adjustRightInd w:val="0"/>
              <w:snapToGrid w:val="0"/>
              <w:spacing w:line="240" w:lineRule="auto"/>
              <w:textAlignment w:val="auto"/>
              <w:rPr>
                <w:rFonts w:hint="eastAsia" w:cs="宋体"/>
                <w:bCs/>
                <w:sz w:val="21"/>
                <w:szCs w:val="21"/>
                <w:highlight w:val="none"/>
                <w:lang w:eastAsia="zh-CN"/>
              </w:rPr>
            </w:pPr>
            <w:r>
              <w:rPr>
                <w:rFonts w:hint="eastAsia" w:cs="宋体"/>
                <w:bCs/>
                <w:sz w:val="21"/>
                <w:szCs w:val="21"/>
                <w:highlight w:val="none"/>
              </w:rPr>
              <w:fldChar w:fldCharType="begin"/>
            </w:r>
            <w:r>
              <w:rPr>
                <w:rFonts w:hint="eastAsia" w:cs="宋体"/>
                <w:bCs/>
                <w:sz w:val="21"/>
                <w:szCs w:val="21"/>
                <w:highlight w:val="none"/>
              </w:rPr>
              <w:instrText xml:space="preserve"> = 2 \* GB3 \* MERGEFORMAT </w:instrText>
            </w:r>
            <w:r>
              <w:rPr>
                <w:rFonts w:hint="eastAsia" w:cs="宋体"/>
                <w:bCs/>
                <w:sz w:val="21"/>
                <w:szCs w:val="21"/>
                <w:highlight w:val="none"/>
              </w:rPr>
              <w:fldChar w:fldCharType="separate"/>
            </w:r>
            <w:r>
              <w:rPr>
                <w:sz w:val="21"/>
                <w:szCs w:val="21"/>
                <w:highlight w:val="none"/>
              </w:rPr>
              <w:t>②</w:t>
            </w:r>
            <w:r>
              <w:rPr>
                <w:rFonts w:hint="eastAsia" w:cs="宋体"/>
                <w:bCs/>
                <w:sz w:val="21"/>
                <w:szCs w:val="21"/>
                <w:highlight w:val="none"/>
              </w:rPr>
              <w:fldChar w:fldCharType="end"/>
            </w:r>
            <w:r>
              <w:rPr>
                <w:rFonts w:hint="eastAsia" w:cs="宋体"/>
                <w:bCs/>
                <w:sz w:val="21"/>
                <w:szCs w:val="21"/>
                <w:highlight w:val="none"/>
              </w:rPr>
              <w:t>建设车辆门禁监控系统，并与市级监控平台联网</w:t>
            </w:r>
            <w:r>
              <w:rPr>
                <w:rFonts w:hint="eastAsia" w:cs="宋体"/>
                <w:bCs/>
                <w:sz w:val="21"/>
                <w:szCs w:val="21"/>
                <w:highlight w:val="none"/>
                <w:lang w:eastAsia="zh-CN"/>
              </w:rPr>
              <w:t>；</w:t>
            </w:r>
          </w:p>
          <w:p>
            <w:pPr>
              <w:keepNext w:val="0"/>
              <w:keepLines w:val="0"/>
              <w:pageBreakBefore w:val="0"/>
              <w:widowControl w:val="0"/>
              <w:kinsoku/>
              <w:wordWrap/>
              <w:overflowPunct/>
              <w:topLinePunct w:val="0"/>
              <w:bidi w:val="0"/>
              <w:adjustRightInd w:val="0"/>
              <w:snapToGrid w:val="0"/>
              <w:spacing w:line="240" w:lineRule="auto"/>
              <w:textAlignment w:val="auto"/>
              <w:rPr>
                <w:rFonts w:hint="eastAsia" w:eastAsia="宋体" w:cs="宋体"/>
                <w:sz w:val="21"/>
                <w:szCs w:val="21"/>
                <w:highlight w:val="none"/>
                <w:lang w:eastAsia="zh-CN"/>
              </w:rPr>
            </w:pPr>
            <w:r>
              <w:rPr>
                <w:rFonts w:hint="eastAsia" w:cs="宋体"/>
                <w:bCs/>
                <w:sz w:val="21"/>
                <w:szCs w:val="21"/>
                <w:highlight w:val="none"/>
                <w:lang w:eastAsia="zh-CN"/>
              </w:rPr>
              <w:fldChar w:fldCharType="begin"/>
            </w:r>
            <w:r>
              <w:rPr>
                <w:rFonts w:hint="eastAsia" w:cs="宋体"/>
                <w:bCs/>
                <w:sz w:val="21"/>
                <w:szCs w:val="21"/>
                <w:highlight w:val="none"/>
                <w:lang w:eastAsia="zh-CN"/>
              </w:rPr>
              <w:instrText xml:space="preserve"> = 3 \* GB3 \* MERGEFORMAT </w:instrText>
            </w:r>
            <w:r>
              <w:rPr>
                <w:rFonts w:hint="eastAsia" w:cs="宋体"/>
                <w:bCs/>
                <w:sz w:val="21"/>
                <w:szCs w:val="21"/>
                <w:highlight w:val="none"/>
                <w:lang w:eastAsia="zh-CN"/>
              </w:rPr>
              <w:fldChar w:fldCharType="separate"/>
            </w:r>
            <w:r>
              <w:rPr>
                <w:sz w:val="21"/>
                <w:szCs w:val="21"/>
                <w:highlight w:val="none"/>
              </w:rPr>
              <w:t>③</w:t>
            </w:r>
            <w:r>
              <w:rPr>
                <w:rFonts w:hint="eastAsia" w:cs="宋体"/>
                <w:bCs/>
                <w:sz w:val="21"/>
                <w:szCs w:val="21"/>
                <w:highlight w:val="none"/>
                <w:lang w:eastAsia="zh-CN"/>
              </w:rPr>
              <w:fldChar w:fldCharType="end"/>
            </w:r>
            <w:r>
              <w:rPr>
                <w:rFonts w:hint="eastAsia" w:cs="宋体"/>
                <w:bCs/>
                <w:sz w:val="21"/>
                <w:szCs w:val="21"/>
                <w:highlight w:val="none"/>
                <w:lang w:eastAsia="zh-CN"/>
              </w:rPr>
              <w:t>安装视频监控，对生产过程废气收集和治理设施运行情况24小时视频录像；在厂区内下风向设置区空气质量监测微形站，并在厂区门口设置电子显示屏，对自动监测结果公示；</w:t>
            </w:r>
            <w:r>
              <w:rPr>
                <w:rFonts w:hint="eastAsia" w:cs="宋体"/>
                <w:bCs/>
                <w:sz w:val="21"/>
                <w:szCs w:val="21"/>
                <w:highlight w:val="none"/>
                <w:lang w:eastAsia="zh-CN"/>
              </w:rPr>
              <w:br w:type="textWrapping"/>
            </w:r>
            <w:r>
              <w:rPr>
                <w:rFonts w:hint="eastAsia" w:cs="宋体"/>
                <w:bCs/>
                <w:sz w:val="21"/>
                <w:szCs w:val="21"/>
                <w:highlight w:val="none"/>
                <w:lang w:eastAsia="zh-CN"/>
              </w:rPr>
              <w:fldChar w:fldCharType="begin"/>
            </w:r>
            <w:r>
              <w:rPr>
                <w:rFonts w:hint="eastAsia" w:cs="宋体"/>
                <w:bCs/>
                <w:sz w:val="21"/>
                <w:szCs w:val="21"/>
                <w:highlight w:val="none"/>
                <w:lang w:eastAsia="zh-CN"/>
              </w:rPr>
              <w:instrText xml:space="preserve"> = 4 \* GB3 \* MERGEFORMAT </w:instrText>
            </w:r>
            <w:r>
              <w:rPr>
                <w:rFonts w:hint="eastAsia" w:cs="宋体"/>
                <w:bCs/>
                <w:sz w:val="21"/>
                <w:szCs w:val="21"/>
                <w:highlight w:val="none"/>
                <w:lang w:eastAsia="zh-CN"/>
              </w:rPr>
              <w:fldChar w:fldCharType="separate"/>
            </w:r>
            <w:r>
              <w:rPr>
                <w:sz w:val="21"/>
                <w:szCs w:val="21"/>
              </w:rPr>
              <w:t>④</w:t>
            </w:r>
            <w:r>
              <w:rPr>
                <w:rFonts w:hint="eastAsia" w:cs="宋体"/>
                <w:bCs/>
                <w:sz w:val="21"/>
                <w:szCs w:val="21"/>
                <w:highlight w:val="none"/>
                <w:lang w:eastAsia="zh-CN"/>
              </w:rPr>
              <w:fldChar w:fldCharType="end"/>
            </w:r>
            <w:r>
              <w:rPr>
                <w:rFonts w:hint="eastAsia" w:cs="宋体"/>
                <w:bCs/>
                <w:sz w:val="21"/>
                <w:szCs w:val="21"/>
                <w:highlight w:val="none"/>
                <w:lang w:eastAsia="zh-CN"/>
              </w:rPr>
              <w:t>天然气锅炉排气筒安装氮氧化物尾气分析仪。</w:t>
            </w:r>
          </w:p>
        </w:tc>
      </w:tr>
    </w:tbl>
    <w:p>
      <w:pPr>
        <w:pStyle w:val="2"/>
        <w:jc w:val="both"/>
        <w:rPr>
          <w:highlight w:val="cya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p>
    <w:p>
      <w:pPr>
        <w:pStyle w:val="13"/>
        <w:jc w:val="center"/>
        <w:outlineLvl w:val="0"/>
        <w:rPr>
          <w:rFonts w:ascii="Times New Roman" w:hAnsi="Times New Roman" w:eastAsia="黑体"/>
          <w:snapToGrid w:val="0"/>
          <w:sz w:val="30"/>
          <w:szCs w:val="30"/>
          <w:highlight w:val="none"/>
        </w:rPr>
      </w:pPr>
      <w:r>
        <w:rPr>
          <w:rFonts w:hint="eastAsia" w:ascii="Times New Roman" w:hAnsi="Times New Roman" w:eastAsia="黑体"/>
          <w:snapToGrid w:val="0"/>
          <w:sz w:val="30"/>
          <w:szCs w:val="30"/>
          <w:highlight w:val="none"/>
        </w:rPr>
        <w:t>六、结论</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5" w:hRule="atLeast"/>
          <w:jc w:val="center"/>
        </w:trPr>
        <w:tc>
          <w:tcPr>
            <w:tcW w:w="8865" w:type="dxa"/>
            <w:noWrap w:val="0"/>
            <w:vAlign w:val="top"/>
          </w:tcPr>
          <w:p>
            <w:pPr>
              <w:adjustRightInd w:val="0"/>
              <w:snapToGrid w:val="0"/>
              <w:spacing w:line="360" w:lineRule="auto"/>
              <w:ind w:firstLine="420" w:firstLineChars="200"/>
              <w:rPr>
                <w:rFonts w:cs="宋体"/>
                <w:bCs/>
                <w:kern w:val="0"/>
                <w:sz w:val="21"/>
                <w:szCs w:val="21"/>
                <w:highlight w:val="none"/>
              </w:rPr>
            </w:pPr>
            <w:r>
              <w:rPr>
                <w:rFonts w:hint="eastAsia" w:cs="宋体"/>
                <w:bCs/>
                <w:kern w:val="0"/>
                <w:sz w:val="21"/>
                <w:szCs w:val="21"/>
                <w:highlight w:val="none"/>
              </w:rPr>
              <w:t>新乡市筋多多食品有限公司年产500吨烘焙食品加工项目位于新乡市凤泉区大块镇小块村西800米</w:t>
            </w:r>
            <w:r>
              <w:rPr>
                <w:rFonts w:cs="宋体"/>
                <w:bCs/>
                <w:kern w:val="0"/>
                <w:sz w:val="21"/>
                <w:szCs w:val="21"/>
                <w:highlight w:val="none"/>
              </w:rPr>
              <w:t>，该项目的建设符合国家产业政策及相关规划，符合生态保护红线、资源利用上线、环境质量底线和环境准入负面清单等“三线一单”相关要求；项目采取的环保措施可行，能实现达标排放；各类污染物达标排放，</w:t>
            </w:r>
            <w:r>
              <w:rPr>
                <w:rFonts w:hint="eastAsia" w:cs="宋体"/>
                <w:bCs/>
                <w:kern w:val="0"/>
                <w:sz w:val="21"/>
                <w:szCs w:val="21"/>
                <w:highlight w:val="none"/>
              </w:rPr>
              <w:t>环境</w:t>
            </w:r>
            <w:r>
              <w:rPr>
                <w:rFonts w:cs="宋体"/>
                <w:bCs/>
                <w:kern w:val="0"/>
                <w:sz w:val="21"/>
                <w:szCs w:val="21"/>
                <w:highlight w:val="none"/>
              </w:rPr>
              <w:t>保护措施可行。</w:t>
            </w:r>
          </w:p>
          <w:p>
            <w:pPr>
              <w:adjustRightInd w:val="0"/>
              <w:snapToGrid w:val="0"/>
              <w:spacing w:line="360" w:lineRule="auto"/>
              <w:ind w:firstLine="420" w:firstLineChars="200"/>
              <w:rPr>
                <w:rFonts w:cs="宋体"/>
                <w:bCs/>
                <w:kern w:val="0"/>
                <w:sz w:val="21"/>
                <w:szCs w:val="21"/>
                <w:highlight w:val="none"/>
              </w:rPr>
            </w:pPr>
            <w:r>
              <w:rPr>
                <w:rFonts w:cs="宋体"/>
                <w:bCs/>
                <w:kern w:val="0"/>
                <w:sz w:val="21"/>
                <w:szCs w:val="21"/>
                <w:highlight w:val="none"/>
              </w:rPr>
              <w:t>因此，在建设单位加强项目的环境管理，严格遵守“三同时”等环保制度，严格落实本报告书提出的各项环保措施，确保污染防治设施稳定运行和污染物达标排放前提下，从</w:t>
            </w:r>
            <w:r>
              <w:rPr>
                <w:rFonts w:hint="eastAsia" w:cs="宋体"/>
                <w:bCs/>
                <w:kern w:val="0"/>
                <w:sz w:val="21"/>
                <w:szCs w:val="21"/>
                <w:highlight w:val="none"/>
              </w:rPr>
              <w:t>环境保护角度</w:t>
            </w:r>
            <w:r>
              <w:rPr>
                <w:rFonts w:cs="宋体"/>
                <w:bCs/>
                <w:kern w:val="0"/>
                <w:sz w:val="21"/>
                <w:szCs w:val="21"/>
                <w:highlight w:val="none"/>
              </w:rPr>
              <w:t>，</w:t>
            </w:r>
            <w:r>
              <w:rPr>
                <w:rFonts w:hint="eastAsia" w:cs="宋体"/>
                <w:bCs/>
                <w:kern w:val="0"/>
                <w:sz w:val="21"/>
                <w:szCs w:val="21"/>
                <w:highlight w:val="none"/>
              </w:rPr>
              <w:t>建设项目环境影响可行</w:t>
            </w:r>
            <w:r>
              <w:rPr>
                <w:rFonts w:cs="宋体"/>
                <w:bCs/>
                <w:kern w:val="0"/>
                <w:sz w:val="21"/>
                <w:szCs w:val="21"/>
                <w:highlight w:val="none"/>
              </w:rPr>
              <w:t>。</w:t>
            </w:r>
          </w:p>
          <w:p>
            <w:pPr>
              <w:spacing w:line="360" w:lineRule="auto"/>
              <w:rPr>
                <w:rFonts w:cs="宋体"/>
                <w:sz w:val="24"/>
                <w:highlight w:val="cyan"/>
              </w:rPr>
            </w:pPr>
          </w:p>
        </w:tc>
      </w:tr>
    </w:tbl>
    <w:p>
      <w:pPr>
        <w:pStyle w:val="2"/>
        <w:rPr>
          <w:highlight w:val="cya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fmt="numberInDash"/>
          <w:cols w:space="0" w:num="1"/>
          <w:docGrid w:linePitch="312" w:charSpace="0"/>
        </w:sect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Times New Roman" w:hAnsi="Times New Roman" w:eastAsia="黑体"/>
          <w:snapToGrid w:val="0"/>
          <w:sz w:val="32"/>
          <w:szCs w:val="32"/>
          <w:highlight w:val="none"/>
        </w:rPr>
      </w:pPr>
      <w:r>
        <w:rPr>
          <w:rFonts w:hint="eastAsia" w:ascii="Times New Roman" w:hAnsi="Times New Roman" w:eastAsia="黑体"/>
          <w:snapToGrid w:val="0"/>
          <w:sz w:val="32"/>
          <w:szCs w:val="32"/>
          <w:highlight w:val="none"/>
        </w:rPr>
        <w:t>附表</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Times New Roman" w:hAnsi="Times New Roman" w:eastAsia="方正小标宋_GBK"/>
          <w:snapToGrid w:val="0"/>
          <w:sz w:val="38"/>
          <w:szCs w:val="38"/>
          <w:highlight w:val="none"/>
        </w:rPr>
      </w:pPr>
      <w:r>
        <w:rPr>
          <w:rFonts w:hint="eastAsia" w:ascii="Times New Roman" w:hAnsi="Times New Roman" w:eastAsia="方正小标宋_GBK"/>
          <w:snapToGrid w:val="0"/>
          <w:sz w:val="38"/>
          <w:szCs w:val="38"/>
          <w:highlight w:val="none"/>
        </w:rPr>
        <w:t>建设项目污染物排放量汇总表</w:t>
      </w:r>
    </w:p>
    <w:tbl>
      <w:tblPr>
        <w:tblStyle w:val="1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945"/>
        <w:gridCol w:w="1641"/>
        <w:gridCol w:w="1641"/>
        <w:gridCol w:w="1641"/>
        <w:gridCol w:w="1641"/>
        <w:gridCol w:w="1641"/>
        <w:gridCol w:w="1645"/>
        <w:gridCol w:w="9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60" w:type="dxa"/>
            <w:tcBorders>
              <w:tl2br w:val="single" w:color="auto" w:sz="4" w:space="0"/>
            </w:tcBorders>
            <w:noWrap w:val="0"/>
            <w:tcMar>
              <w:left w:w="28" w:type="dxa"/>
              <w:right w:w="28" w:type="dxa"/>
            </w:tcMar>
            <w:vAlign w:val="center"/>
          </w:tcPr>
          <w:p>
            <w:pPr>
              <w:pStyle w:val="21"/>
              <w:spacing w:beforeLines="0" w:afterLines="0" w:line="240" w:lineRule="auto"/>
              <w:jc w:val="right"/>
              <w:rPr>
                <w:rFonts w:hint="eastAsia" w:ascii="Times New Roman" w:eastAsia="黑体" w:cs="宋体"/>
                <w:snapToGrid w:val="0"/>
                <w:color w:val="000000"/>
                <w:spacing w:val="-6"/>
                <w:kern w:val="21"/>
                <w:sz w:val="21"/>
                <w:szCs w:val="21"/>
                <w:highlight w:val="none"/>
              </w:rPr>
            </w:pPr>
            <w:r>
              <w:rPr>
                <w:rFonts w:hint="eastAsia" w:ascii="Times New Roman" w:eastAsia="黑体" w:cs="宋体"/>
                <w:snapToGrid w:val="0"/>
                <w:color w:val="000000"/>
                <w:spacing w:val="-6"/>
                <w:kern w:val="21"/>
                <w:sz w:val="21"/>
                <w:szCs w:val="21"/>
                <w:highlight w:val="none"/>
              </w:rPr>
              <w:t>项目</w:t>
            </w:r>
          </w:p>
          <w:p>
            <w:pPr>
              <w:pStyle w:val="21"/>
              <w:spacing w:beforeLines="0" w:afterLines="0" w:line="240" w:lineRule="auto"/>
              <w:jc w:val="left"/>
              <w:rPr>
                <w:rFonts w:hint="eastAsia" w:ascii="Times New Roman" w:eastAsia="黑体" w:cs="宋体"/>
                <w:snapToGrid w:val="0"/>
                <w:color w:val="000000"/>
                <w:spacing w:val="-6"/>
                <w:kern w:val="21"/>
                <w:sz w:val="21"/>
                <w:szCs w:val="21"/>
                <w:highlight w:val="none"/>
              </w:rPr>
            </w:pPr>
            <w:r>
              <w:rPr>
                <w:rFonts w:hint="eastAsia" w:ascii="Times New Roman" w:eastAsia="黑体" w:cs="宋体"/>
                <w:snapToGrid w:val="0"/>
                <w:color w:val="000000"/>
                <w:spacing w:val="-6"/>
                <w:kern w:val="21"/>
                <w:sz w:val="21"/>
                <w:szCs w:val="21"/>
                <w:highlight w:val="none"/>
              </w:rPr>
              <w:t>分类</w:t>
            </w:r>
          </w:p>
        </w:tc>
        <w:tc>
          <w:tcPr>
            <w:tcW w:w="1945" w:type="dxa"/>
            <w:noWrap w:val="0"/>
            <w:tcMar>
              <w:left w:w="28" w:type="dxa"/>
              <w:right w:w="28" w:type="dxa"/>
            </w:tcMar>
            <w:vAlign w:val="center"/>
          </w:tcPr>
          <w:p>
            <w:pPr>
              <w:pStyle w:val="21"/>
              <w:spacing w:beforeLines="0" w:afterLines="0" w:line="240" w:lineRule="auto"/>
              <w:rPr>
                <w:rFonts w:hint="eastAsia" w:ascii="Times New Roman" w:eastAsia="黑体" w:cs="宋体"/>
                <w:snapToGrid w:val="0"/>
                <w:color w:val="000000"/>
                <w:spacing w:val="-6"/>
                <w:kern w:val="21"/>
                <w:sz w:val="21"/>
                <w:szCs w:val="21"/>
                <w:highlight w:val="none"/>
              </w:rPr>
            </w:pPr>
            <w:r>
              <w:rPr>
                <w:rFonts w:hint="eastAsia" w:ascii="Times New Roman" w:eastAsia="黑体" w:cs="宋体"/>
                <w:snapToGrid w:val="0"/>
                <w:color w:val="000000"/>
                <w:spacing w:val="-6"/>
                <w:kern w:val="21"/>
                <w:sz w:val="21"/>
                <w:szCs w:val="21"/>
                <w:highlight w:val="none"/>
              </w:rPr>
              <w:t>污染物名称</w:t>
            </w:r>
          </w:p>
        </w:tc>
        <w:tc>
          <w:tcPr>
            <w:tcW w:w="1641" w:type="dxa"/>
            <w:noWrap w:val="0"/>
            <w:tcMar>
              <w:left w:w="28" w:type="dxa"/>
              <w:right w:w="28" w:type="dxa"/>
            </w:tcMar>
            <w:vAlign w:val="center"/>
          </w:tcPr>
          <w:p>
            <w:pPr>
              <w:pStyle w:val="21"/>
              <w:spacing w:beforeLines="0" w:afterLines="0" w:line="240" w:lineRule="auto"/>
              <w:rPr>
                <w:rFonts w:hint="eastAsia" w:ascii="Times New Roman" w:eastAsia="黑体"/>
                <w:snapToGrid w:val="0"/>
                <w:color w:val="000000"/>
                <w:spacing w:val="-6"/>
                <w:kern w:val="21"/>
                <w:sz w:val="21"/>
                <w:szCs w:val="21"/>
                <w:highlight w:val="none"/>
              </w:rPr>
            </w:pPr>
            <w:r>
              <w:rPr>
                <w:rFonts w:ascii="Times New Roman" w:eastAsia="黑体"/>
                <w:snapToGrid w:val="0"/>
                <w:color w:val="000000"/>
                <w:spacing w:val="-6"/>
                <w:kern w:val="21"/>
                <w:sz w:val="21"/>
                <w:szCs w:val="21"/>
                <w:highlight w:val="none"/>
              </w:rPr>
              <w:t>现有工程</w:t>
            </w:r>
          </w:p>
          <w:p>
            <w:pPr>
              <w:pStyle w:val="21"/>
              <w:spacing w:beforeLines="0" w:afterLines="0" w:line="240" w:lineRule="auto"/>
              <w:rPr>
                <w:rFonts w:ascii="Times New Roman" w:eastAsia="黑体"/>
                <w:snapToGrid w:val="0"/>
                <w:color w:val="000000"/>
                <w:spacing w:val="-6"/>
                <w:kern w:val="21"/>
                <w:sz w:val="21"/>
                <w:szCs w:val="21"/>
                <w:highlight w:val="none"/>
              </w:rPr>
            </w:pPr>
            <w:r>
              <w:rPr>
                <w:rFonts w:ascii="Times New Roman" w:eastAsia="黑体"/>
                <w:snapToGrid w:val="0"/>
                <w:color w:val="000000"/>
                <w:spacing w:val="-6"/>
                <w:kern w:val="21"/>
                <w:sz w:val="21"/>
                <w:szCs w:val="21"/>
                <w:highlight w:val="none"/>
              </w:rPr>
              <w:t>排放量（固</w:t>
            </w:r>
            <w:r>
              <w:rPr>
                <w:rFonts w:hint="eastAsia" w:ascii="Times New Roman" w:eastAsia="黑体"/>
                <w:snapToGrid w:val="0"/>
                <w:color w:val="000000"/>
                <w:spacing w:val="-6"/>
                <w:kern w:val="21"/>
                <w:sz w:val="21"/>
                <w:szCs w:val="21"/>
                <w:highlight w:val="none"/>
              </w:rPr>
              <w:t>体</w:t>
            </w:r>
            <w:r>
              <w:rPr>
                <w:rFonts w:ascii="Times New Roman" w:eastAsia="黑体"/>
                <w:snapToGrid w:val="0"/>
                <w:color w:val="000000"/>
                <w:spacing w:val="-6"/>
                <w:kern w:val="21"/>
                <w:sz w:val="21"/>
                <w:szCs w:val="21"/>
                <w:highlight w:val="none"/>
              </w:rPr>
              <w:t>废</w:t>
            </w:r>
            <w:r>
              <w:rPr>
                <w:rFonts w:hint="eastAsia" w:ascii="Times New Roman" w:eastAsia="黑体"/>
                <w:snapToGrid w:val="0"/>
                <w:color w:val="000000"/>
                <w:spacing w:val="-6"/>
                <w:kern w:val="21"/>
                <w:sz w:val="21"/>
                <w:szCs w:val="21"/>
                <w:highlight w:val="none"/>
              </w:rPr>
              <w:t>物</w:t>
            </w:r>
            <w:r>
              <w:rPr>
                <w:rFonts w:ascii="Times New Roman" w:eastAsia="黑体"/>
                <w:snapToGrid w:val="0"/>
                <w:color w:val="000000"/>
                <w:spacing w:val="-6"/>
                <w:kern w:val="21"/>
                <w:sz w:val="21"/>
                <w:szCs w:val="21"/>
                <w:highlight w:val="none"/>
              </w:rPr>
              <w:t>产生量）</w:t>
            </w:r>
            <w:r>
              <w:rPr>
                <w:rFonts w:ascii="Times New Roman" w:eastAsia="黑体"/>
                <w:snapToGrid w:val="0"/>
                <w:color w:val="000000"/>
                <w:spacing w:val="-6"/>
                <w:kern w:val="21"/>
                <w:sz w:val="21"/>
                <w:szCs w:val="21"/>
                <w:highlight w:val="none"/>
              </w:rPr>
              <w:fldChar w:fldCharType="begin"/>
            </w:r>
            <w:r>
              <w:rPr>
                <w:rFonts w:ascii="Times New Roman" w:eastAsia="黑体"/>
                <w:snapToGrid w:val="0"/>
                <w:color w:val="000000"/>
                <w:spacing w:val="-6"/>
                <w:kern w:val="21"/>
                <w:sz w:val="21"/>
                <w:szCs w:val="21"/>
                <w:highlight w:val="none"/>
              </w:rPr>
              <w:instrText xml:space="preserve"> = 1 \* GB3 \* MERGEFORMAT </w:instrText>
            </w:r>
            <w:r>
              <w:rPr>
                <w:rFonts w:ascii="Times New Roman" w:eastAsia="黑体"/>
                <w:snapToGrid w:val="0"/>
                <w:color w:val="000000"/>
                <w:spacing w:val="-6"/>
                <w:kern w:val="21"/>
                <w:sz w:val="21"/>
                <w:szCs w:val="21"/>
                <w:highlight w:val="none"/>
              </w:rPr>
              <w:fldChar w:fldCharType="separate"/>
            </w:r>
            <w:r>
              <w:rPr>
                <w:rFonts w:hint="eastAsia" w:ascii="Times New Roman" w:eastAsia="黑体" w:cs="宋体"/>
                <w:kern w:val="2"/>
                <w:sz w:val="21"/>
                <w:szCs w:val="21"/>
                <w:highlight w:val="none"/>
              </w:rPr>
              <w:t>①</w:t>
            </w:r>
            <w:r>
              <w:rPr>
                <w:rFonts w:ascii="Times New Roman" w:eastAsia="黑体"/>
                <w:snapToGrid w:val="0"/>
                <w:color w:val="000000"/>
                <w:spacing w:val="-6"/>
                <w:kern w:val="21"/>
                <w:sz w:val="21"/>
                <w:szCs w:val="21"/>
                <w:highlight w:val="none"/>
              </w:rPr>
              <w:fldChar w:fldCharType="end"/>
            </w:r>
          </w:p>
        </w:tc>
        <w:tc>
          <w:tcPr>
            <w:tcW w:w="1641" w:type="dxa"/>
            <w:noWrap w:val="0"/>
            <w:tcMar>
              <w:left w:w="28" w:type="dxa"/>
              <w:right w:w="28" w:type="dxa"/>
            </w:tcMar>
            <w:vAlign w:val="center"/>
          </w:tcPr>
          <w:p>
            <w:pPr>
              <w:pStyle w:val="21"/>
              <w:spacing w:beforeLines="0" w:afterLines="0" w:line="240" w:lineRule="auto"/>
              <w:rPr>
                <w:rFonts w:ascii="Times New Roman" w:eastAsia="黑体"/>
                <w:snapToGrid w:val="0"/>
                <w:color w:val="000000"/>
                <w:spacing w:val="-6"/>
                <w:kern w:val="21"/>
                <w:sz w:val="21"/>
                <w:szCs w:val="21"/>
                <w:highlight w:val="none"/>
              </w:rPr>
            </w:pPr>
            <w:r>
              <w:rPr>
                <w:rFonts w:ascii="Times New Roman" w:eastAsia="黑体"/>
                <w:snapToGrid w:val="0"/>
                <w:color w:val="000000"/>
                <w:spacing w:val="-6"/>
                <w:kern w:val="21"/>
                <w:sz w:val="21"/>
                <w:szCs w:val="21"/>
                <w:highlight w:val="none"/>
              </w:rPr>
              <w:t>现有工程</w:t>
            </w:r>
          </w:p>
          <w:p>
            <w:pPr>
              <w:pStyle w:val="21"/>
              <w:spacing w:beforeLines="0" w:afterLines="0" w:line="240" w:lineRule="auto"/>
              <w:rPr>
                <w:rFonts w:ascii="Times New Roman" w:eastAsia="黑体"/>
                <w:snapToGrid w:val="0"/>
                <w:color w:val="000000"/>
                <w:spacing w:val="-6"/>
                <w:kern w:val="21"/>
                <w:sz w:val="21"/>
                <w:szCs w:val="21"/>
                <w:highlight w:val="none"/>
              </w:rPr>
            </w:pPr>
            <w:r>
              <w:rPr>
                <w:rFonts w:ascii="Times New Roman" w:eastAsia="黑体"/>
                <w:snapToGrid w:val="0"/>
                <w:color w:val="000000"/>
                <w:spacing w:val="-6"/>
                <w:kern w:val="21"/>
                <w:sz w:val="21"/>
                <w:szCs w:val="21"/>
                <w:highlight w:val="none"/>
              </w:rPr>
              <w:t>许可排放量</w:t>
            </w:r>
          </w:p>
          <w:p>
            <w:pPr>
              <w:pStyle w:val="21"/>
              <w:spacing w:beforeLines="0" w:afterLines="0"/>
              <w:rPr>
                <w:rFonts w:ascii="Times New Roman" w:eastAsia="黑体"/>
                <w:snapToGrid w:val="0"/>
                <w:color w:val="000000"/>
                <w:spacing w:val="-6"/>
                <w:kern w:val="21"/>
                <w:sz w:val="21"/>
                <w:szCs w:val="21"/>
                <w:highlight w:val="none"/>
              </w:rPr>
            </w:pPr>
            <w:r>
              <w:rPr>
                <w:rFonts w:ascii="Times New Roman" w:eastAsia="黑体"/>
                <w:snapToGrid w:val="0"/>
                <w:color w:val="000000"/>
                <w:spacing w:val="-6"/>
                <w:kern w:val="21"/>
                <w:sz w:val="21"/>
                <w:szCs w:val="21"/>
                <w:highlight w:val="none"/>
              </w:rPr>
              <w:fldChar w:fldCharType="begin"/>
            </w:r>
            <w:r>
              <w:rPr>
                <w:rFonts w:ascii="Times New Roman" w:eastAsia="黑体"/>
                <w:snapToGrid w:val="0"/>
                <w:color w:val="000000"/>
                <w:spacing w:val="-6"/>
                <w:kern w:val="21"/>
                <w:sz w:val="21"/>
                <w:szCs w:val="21"/>
                <w:highlight w:val="none"/>
              </w:rPr>
              <w:instrText xml:space="preserve"> = 2 \* GB3 \* MERGEFORMAT </w:instrText>
            </w:r>
            <w:r>
              <w:rPr>
                <w:rFonts w:ascii="Times New Roman" w:eastAsia="黑体"/>
                <w:snapToGrid w:val="0"/>
                <w:color w:val="000000"/>
                <w:spacing w:val="-6"/>
                <w:kern w:val="21"/>
                <w:sz w:val="21"/>
                <w:szCs w:val="21"/>
                <w:highlight w:val="none"/>
              </w:rPr>
              <w:fldChar w:fldCharType="separate"/>
            </w:r>
            <w:r>
              <w:rPr>
                <w:rFonts w:hint="eastAsia" w:ascii="Times New Roman" w:eastAsia="黑体" w:cs="宋体"/>
                <w:snapToGrid w:val="0"/>
                <w:color w:val="000000"/>
                <w:spacing w:val="-6"/>
                <w:kern w:val="21"/>
                <w:sz w:val="21"/>
                <w:szCs w:val="21"/>
                <w:highlight w:val="none"/>
              </w:rPr>
              <w:t>②</w:t>
            </w:r>
            <w:r>
              <w:rPr>
                <w:rFonts w:ascii="Times New Roman" w:eastAsia="黑体"/>
                <w:snapToGrid w:val="0"/>
                <w:color w:val="000000"/>
                <w:spacing w:val="-6"/>
                <w:kern w:val="21"/>
                <w:sz w:val="21"/>
                <w:szCs w:val="21"/>
                <w:highlight w:val="none"/>
              </w:rPr>
              <w:fldChar w:fldCharType="end"/>
            </w:r>
          </w:p>
        </w:tc>
        <w:tc>
          <w:tcPr>
            <w:tcW w:w="1641" w:type="dxa"/>
            <w:noWrap w:val="0"/>
            <w:tcMar>
              <w:left w:w="28" w:type="dxa"/>
              <w:right w:w="28" w:type="dxa"/>
            </w:tcMar>
            <w:vAlign w:val="center"/>
          </w:tcPr>
          <w:p>
            <w:pPr>
              <w:pStyle w:val="21"/>
              <w:spacing w:beforeLines="0" w:afterLines="0" w:line="240" w:lineRule="auto"/>
              <w:rPr>
                <w:rFonts w:hint="eastAsia" w:ascii="Times New Roman" w:eastAsia="黑体"/>
                <w:snapToGrid w:val="0"/>
                <w:color w:val="000000"/>
                <w:spacing w:val="-6"/>
                <w:kern w:val="21"/>
                <w:sz w:val="21"/>
                <w:szCs w:val="21"/>
                <w:highlight w:val="none"/>
              </w:rPr>
            </w:pPr>
            <w:r>
              <w:rPr>
                <w:rFonts w:ascii="Times New Roman" w:eastAsia="黑体"/>
                <w:snapToGrid w:val="0"/>
                <w:color w:val="000000"/>
                <w:spacing w:val="-6"/>
                <w:kern w:val="21"/>
                <w:sz w:val="21"/>
                <w:szCs w:val="21"/>
                <w:highlight w:val="none"/>
              </w:rPr>
              <w:t>在建工程</w:t>
            </w:r>
          </w:p>
          <w:p>
            <w:pPr>
              <w:pStyle w:val="21"/>
              <w:spacing w:beforeLines="0" w:afterLines="0" w:line="240" w:lineRule="auto"/>
              <w:rPr>
                <w:rFonts w:ascii="Times New Roman" w:eastAsia="黑体"/>
                <w:snapToGrid w:val="0"/>
                <w:color w:val="000000"/>
                <w:spacing w:val="-6"/>
                <w:kern w:val="21"/>
                <w:sz w:val="21"/>
                <w:szCs w:val="21"/>
                <w:highlight w:val="none"/>
              </w:rPr>
            </w:pPr>
            <w:r>
              <w:rPr>
                <w:rFonts w:ascii="Times New Roman" w:eastAsia="黑体"/>
                <w:snapToGrid w:val="0"/>
                <w:color w:val="000000"/>
                <w:spacing w:val="-6"/>
                <w:kern w:val="21"/>
                <w:sz w:val="21"/>
                <w:szCs w:val="21"/>
                <w:highlight w:val="none"/>
              </w:rPr>
              <w:t>排放量（固</w:t>
            </w:r>
            <w:r>
              <w:rPr>
                <w:rFonts w:hint="eastAsia" w:ascii="Times New Roman" w:eastAsia="黑体"/>
                <w:snapToGrid w:val="0"/>
                <w:color w:val="000000"/>
                <w:spacing w:val="-6"/>
                <w:kern w:val="21"/>
                <w:sz w:val="21"/>
                <w:szCs w:val="21"/>
                <w:highlight w:val="none"/>
              </w:rPr>
              <w:t>体</w:t>
            </w:r>
            <w:r>
              <w:rPr>
                <w:rFonts w:ascii="Times New Roman" w:eastAsia="黑体"/>
                <w:snapToGrid w:val="0"/>
                <w:color w:val="000000"/>
                <w:spacing w:val="-6"/>
                <w:kern w:val="21"/>
                <w:sz w:val="21"/>
                <w:szCs w:val="21"/>
                <w:highlight w:val="none"/>
              </w:rPr>
              <w:t>废</w:t>
            </w:r>
            <w:r>
              <w:rPr>
                <w:rFonts w:hint="eastAsia" w:ascii="Times New Roman" w:eastAsia="黑体"/>
                <w:snapToGrid w:val="0"/>
                <w:color w:val="000000"/>
                <w:spacing w:val="-6"/>
                <w:kern w:val="21"/>
                <w:sz w:val="21"/>
                <w:szCs w:val="21"/>
                <w:highlight w:val="none"/>
              </w:rPr>
              <w:t>物</w:t>
            </w:r>
            <w:r>
              <w:rPr>
                <w:rFonts w:ascii="Times New Roman" w:eastAsia="黑体"/>
                <w:snapToGrid w:val="0"/>
                <w:color w:val="000000"/>
                <w:spacing w:val="-6"/>
                <w:kern w:val="21"/>
                <w:sz w:val="21"/>
                <w:szCs w:val="21"/>
                <w:highlight w:val="none"/>
              </w:rPr>
              <w:t>产生量）</w:t>
            </w:r>
            <w:r>
              <w:rPr>
                <w:rFonts w:ascii="Times New Roman" w:eastAsia="黑体"/>
                <w:snapToGrid w:val="0"/>
                <w:color w:val="000000"/>
                <w:spacing w:val="-6"/>
                <w:kern w:val="21"/>
                <w:sz w:val="21"/>
                <w:szCs w:val="21"/>
                <w:highlight w:val="none"/>
              </w:rPr>
              <w:fldChar w:fldCharType="begin"/>
            </w:r>
            <w:r>
              <w:rPr>
                <w:rFonts w:ascii="Times New Roman" w:eastAsia="黑体"/>
                <w:snapToGrid w:val="0"/>
                <w:color w:val="000000"/>
                <w:spacing w:val="-6"/>
                <w:kern w:val="21"/>
                <w:sz w:val="21"/>
                <w:szCs w:val="21"/>
                <w:highlight w:val="none"/>
              </w:rPr>
              <w:instrText xml:space="preserve"> = 3 \* GB3 \* MERGEFORMAT </w:instrText>
            </w:r>
            <w:r>
              <w:rPr>
                <w:rFonts w:ascii="Times New Roman" w:eastAsia="黑体"/>
                <w:snapToGrid w:val="0"/>
                <w:color w:val="000000"/>
                <w:spacing w:val="-6"/>
                <w:kern w:val="21"/>
                <w:sz w:val="21"/>
                <w:szCs w:val="21"/>
                <w:highlight w:val="none"/>
              </w:rPr>
              <w:fldChar w:fldCharType="separate"/>
            </w:r>
            <w:r>
              <w:rPr>
                <w:rFonts w:hint="eastAsia" w:ascii="Times New Roman" w:eastAsia="黑体" w:cs="宋体"/>
                <w:kern w:val="2"/>
                <w:sz w:val="21"/>
                <w:szCs w:val="21"/>
                <w:highlight w:val="none"/>
              </w:rPr>
              <w:t>③</w:t>
            </w:r>
            <w:r>
              <w:rPr>
                <w:rFonts w:ascii="Times New Roman" w:eastAsia="黑体"/>
                <w:snapToGrid w:val="0"/>
                <w:color w:val="000000"/>
                <w:spacing w:val="-6"/>
                <w:kern w:val="21"/>
                <w:sz w:val="21"/>
                <w:szCs w:val="21"/>
                <w:highlight w:val="none"/>
              </w:rPr>
              <w:fldChar w:fldCharType="end"/>
            </w:r>
          </w:p>
        </w:tc>
        <w:tc>
          <w:tcPr>
            <w:tcW w:w="1641" w:type="dxa"/>
            <w:noWrap w:val="0"/>
            <w:tcMar>
              <w:left w:w="28" w:type="dxa"/>
              <w:right w:w="28" w:type="dxa"/>
            </w:tcMar>
            <w:vAlign w:val="center"/>
          </w:tcPr>
          <w:p>
            <w:pPr>
              <w:pStyle w:val="21"/>
              <w:spacing w:beforeLines="0" w:afterLines="0" w:line="240" w:lineRule="auto"/>
              <w:rPr>
                <w:rFonts w:hint="eastAsia" w:ascii="Times New Roman" w:eastAsia="黑体"/>
                <w:snapToGrid w:val="0"/>
                <w:color w:val="000000"/>
                <w:spacing w:val="-6"/>
                <w:kern w:val="21"/>
                <w:sz w:val="21"/>
                <w:szCs w:val="21"/>
                <w:highlight w:val="none"/>
              </w:rPr>
            </w:pPr>
            <w:r>
              <w:rPr>
                <w:rFonts w:ascii="Times New Roman" w:eastAsia="黑体"/>
                <w:snapToGrid w:val="0"/>
                <w:color w:val="000000"/>
                <w:spacing w:val="-6"/>
                <w:kern w:val="21"/>
                <w:sz w:val="21"/>
                <w:szCs w:val="21"/>
                <w:highlight w:val="none"/>
              </w:rPr>
              <w:t>本项目</w:t>
            </w:r>
          </w:p>
          <w:p>
            <w:pPr>
              <w:pStyle w:val="21"/>
              <w:spacing w:beforeLines="0" w:afterLines="0" w:line="240" w:lineRule="auto"/>
              <w:rPr>
                <w:rFonts w:ascii="Times New Roman" w:eastAsia="黑体"/>
                <w:snapToGrid w:val="0"/>
                <w:color w:val="000000"/>
                <w:spacing w:val="-6"/>
                <w:kern w:val="21"/>
                <w:sz w:val="21"/>
                <w:szCs w:val="21"/>
                <w:highlight w:val="none"/>
              </w:rPr>
            </w:pPr>
            <w:r>
              <w:rPr>
                <w:rFonts w:ascii="Times New Roman" w:eastAsia="黑体"/>
                <w:snapToGrid w:val="0"/>
                <w:color w:val="000000"/>
                <w:spacing w:val="-6"/>
                <w:kern w:val="21"/>
                <w:sz w:val="21"/>
                <w:szCs w:val="21"/>
                <w:highlight w:val="none"/>
              </w:rPr>
              <w:t>排放量（固</w:t>
            </w:r>
            <w:r>
              <w:rPr>
                <w:rFonts w:hint="eastAsia" w:ascii="Times New Roman" w:eastAsia="黑体"/>
                <w:snapToGrid w:val="0"/>
                <w:color w:val="000000"/>
                <w:spacing w:val="-6"/>
                <w:kern w:val="21"/>
                <w:sz w:val="21"/>
                <w:szCs w:val="21"/>
                <w:highlight w:val="none"/>
              </w:rPr>
              <w:t>体</w:t>
            </w:r>
            <w:r>
              <w:rPr>
                <w:rFonts w:ascii="Times New Roman" w:eastAsia="黑体"/>
                <w:snapToGrid w:val="0"/>
                <w:color w:val="000000"/>
                <w:spacing w:val="-6"/>
                <w:kern w:val="21"/>
                <w:sz w:val="21"/>
                <w:szCs w:val="21"/>
                <w:highlight w:val="none"/>
              </w:rPr>
              <w:t>废</w:t>
            </w:r>
            <w:r>
              <w:rPr>
                <w:rFonts w:hint="eastAsia" w:ascii="Times New Roman" w:eastAsia="黑体"/>
                <w:snapToGrid w:val="0"/>
                <w:color w:val="000000"/>
                <w:spacing w:val="-6"/>
                <w:kern w:val="21"/>
                <w:sz w:val="21"/>
                <w:szCs w:val="21"/>
                <w:highlight w:val="none"/>
              </w:rPr>
              <w:t>物</w:t>
            </w:r>
            <w:r>
              <w:rPr>
                <w:rFonts w:ascii="Times New Roman" w:eastAsia="黑体"/>
                <w:snapToGrid w:val="0"/>
                <w:color w:val="000000"/>
                <w:spacing w:val="-6"/>
                <w:kern w:val="21"/>
                <w:sz w:val="21"/>
                <w:szCs w:val="21"/>
                <w:highlight w:val="none"/>
              </w:rPr>
              <w:t>产生量）</w:t>
            </w:r>
            <w:r>
              <w:rPr>
                <w:rFonts w:ascii="Times New Roman" w:eastAsia="黑体"/>
                <w:snapToGrid w:val="0"/>
                <w:color w:val="000000"/>
                <w:spacing w:val="-6"/>
                <w:kern w:val="21"/>
                <w:sz w:val="21"/>
                <w:szCs w:val="21"/>
                <w:highlight w:val="none"/>
              </w:rPr>
              <w:fldChar w:fldCharType="begin"/>
            </w:r>
            <w:r>
              <w:rPr>
                <w:rFonts w:ascii="Times New Roman" w:eastAsia="黑体"/>
                <w:snapToGrid w:val="0"/>
                <w:color w:val="000000"/>
                <w:spacing w:val="-6"/>
                <w:kern w:val="21"/>
                <w:sz w:val="21"/>
                <w:szCs w:val="21"/>
                <w:highlight w:val="none"/>
              </w:rPr>
              <w:instrText xml:space="preserve"> = 4 \* GB3 \* MERGEFORMAT </w:instrText>
            </w:r>
            <w:r>
              <w:rPr>
                <w:rFonts w:ascii="Times New Roman" w:eastAsia="黑体"/>
                <w:snapToGrid w:val="0"/>
                <w:color w:val="000000"/>
                <w:spacing w:val="-6"/>
                <w:kern w:val="21"/>
                <w:sz w:val="21"/>
                <w:szCs w:val="21"/>
                <w:highlight w:val="none"/>
              </w:rPr>
              <w:fldChar w:fldCharType="separate"/>
            </w:r>
            <w:r>
              <w:rPr>
                <w:rFonts w:hint="eastAsia" w:ascii="Times New Roman" w:eastAsia="黑体" w:cs="宋体"/>
                <w:kern w:val="2"/>
                <w:sz w:val="21"/>
                <w:szCs w:val="21"/>
                <w:highlight w:val="none"/>
              </w:rPr>
              <w:t>④</w:t>
            </w:r>
            <w:r>
              <w:rPr>
                <w:rFonts w:ascii="Times New Roman" w:eastAsia="黑体"/>
                <w:snapToGrid w:val="0"/>
                <w:color w:val="000000"/>
                <w:spacing w:val="-6"/>
                <w:kern w:val="21"/>
                <w:sz w:val="21"/>
                <w:szCs w:val="21"/>
                <w:highlight w:val="none"/>
              </w:rPr>
              <w:fldChar w:fldCharType="end"/>
            </w:r>
          </w:p>
        </w:tc>
        <w:tc>
          <w:tcPr>
            <w:tcW w:w="1641" w:type="dxa"/>
            <w:noWrap w:val="0"/>
            <w:tcMar>
              <w:left w:w="28" w:type="dxa"/>
              <w:right w:w="28" w:type="dxa"/>
            </w:tcMar>
            <w:vAlign w:val="center"/>
          </w:tcPr>
          <w:p>
            <w:pPr>
              <w:pStyle w:val="21"/>
              <w:spacing w:beforeLines="0" w:afterLines="0" w:line="240" w:lineRule="auto"/>
              <w:rPr>
                <w:rFonts w:hint="eastAsia" w:ascii="Times New Roman" w:eastAsia="黑体"/>
                <w:snapToGrid w:val="0"/>
                <w:color w:val="000000"/>
                <w:spacing w:val="-16"/>
                <w:kern w:val="21"/>
                <w:sz w:val="21"/>
                <w:szCs w:val="21"/>
                <w:highlight w:val="none"/>
              </w:rPr>
            </w:pPr>
            <w:r>
              <w:rPr>
                <w:rFonts w:ascii="Times New Roman" w:eastAsia="黑体"/>
                <w:snapToGrid w:val="0"/>
                <w:color w:val="000000"/>
                <w:spacing w:val="-16"/>
                <w:kern w:val="21"/>
                <w:sz w:val="21"/>
                <w:szCs w:val="21"/>
                <w:highlight w:val="none"/>
              </w:rPr>
              <w:t>以新带老削减量</w:t>
            </w:r>
          </w:p>
          <w:p>
            <w:pPr>
              <w:pStyle w:val="21"/>
              <w:spacing w:beforeLines="0" w:afterLines="0" w:line="240" w:lineRule="auto"/>
              <w:rPr>
                <w:rFonts w:ascii="Times New Roman" w:eastAsia="黑体"/>
                <w:snapToGrid w:val="0"/>
                <w:color w:val="000000"/>
                <w:spacing w:val="-16"/>
                <w:kern w:val="21"/>
                <w:sz w:val="21"/>
                <w:szCs w:val="21"/>
                <w:highlight w:val="none"/>
              </w:rPr>
            </w:pPr>
            <w:r>
              <w:rPr>
                <w:rFonts w:ascii="Times New Roman" w:eastAsia="黑体"/>
                <w:snapToGrid w:val="0"/>
                <w:color w:val="000000"/>
                <w:spacing w:val="-16"/>
                <w:kern w:val="21"/>
                <w:sz w:val="21"/>
                <w:szCs w:val="21"/>
                <w:highlight w:val="none"/>
              </w:rPr>
              <w:t>（新建项目不填）</w:t>
            </w:r>
            <w:r>
              <w:rPr>
                <w:rFonts w:ascii="Times New Roman" w:eastAsia="黑体"/>
                <w:snapToGrid w:val="0"/>
                <w:color w:val="000000"/>
                <w:spacing w:val="-16"/>
                <w:kern w:val="21"/>
                <w:sz w:val="21"/>
                <w:szCs w:val="21"/>
                <w:highlight w:val="none"/>
              </w:rPr>
              <w:fldChar w:fldCharType="begin"/>
            </w:r>
            <w:r>
              <w:rPr>
                <w:rFonts w:ascii="Times New Roman" w:eastAsia="黑体"/>
                <w:snapToGrid w:val="0"/>
                <w:color w:val="000000"/>
                <w:spacing w:val="-16"/>
                <w:kern w:val="21"/>
                <w:sz w:val="21"/>
                <w:szCs w:val="21"/>
                <w:highlight w:val="none"/>
              </w:rPr>
              <w:instrText xml:space="preserve"> = 5 \* GB3 \* MERGEFORMAT </w:instrText>
            </w:r>
            <w:r>
              <w:rPr>
                <w:rFonts w:ascii="Times New Roman" w:eastAsia="黑体"/>
                <w:snapToGrid w:val="0"/>
                <w:color w:val="000000"/>
                <w:spacing w:val="-16"/>
                <w:kern w:val="21"/>
                <w:sz w:val="21"/>
                <w:szCs w:val="21"/>
                <w:highlight w:val="none"/>
              </w:rPr>
              <w:fldChar w:fldCharType="separate"/>
            </w:r>
            <w:r>
              <w:rPr>
                <w:rFonts w:hint="eastAsia" w:ascii="Times New Roman" w:eastAsia="黑体" w:cs="宋体"/>
                <w:kern w:val="2"/>
                <w:sz w:val="21"/>
                <w:szCs w:val="21"/>
                <w:highlight w:val="none"/>
              </w:rPr>
              <w:t>⑤</w:t>
            </w:r>
            <w:r>
              <w:rPr>
                <w:rFonts w:ascii="Times New Roman" w:eastAsia="黑体"/>
                <w:snapToGrid w:val="0"/>
                <w:color w:val="000000"/>
                <w:spacing w:val="-16"/>
                <w:kern w:val="21"/>
                <w:sz w:val="21"/>
                <w:szCs w:val="21"/>
                <w:highlight w:val="none"/>
              </w:rPr>
              <w:fldChar w:fldCharType="end"/>
            </w:r>
          </w:p>
        </w:tc>
        <w:tc>
          <w:tcPr>
            <w:tcW w:w="1645" w:type="dxa"/>
            <w:noWrap w:val="0"/>
            <w:tcMar>
              <w:left w:w="28" w:type="dxa"/>
              <w:right w:w="28" w:type="dxa"/>
            </w:tcMar>
            <w:vAlign w:val="center"/>
          </w:tcPr>
          <w:p>
            <w:pPr>
              <w:pStyle w:val="21"/>
              <w:spacing w:beforeLines="0" w:afterLines="0" w:line="240" w:lineRule="auto"/>
              <w:rPr>
                <w:rFonts w:hint="eastAsia" w:ascii="Times New Roman" w:eastAsia="黑体"/>
                <w:snapToGrid w:val="0"/>
                <w:color w:val="000000"/>
                <w:spacing w:val="-16"/>
                <w:kern w:val="21"/>
                <w:sz w:val="21"/>
                <w:szCs w:val="21"/>
                <w:highlight w:val="none"/>
              </w:rPr>
            </w:pPr>
            <w:r>
              <w:rPr>
                <w:rFonts w:ascii="Times New Roman" w:eastAsia="黑体"/>
                <w:snapToGrid w:val="0"/>
                <w:color w:val="000000"/>
                <w:spacing w:val="-16"/>
                <w:kern w:val="21"/>
                <w:sz w:val="21"/>
                <w:szCs w:val="21"/>
                <w:highlight w:val="none"/>
              </w:rPr>
              <w:t>本项目建成后</w:t>
            </w:r>
          </w:p>
          <w:p>
            <w:pPr>
              <w:pStyle w:val="21"/>
              <w:spacing w:beforeLines="0" w:afterLines="0" w:line="240" w:lineRule="auto"/>
              <w:rPr>
                <w:rFonts w:ascii="Times New Roman" w:eastAsia="黑体"/>
                <w:snapToGrid w:val="0"/>
                <w:color w:val="000000"/>
                <w:spacing w:val="-16"/>
                <w:kern w:val="21"/>
                <w:sz w:val="21"/>
                <w:szCs w:val="21"/>
                <w:highlight w:val="none"/>
              </w:rPr>
            </w:pPr>
            <w:r>
              <w:rPr>
                <w:rFonts w:hint="eastAsia" w:ascii="Times New Roman" w:eastAsia="黑体"/>
                <w:snapToGrid w:val="0"/>
                <w:color w:val="000000"/>
                <w:spacing w:val="-16"/>
                <w:kern w:val="21"/>
                <w:sz w:val="21"/>
                <w:szCs w:val="21"/>
                <w:highlight w:val="none"/>
              </w:rPr>
              <w:t>全厂</w:t>
            </w:r>
            <w:r>
              <w:rPr>
                <w:rFonts w:ascii="Times New Roman" w:eastAsia="黑体"/>
                <w:snapToGrid w:val="0"/>
                <w:color w:val="000000"/>
                <w:spacing w:val="-16"/>
                <w:kern w:val="21"/>
                <w:sz w:val="21"/>
                <w:szCs w:val="21"/>
                <w:highlight w:val="none"/>
              </w:rPr>
              <w:t>排放量（固</w:t>
            </w:r>
            <w:r>
              <w:rPr>
                <w:rFonts w:hint="eastAsia" w:ascii="Times New Roman" w:eastAsia="黑体"/>
                <w:snapToGrid w:val="0"/>
                <w:color w:val="000000"/>
                <w:spacing w:val="-16"/>
                <w:kern w:val="21"/>
                <w:sz w:val="21"/>
                <w:szCs w:val="21"/>
                <w:highlight w:val="none"/>
              </w:rPr>
              <w:t>体</w:t>
            </w:r>
            <w:r>
              <w:rPr>
                <w:rFonts w:ascii="Times New Roman" w:eastAsia="黑体"/>
                <w:snapToGrid w:val="0"/>
                <w:color w:val="000000"/>
                <w:spacing w:val="-16"/>
                <w:kern w:val="21"/>
                <w:sz w:val="21"/>
                <w:szCs w:val="21"/>
                <w:highlight w:val="none"/>
              </w:rPr>
              <w:t>废</w:t>
            </w:r>
            <w:r>
              <w:rPr>
                <w:rFonts w:hint="eastAsia" w:ascii="Times New Roman" w:eastAsia="黑体"/>
                <w:snapToGrid w:val="0"/>
                <w:color w:val="000000"/>
                <w:spacing w:val="-16"/>
                <w:kern w:val="21"/>
                <w:sz w:val="21"/>
                <w:szCs w:val="21"/>
                <w:highlight w:val="none"/>
              </w:rPr>
              <w:t>物</w:t>
            </w:r>
            <w:r>
              <w:rPr>
                <w:rFonts w:ascii="Times New Roman" w:eastAsia="黑体"/>
                <w:snapToGrid w:val="0"/>
                <w:color w:val="000000"/>
                <w:spacing w:val="-16"/>
                <w:kern w:val="21"/>
                <w:sz w:val="21"/>
                <w:szCs w:val="21"/>
                <w:highlight w:val="none"/>
              </w:rPr>
              <w:t>产生量）</w:t>
            </w:r>
            <w:r>
              <w:rPr>
                <w:rFonts w:ascii="Times New Roman" w:eastAsia="黑体"/>
                <w:snapToGrid w:val="0"/>
                <w:color w:val="000000"/>
                <w:spacing w:val="-16"/>
                <w:kern w:val="21"/>
                <w:sz w:val="21"/>
                <w:szCs w:val="21"/>
                <w:highlight w:val="none"/>
              </w:rPr>
              <w:fldChar w:fldCharType="begin"/>
            </w:r>
            <w:r>
              <w:rPr>
                <w:rFonts w:ascii="Times New Roman" w:eastAsia="黑体"/>
                <w:snapToGrid w:val="0"/>
                <w:color w:val="000000"/>
                <w:spacing w:val="-16"/>
                <w:kern w:val="21"/>
                <w:sz w:val="21"/>
                <w:szCs w:val="21"/>
                <w:highlight w:val="none"/>
              </w:rPr>
              <w:instrText xml:space="preserve"> = 6 \* GB3 \* MERGEFORMAT </w:instrText>
            </w:r>
            <w:r>
              <w:rPr>
                <w:rFonts w:ascii="Times New Roman" w:eastAsia="黑体"/>
                <w:snapToGrid w:val="0"/>
                <w:color w:val="000000"/>
                <w:spacing w:val="-16"/>
                <w:kern w:val="21"/>
                <w:sz w:val="21"/>
                <w:szCs w:val="21"/>
                <w:highlight w:val="none"/>
              </w:rPr>
              <w:fldChar w:fldCharType="separate"/>
            </w:r>
            <w:r>
              <w:rPr>
                <w:rFonts w:hint="eastAsia" w:ascii="Times New Roman" w:eastAsia="黑体" w:cs="宋体"/>
                <w:kern w:val="2"/>
                <w:sz w:val="21"/>
                <w:szCs w:val="21"/>
                <w:highlight w:val="none"/>
              </w:rPr>
              <w:t>⑥</w:t>
            </w:r>
            <w:r>
              <w:rPr>
                <w:rFonts w:ascii="Times New Roman" w:eastAsia="黑体"/>
                <w:snapToGrid w:val="0"/>
                <w:color w:val="000000"/>
                <w:spacing w:val="-16"/>
                <w:kern w:val="21"/>
                <w:sz w:val="21"/>
                <w:szCs w:val="21"/>
                <w:highlight w:val="none"/>
              </w:rPr>
              <w:fldChar w:fldCharType="end"/>
            </w:r>
          </w:p>
        </w:tc>
        <w:tc>
          <w:tcPr>
            <w:tcW w:w="933" w:type="dxa"/>
            <w:noWrap w:val="0"/>
            <w:tcMar>
              <w:left w:w="28" w:type="dxa"/>
              <w:right w:w="28" w:type="dxa"/>
            </w:tcMar>
            <w:vAlign w:val="center"/>
          </w:tcPr>
          <w:p>
            <w:pPr>
              <w:pStyle w:val="21"/>
              <w:spacing w:beforeLines="0" w:afterLines="0" w:line="240" w:lineRule="auto"/>
              <w:rPr>
                <w:rFonts w:ascii="Times New Roman" w:eastAsia="黑体"/>
                <w:snapToGrid w:val="0"/>
                <w:color w:val="000000"/>
                <w:spacing w:val="-6"/>
                <w:kern w:val="21"/>
                <w:sz w:val="21"/>
                <w:szCs w:val="21"/>
                <w:highlight w:val="none"/>
              </w:rPr>
            </w:pPr>
            <w:r>
              <w:rPr>
                <w:rFonts w:ascii="Times New Roman" w:eastAsia="黑体"/>
                <w:snapToGrid w:val="0"/>
                <w:color w:val="000000"/>
                <w:spacing w:val="-6"/>
                <w:kern w:val="21"/>
                <w:sz w:val="21"/>
                <w:szCs w:val="21"/>
                <w:highlight w:val="none"/>
              </w:rPr>
              <w:t>变化量</w:t>
            </w:r>
          </w:p>
          <w:p>
            <w:pPr>
              <w:pStyle w:val="21"/>
              <w:spacing w:beforeLines="0" w:afterLines="0" w:line="240" w:lineRule="auto"/>
              <w:rPr>
                <w:rFonts w:ascii="Times New Roman" w:eastAsia="黑体"/>
                <w:snapToGrid w:val="0"/>
                <w:color w:val="000000"/>
                <w:spacing w:val="-6"/>
                <w:kern w:val="21"/>
                <w:sz w:val="21"/>
                <w:szCs w:val="21"/>
                <w:highlight w:val="none"/>
              </w:rPr>
            </w:pPr>
            <w:r>
              <w:rPr>
                <w:rFonts w:ascii="Times New Roman" w:eastAsia="黑体"/>
                <w:snapToGrid w:val="0"/>
                <w:color w:val="000000"/>
                <w:spacing w:val="-6"/>
                <w:kern w:val="21"/>
                <w:sz w:val="21"/>
                <w:szCs w:val="21"/>
                <w:highlight w:val="none"/>
              </w:rPr>
              <w:fldChar w:fldCharType="begin"/>
            </w:r>
            <w:r>
              <w:rPr>
                <w:rFonts w:ascii="Times New Roman" w:eastAsia="黑体"/>
                <w:snapToGrid w:val="0"/>
                <w:color w:val="000000"/>
                <w:spacing w:val="-6"/>
                <w:kern w:val="21"/>
                <w:sz w:val="21"/>
                <w:szCs w:val="21"/>
                <w:highlight w:val="none"/>
              </w:rPr>
              <w:instrText xml:space="preserve"> = 7 \* GB3 \* MERGEFORMAT </w:instrText>
            </w:r>
            <w:r>
              <w:rPr>
                <w:rFonts w:ascii="Times New Roman" w:eastAsia="黑体"/>
                <w:snapToGrid w:val="0"/>
                <w:color w:val="000000"/>
                <w:spacing w:val="-6"/>
                <w:kern w:val="21"/>
                <w:sz w:val="21"/>
                <w:szCs w:val="21"/>
                <w:highlight w:val="none"/>
              </w:rPr>
              <w:fldChar w:fldCharType="separate"/>
            </w:r>
            <w:r>
              <w:rPr>
                <w:rFonts w:hint="eastAsia" w:ascii="Times New Roman" w:eastAsia="黑体" w:cs="宋体"/>
                <w:kern w:val="2"/>
                <w:sz w:val="21"/>
                <w:szCs w:val="21"/>
                <w:highlight w:val="none"/>
              </w:rPr>
              <w:t>⑦</w:t>
            </w:r>
            <w:r>
              <w:rPr>
                <w:rFonts w:ascii="Times New Roman" w:eastAsia="黑体"/>
                <w:snapToGrid w:val="0"/>
                <w:color w:val="000000"/>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0" w:type="dxa"/>
            <w:vMerge w:val="restart"/>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废气</w:t>
            </w:r>
          </w:p>
        </w:tc>
        <w:tc>
          <w:tcPr>
            <w:tcW w:w="1945"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eastAsia="zh-CN"/>
              </w:rPr>
            </w:pPr>
            <w:r>
              <w:rPr>
                <w:rFonts w:hint="eastAsia" w:ascii="Times New Roman" w:cs="Times New Roman"/>
                <w:snapToGrid w:val="0"/>
                <w:color w:val="000000"/>
                <w:kern w:val="21"/>
                <w:sz w:val="21"/>
                <w:szCs w:val="21"/>
                <w:highlight w:val="none"/>
                <w:lang w:eastAsia="zh-CN"/>
              </w:rPr>
              <w:t>颗粒物</w:t>
            </w:r>
            <w:r>
              <w:rPr>
                <w:rFonts w:hint="default" w:ascii="Times New Roman" w:hAnsi="Times New Roman" w:cs="Times New Roman"/>
                <w:snapToGrid w:val="0"/>
                <w:color w:val="000000"/>
                <w:kern w:val="21"/>
                <w:sz w:val="21"/>
                <w:szCs w:val="21"/>
                <w:highlight w:val="none"/>
                <w:lang w:eastAsia="zh-CN"/>
              </w:rPr>
              <w:t>（</w:t>
            </w:r>
            <w:r>
              <w:rPr>
                <w:rFonts w:hint="default" w:ascii="Times New Roman" w:hAnsi="Times New Roman" w:cs="Times New Roman"/>
                <w:snapToGrid w:val="0"/>
                <w:color w:val="000000"/>
                <w:kern w:val="21"/>
                <w:sz w:val="21"/>
                <w:szCs w:val="21"/>
                <w:highlight w:val="none"/>
                <w:lang w:val="en-US" w:eastAsia="zh-CN"/>
              </w:rPr>
              <w:t>t/a</w:t>
            </w:r>
            <w:r>
              <w:rPr>
                <w:rFonts w:hint="default" w:ascii="Times New Roman" w:hAnsi="Times New Roman" w:cs="Times New Roman"/>
                <w:snapToGrid w:val="0"/>
                <w:color w:val="000000"/>
                <w:kern w:val="21"/>
                <w:sz w:val="21"/>
                <w:szCs w:val="21"/>
                <w:highlight w:val="none"/>
                <w:lang w:eastAsia="zh-CN"/>
              </w:rPr>
              <w:t>）</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0.0182</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w:t>
            </w:r>
          </w:p>
        </w:tc>
        <w:tc>
          <w:tcPr>
            <w:tcW w:w="1645"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0.0182</w:t>
            </w:r>
          </w:p>
        </w:tc>
        <w:tc>
          <w:tcPr>
            <w:tcW w:w="933"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+0.0182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0" w:type="dxa"/>
            <w:vMerge w:val="continue"/>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rPr>
            </w:pPr>
          </w:p>
        </w:tc>
        <w:tc>
          <w:tcPr>
            <w:tcW w:w="1945" w:type="dxa"/>
            <w:noWrap w:val="0"/>
            <w:vAlign w:val="center"/>
          </w:tcPr>
          <w:p>
            <w:pPr>
              <w:pStyle w:val="21"/>
              <w:spacing w:beforeLines="0" w:afterLines="0" w:line="240" w:lineRule="auto"/>
              <w:rPr>
                <w:rFonts w:hint="default" w:ascii="Times New Roman"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SO</w:t>
            </w:r>
            <w:r>
              <w:rPr>
                <w:rFonts w:hint="eastAsia" w:ascii="Times New Roman" w:cs="Times New Roman"/>
                <w:snapToGrid w:val="0"/>
                <w:color w:val="000000"/>
                <w:kern w:val="21"/>
                <w:sz w:val="21"/>
                <w:szCs w:val="21"/>
                <w:highlight w:val="none"/>
                <w:vertAlign w:val="subscript"/>
                <w:lang w:val="en-US" w:eastAsia="zh-CN"/>
              </w:rPr>
              <w:t>2</w:t>
            </w:r>
            <w:r>
              <w:rPr>
                <w:rFonts w:hint="default" w:ascii="Times New Roman" w:hAnsi="Times New Roman" w:cs="Times New Roman"/>
                <w:snapToGrid w:val="0"/>
                <w:color w:val="000000"/>
                <w:kern w:val="21"/>
                <w:sz w:val="21"/>
                <w:szCs w:val="21"/>
                <w:highlight w:val="none"/>
                <w:lang w:eastAsia="zh-CN"/>
              </w:rPr>
              <w:t>（</w:t>
            </w:r>
            <w:r>
              <w:rPr>
                <w:rFonts w:hint="default" w:ascii="Times New Roman" w:hAnsi="Times New Roman" w:cs="Times New Roman"/>
                <w:snapToGrid w:val="0"/>
                <w:color w:val="000000"/>
                <w:kern w:val="21"/>
                <w:sz w:val="21"/>
                <w:szCs w:val="21"/>
                <w:highlight w:val="none"/>
                <w:lang w:val="en-US" w:eastAsia="zh-CN"/>
              </w:rPr>
              <w:t>t/a</w:t>
            </w:r>
            <w:r>
              <w:rPr>
                <w:rFonts w:hint="default" w:ascii="Times New Roman" w:hAnsi="Times New Roman" w:cs="Times New Roman"/>
                <w:snapToGrid w:val="0"/>
                <w:color w:val="000000"/>
                <w:kern w:val="21"/>
                <w:sz w:val="21"/>
                <w:szCs w:val="21"/>
                <w:highlight w:val="none"/>
                <w:lang w:eastAsia="zh-CN"/>
              </w:rPr>
              <w:t>）</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0.0355</w:t>
            </w:r>
          </w:p>
        </w:tc>
        <w:tc>
          <w:tcPr>
            <w:tcW w:w="1641" w:type="dxa"/>
            <w:noWrap w:val="0"/>
            <w:vAlign w:val="center"/>
          </w:tcPr>
          <w:p>
            <w:pPr>
              <w:pStyle w:val="21"/>
              <w:spacing w:beforeLines="0" w:afterLines="0" w:line="240" w:lineRule="auto"/>
              <w:rPr>
                <w:rFonts w:hint="default" w:ascii="Times New Roman"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w:t>
            </w:r>
          </w:p>
        </w:tc>
        <w:tc>
          <w:tcPr>
            <w:tcW w:w="1645"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0.0355</w:t>
            </w:r>
          </w:p>
        </w:tc>
        <w:tc>
          <w:tcPr>
            <w:tcW w:w="933"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+0.0355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0" w:type="dxa"/>
            <w:vMerge w:val="continue"/>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rPr>
            </w:pPr>
          </w:p>
        </w:tc>
        <w:tc>
          <w:tcPr>
            <w:tcW w:w="1945" w:type="dxa"/>
            <w:noWrap w:val="0"/>
            <w:vAlign w:val="center"/>
          </w:tcPr>
          <w:p>
            <w:pPr>
              <w:pStyle w:val="21"/>
              <w:spacing w:beforeLines="0" w:afterLines="0" w:line="240" w:lineRule="auto"/>
              <w:rPr>
                <w:rFonts w:hint="default" w:ascii="Times New Roman"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NO</w:t>
            </w:r>
            <w:r>
              <w:rPr>
                <w:rFonts w:hint="eastAsia" w:ascii="Times New Roman" w:cs="Times New Roman"/>
                <w:snapToGrid w:val="0"/>
                <w:color w:val="000000"/>
                <w:kern w:val="21"/>
                <w:sz w:val="21"/>
                <w:szCs w:val="21"/>
                <w:highlight w:val="none"/>
                <w:vertAlign w:val="subscript"/>
                <w:lang w:val="en-US" w:eastAsia="zh-CN"/>
              </w:rPr>
              <w:t>x</w:t>
            </w:r>
            <w:r>
              <w:rPr>
                <w:rFonts w:hint="default" w:ascii="Times New Roman" w:hAnsi="Times New Roman" w:cs="Times New Roman"/>
                <w:snapToGrid w:val="0"/>
                <w:color w:val="000000"/>
                <w:kern w:val="21"/>
                <w:sz w:val="21"/>
                <w:szCs w:val="21"/>
                <w:highlight w:val="none"/>
                <w:lang w:eastAsia="zh-CN"/>
              </w:rPr>
              <w:t>（</w:t>
            </w:r>
            <w:r>
              <w:rPr>
                <w:rFonts w:hint="default" w:ascii="Times New Roman" w:hAnsi="Times New Roman" w:cs="Times New Roman"/>
                <w:snapToGrid w:val="0"/>
                <w:color w:val="000000"/>
                <w:kern w:val="21"/>
                <w:sz w:val="21"/>
                <w:szCs w:val="21"/>
                <w:highlight w:val="none"/>
                <w:lang w:val="en-US" w:eastAsia="zh-CN"/>
              </w:rPr>
              <w:t>t/a</w:t>
            </w:r>
            <w:r>
              <w:rPr>
                <w:rFonts w:hint="default" w:ascii="Times New Roman" w:hAnsi="Times New Roman" w:cs="Times New Roman"/>
                <w:snapToGrid w:val="0"/>
                <w:color w:val="000000"/>
                <w:kern w:val="21"/>
                <w:sz w:val="21"/>
                <w:szCs w:val="21"/>
                <w:highlight w:val="none"/>
                <w:lang w:eastAsia="zh-CN"/>
              </w:rPr>
              <w:t>）</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0.1066</w:t>
            </w:r>
          </w:p>
        </w:tc>
        <w:tc>
          <w:tcPr>
            <w:tcW w:w="1641" w:type="dxa"/>
            <w:noWrap w:val="0"/>
            <w:vAlign w:val="center"/>
          </w:tcPr>
          <w:p>
            <w:pPr>
              <w:pStyle w:val="21"/>
              <w:spacing w:beforeLines="0" w:afterLines="0" w:line="240" w:lineRule="auto"/>
              <w:rPr>
                <w:rFonts w:hint="default" w:ascii="Times New Roman"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w:t>
            </w:r>
          </w:p>
        </w:tc>
        <w:tc>
          <w:tcPr>
            <w:tcW w:w="1645"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0.1066</w:t>
            </w:r>
          </w:p>
        </w:tc>
        <w:tc>
          <w:tcPr>
            <w:tcW w:w="933"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+0.1066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0" w:type="dxa"/>
            <w:vMerge w:val="restart"/>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废水</w:t>
            </w:r>
          </w:p>
        </w:tc>
        <w:tc>
          <w:tcPr>
            <w:tcW w:w="1945"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COD</w:t>
            </w:r>
            <w:r>
              <w:rPr>
                <w:rFonts w:hint="default" w:ascii="Times New Roman" w:hAnsi="Times New Roman" w:cs="Times New Roman"/>
                <w:snapToGrid w:val="0"/>
                <w:color w:val="000000"/>
                <w:kern w:val="21"/>
                <w:sz w:val="21"/>
                <w:szCs w:val="21"/>
                <w:highlight w:val="none"/>
                <w:lang w:eastAsia="zh-CN"/>
              </w:rPr>
              <w:t>（</w:t>
            </w:r>
            <w:r>
              <w:rPr>
                <w:rFonts w:hint="default" w:ascii="Times New Roman" w:hAnsi="Times New Roman" w:cs="Times New Roman"/>
                <w:snapToGrid w:val="0"/>
                <w:color w:val="000000"/>
                <w:kern w:val="21"/>
                <w:sz w:val="21"/>
                <w:szCs w:val="21"/>
                <w:highlight w:val="none"/>
                <w:lang w:val="en-US" w:eastAsia="zh-CN"/>
              </w:rPr>
              <w:t>t/a</w:t>
            </w:r>
            <w:r>
              <w:rPr>
                <w:rFonts w:hint="default" w:ascii="Times New Roman" w:hAnsi="Times New Roman" w:cs="Times New Roman"/>
                <w:snapToGrid w:val="0"/>
                <w:color w:val="000000"/>
                <w:kern w:val="21"/>
                <w:sz w:val="21"/>
                <w:szCs w:val="21"/>
                <w:highlight w:val="none"/>
                <w:lang w:eastAsia="zh-CN"/>
              </w:rPr>
              <w:t>）</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kern w:val="21"/>
                <w:sz w:val="21"/>
                <w:szCs w:val="21"/>
                <w:highlight w:val="none"/>
                <w:lang w:val="en-US" w:eastAsia="zh-CN"/>
              </w:rPr>
            </w:pPr>
            <w:r>
              <w:rPr>
                <w:rFonts w:hint="eastAsia"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p>
        </w:tc>
        <w:tc>
          <w:tcPr>
            <w:tcW w:w="1645" w:type="dxa"/>
            <w:noWrap w:val="0"/>
            <w:vAlign w:val="center"/>
          </w:tcPr>
          <w:p>
            <w:pPr>
              <w:jc w:val="center"/>
              <w:rPr>
                <w:rFonts w:hint="default" w:ascii="Times New Roman" w:hAnsi="Times New Roman" w:eastAsia="宋体" w:cs="Times New Roman"/>
                <w:snapToGrid w:val="0"/>
                <w:color w:val="000000"/>
                <w:kern w:val="21"/>
                <w:sz w:val="21"/>
                <w:szCs w:val="21"/>
                <w:highlight w:val="none"/>
                <w:lang w:val="en-US" w:eastAsia="zh-CN" w:bidi="ar-SA"/>
              </w:rPr>
            </w:pPr>
            <w:r>
              <w:rPr>
                <w:rFonts w:hint="eastAsia" w:cs="Times New Roman"/>
                <w:snapToGrid w:val="0"/>
                <w:color w:val="000000"/>
                <w:kern w:val="21"/>
                <w:sz w:val="21"/>
                <w:szCs w:val="21"/>
                <w:highlight w:val="none"/>
                <w:lang w:val="en-US" w:eastAsia="zh-CN" w:bidi="ar-SA"/>
              </w:rPr>
              <w:t>0</w:t>
            </w:r>
          </w:p>
        </w:tc>
        <w:tc>
          <w:tcPr>
            <w:tcW w:w="9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kern w:val="21"/>
                <w:sz w:val="21"/>
                <w:szCs w:val="21"/>
                <w:highlight w:val="none"/>
                <w:lang w:val="en-US" w:eastAsia="zh-CN"/>
              </w:rPr>
            </w:pPr>
            <w:r>
              <w:rPr>
                <w:rFonts w:hint="eastAsia" w:cs="Times New Roman"/>
                <w:snapToGrid w:val="0"/>
                <w:color w:val="000000"/>
                <w:kern w:val="21"/>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0" w:type="dxa"/>
            <w:vMerge w:val="continue"/>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rPr>
            </w:pPr>
          </w:p>
        </w:tc>
        <w:tc>
          <w:tcPr>
            <w:tcW w:w="1945"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eastAsia="宋体" w:cs="Times New Roman"/>
                <w:snapToGrid w:val="0"/>
                <w:color w:val="000000"/>
                <w:kern w:val="21"/>
                <w:sz w:val="21"/>
                <w:szCs w:val="21"/>
                <w:highlight w:val="none"/>
                <w:lang w:val="en-US" w:eastAsia="zh-CN"/>
              </w:rPr>
              <w:t>NH</w:t>
            </w:r>
            <w:r>
              <w:rPr>
                <w:rFonts w:hint="default" w:ascii="Times New Roman" w:hAnsi="Times New Roman" w:eastAsia="宋体" w:cs="Times New Roman"/>
                <w:snapToGrid w:val="0"/>
                <w:color w:val="000000"/>
                <w:kern w:val="21"/>
                <w:sz w:val="21"/>
                <w:szCs w:val="21"/>
                <w:highlight w:val="none"/>
                <w:vertAlign w:val="subscript"/>
                <w:lang w:val="en-US" w:eastAsia="zh-CN"/>
              </w:rPr>
              <w:t>3</w:t>
            </w:r>
            <w:r>
              <w:rPr>
                <w:rFonts w:hint="default" w:ascii="Times New Roman" w:hAnsi="Times New Roman" w:eastAsia="宋体" w:cs="Times New Roman"/>
                <w:snapToGrid w:val="0"/>
                <w:color w:val="000000"/>
                <w:kern w:val="21"/>
                <w:sz w:val="21"/>
                <w:szCs w:val="21"/>
                <w:highlight w:val="none"/>
                <w:lang w:val="en-US" w:eastAsia="zh-CN"/>
              </w:rPr>
              <w:t>-N</w:t>
            </w:r>
            <w:r>
              <w:rPr>
                <w:rFonts w:hint="default" w:ascii="Times New Roman" w:hAnsi="Times New Roman" w:eastAsia="宋体" w:cs="Times New Roman"/>
                <w:snapToGrid w:val="0"/>
                <w:color w:val="000000"/>
                <w:kern w:val="21"/>
                <w:sz w:val="21"/>
                <w:szCs w:val="21"/>
                <w:highlight w:val="none"/>
                <w:lang w:eastAsia="zh-CN"/>
              </w:rPr>
              <w:t>（</w:t>
            </w:r>
            <w:r>
              <w:rPr>
                <w:rFonts w:hint="default" w:ascii="Times New Roman" w:hAnsi="Times New Roman" w:eastAsia="宋体" w:cs="Times New Roman"/>
                <w:snapToGrid w:val="0"/>
                <w:color w:val="000000"/>
                <w:kern w:val="21"/>
                <w:sz w:val="21"/>
                <w:szCs w:val="21"/>
                <w:highlight w:val="none"/>
                <w:lang w:val="en-US" w:eastAsia="zh-CN"/>
              </w:rPr>
              <w:t>t/a</w:t>
            </w:r>
            <w:r>
              <w:rPr>
                <w:rFonts w:hint="default" w:ascii="Times New Roman" w:hAnsi="Times New Roman" w:eastAsia="宋体" w:cs="Times New Roman"/>
                <w:snapToGrid w:val="0"/>
                <w:color w:val="000000"/>
                <w:kern w:val="21"/>
                <w:sz w:val="21"/>
                <w:szCs w:val="21"/>
                <w:highlight w:val="none"/>
                <w:lang w:eastAsia="zh-CN"/>
              </w:rPr>
              <w:t>）</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kern w:val="21"/>
                <w:sz w:val="21"/>
                <w:szCs w:val="21"/>
                <w:highlight w:val="none"/>
                <w:lang w:val="en-US" w:eastAsia="zh-CN"/>
              </w:rPr>
            </w:pPr>
            <w:r>
              <w:rPr>
                <w:rFonts w:hint="eastAsia"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p>
        </w:tc>
        <w:tc>
          <w:tcPr>
            <w:tcW w:w="1645" w:type="dxa"/>
            <w:noWrap w:val="0"/>
            <w:vAlign w:val="center"/>
          </w:tcPr>
          <w:p>
            <w:pPr>
              <w:jc w:val="center"/>
              <w:rPr>
                <w:rFonts w:hint="default" w:ascii="Times New Roman" w:hAnsi="Times New Roman" w:eastAsia="宋体" w:cs="Times New Roman"/>
                <w:snapToGrid w:val="0"/>
                <w:color w:val="000000"/>
                <w:kern w:val="21"/>
                <w:sz w:val="21"/>
                <w:szCs w:val="21"/>
                <w:highlight w:val="none"/>
                <w:lang w:val="en-US" w:eastAsia="zh-CN" w:bidi="ar-SA"/>
              </w:rPr>
            </w:pPr>
            <w:r>
              <w:rPr>
                <w:rFonts w:hint="eastAsia" w:cs="Times New Roman"/>
                <w:snapToGrid w:val="0"/>
                <w:color w:val="000000"/>
                <w:kern w:val="21"/>
                <w:sz w:val="21"/>
                <w:szCs w:val="21"/>
                <w:highlight w:val="none"/>
                <w:lang w:val="en-US" w:eastAsia="zh-CN" w:bidi="ar-SA"/>
              </w:rPr>
              <w:t>0</w:t>
            </w:r>
          </w:p>
        </w:tc>
        <w:tc>
          <w:tcPr>
            <w:tcW w:w="9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kern w:val="21"/>
                <w:sz w:val="21"/>
                <w:szCs w:val="21"/>
                <w:highlight w:val="none"/>
                <w:lang w:val="en-US" w:eastAsia="zh-CN"/>
              </w:rPr>
            </w:pPr>
            <w:r>
              <w:rPr>
                <w:rFonts w:hint="eastAsia" w:cs="Times New Roman"/>
                <w:snapToGrid w:val="0"/>
                <w:color w:val="000000"/>
                <w:kern w:val="21"/>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0" w:type="dxa"/>
            <w:vMerge w:val="restart"/>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一般工业</w:t>
            </w:r>
          </w:p>
          <w:p>
            <w:pPr>
              <w:pStyle w:val="21"/>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固体废物</w:t>
            </w:r>
          </w:p>
        </w:tc>
        <w:tc>
          <w:tcPr>
            <w:tcW w:w="1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000000"/>
                <w:kern w:val="21"/>
                <w:sz w:val="21"/>
                <w:szCs w:val="21"/>
                <w:highlight w:val="cyan"/>
                <w:lang w:eastAsia="zh-CN"/>
              </w:rPr>
            </w:pPr>
            <w:r>
              <w:rPr>
                <w:rFonts w:hint="default" w:ascii="Times New Roman" w:hAnsi="Times New Roman" w:cs="Times New Roman"/>
                <w:bCs/>
                <w:color w:val="auto"/>
                <w:sz w:val="21"/>
                <w:szCs w:val="21"/>
                <w:highlight w:val="none"/>
                <w:lang w:eastAsia="zh-CN"/>
              </w:rPr>
              <w:t>废包装</w:t>
            </w:r>
            <w:r>
              <w:rPr>
                <w:rFonts w:hint="default" w:ascii="Times New Roman" w:hAnsi="Times New Roman" w:eastAsia="宋体" w:cs="Times New Roman"/>
                <w:snapToGrid w:val="0"/>
                <w:color w:val="000000"/>
                <w:kern w:val="21"/>
                <w:sz w:val="21"/>
                <w:szCs w:val="21"/>
                <w:highlight w:val="none"/>
                <w:lang w:eastAsia="zh-CN"/>
              </w:rPr>
              <w:t>（</w:t>
            </w:r>
            <w:r>
              <w:rPr>
                <w:rFonts w:hint="default" w:ascii="Times New Roman" w:hAnsi="Times New Roman" w:eastAsia="宋体" w:cs="Times New Roman"/>
                <w:snapToGrid w:val="0"/>
                <w:color w:val="000000"/>
                <w:kern w:val="21"/>
                <w:sz w:val="21"/>
                <w:szCs w:val="21"/>
                <w:highlight w:val="none"/>
                <w:lang w:val="en-US" w:eastAsia="zh-CN"/>
              </w:rPr>
              <w:t>t/a</w:t>
            </w:r>
            <w:r>
              <w:rPr>
                <w:rFonts w:hint="default" w:ascii="Times New Roman" w:hAnsi="Times New Roman" w:eastAsia="宋体" w:cs="Times New Roman"/>
                <w:snapToGrid w:val="0"/>
                <w:color w:val="000000"/>
                <w:kern w:val="21"/>
                <w:sz w:val="21"/>
                <w:szCs w:val="21"/>
                <w:highlight w:val="none"/>
                <w:lang w:eastAsia="zh-CN"/>
              </w:rPr>
              <w:t>）</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1.5</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p>
        </w:tc>
        <w:tc>
          <w:tcPr>
            <w:tcW w:w="1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1.5</w:t>
            </w:r>
          </w:p>
        </w:tc>
        <w:tc>
          <w:tcPr>
            <w:tcW w:w="9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0" w:type="dxa"/>
            <w:vMerge w:val="continue"/>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rPr>
            </w:pPr>
          </w:p>
        </w:tc>
        <w:tc>
          <w:tcPr>
            <w:tcW w:w="1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cyan"/>
                <w:vertAlign w:val="baseline"/>
                <w:lang w:val="en-US" w:eastAsia="zh-CN"/>
              </w:rPr>
            </w:pPr>
            <w:r>
              <w:rPr>
                <w:rFonts w:hint="default" w:ascii="Times New Roman" w:hAnsi="Times New Roman" w:cs="Times New Roman"/>
                <w:bCs/>
                <w:color w:val="auto"/>
                <w:sz w:val="21"/>
                <w:szCs w:val="21"/>
                <w:highlight w:val="none"/>
                <w:lang w:eastAsia="zh-CN"/>
              </w:rPr>
              <w:t>废边角料</w:t>
            </w:r>
            <w:r>
              <w:rPr>
                <w:rFonts w:hint="default" w:ascii="Times New Roman" w:hAnsi="Times New Roman" w:eastAsia="宋体" w:cs="Times New Roman"/>
                <w:snapToGrid w:val="0"/>
                <w:color w:val="000000"/>
                <w:kern w:val="21"/>
                <w:sz w:val="21"/>
                <w:szCs w:val="21"/>
                <w:highlight w:val="none"/>
                <w:lang w:eastAsia="zh-CN"/>
              </w:rPr>
              <w:t>（</w:t>
            </w:r>
            <w:r>
              <w:rPr>
                <w:rFonts w:hint="default" w:ascii="Times New Roman" w:hAnsi="Times New Roman" w:eastAsia="宋体" w:cs="Times New Roman"/>
                <w:snapToGrid w:val="0"/>
                <w:color w:val="000000"/>
                <w:kern w:val="21"/>
                <w:sz w:val="21"/>
                <w:szCs w:val="21"/>
                <w:highlight w:val="none"/>
                <w:lang w:val="en-US" w:eastAsia="zh-CN"/>
              </w:rPr>
              <w:t>t/a</w:t>
            </w:r>
            <w:r>
              <w:rPr>
                <w:rFonts w:hint="default" w:ascii="Times New Roman" w:hAnsi="Times New Roman" w:eastAsia="宋体" w:cs="Times New Roman"/>
                <w:snapToGrid w:val="0"/>
                <w:color w:val="000000"/>
                <w:kern w:val="21"/>
                <w:sz w:val="21"/>
                <w:szCs w:val="21"/>
                <w:highlight w:val="none"/>
                <w:lang w:eastAsia="zh-CN"/>
              </w:rPr>
              <w:t>）</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2.5</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p>
        </w:tc>
        <w:tc>
          <w:tcPr>
            <w:tcW w:w="1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2.5</w:t>
            </w:r>
          </w:p>
        </w:tc>
        <w:tc>
          <w:tcPr>
            <w:tcW w:w="9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0" w:type="dxa"/>
            <w:vMerge w:val="continue"/>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rPr>
            </w:pPr>
          </w:p>
        </w:tc>
        <w:tc>
          <w:tcPr>
            <w:tcW w:w="1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000000"/>
                <w:kern w:val="21"/>
                <w:sz w:val="21"/>
                <w:szCs w:val="21"/>
                <w:highlight w:val="cyan"/>
              </w:rPr>
            </w:pPr>
            <w:r>
              <w:rPr>
                <w:rFonts w:hint="eastAsia" w:cs="Times New Roman"/>
                <w:bCs/>
                <w:color w:val="auto"/>
                <w:sz w:val="21"/>
                <w:szCs w:val="21"/>
                <w:highlight w:val="none"/>
                <w:lang w:eastAsia="zh-CN"/>
              </w:rPr>
              <w:t>设备清理</w:t>
            </w:r>
            <w:r>
              <w:rPr>
                <w:rFonts w:hint="default" w:ascii="Times New Roman" w:hAnsi="Times New Roman" w:cs="Times New Roman"/>
                <w:bCs/>
                <w:color w:val="auto"/>
                <w:sz w:val="21"/>
                <w:szCs w:val="21"/>
                <w:highlight w:val="none"/>
                <w:lang w:eastAsia="zh-CN"/>
              </w:rPr>
              <w:t>残渣</w:t>
            </w:r>
            <w:r>
              <w:rPr>
                <w:rFonts w:hint="default" w:ascii="Times New Roman" w:hAnsi="Times New Roman" w:eastAsia="宋体" w:cs="Times New Roman"/>
                <w:snapToGrid w:val="0"/>
                <w:color w:val="000000"/>
                <w:kern w:val="21"/>
                <w:sz w:val="21"/>
                <w:szCs w:val="21"/>
                <w:highlight w:val="none"/>
                <w:lang w:eastAsia="zh-CN"/>
              </w:rPr>
              <w:t>（</w:t>
            </w:r>
            <w:r>
              <w:rPr>
                <w:rFonts w:hint="default" w:ascii="Times New Roman" w:hAnsi="Times New Roman" w:eastAsia="宋体" w:cs="Times New Roman"/>
                <w:snapToGrid w:val="0"/>
                <w:color w:val="000000"/>
                <w:kern w:val="21"/>
                <w:sz w:val="21"/>
                <w:szCs w:val="21"/>
                <w:highlight w:val="none"/>
                <w:lang w:val="en-US" w:eastAsia="zh-CN"/>
              </w:rPr>
              <w:t>t/a</w:t>
            </w:r>
            <w:r>
              <w:rPr>
                <w:rFonts w:hint="default" w:ascii="Times New Roman" w:hAnsi="Times New Roman" w:eastAsia="宋体" w:cs="Times New Roman"/>
                <w:snapToGrid w:val="0"/>
                <w:color w:val="000000"/>
                <w:kern w:val="21"/>
                <w:sz w:val="21"/>
                <w:szCs w:val="21"/>
                <w:highlight w:val="none"/>
                <w:lang w:eastAsia="zh-CN"/>
              </w:rPr>
              <w:t>）</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0.5</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p>
        </w:tc>
        <w:tc>
          <w:tcPr>
            <w:tcW w:w="1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0.5</w:t>
            </w:r>
          </w:p>
        </w:tc>
        <w:tc>
          <w:tcPr>
            <w:tcW w:w="9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0" w:type="dxa"/>
            <w:vMerge w:val="continue"/>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rPr>
            </w:pPr>
          </w:p>
        </w:tc>
        <w:tc>
          <w:tcPr>
            <w:tcW w:w="1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000000"/>
                <w:kern w:val="21"/>
                <w:sz w:val="21"/>
                <w:szCs w:val="21"/>
                <w:highlight w:val="cyan"/>
                <w:lang w:eastAsia="zh-CN"/>
              </w:rPr>
            </w:pPr>
            <w:r>
              <w:rPr>
                <w:rFonts w:hint="eastAsia" w:cs="Times New Roman"/>
                <w:bCs/>
                <w:color w:val="auto"/>
                <w:sz w:val="21"/>
                <w:szCs w:val="21"/>
                <w:highlight w:val="none"/>
                <w:lang w:eastAsia="zh-CN"/>
              </w:rPr>
              <w:t>除尘器</w:t>
            </w:r>
            <w:r>
              <w:rPr>
                <w:rFonts w:hint="default" w:ascii="Times New Roman" w:hAnsi="Times New Roman" w:cs="Times New Roman"/>
                <w:bCs/>
                <w:color w:val="auto"/>
                <w:sz w:val="21"/>
                <w:szCs w:val="21"/>
                <w:highlight w:val="none"/>
                <w:lang w:eastAsia="zh-CN"/>
              </w:rPr>
              <w:t>集尘</w:t>
            </w:r>
            <w:r>
              <w:rPr>
                <w:rFonts w:hint="default" w:ascii="Times New Roman" w:hAnsi="Times New Roman" w:eastAsia="宋体" w:cs="Times New Roman"/>
                <w:snapToGrid w:val="0"/>
                <w:color w:val="000000"/>
                <w:kern w:val="21"/>
                <w:sz w:val="21"/>
                <w:szCs w:val="21"/>
                <w:highlight w:val="none"/>
                <w:lang w:eastAsia="zh-CN"/>
              </w:rPr>
              <w:t>（</w:t>
            </w:r>
            <w:r>
              <w:rPr>
                <w:rFonts w:hint="default" w:ascii="Times New Roman" w:hAnsi="Times New Roman" w:eastAsia="宋体" w:cs="Times New Roman"/>
                <w:snapToGrid w:val="0"/>
                <w:color w:val="000000"/>
                <w:kern w:val="21"/>
                <w:sz w:val="21"/>
                <w:szCs w:val="21"/>
                <w:highlight w:val="none"/>
                <w:lang w:val="en-US" w:eastAsia="zh-CN"/>
              </w:rPr>
              <w:t>t/a</w:t>
            </w:r>
            <w:r>
              <w:rPr>
                <w:rFonts w:hint="default" w:ascii="Times New Roman" w:hAnsi="Times New Roman" w:eastAsia="宋体" w:cs="Times New Roman"/>
                <w:snapToGrid w:val="0"/>
                <w:color w:val="000000"/>
                <w:kern w:val="21"/>
                <w:sz w:val="21"/>
                <w:szCs w:val="21"/>
                <w:highlight w:val="none"/>
                <w:lang w:eastAsia="zh-CN"/>
              </w:rPr>
              <w:t>）</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0.0371</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p>
        </w:tc>
        <w:tc>
          <w:tcPr>
            <w:tcW w:w="1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0.0371</w:t>
            </w:r>
          </w:p>
        </w:tc>
        <w:tc>
          <w:tcPr>
            <w:tcW w:w="9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0.0371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0" w:type="dxa"/>
            <w:vMerge w:val="continue"/>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rPr>
            </w:pPr>
          </w:p>
        </w:tc>
        <w:tc>
          <w:tcPr>
            <w:tcW w:w="1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000000"/>
                <w:kern w:val="21"/>
                <w:sz w:val="21"/>
                <w:szCs w:val="21"/>
                <w:highlight w:val="cyan"/>
                <w:lang w:eastAsia="zh-CN"/>
              </w:rPr>
            </w:pPr>
            <w:r>
              <w:rPr>
                <w:rFonts w:hint="default" w:ascii="Times New Roman" w:hAnsi="Times New Roman" w:cs="Times New Roman"/>
                <w:bCs/>
                <w:color w:val="auto"/>
                <w:sz w:val="21"/>
                <w:szCs w:val="21"/>
                <w:highlight w:val="none"/>
                <w:lang w:eastAsia="zh-CN"/>
              </w:rPr>
              <w:t>废石英砂</w:t>
            </w:r>
            <w:r>
              <w:rPr>
                <w:rFonts w:hint="default" w:ascii="Times New Roman" w:hAnsi="Times New Roman" w:eastAsia="宋体" w:cs="Times New Roman"/>
                <w:snapToGrid w:val="0"/>
                <w:color w:val="000000"/>
                <w:kern w:val="21"/>
                <w:sz w:val="21"/>
                <w:szCs w:val="21"/>
                <w:highlight w:val="none"/>
                <w:lang w:eastAsia="zh-CN"/>
              </w:rPr>
              <w:t>（</w:t>
            </w:r>
            <w:r>
              <w:rPr>
                <w:rFonts w:hint="default" w:ascii="Times New Roman" w:hAnsi="Times New Roman" w:eastAsia="宋体" w:cs="Times New Roman"/>
                <w:snapToGrid w:val="0"/>
                <w:color w:val="000000"/>
                <w:kern w:val="21"/>
                <w:sz w:val="21"/>
                <w:szCs w:val="21"/>
                <w:highlight w:val="none"/>
                <w:lang w:val="en-US" w:eastAsia="zh-CN"/>
              </w:rPr>
              <w:t>t/a</w:t>
            </w:r>
            <w:r>
              <w:rPr>
                <w:rFonts w:hint="default" w:ascii="Times New Roman" w:hAnsi="Times New Roman" w:eastAsia="宋体" w:cs="Times New Roman"/>
                <w:snapToGrid w:val="0"/>
                <w:color w:val="000000"/>
                <w:kern w:val="21"/>
                <w:sz w:val="21"/>
                <w:szCs w:val="21"/>
                <w:highlight w:val="none"/>
                <w:lang w:eastAsia="zh-CN"/>
              </w:rPr>
              <w:t>）</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0.02</w:t>
            </w:r>
          </w:p>
        </w:tc>
        <w:tc>
          <w:tcPr>
            <w:tcW w:w="1641" w:type="dxa"/>
            <w:noWrap w:val="0"/>
            <w:vAlign w:val="center"/>
          </w:tcPr>
          <w:p>
            <w:pPr>
              <w:pStyle w:val="21"/>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p>
        </w:tc>
        <w:tc>
          <w:tcPr>
            <w:tcW w:w="1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0.02</w:t>
            </w:r>
          </w:p>
        </w:tc>
        <w:tc>
          <w:tcPr>
            <w:tcW w:w="9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0" w:type="dxa"/>
            <w:vMerge w:val="continue"/>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rPr>
            </w:pPr>
          </w:p>
        </w:tc>
        <w:tc>
          <w:tcPr>
            <w:tcW w:w="1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ajorEastAsia"/>
                <w:color w:val="auto"/>
                <w:sz w:val="21"/>
                <w:szCs w:val="21"/>
                <w:highlight w:val="cyan"/>
                <w:vertAlign w:val="baseline"/>
                <w:lang w:val="en-US" w:eastAsia="zh-CN"/>
              </w:rPr>
            </w:pPr>
            <w:r>
              <w:rPr>
                <w:rFonts w:hint="eastAsia" w:cs="Times New Roman"/>
                <w:bCs/>
                <w:color w:val="auto"/>
                <w:sz w:val="21"/>
                <w:szCs w:val="21"/>
                <w:highlight w:val="none"/>
                <w:lang w:eastAsia="zh-CN"/>
              </w:rPr>
              <w:t>废</w:t>
            </w:r>
            <w:r>
              <w:rPr>
                <w:rFonts w:hint="default" w:ascii="Times New Roman" w:hAnsi="Times New Roman" w:cs="Times New Roman"/>
                <w:bCs/>
                <w:color w:val="auto"/>
                <w:sz w:val="21"/>
                <w:szCs w:val="21"/>
                <w:highlight w:val="none"/>
                <w:lang w:eastAsia="zh-CN"/>
              </w:rPr>
              <w:t>反渗透膜</w:t>
            </w:r>
            <w:r>
              <w:rPr>
                <w:rFonts w:hint="default" w:ascii="Times New Roman" w:hAnsi="Times New Roman" w:eastAsia="宋体" w:cs="Times New Roman"/>
                <w:snapToGrid w:val="0"/>
                <w:color w:val="000000"/>
                <w:kern w:val="21"/>
                <w:sz w:val="21"/>
                <w:szCs w:val="21"/>
                <w:highlight w:val="none"/>
                <w:lang w:eastAsia="zh-CN"/>
              </w:rPr>
              <w:t>（</w:t>
            </w:r>
            <w:r>
              <w:rPr>
                <w:rFonts w:hint="default" w:ascii="Times New Roman" w:hAnsi="Times New Roman" w:eastAsia="宋体" w:cs="Times New Roman"/>
                <w:snapToGrid w:val="0"/>
                <w:color w:val="000000"/>
                <w:kern w:val="21"/>
                <w:sz w:val="21"/>
                <w:szCs w:val="21"/>
                <w:highlight w:val="none"/>
                <w:lang w:val="en-US" w:eastAsia="zh-CN"/>
              </w:rPr>
              <w:t>t/a</w:t>
            </w:r>
            <w:r>
              <w:rPr>
                <w:rFonts w:hint="default" w:ascii="Times New Roman" w:hAnsi="Times New Roman" w:eastAsia="宋体" w:cs="Times New Roman"/>
                <w:snapToGrid w:val="0"/>
                <w:color w:val="000000"/>
                <w:kern w:val="21"/>
                <w:sz w:val="21"/>
                <w:szCs w:val="21"/>
                <w:highlight w:val="none"/>
                <w:lang w:eastAsia="zh-CN"/>
              </w:rPr>
              <w:t>）</w:t>
            </w:r>
          </w:p>
        </w:tc>
        <w:tc>
          <w:tcPr>
            <w:tcW w:w="1641" w:type="dxa"/>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pStyle w:val="21"/>
              <w:spacing w:beforeLines="0" w:afterLines="0" w:line="240" w:lineRule="auto"/>
              <w:rPr>
                <w:rFonts w:hint="default" w:ascii="Times New Roman" w:hAnsi="Times New Roman"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0</w:t>
            </w:r>
          </w:p>
        </w:tc>
        <w:tc>
          <w:tcPr>
            <w:tcW w:w="1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0.0</w:t>
            </w:r>
            <w:r>
              <w:rPr>
                <w:rFonts w:hint="eastAsia" w:ascii="Times New Roman" w:hAnsi="Times New Roman" w:cs="Times New Roman"/>
                <w:bCs/>
                <w:color w:val="auto"/>
                <w:sz w:val="21"/>
                <w:szCs w:val="21"/>
                <w:highlight w:val="none"/>
                <w:lang w:val="en-US" w:eastAsia="zh-CN"/>
              </w:rPr>
              <w:t>05</w:t>
            </w:r>
          </w:p>
        </w:tc>
        <w:tc>
          <w:tcPr>
            <w:tcW w:w="1641" w:type="dxa"/>
            <w:noWrap w:val="0"/>
            <w:vAlign w:val="center"/>
          </w:tcPr>
          <w:p>
            <w:pPr>
              <w:pStyle w:val="21"/>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p>
        </w:tc>
        <w:tc>
          <w:tcPr>
            <w:tcW w:w="1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0.0</w:t>
            </w:r>
            <w:r>
              <w:rPr>
                <w:rFonts w:hint="eastAsia" w:ascii="Times New Roman" w:hAnsi="Times New Roman" w:cs="Times New Roman"/>
                <w:bCs/>
                <w:color w:val="auto"/>
                <w:sz w:val="21"/>
                <w:szCs w:val="21"/>
                <w:highlight w:val="none"/>
                <w:lang w:val="en-US" w:eastAsia="zh-CN"/>
              </w:rPr>
              <w:t>05</w:t>
            </w:r>
          </w:p>
        </w:tc>
        <w:tc>
          <w:tcPr>
            <w:tcW w:w="9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cs="Times New Roman"/>
                <w:snapToGrid w:val="0"/>
                <w:color w:val="000000"/>
                <w:kern w:val="21"/>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0.0</w:t>
            </w:r>
            <w:r>
              <w:rPr>
                <w:rFonts w:hint="eastAsia" w:ascii="Times New Roman" w:hAnsi="Times New Roman" w:cs="Times New Roman"/>
                <w:bCs/>
                <w:color w:val="auto"/>
                <w:sz w:val="21"/>
                <w:szCs w:val="21"/>
                <w:highlight w:val="none"/>
                <w:lang w:val="en-US" w:eastAsia="zh-CN"/>
              </w:rPr>
              <w:t>05</w:t>
            </w:r>
          </w:p>
        </w:tc>
      </w:tr>
    </w:tbl>
    <w:p>
      <w:pPr>
        <w:pStyle w:val="21"/>
        <w:spacing w:before="192" w:beforeLines="80" w:after="24"/>
        <w:jc w:val="left"/>
        <w:rPr>
          <w:rFonts w:hint="eastAsia" w:ascii="Times New Roman"/>
          <w:snapToGrid w:val="0"/>
          <w:color w:val="000000"/>
          <w:spacing w:val="-6"/>
          <w:kern w:val="21"/>
          <w:szCs w:val="21"/>
          <w:highlight w:val="none"/>
        </w:rPr>
      </w:pPr>
      <w:r>
        <w:rPr>
          <w:rFonts w:ascii="Times New Roman"/>
          <w:snapToGrid w:val="0"/>
          <w:color w:val="000000"/>
          <w:kern w:val="21"/>
          <w:szCs w:val="21"/>
          <w:highlight w:val="none"/>
        </w:rPr>
        <w:t>注：</w:t>
      </w:r>
      <w:r>
        <w:rPr>
          <w:rFonts w:ascii="Times New Roman"/>
          <w:snapToGrid w:val="0"/>
          <w:color w:val="000000"/>
          <w:spacing w:val="-16"/>
          <w:kern w:val="21"/>
          <w:szCs w:val="21"/>
          <w:highlight w:val="none"/>
        </w:rPr>
        <w:fldChar w:fldCharType="begin"/>
      </w:r>
      <w:r>
        <w:rPr>
          <w:rFonts w:ascii="Times New Roman"/>
          <w:snapToGrid w:val="0"/>
          <w:color w:val="000000"/>
          <w:spacing w:val="-16"/>
          <w:kern w:val="21"/>
          <w:szCs w:val="21"/>
          <w:highlight w:val="none"/>
        </w:rPr>
        <w:instrText xml:space="preserve"> = 6 \* GB3 \* MERGEFORMAT </w:instrText>
      </w:r>
      <w:r>
        <w:rPr>
          <w:rFonts w:ascii="Times New Roman"/>
          <w:snapToGrid w:val="0"/>
          <w:color w:val="000000"/>
          <w:spacing w:val="-16"/>
          <w:kern w:val="21"/>
          <w:szCs w:val="21"/>
          <w:highlight w:val="none"/>
        </w:rPr>
        <w:fldChar w:fldCharType="separate"/>
      </w:r>
      <w:r>
        <w:rPr>
          <w:rFonts w:hint="eastAsia" w:ascii="Times New Roman"/>
          <w:szCs w:val="21"/>
          <w:highlight w:val="none"/>
        </w:rPr>
        <w:t>⑥</w:t>
      </w:r>
      <w:r>
        <w:rPr>
          <w:rFonts w:ascii="Times New Roman"/>
          <w:snapToGrid w:val="0"/>
          <w:color w:val="000000"/>
          <w:spacing w:val="-16"/>
          <w:kern w:val="21"/>
          <w:szCs w:val="21"/>
          <w:highlight w:val="none"/>
        </w:rPr>
        <w:fldChar w:fldCharType="end"/>
      </w:r>
      <w:r>
        <w:rPr>
          <w:rFonts w:ascii="Times New Roman"/>
          <w:snapToGrid w:val="0"/>
          <w:color w:val="000000"/>
          <w:spacing w:val="-1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1 \* GB3 \* MERGEFORMAT </w:instrText>
      </w:r>
      <w:r>
        <w:rPr>
          <w:rFonts w:ascii="Times New Roman"/>
          <w:snapToGrid w:val="0"/>
          <w:color w:val="000000"/>
          <w:spacing w:val="-6"/>
          <w:kern w:val="21"/>
          <w:szCs w:val="21"/>
          <w:highlight w:val="none"/>
        </w:rPr>
        <w:fldChar w:fldCharType="separate"/>
      </w:r>
      <w:r>
        <w:rPr>
          <w:rFonts w:hint="eastAsia" w:ascii="Times New Roman"/>
          <w:szCs w:val="21"/>
          <w:highlight w:val="none"/>
        </w:rPr>
        <w:t>①</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3 \* GB3 \* MERGEFORMAT </w:instrText>
      </w:r>
      <w:r>
        <w:rPr>
          <w:rFonts w:ascii="Times New Roman"/>
          <w:snapToGrid w:val="0"/>
          <w:color w:val="000000"/>
          <w:spacing w:val="-6"/>
          <w:kern w:val="21"/>
          <w:szCs w:val="21"/>
          <w:highlight w:val="none"/>
        </w:rPr>
        <w:fldChar w:fldCharType="separate"/>
      </w:r>
      <w:r>
        <w:rPr>
          <w:rFonts w:hint="eastAsia" w:ascii="Times New Roman"/>
          <w:szCs w:val="21"/>
          <w:highlight w:val="none"/>
        </w:rPr>
        <w:t>③</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4 \* GB3 \* MERGEFORMAT </w:instrText>
      </w:r>
      <w:r>
        <w:rPr>
          <w:rFonts w:ascii="Times New Roman"/>
          <w:snapToGrid w:val="0"/>
          <w:color w:val="000000"/>
          <w:spacing w:val="-6"/>
          <w:kern w:val="21"/>
          <w:szCs w:val="21"/>
          <w:highlight w:val="none"/>
        </w:rPr>
        <w:fldChar w:fldCharType="separate"/>
      </w:r>
      <w:r>
        <w:rPr>
          <w:rFonts w:hint="eastAsia" w:ascii="Times New Roman"/>
          <w:szCs w:val="21"/>
          <w:highlight w:val="none"/>
        </w:rPr>
        <w:t>④</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16"/>
          <w:kern w:val="21"/>
          <w:szCs w:val="21"/>
          <w:highlight w:val="none"/>
        </w:rPr>
        <w:fldChar w:fldCharType="begin"/>
      </w:r>
      <w:r>
        <w:rPr>
          <w:rFonts w:ascii="Times New Roman"/>
          <w:snapToGrid w:val="0"/>
          <w:color w:val="000000"/>
          <w:spacing w:val="-16"/>
          <w:kern w:val="21"/>
          <w:szCs w:val="21"/>
          <w:highlight w:val="none"/>
        </w:rPr>
        <w:instrText xml:space="preserve"> = 5 \* GB3 \* MERGEFORMAT </w:instrText>
      </w:r>
      <w:r>
        <w:rPr>
          <w:rFonts w:ascii="Times New Roman"/>
          <w:snapToGrid w:val="0"/>
          <w:color w:val="000000"/>
          <w:spacing w:val="-16"/>
          <w:kern w:val="21"/>
          <w:szCs w:val="21"/>
          <w:highlight w:val="none"/>
        </w:rPr>
        <w:fldChar w:fldCharType="separate"/>
      </w:r>
      <w:r>
        <w:rPr>
          <w:rFonts w:hint="eastAsia" w:ascii="Times New Roman"/>
          <w:szCs w:val="21"/>
          <w:highlight w:val="none"/>
        </w:rPr>
        <w:t>⑤</w:t>
      </w:r>
      <w:r>
        <w:rPr>
          <w:rFonts w:ascii="Times New Roman"/>
          <w:snapToGrid w:val="0"/>
          <w:color w:val="000000"/>
          <w:spacing w:val="-16"/>
          <w:kern w:val="21"/>
          <w:szCs w:val="21"/>
          <w:highlight w:val="none"/>
        </w:rPr>
        <w:fldChar w:fldCharType="end"/>
      </w:r>
      <w:r>
        <w:rPr>
          <w:rFonts w:ascii="Times New Roman"/>
          <w:snapToGrid w:val="0"/>
          <w:color w:val="000000"/>
          <w:spacing w:val="-1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7 \* GB3 \* MERGEFORMAT </w:instrText>
      </w:r>
      <w:r>
        <w:rPr>
          <w:rFonts w:ascii="Times New Roman"/>
          <w:snapToGrid w:val="0"/>
          <w:color w:val="000000"/>
          <w:spacing w:val="-6"/>
          <w:kern w:val="21"/>
          <w:szCs w:val="21"/>
          <w:highlight w:val="none"/>
        </w:rPr>
        <w:fldChar w:fldCharType="separate"/>
      </w:r>
      <w:r>
        <w:rPr>
          <w:rFonts w:hint="eastAsia" w:ascii="Times New Roman"/>
          <w:szCs w:val="21"/>
          <w:highlight w:val="none"/>
        </w:rPr>
        <w:t>⑦</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16"/>
          <w:kern w:val="21"/>
          <w:szCs w:val="21"/>
          <w:highlight w:val="none"/>
        </w:rPr>
        <w:fldChar w:fldCharType="begin"/>
      </w:r>
      <w:r>
        <w:rPr>
          <w:rFonts w:ascii="Times New Roman"/>
          <w:snapToGrid w:val="0"/>
          <w:color w:val="000000"/>
          <w:spacing w:val="-16"/>
          <w:kern w:val="21"/>
          <w:szCs w:val="21"/>
          <w:highlight w:val="none"/>
        </w:rPr>
        <w:instrText xml:space="preserve"> = 6 \* GB3 \* MERGEFORMAT </w:instrText>
      </w:r>
      <w:r>
        <w:rPr>
          <w:rFonts w:ascii="Times New Roman"/>
          <w:snapToGrid w:val="0"/>
          <w:color w:val="000000"/>
          <w:spacing w:val="-16"/>
          <w:kern w:val="21"/>
          <w:szCs w:val="21"/>
          <w:highlight w:val="none"/>
        </w:rPr>
        <w:fldChar w:fldCharType="separate"/>
      </w:r>
      <w:r>
        <w:rPr>
          <w:rFonts w:hint="eastAsia" w:ascii="Times New Roman"/>
          <w:szCs w:val="21"/>
          <w:highlight w:val="none"/>
        </w:rPr>
        <w:t>⑥</w:t>
      </w:r>
      <w:r>
        <w:rPr>
          <w:rFonts w:ascii="Times New Roman"/>
          <w:snapToGrid w:val="0"/>
          <w:color w:val="000000"/>
          <w:spacing w:val="-16"/>
          <w:kern w:val="21"/>
          <w:szCs w:val="21"/>
          <w:highlight w:val="none"/>
        </w:rPr>
        <w:fldChar w:fldCharType="end"/>
      </w:r>
      <w:r>
        <w:rPr>
          <w:rFonts w:ascii="Times New Roman"/>
          <w:snapToGrid w:val="0"/>
          <w:color w:val="000000"/>
          <w:spacing w:val="-1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1 \* GB3 \* MERGEFORMAT </w:instrText>
      </w:r>
      <w:r>
        <w:rPr>
          <w:rFonts w:ascii="Times New Roman"/>
          <w:snapToGrid w:val="0"/>
          <w:color w:val="000000"/>
          <w:spacing w:val="-6"/>
          <w:kern w:val="21"/>
          <w:szCs w:val="21"/>
          <w:highlight w:val="none"/>
        </w:rPr>
        <w:fldChar w:fldCharType="separate"/>
      </w:r>
      <w:r>
        <w:rPr>
          <w:rFonts w:hint="eastAsia" w:ascii="Times New Roman"/>
          <w:szCs w:val="21"/>
          <w:highlight w:val="none"/>
        </w:rPr>
        <w:t>①</w:t>
      </w:r>
      <w:r>
        <w:rPr>
          <w:rFonts w:ascii="Times New Roman"/>
          <w:snapToGrid w:val="0"/>
          <w:color w:val="000000"/>
          <w:spacing w:val="-6"/>
          <w:kern w:val="21"/>
          <w:szCs w:val="21"/>
          <w:highlight w:val="none"/>
        </w:rPr>
        <w:fldChar w:fldCharType="end"/>
      </w:r>
    </w:p>
    <w:p>
      <w:pPr>
        <w:rPr>
          <w:rFonts w:hint="eastAsia"/>
          <w:highlight w:val="cyan"/>
        </w:rPr>
        <w:sectPr>
          <w:footerReference r:id="rId4"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pPr>
        <w:rPr>
          <w:rFonts w:hint="eastAsia" w:eastAsia="宋体"/>
          <w:lang w:eastAsia="zh-CN"/>
        </w:rPr>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300" distR="114300" simplePos="0" relativeHeight="251663360" behindDoc="0" locked="0" layoutInCell="1" allowOverlap="1">
            <wp:simplePos x="0" y="0"/>
            <wp:positionH relativeFrom="column">
              <wp:posOffset>-1133475</wp:posOffset>
            </wp:positionH>
            <wp:positionV relativeFrom="paragraph">
              <wp:posOffset>-906780</wp:posOffset>
            </wp:positionV>
            <wp:extent cx="7545705" cy="10367645"/>
            <wp:effectExtent l="0" t="0" r="17145" b="14605"/>
            <wp:wrapNone/>
            <wp:docPr id="5" name="图片 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11"/>
                    <pic:cNvPicPr>
                      <a:picLocks noChangeAspect="1"/>
                    </pic:cNvPicPr>
                  </pic:nvPicPr>
                  <pic:blipFill>
                    <a:blip r:embed="rId24"/>
                    <a:stretch>
                      <a:fillRect/>
                    </a:stretch>
                  </pic:blipFill>
                  <pic:spPr>
                    <a:xfrm>
                      <a:off x="0" y="0"/>
                      <a:ext cx="7545705" cy="10367645"/>
                    </a:xfrm>
                    <a:prstGeom prst="rect">
                      <a:avLst/>
                    </a:prstGeom>
                  </pic:spPr>
                </pic:pic>
              </a:graphicData>
            </a:graphic>
          </wp:anchor>
        </w:drawing>
      </w:r>
    </w:p>
    <w:p>
      <w:pPr>
        <w:rPr>
          <w:rFonts w:hint="eastAsia" w:eastAsia="宋体"/>
          <w:lang w:eastAsia="zh-CN"/>
        </w:rPr>
        <w:sectPr>
          <w:pgSz w:w="16838" w:h="11906" w:orient="landscape"/>
          <w:pgMar w:top="1800" w:right="1440" w:bottom="1800" w:left="1440" w:header="851" w:footer="992" w:gutter="0"/>
          <w:cols w:space="425" w:num="1"/>
          <w:docGrid w:type="lines" w:linePitch="312" w:charSpace="0"/>
        </w:sectPr>
      </w:pPr>
      <w:r>
        <w:rPr>
          <w:rFonts w:hint="eastAsia" w:eastAsia="宋体"/>
          <w:lang w:eastAsia="zh-CN"/>
        </w:rPr>
        <w:drawing>
          <wp:anchor distT="0" distB="0" distL="114300" distR="114300" simplePos="0" relativeHeight="251664384" behindDoc="0" locked="0" layoutInCell="1" allowOverlap="1">
            <wp:simplePos x="0" y="0"/>
            <wp:positionH relativeFrom="column">
              <wp:posOffset>554990</wp:posOffset>
            </wp:positionH>
            <wp:positionV relativeFrom="paragraph">
              <wp:posOffset>-2555240</wp:posOffset>
            </wp:positionV>
            <wp:extent cx="7545705" cy="10370185"/>
            <wp:effectExtent l="0" t="0" r="12065" b="17145"/>
            <wp:wrapNone/>
            <wp:docPr id="6" name="图片 6"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22"/>
                    <pic:cNvPicPr>
                      <a:picLocks noChangeAspect="1"/>
                    </pic:cNvPicPr>
                  </pic:nvPicPr>
                  <pic:blipFill>
                    <a:blip r:embed="rId25"/>
                    <a:stretch>
                      <a:fillRect/>
                    </a:stretch>
                  </pic:blipFill>
                  <pic:spPr>
                    <a:xfrm rot="16200000">
                      <a:off x="0" y="0"/>
                      <a:ext cx="7545705" cy="10370185"/>
                    </a:xfrm>
                    <a:prstGeom prst="rect">
                      <a:avLst/>
                    </a:prstGeom>
                  </pic:spPr>
                </pic:pic>
              </a:graphicData>
            </a:graphic>
          </wp:anchor>
        </w:drawing>
      </w:r>
    </w:p>
    <w:p>
      <w:pPr>
        <w:rPr>
          <w:rFonts w:hint="eastAsia" w:eastAsia="宋体"/>
          <w:lang w:eastAsia="zh-CN"/>
        </w:rPr>
        <w:sectPr>
          <w:pgSz w:w="16838" w:h="11906" w:orient="landscape"/>
          <w:pgMar w:top="1800" w:right="1440" w:bottom="1800" w:left="1440" w:header="851" w:footer="992" w:gutter="0"/>
          <w:cols w:space="425" w:num="1"/>
          <w:docGrid w:type="lines" w:linePitch="312" w:charSpace="0"/>
        </w:sectPr>
      </w:pPr>
      <w:r>
        <w:rPr>
          <w:rFonts w:hint="eastAsia" w:eastAsia="宋体"/>
          <w:lang w:eastAsia="zh-CN"/>
        </w:rPr>
        <w:drawing>
          <wp:anchor distT="0" distB="0" distL="114300" distR="114300" simplePos="0" relativeHeight="251665408" behindDoc="0" locked="0" layoutInCell="1" allowOverlap="1">
            <wp:simplePos x="0" y="0"/>
            <wp:positionH relativeFrom="column">
              <wp:posOffset>582930</wp:posOffset>
            </wp:positionH>
            <wp:positionV relativeFrom="paragraph">
              <wp:posOffset>-2573655</wp:posOffset>
            </wp:positionV>
            <wp:extent cx="7747000" cy="10646410"/>
            <wp:effectExtent l="0" t="0" r="2540" b="6350"/>
            <wp:wrapNone/>
            <wp:docPr id="8" name="图片 8"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333"/>
                    <pic:cNvPicPr>
                      <a:picLocks noChangeAspect="1"/>
                    </pic:cNvPicPr>
                  </pic:nvPicPr>
                  <pic:blipFill>
                    <a:blip r:embed="rId26"/>
                    <a:stretch>
                      <a:fillRect/>
                    </a:stretch>
                  </pic:blipFill>
                  <pic:spPr>
                    <a:xfrm rot="5400000">
                      <a:off x="0" y="0"/>
                      <a:ext cx="7747000" cy="10646410"/>
                    </a:xfrm>
                    <a:prstGeom prst="rect">
                      <a:avLst/>
                    </a:prstGeom>
                  </pic:spPr>
                </pic:pic>
              </a:graphicData>
            </a:graphic>
          </wp:anchor>
        </w:drawing>
      </w:r>
    </w:p>
    <w:p>
      <w:pPr>
        <w:rPr>
          <w:rFonts w:hint="eastAsia" w:eastAsia="宋体"/>
          <w:lang w:eastAsia="zh-CN"/>
        </w:rPr>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300" distR="114300" simplePos="0" relativeHeight="251670528" behindDoc="0" locked="0" layoutInCell="1" allowOverlap="1">
            <wp:simplePos x="0" y="0"/>
            <wp:positionH relativeFrom="column">
              <wp:posOffset>-1154430</wp:posOffset>
            </wp:positionH>
            <wp:positionV relativeFrom="paragraph">
              <wp:posOffset>-927735</wp:posOffset>
            </wp:positionV>
            <wp:extent cx="7531735" cy="10348595"/>
            <wp:effectExtent l="0" t="0" r="12065" b="14605"/>
            <wp:wrapNone/>
            <wp:docPr id="9" name="图片 9" descr="1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0001"/>
                    <pic:cNvPicPr>
                      <a:picLocks noChangeAspect="1"/>
                    </pic:cNvPicPr>
                  </pic:nvPicPr>
                  <pic:blipFill>
                    <a:blip r:embed="rId27"/>
                    <a:stretch>
                      <a:fillRect/>
                    </a:stretch>
                  </pic:blipFill>
                  <pic:spPr>
                    <a:xfrm>
                      <a:off x="0" y="0"/>
                      <a:ext cx="7531735" cy="10348595"/>
                    </a:xfrm>
                    <a:prstGeom prst="rect">
                      <a:avLst/>
                    </a:prstGeom>
                  </pic:spPr>
                </pic:pic>
              </a:graphicData>
            </a:graphic>
          </wp:anchor>
        </w:drawing>
      </w:r>
    </w:p>
    <w:p>
      <w:pPr>
        <w:rPr>
          <w:rFonts w:hint="eastAsia" w:eastAsia="宋体"/>
          <w:lang w:eastAsia="zh-CN"/>
        </w:rPr>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300" distR="114300" simplePos="0" relativeHeight="251668480" behindDoc="0" locked="0" layoutInCell="1" allowOverlap="1">
            <wp:simplePos x="0" y="0"/>
            <wp:positionH relativeFrom="column">
              <wp:posOffset>-1119505</wp:posOffset>
            </wp:positionH>
            <wp:positionV relativeFrom="paragraph">
              <wp:posOffset>-892810</wp:posOffset>
            </wp:positionV>
            <wp:extent cx="7484110" cy="10283190"/>
            <wp:effectExtent l="0" t="0" r="2540" b="3810"/>
            <wp:wrapNone/>
            <wp:docPr id="2" name="图片 2" descr="1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0002"/>
                    <pic:cNvPicPr>
                      <a:picLocks noChangeAspect="1"/>
                    </pic:cNvPicPr>
                  </pic:nvPicPr>
                  <pic:blipFill>
                    <a:blip r:embed="rId28"/>
                    <a:stretch>
                      <a:fillRect/>
                    </a:stretch>
                  </pic:blipFill>
                  <pic:spPr>
                    <a:xfrm>
                      <a:off x="0" y="0"/>
                      <a:ext cx="7484110" cy="10283190"/>
                    </a:xfrm>
                    <a:prstGeom prst="rect">
                      <a:avLst/>
                    </a:prstGeom>
                  </pic:spPr>
                </pic:pic>
              </a:graphicData>
            </a:graphic>
          </wp:anchor>
        </w:drawing>
      </w:r>
    </w:p>
    <w:p>
      <w:pPr>
        <w:rPr>
          <w:rFonts w:hint="eastAsia" w:eastAsia="宋体"/>
          <w:lang w:eastAsia="zh-CN"/>
        </w:rPr>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300" distR="114300" simplePos="0" relativeHeight="251669504" behindDoc="0" locked="0" layoutInCell="1" allowOverlap="1">
            <wp:simplePos x="0" y="0"/>
            <wp:positionH relativeFrom="column">
              <wp:posOffset>-1130935</wp:posOffset>
            </wp:positionH>
            <wp:positionV relativeFrom="paragraph">
              <wp:posOffset>-952500</wp:posOffset>
            </wp:positionV>
            <wp:extent cx="7508240" cy="10316210"/>
            <wp:effectExtent l="0" t="0" r="16510" b="8890"/>
            <wp:wrapNone/>
            <wp:docPr id="7" name="图片 7" descr="1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0003"/>
                    <pic:cNvPicPr>
                      <a:picLocks noChangeAspect="1"/>
                    </pic:cNvPicPr>
                  </pic:nvPicPr>
                  <pic:blipFill>
                    <a:blip r:embed="rId29"/>
                    <a:stretch>
                      <a:fillRect/>
                    </a:stretch>
                  </pic:blipFill>
                  <pic:spPr>
                    <a:xfrm>
                      <a:off x="0" y="0"/>
                      <a:ext cx="7508240" cy="10316210"/>
                    </a:xfrm>
                    <a:prstGeom prst="rect">
                      <a:avLst/>
                    </a:prstGeom>
                  </pic:spPr>
                </pic:pic>
              </a:graphicData>
            </a:graphic>
          </wp:anchor>
        </w:drawing>
      </w:r>
    </w:p>
    <w:p>
      <w:pPr>
        <w:pStyle w:val="2"/>
        <w:jc w:val="both"/>
        <w:rPr>
          <w:rFonts w:hint="eastAsia" w:eastAsia="黑体"/>
          <w:highlight w:val="cyan"/>
          <w:lang w:eastAsia="zh-CN"/>
        </w:rPr>
        <w:sectPr>
          <w:pgSz w:w="11906" w:h="16838"/>
          <w:pgMar w:top="1440" w:right="1800" w:bottom="1440" w:left="1800" w:header="851" w:footer="992" w:gutter="0"/>
          <w:cols w:space="425" w:num="1"/>
          <w:docGrid w:type="lines" w:linePitch="312" w:charSpace="0"/>
        </w:sectPr>
      </w:pPr>
      <w:r>
        <w:rPr>
          <w:rFonts w:hint="eastAsia" w:eastAsia="黑体"/>
          <w:highlight w:val="cyan"/>
          <w:lang w:eastAsia="zh-CN"/>
        </w:rPr>
        <w:drawing>
          <wp:anchor distT="0" distB="0" distL="114300" distR="114300" simplePos="0" relativeHeight="251667456" behindDoc="0" locked="0" layoutInCell="1" allowOverlap="1">
            <wp:simplePos x="0" y="0"/>
            <wp:positionH relativeFrom="column">
              <wp:posOffset>-1140460</wp:posOffset>
            </wp:positionH>
            <wp:positionV relativeFrom="paragraph">
              <wp:posOffset>-923925</wp:posOffset>
            </wp:positionV>
            <wp:extent cx="7564755" cy="10394315"/>
            <wp:effectExtent l="0" t="0" r="17145" b="6985"/>
            <wp:wrapNone/>
            <wp:docPr id="10" name="图片 10" descr="1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0004"/>
                    <pic:cNvPicPr>
                      <a:picLocks noChangeAspect="1"/>
                    </pic:cNvPicPr>
                  </pic:nvPicPr>
                  <pic:blipFill>
                    <a:blip r:embed="rId30"/>
                    <a:stretch>
                      <a:fillRect/>
                    </a:stretch>
                  </pic:blipFill>
                  <pic:spPr>
                    <a:xfrm>
                      <a:off x="0" y="0"/>
                      <a:ext cx="7564755" cy="10394315"/>
                    </a:xfrm>
                    <a:prstGeom prst="rect">
                      <a:avLst/>
                    </a:prstGeom>
                  </pic:spPr>
                </pic:pic>
              </a:graphicData>
            </a:graphic>
          </wp:anchor>
        </w:drawing>
      </w:r>
    </w:p>
    <w:p>
      <w:pPr>
        <w:pStyle w:val="2"/>
        <w:jc w:val="both"/>
        <w:rPr>
          <w:rFonts w:hint="eastAsia" w:eastAsia="黑体"/>
          <w:highlight w:val="cyan"/>
          <w:lang w:eastAsia="zh-CN"/>
        </w:rPr>
        <w:sectPr>
          <w:pgSz w:w="11906" w:h="16838"/>
          <w:pgMar w:top="1440" w:right="1800" w:bottom="1440" w:left="1800" w:header="851" w:footer="992" w:gutter="0"/>
          <w:cols w:space="425" w:num="1"/>
          <w:docGrid w:type="lines" w:linePitch="312" w:charSpace="0"/>
        </w:sectPr>
      </w:pPr>
      <w:r>
        <w:rPr>
          <w:rFonts w:hint="eastAsia" w:eastAsia="黑体"/>
          <w:highlight w:val="cyan"/>
          <w:lang w:eastAsia="zh-CN"/>
        </w:rPr>
        <w:drawing>
          <wp:anchor distT="0" distB="0" distL="114300" distR="114300" simplePos="0" relativeHeight="251671552" behindDoc="0" locked="0" layoutInCell="1" allowOverlap="1">
            <wp:simplePos x="0" y="0"/>
            <wp:positionH relativeFrom="column">
              <wp:posOffset>-1083945</wp:posOffset>
            </wp:positionH>
            <wp:positionV relativeFrom="paragraph">
              <wp:posOffset>-880745</wp:posOffset>
            </wp:positionV>
            <wp:extent cx="7484745" cy="10284460"/>
            <wp:effectExtent l="0" t="0" r="1905" b="2540"/>
            <wp:wrapNone/>
            <wp:docPr id="11" name="图片 11" descr="1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0005"/>
                    <pic:cNvPicPr>
                      <a:picLocks noChangeAspect="1"/>
                    </pic:cNvPicPr>
                  </pic:nvPicPr>
                  <pic:blipFill>
                    <a:blip r:embed="rId31"/>
                    <a:stretch>
                      <a:fillRect/>
                    </a:stretch>
                  </pic:blipFill>
                  <pic:spPr>
                    <a:xfrm>
                      <a:off x="0" y="0"/>
                      <a:ext cx="7484745" cy="10284460"/>
                    </a:xfrm>
                    <a:prstGeom prst="rect">
                      <a:avLst/>
                    </a:prstGeom>
                  </pic:spPr>
                </pic:pic>
              </a:graphicData>
            </a:graphic>
          </wp:anchor>
        </w:drawing>
      </w:r>
    </w:p>
    <w:p>
      <w:pPr>
        <w:pStyle w:val="2"/>
        <w:jc w:val="both"/>
        <w:rPr>
          <w:rFonts w:hint="eastAsia" w:eastAsia="黑体"/>
          <w:highlight w:val="cyan"/>
          <w:lang w:eastAsia="zh-CN"/>
        </w:rPr>
      </w:pPr>
      <w:r>
        <w:rPr>
          <w:rFonts w:hint="eastAsia" w:eastAsia="黑体"/>
          <w:highlight w:val="cyan"/>
          <w:lang w:eastAsia="zh-CN"/>
        </w:rPr>
        <w:drawing>
          <wp:anchor distT="0" distB="0" distL="114300" distR="114300" simplePos="0" relativeHeight="251672576" behindDoc="0" locked="0" layoutInCell="1" allowOverlap="1">
            <wp:simplePos x="0" y="0"/>
            <wp:positionH relativeFrom="column">
              <wp:posOffset>-1119505</wp:posOffset>
            </wp:positionH>
            <wp:positionV relativeFrom="paragraph">
              <wp:posOffset>-880110</wp:posOffset>
            </wp:positionV>
            <wp:extent cx="7543800" cy="10365105"/>
            <wp:effectExtent l="0" t="0" r="0" b="17145"/>
            <wp:wrapNone/>
            <wp:docPr id="12" name="图片 12" descr="1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0006"/>
                    <pic:cNvPicPr>
                      <a:picLocks noChangeAspect="1"/>
                    </pic:cNvPicPr>
                  </pic:nvPicPr>
                  <pic:blipFill>
                    <a:blip r:embed="rId32"/>
                    <a:stretch>
                      <a:fillRect/>
                    </a:stretch>
                  </pic:blipFill>
                  <pic:spPr>
                    <a:xfrm>
                      <a:off x="0" y="0"/>
                      <a:ext cx="7543800" cy="1036510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方正小标宋_GBK">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70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DE060"/>
    <w:multiLevelType w:val="singleLevel"/>
    <w:tmpl w:val="B2FDE060"/>
    <w:lvl w:ilvl="0" w:tentative="0">
      <w:start w:val="2"/>
      <w:numFmt w:val="decimal"/>
      <w:suff w:val="nothing"/>
      <w:lvlText w:val="（%1）"/>
      <w:lvlJc w:val="left"/>
    </w:lvl>
  </w:abstractNum>
  <w:abstractNum w:abstractNumId="1">
    <w:nsid w:val="DA17053D"/>
    <w:multiLevelType w:val="singleLevel"/>
    <w:tmpl w:val="DA17053D"/>
    <w:lvl w:ilvl="0" w:tentative="0">
      <w:start w:val="1"/>
      <w:numFmt w:val="decimal"/>
      <w:suff w:val="nothing"/>
      <w:lvlText w:val="（%1）"/>
      <w:lvlJc w:val="left"/>
    </w:lvl>
  </w:abstractNum>
  <w:abstractNum w:abstractNumId="2">
    <w:nsid w:val="F9A8756F"/>
    <w:multiLevelType w:val="singleLevel"/>
    <w:tmpl w:val="F9A8756F"/>
    <w:lvl w:ilvl="0" w:tentative="0">
      <w:start w:val="1"/>
      <w:numFmt w:val="decimal"/>
      <w:suff w:val="nothing"/>
      <w:lvlText w:val="表%1"/>
      <w:lvlJc w:val="left"/>
      <w:pPr>
        <w:tabs>
          <w:tab w:val="left" w:pos="0"/>
        </w:tabs>
      </w:pPr>
      <w:rPr>
        <w:rFonts w:hint="default" w:ascii="Times New Roman" w:hAnsi="Times New Roman" w:eastAsia="黑体" w:cs="宋体"/>
        <w:sz w:val="18"/>
      </w:rPr>
    </w:lvl>
  </w:abstractNum>
  <w:abstractNum w:abstractNumId="3">
    <w:nsid w:val="009EA36B"/>
    <w:multiLevelType w:val="singleLevel"/>
    <w:tmpl w:val="009EA36B"/>
    <w:lvl w:ilvl="0" w:tentative="0">
      <w:start w:val="9"/>
      <w:numFmt w:val="decimal"/>
      <w:suff w:val="nothing"/>
      <w:lvlText w:val="（%1）"/>
      <w:lvlJc w:val="left"/>
    </w:lvl>
  </w:abstractNum>
  <w:abstractNum w:abstractNumId="4">
    <w:nsid w:val="1CF52D33"/>
    <w:multiLevelType w:val="singleLevel"/>
    <w:tmpl w:val="1CF52D33"/>
    <w:lvl w:ilvl="0" w:tentative="0">
      <w:start w:val="3"/>
      <w:numFmt w:val="decimal"/>
      <w:suff w:val="nothing"/>
      <w:lvlText w:val="（%1）"/>
      <w:lvlJc w:val="left"/>
    </w:lvl>
  </w:abstractNum>
  <w:abstractNum w:abstractNumId="5">
    <w:nsid w:val="205A4F56"/>
    <w:multiLevelType w:val="multilevel"/>
    <w:tmpl w:val="205A4F56"/>
    <w:lvl w:ilvl="0" w:tentative="0">
      <w:start w:val="1"/>
      <w:numFmt w:val="decimal"/>
      <w:pStyle w:val="3"/>
      <w:suff w:val="space"/>
      <w:lvlText w:val="%1"/>
      <w:lvlJc w:val="left"/>
      <w:pPr>
        <w:ind w:left="0" w:firstLine="0"/>
      </w:pPr>
      <w:rPr>
        <w:rFonts w:hint="default" w:ascii="Times New Roman" w:hAnsi="Times New Roman"/>
        <w:b/>
        <w:i w:val="0"/>
        <w:sz w:val="24"/>
        <w:szCs w:val="24"/>
      </w:rPr>
    </w:lvl>
    <w:lvl w:ilvl="1" w:tentative="0">
      <w:start w:val="1"/>
      <w:numFmt w:val="decimal"/>
      <w:suff w:val="space"/>
      <w:lvlText w:val="%1.%2"/>
      <w:lvlJc w:val="left"/>
      <w:pPr>
        <w:ind w:left="0" w:firstLine="0"/>
      </w:pPr>
      <w:rPr>
        <w:rFonts w:hint="default" w:ascii="Times New Roman" w:hAnsi="Times New Roman"/>
        <w:b/>
        <w:i w:val="0"/>
        <w:sz w:val="24"/>
        <w:szCs w:val="24"/>
      </w:rPr>
    </w:lvl>
    <w:lvl w:ilvl="2" w:tentative="0">
      <w:start w:val="1"/>
      <w:numFmt w:val="decimal"/>
      <w:pStyle w:val="4"/>
      <w:suff w:val="space"/>
      <w:lvlText w:val="%1.%2.%3"/>
      <w:lvlJc w:val="left"/>
      <w:pPr>
        <w:ind w:left="0" w:firstLine="0"/>
      </w:pPr>
      <w:rPr>
        <w:rFonts w:hint="default" w:ascii="Times New Roman" w:hAnsi="Times New Roman" w:eastAsia="宋体"/>
        <w:b w:val="0"/>
        <w:i w:val="0"/>
        <w:caps w:val="0"/>
        <w:strike w:val="0"/>
        <w:dstrike w:val="0"/>
        <w:snapToGrid w:val="0"/>
        <w:vanish w:val="0"/>
        <w:color w:val="auto"/>
        <w:kern w:val="0"/>
        <w:sz w:val="24"/>
        <w:szCs w:val="24"/>
        <w:u w:val="none"/>
        <w:vertAlign w:val="baseline"/>
      </w:rPr>
    </w:lvl>
    <w:lvl w:ilvl="3" w:tentative="0">
      <w:start w:val="1"/>
      <w:numFmt w:val="decimal"/>
      <w:pStyle w:val="5"/>
      <w:lvlText w:val="%1.%2.%3.%4"/>
      <w:lvlJc w:val="left"/>
      <w:pPr>
        <w:tabs>
          <w:tab w:val="left" w:pos="851"/>
        </w:tabs>
        <w:ind w:left="851" w:hanging="851"/>
      </w:pPr>
      <w:rPr>
        <w:rFonts w:hint="default" w:ascii="Times New Roman" w:hAnsi="Times New Roman"/>
        <w:b w:val="0"/>
        <w:i w:val="0"/>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57441E78"/>
    <w:multiLevelType w:val="singleLevel"/>
    <w:tmpl w:val="57441E78"/>
    <w:lvl w:ilvl="0" w:tentative="0">
      <w:start w:val="1"/>
      <w:numFmt w:val="decimal"/>
      <w:suff w:val="nothing"/>
      <w:lvlText w:val="%1、"/>
      <w:lvlJc w:val="left"/>
    </w:lvl>
  </w:abstractNum>
  <w:abstractNum w:abstractNumId="7">
    <w:nsid w:val="5BAC1D5C"/>
    <w:multiLevelType w:val="multilevel"/>
    <w:tmpl w:val="5BAC1D5C"/>
    <w:lvl w:ilvl="0" w:tentative="0">
      <w:start w:val="1"/>
      <w:numFmt w:val="decimal"/>
      <w:suff w:val="space"/>
      <w:lvlText w:val="第%1章"/>
      <w:lvlJc w:val="center"/>
      <w:pPr>
        <w:ind w:left="600" w:firstLine="0"/>
      </w:pPr>
      <w:rPr>
        <w:rFonts w:hint="eastAsia"/>
        <w:b w:val="0"/>
        <w:bCs w:val="0"/>
        <w:i w:val="0"/>
        <w:iCs w:val="0"/>
        <w:caps w:val="0"/>
        <w:strike w:val="0"/>
        <w:dstrike w:val="0"/>
        <w:vanish w:val="0"/>
        <w:spacing w:val="0"/>
        <w:position w:val="0"/>
        <w:u w:val="none"/>
        <w:vertAlign w:val="baseline"/>
      </w:rPr>
    </w:lvl>
    <w:lvl w:ilvl="1" w:tentative="0">
      <w:start w:val="1"/>
      <w:numFmt w:val="chineseCountingThousand"/>
      <w:suff w:val="space"/>
      <w:lvlText w:val="第%2条  "/>
      <w:lvlJc w:val="left"/>
      <w:pPr>
        <w:ind w:left="1068" w:firstLine="0"/>
      </w:pPr>
      <w:rPr>
        <w:sz w:val="24"/>
        <w:szCs w:val="24"/>
      </w:rPr>
    </w:lvl>
    <w:lvl w:ilvl="2" w:tentative="0">
      <w:start w:val="1"/>
      <w:numFmt w:val="decimal"/>
      <w:pStyle w:val="20"/>
      <w:suff w:val="nothing"/>
      <w:lvlText w:val="（%3）"/>
      <w:lvlJc w:val="left"/>
      <w:pPr>
        <w:ind w:left="0" w:firstLine="0"/>
      </w:pPr>
    </w:lvl>
    <w:lvl w:ilvl="3" w:tentative="0">
      <w:start w:val="1"/>
      <w:numFmt w:val="decimal"/>
      <w:suff w:val="space"/>
      <w:lvlText w:val="%4）"/>
      <w:lvlJc w:val="left"/>
      <w:pPr>
        <w:ind w:left="0" w:firstLine="0"/>
      </w:pPr>
      <w:rPr>
        <w:rFonts w:hint="eastAsia"/>
      </w:rPr>
    </w:lvl>
    <w:lvl w:ilvl="4" w:tentative="0">
      <w:start w:val="1"/>
      <w:numFmt w:val="decimal"/>
      <w:suff w:val="space"/>
      <w:lvlText w:val="%1.%2.%3.%4.%5"/>
      <w:lvlJc w:val="left"/>
      <w:pPr>
        <w:ind w:left="2764" w:hanging="2419"/>
      </w:pPr>
      <w:rPr>
        <w:rFonts w:hint="eastAsia"/>
      </w:rPr>
    </w:lvl>
    <w:lvl w:ilvl="5" w:tentative="0">
      <w:start w:val="1"/>
      <w:numFmt w:val="decimal"/>
      <w:suff w:val="space"/>
      <w:lvlText w:val="%1.%2.%3.%4.%5.%6"/>
      <w:lvlJc w:val="left"/>
      <w:pPr>
        <w:ind w:left="3473" w:hanging="3128"/>
      </w:pPr>
      <w:rPr>
        <w:rFonts w:hint="eastAsia"/>
      </w:rPr>
    </w:lvl>
    <w:lvl w:ilvl="6" w:tentative="0">
      <w:start w:val="1"/>
      <w:numFmt w:val="decimal"/>
      <w:lvlText w:val="%1.%2.%3.%4.%5.%6.%7"/>
      <w:lvlJc w:val="left"/>
      <w:pPr>
        <w:tabs>
          <w:tab w:val="left" w:pos="5284"/>
        </w:tabs>
        <w:ind w:left="4040" w:hanging="1276"/>
      </w:pPr>
      <w:rPr>
        <w:rFonts w:hint="eastAsia"/>
      </w:rPr>
    </w:lvl>
    <w:lvl w:ilvl="7" w:tentative="0">
      <w:start w:val="1"/>
      <w:numFmt w:val="decimal"/>
      <w:lvlText w:val="%1.%2.%3.%4.%5.%6.%7.%8"/>
      <w:lvlJc w:val="left"/>
      <w:pPr>
        <w:tabs>
          <w:tab w:val="left" w:pos="6069"/>
        </w:tabs>
        <w:ind w:left="4607" w:hanging="1418"/>
      </w:pPr>
      <w:rPr>
        <w:rFonts w:hint="eastAsia"/>
      </w:rPr>
    </w:lvl>
    <w:lvl w:ilvl="8" w:tentative="0">
      <w:start w:val="1"/>
      <w:numFmt w:val="decimal"/>
      <w:lvlText w:val="%1.%2.%3.%4.%5.%6.%7.%8.%9"/>
      <w:lvlJc w:val="left"/>
      <w:pPr>
        <w:tabs>
          <w:tab w:val="left" w:pos="6855"/>
        </w:tabs>
        <w:ind w:left="5315" w:hanging="1700"/>
      </w:pPr>
      <w:rPr>
        <w:rFonts w:hint="eastAsia"/>
      </w:rPr>
    </w:lvl>
  </w:abstractNum>
  <w:abstractNum w:abstractNumId="8">
    <w:nsid w:val="608B8A2F"/>
    <w:multiLevelType w:val="singleLevel"/>
    <w:tmpl w:val="608B8A2F"/>
    <w:lvl w:ilvl="0" w:tentative="0">
      <w:start w:val="4"/>
      <w:numFmt w:val="decimal"/>
      <w:suff w:val="nothing"/>
      <w:lvlText w:val="%1、"/>
      <w:lvlJc w:val="left"/>
    </w:lvl>
  </w:abstractNum>
  <w:abstractNum w:abstractNumId="9">
    <w:nsid w:val="6997D018"/>
    <w:multiLevelType w:val="singleLevel"/>
    <w:tmpl w:val="6997D018"/>
    <w:lvl w:ilvl="0" w:tentative="0">
      <w:start w:val="1"/>
      <w:numFmt w:val="decimal"/>
      <w:suff w:val="nothing"/>
      <w:lvlText w:val="%1、"/>
      <w:lvlJc w:val="left"/>
    </w:lvl>
  </w:abstractNum>
  <w:num w:numId="1">
    <w:abstractNumId w:val="5"/>
  </w:num>
  <w:num w:numId="2">
    <w:abstractNumId w:val="7"/>
  </w:num>
  <w:num w:numId="3">
    <w:abstractNumId w:val="2"/>
  </w:num>
  <w:num w:numId="4">
    <w:abstractNumId w:val="3"/>
  </w:num>
  <w:num w:numId="5">
    <w:abstractNumId w:val="0"/>
  </w:num>
  <w:num w:numId="6">
    <w:abstractNumId w:val="4"/>
  </w:num>
  <w:num w:numId="7">
    <w:abstractNumId w:val="9"/>
  </w:num>
  <w:num w:numId="8">
    <w:abstractNumId w:val="6"/>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mirrorMargin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0A7333"/>
    <w:rsid w:val="0149685E"/>
    <w:rsid w:val="04172CC5"/>
    <w:rsid w:val="05376B79"/>
    <w:rsid w:val="062E0D84"/>
    <w:rsid w:val="068A1A66"/>
    <w:rsid w:val="071B6EB9"/>
    <w:rsid w:val="073603C6"/>
    <w:rsid w:val="08990609"/>
    <w:rsid w:val="0A1C2347"/>
    <w:rsid w:val="0B8159EA"/>
    <w:rsid w:val="0C28177B"/>
    <w:rsid w:val="0CB971D7"/>
    <w:rsid w:val="0CD6678E"/>
    <w:rsid w:val="0D4B38D8"/>
    <w:rsid w:val="0D6A0D3C"/>
    <w:rsid w:val="0F5E66A4"/>
    <w:rsid w:val="0FA313FB"/>
    <w:rsid w:val="10CD0C1E"/>
    <w:rsid w:val="123A0FF6"/>
    <w:rsid w:val="12E211C8"/>
    <w:rsid w:val="14C711F8"/>
    <w:rsid w:val="153176A3"/>
    <w:rsid w:val="184D21FD"/>
    <w:rsid w:val="19064435"/>
    <w:rsid w:val="19C50CA9"/>
    <w:rsid w:val="1A52400D"/>
    <w:rsid w:val="1AE1600B"/>
    <w:rsid w:val="1C2D0D89"/>
    <w:rsid w:val="1CCB29A2"/>
    <w:rsid w:val="1DC8368B"/>
    <w:rsid w:val="1FC82A35"/>
    <w:rsid w:val="20E712ED"/>
    <w:rsid w:val="21B30781"/>
    <w:rsid w:val="21FE5998"/>
    <w:rsid w:val="253D206C"/>
    <w:rsid w:val="28F12A12"/>
    <w:rsid w:val="2A3D08C7"/>
    <w:rsid w:val="2A405B48"/>
    <w:rsid w:val="2BBA6A5E"/>
    <w:rsid w:val="2D90557C"/>
    <w:rsid w:val="2EB4799D"/>
    <w:rsid w:val="2EF50661"/>
    <w:rsid w:val="2F4F2173"/>
    <w:rsid w:val="304B30C4"/>
    <w:rsid w:val="32FC74C5"/>
    <w:rsid w:val="336233A3"/>
    <w:rsid w:val="33802B4A"/>
    <w:rsid w:val="35954E56"/>
    <w:rsid w:val="36A54AA5"/>
    <w:rsid w:val="36F20044"/>
    <w:rsid w:val="37666F08"/>
    <w:rsid w:val="38E47E5A"/>
    <w:rsid w:val="397F6E1E"/>
    <w:rsid w:val="39BB182C"/>
    <w:rsid w:val="3A1042E9"/>
    <w:rsid w:val="3AAD3C44"/>
    <w:rsid w:val="3BD77FA1"/>
    <w:rsid w:val="3CD36A78"/>
    <w:rsid w:val="3F5A0FC9"/>
    <w:rsid w:val="3F6D7AC7"/>
    <w:rsid w:val="3FE75B06"/>
    <w:rsid w:val="4035039D"/>
    <w:rsid w:val="41687F24"/>
    <w:rsid w:val="431E4F67"/>
    <w:rsid w:val="444254B0"/>
    <w:rsid w:val="445804FC"/>
    <w:rsid w:val="44932A88"/>
    <w:rsid w:val="44D73BC2"/>
    <w:rsid w:val="456E3E30"/>
    <w:rsid w:val="45F05CCA"/>
    <w:rsid w:val="468B745C"/>
    <w:rsid w:val="46A800B2"/>
    <w:rsid w:val="477C2B86"/>
    <w:rsid w:val="47B94A45"/>
    <w:rsid w:val="47E0167F"/>
    <w:rsid w:val="49EB66CF"/>
    <w:rsid w:val="4B5D467B"/>
    <w:rsid w:val="4B976020"/>
    <w:rsid w:val="4DAE2FB0"/>
    <w:rsid w:val="4DEE29E1"/>
    <w:rsid w:val="4F3945A4"/>
    <w:rsid w:val="4FBE5653"/>
    <w:rsid w:val="504B1111"/>
    <w:rsid w:val="50500A32"/>
    <w:rsid w:val="50670EB9"/>
    <w:rsid w:val="50D23029"/>
    <w:rsid w:val="51463247"/>
    <w:rsid w:val="51AC075F"/>
    <w:rsid w:val="52145559"/>
    <w:rsid w:val="529E6C8D"/>
    <w:rsid w:val="53BC3DF8"/>
    <w:rsid w:val="540820B0"/>
    <w:rsid w:val="544675E7"/>
    <w:rsid w:val="56B21732"/>
    <w:rsid w:val="576C30E3"/>
    <w:rsid w:val="579B521E"/>
    <w:rsid w:val="57A270F9"/>
    <w:rsid w:val="58A57CF5"/>
    <w:rsid w:val="5A256150"/>
    <w:rsid w:val="5B246AA6"/>
    <w:rsid w:val="5BC15FA6"/>
    <w:rsid w:val="5C911E2F"/>
    <w:rsid w:val="5D693A53"/>
    <w:rsid w:val="5D7A17CA"/>
    <w:rsid w:val="5DE03FBE"/>
    <w:rsid w:val="5EA47815"/>
    <w:rsid w:val="600562F8"/>
    <w:rsid w:val="610A7333"/>
    <w:rsid w:val="61511311"/>
    <w:rsid w:val="61662A06"/>
    <w:rsid w:val="619B1A2A"/>
    <w:rsid w:val="63715C2B"/>
    <w:rsid w:val="650A0554"/>
    <w:rsid w:val="657B1B26"/>
    <w:rsid w:val="65A53F0C"/>
    <w:rsid w:val="6601308D"/>
    <w:rsid w:val="67EE2571"/>
    <w:rsid w:val="68273ACF"/>
    <w:rsid w:val="696E38FD"/>
    <w:rsid w:val="6CD740C6"/>
    <w:rsid w:val="6EAF29D0"/>
    <w:rsid w:val="70153C5F"/>
    <w:rsid w:val="713135D3"/>
    <w:rsid w:val="71643DD0"/>
    <w:rsid w:val="72007730"/>
    <w:rsid w:val="7334284B"/>
    <w:rsid w:val="739B7C48"/>
    <w:rsid w:val="74524974"/>
    <w:rsid w:val="782C036D"/>
    <w:rsid w:val="785C4638"/>
    <w:rsid w:val="792F72E8"/>
    <w:rsid w:val="7AFE6B92"/>
    <w:rsid w:val="7B3B7DF2"/>
    <w:rsid w:val="7B44401B"/>
    <w:rsid w:val="7C336253"/>
    <w:rsid w:val="7D992BA5"/>
    <w:rsid w:val="7E0571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numPr>
        <w:ilvl w:val="0"/>
        <w:numId w:val="1"/>
      </w:numPr>
      <w:adjustRightInd w:val="0"/>
      <w:snapToGrid w:val="0"/>
      <w:spacing w:line="460" w:lineRule="exact"/>
      <w:jc w:val="left"/>
      <w:outlineLvl w:val="0"/>
    </w:pPr>
    <w:rPr>
      <w:rFonts w:eastAsia="黑体"/>
      <w:b/>
      <w:bCs/>
      <w:snapToGrid w:val="0"/>
      <w:sz w:val="24"/>
      <w:szCs w:val="32"/>
      <w:lang w:bidi="ar-SA"/>
    </w:rPr>
  </w:style>
  <w:style w:type="paragraph" w:styleId="4">
    <w:name w:val="heading 3"/>
    <w:basedOn w:val="1"/>
    <w:next w:val="1"/>
    <w:qFormat/>
    <w:uiPriority w:val="0"/>
    <w:pPr>
      <w:numPr>
        <w:ilvl w:val="2"/>
        <w:numId w:val="1"/>
      </w:numPr>
      <w:adjustRightInd w:val="0"/>
      <w:snapToGrid w:val="0"/>
      <w:spacing w:before="31" w:beforeLines="10" w:line="460" w:lineRule="exact"/>
      <w:jc w:val="left"/>
      <w:outlineLvl w:val="2"/>
    </w:pPr>
    <w:rPr>
      <w:rFonts w:eastAsia="宋体"/>
      <w:snapToGrid w:val="0"/>
      <w:sz w:val="24"/>
      <w:szCs w:val="26"/>
      <w:lang w:val="en-US" w:eastAsia="zh-CN" w:bidi="ar-SA"/>
    </w:rPr>
  </w:style>
  <w:style w:type="paragraph" w:styleId="5">
    <w:name w:val="heading 4"/>
    <w:basedOn w:val="1"/>
    <w:next w:val="1"/>
    <w:qFormat/>
    <w:uiPriority w:val="0"/>
    <w:pPr>
      <w:numPr>
        <w:ilvl w:val="3"/>
        <w:numId w:val="1"/>
      </w:numPr>
      <w:adjustRightInd w:val="0"/>
      <w:snapToGrid w:val="0"/>
      <w:spacing w:before="31" w:beforeLines="10" w:line="460" w:lineRule="exact"/>
      <w:jc w:val="left"/>
      <w:outlineLvl w:val="3"/>
    </w:pPr>
    <w:rPr>
      <w:rFonts w:eastAsia="宋体"/>
      <w:bCs/>
      <w:snapToGrid w:val="0"/>
      <w:sz w:val="24"/>
      <w:szCs w:val="26"/>
      <w:lang w:val="en-US" w:eastAsia="zh-CN" w:bidi="ar-SA"/>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spacing w:line="460" w:lineRule="exact"/>
      <w:jc w:val="center"/>
    </w:pPr>
    <w:rPr>
      <w:rFonts w:ascii="黑体" w:hAnsi="Times New Roman" w:eastAsia="黑体" w:cs="黑体"/>
      <w:color w:val="000000"/>
      <w:sz w:val="24"/>
      <w:szCs w:val="24"/>
      <w:lang w:val="en-US" w:eastAsia="zh-CN" w:bidi="ar-SA"/>
    </w:rPr>
  </w:style>
  <w:style w:type="paragraph" w:styleId="6">
    <w:name w:val="Normal Indent"/>
    <w:basedOn w:val="1"/>
    <w:qFormat/>
    <w:uiPriority w:val="0"/>
    <w:pPr>
      <w:widowControl/>
      <w:ind w:firstLine="420"/>
      <w:jc w:val="left"/>
    </w:pPr>
    <w:rPr>
      <w:kern w:val="0"/>
      <w:sz w:val="20"/>
    </w:rPr>
  </w:style>
  <w:style w:type="paragraph" w:styleId="7">
    <w:name w:val="Body Text"/>
    <w:basedOn w:val="1"/>
    <w:qFormat/>
    <w:uiPriority w:val="0"/>
    <w:pPr>
      <w:spacing w:after="120" w:afterLines="0"/>
    </w:pPr>
  </w:style>
  <w:style w:type="paragraph" w:styleId="8">
    <w:name w:val="Body Text Indent"/>
    <w:basedOn w:val="1"/>
    <w:next w:val="7"/>
    <w:qFormat/>
    <w:uiPriority w:val="0"/>
    <w:pPr>
      <w:spacing w:after="120" w:afterLines="0"/>
      <w:ind w:left="420" w:leftChars="200"/>
    </w:pPr>
  </w:style>
  <w:style w:type="paragraph" w:styleId="9">
    <w:name w:val="Block Text"/>
    <w:basedOn w:val="1"/>
    <w:next w:val="1"/>
    <w:qFormat/>
    <w:uiPriority w:val="0"/>
    <w:pPr>
      <w:keepNext w:val="0"/>
      <w:keepLines w:val="0"/>
      <w:widowControl w:val="0"/>
      <w:suppressLineNumbers w:val="0"/>
      <w:spacing w:before="0" w:beforeAutospacing="0" w:after="0" w:afterAutospacing="0" w:line="460" w:lineRule="atLeast"/>
      <w:ind w:left="108" w:right="170" w:firstLine="499"/>
      <w:jc w:val="both"/>
    </w:pPr>
    <w:rPr>
      <w:rFonts w:hint="default" w:ascii="Times New Roman" w:hAnsi="Times New Roman" w:eastAsia="宋体" w:cs="Times New Roman"/>
      <w:kern w:val="2"/>
      <w:sz w:val="24"/>
      <w:szCs w:val="20"/>
      <w:lang w:val="en-US" w:eastAsia="zh-CN" w:bidi="ar"/>
    </w:rPr>
  </w:style>
  <w:style w:type="paragraph" w:styleId="10">
    <w:name w:val="Plain Text"/>
    <w:basedOn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4">
    <w:name w:val="Body Text First Indent"/>
    <w:basedOn w:val="7"/>
    <w:qFormat/>
    <w:uiPriority w:val="0"/>
    <w:pPr>
      <w:ind w:firstLine="420" w:firstLineChars="100"/>
    </w:pPr>
  </w:style>
  <w:style w:type="paragraph" w:styleId="15">
    <w:name w:val="Body Text First Indent 2"/>
    <w:basedOn w:val="8"/>
    <w:next w:val="1"/>
    <w:qFormat/>
    <w:uiPriority w:val="0"/>
    <w:pPr>
      <w:ind w:firstLine="420" w:firstLine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paragraph" w:customStyle="1" w:styleId="20">
    <w:name w:val="三级标题"/>
    <w:basedOn w:val="1"/>
    <w:next w:val="1"/>
    <w:qFormat/>
    <w:uiPriority w:val="0"/>
    <w:pPr>
      <w:numPr>
        <w:ilvl w:val="2"/>
        <w:numId w:val="2"/>
      </w:numPr>
      <w:jc w:val="left"/>
      <w:outlineLvl w:val="2"/>
    </w:pPr>
  </w:style>
  <w:style w:type="paragraph" w:customStyle="1" w:styleId="21">
    <w:name w:val="表格"/>
    <w:basedOn w:val="1"/>
    <w:next w:val="1"/>
    <w:qFormat/>
    <w:uiPriority w:val="0"/>
    <w:pPr>
      <w:adjustRightInd w:val="0"/>
      <w:snapToGrid w:val="0"/>
      <w:jc w:val="center"/>
      <w:textAlignment w:val="baseline"/>
    </w:pPr>
    <w:rPr>
      <w:rFonts w:ascii="宋体" w:eastAsia="宋体"/>
      <w:sz w:val="21"/>
      <w:szCs w:val="21"/>
      <w:lang w:val="en-US" w:eastAsia="zh-CN" w:bidi="ar-SA"/>
    </w:rPr>
  </w:style>
  <w:style w:type="paragraph" w:customStyle="1" w:styleId="22">
    <w:name w:val="List Paragraph"/>
    <w:basedOn w:val="1"/>
    <w:qFormat/>
    <w:uiPriority w:val="0"/>
    <w:pPr>
      <w:widowControl w:val="0"/>
      <w:autoSpaceDE w:val="0"/>
      <w:autoSpaceDN w:val="0"/>
      <w:ind w:left="231" w:right="266" w:firstLine="600"/>
      <w:jc w:val="both"/>
    </w:pPr>
    <w:rPr>
      <w:rFonts w:ascii="仿宋" w:hAnsi="仿宋" w:eastAsia="仿宋"/>
      <w:sz w:val="22"/>
      <w:szCs w:val="22"/>
    </w:rPr>
  </w:style>
  <w:style w:type="paragraph" w:customStyle="1" w:styleId="23">
    <w:name w:val="报告表表格文字"/>
    <w:basedOn w:val="1"/>
    <w:qFormat/>
    <w:uiPriority w:val="0"/>
    <w:pPr>
      <w:autoSpaceDE w:val="0"/>
      <w:autoSpaceDN w:val="0"/>
      <w:adjustRightInd w:val="0"/>
      <w:snapToGrid w:val="0"/>
      <w:spacing w:line="360" w:lineRule="exact"/>
      <w:ind w:firstLine="0" w:firstLineChars="0"/>
      <w:jc w:val="center"/>
      <w:textAlignment w:val="baseline"/>
    </w:pPr>
    <w:rPr>
      <w:color w:val="000000"/>
      <w:kern w:val="0"/>
      <w:sz w:val="21"/>
      <w:szCs w:val="21"/>
    </w:rPr>
  </w:style>
  <w:style w:type="paragraph" w:customStyle="1" w:styleId="24">
    <w:name w:val="表格中文字"/>
    <w:basedOn w:val="1"/>
    <w:qFormat/>
    <w:uiPriority w:val="0"/>
    <w:pPr>
      <w:jc w:val="center"/>
    </w:pPr>
    <w:rPr>
      <w:kern w:val="0"/>
      <w:sz w:val="20"/>
      <w:lang w:val="zh-CN"/>
    </w:rPr>
  </w:style>
  <w:style w:type="paragraph" w:customStyle="1" w:styleId="25">
    <w:name w:val="段落 Char Char"/>
    <w:basedOn w:val="1"/>
    <w:qFormat/>
    <w:uiPriority w:val="0"/>
    <w:pPr>
      <w:spacing w:line="500" w:lineRule="exact"/>
      <w:ind w:firstLine="601"/>
    </w:pPr>
    <w:rPr>
      <w:rFonts w:ascii="宋体"/>
      <w:sz w:val="28"/>
      <w:szCs w:val="28"/>
    </w:rPr>
  </w:style>
  <w:style w:type="paragraph" w:customStyle="1" w:styleId="26">
    <w:name w:val="Table Paragraph"/>
    <w:basedOn w:val="1"/>
    <w:qFormat/>
    <w:uiPriority w:val="1"/>
    <w:pPr>
      <w:autoSpaceDE w:val="0"/>
      <w:autoSpaceDN w:val="0"/>
      <w:jc w:val="left"/>
    </w:pPr>
    <w:rPr>
      <w:rFonts w:ascii="宋体" w:hAnsi="宋体" w:cs="宋体"/>
      <w:kern w:val="0"/>
      <w:sz w:val="22"/>
      <w:lang w:eastAsia="en-US" w:bidi="en-US"/>
    </w:rPr>
  </w:style>
  <w:style w:type="paragraph" w:customStyle="1" w:styleId="27">
    <w:name w:val="22磅行间距"/>
    <w:basedOn w:val="1"/>
    <w:qFormat/>
    <w:uiPriority w:val="0"/>
    <w:pPr>
      <w:adjustRightInd w:val="0"/>
      <w:snapToGrid w:val="0"/>
      <w:spacing w:line="440" w:lineRule="exact"/>
      <w:ind w:firstLine="200" w:firstLineChars="200"/>
    </w:pPr>
    <w:rPr>
      <w:sz w:val="24"/>
    </w:rPr>
  </w:style>
  <w:style w:type="paragraph" w:customStyle="1" w:styleId="28">
    <w:name w:val="鸿达表加粗"/>
    <w:basedOn w:val="1"/>
    <w:qFormat/>
    <w:uiPriority w:val="0"/>
    <w:pPr>
      <w:adjustRightInd/>
      <w:snapToGrid/>
      <w:spacing w:line="240" w:lineRule="auto"/>
      <w:ind w:firstLine="0" w:firstLineChars="0"/>
      <w:jc w:val="center"/>
      <w:textAlignment w:val="auto"/>
    </w:pPr>
    <w:rPr>
      <w:rFonts w:cs="宋体"/>
      <w:b/>
      <w:color w:val="000000"/>
      <w:kern w:val="2"/>
      <w:sz w:val="21"/>
    </w:rPr>
  </w:style>
  <w:style w:type="paragraph" w:customStyle="1" w:styleId="29">
    <w:name w:val="鸿达表格文字"/>
    <w:basedOn w:val="1"/>
    <w:qFormat/>
    <w:uiPriority w:val="0"/>
    <w:pPr>
      <w:adjustRightInd/>
      <w:snapToGrid/>
      <w:spacing w:line="240" w:lineRule="auto"/>
      <w:ind w:firstLine="0" w:firstLineChars="0"/>
      <w:contextualSpacing/>
      <w:jc w:val="center"/>
    </w:pPr>
    <w:rPr>
      <w:sz w:val="21"/>
      <w:szCs w:val="21"/>
    </w:rPr>
  </w:style>
  <w:style w:type="paragraph" w:customStyle="1" w:styleId="30">
    <w:name w:val="表内 定"/>
    <w:basedOn w:val="1"/>
    <w:qFormat/>
    <w:uiPriority w:val="0"/>
    <w:rPr>
      <w:rFonts w:cs="Times New Roman"/>
      <w:color w:val="000000" w:themeColor="text1"/>
      <w14:textFill>
        <w14:solidFill>
          <w14:schemeClr w14:val="tx1"/>
        </w14:solidFill>
      </w14:textFill>
    </w:rPr>
  </w:style>
  <w:style w:type="paragraph" w:customStyle="1" w:styleId="31">
    <w:name w:val="样式1"/>
    <w:basedOn w:val="1"/>
    <w:qFormat/>
    <w:uiPriority w:val="0"/>
    <w:rPr>
      <w:szCs w:val="20"/>
      <w:shd w:val="clear" w:color="auto" w:fill="FFFFFF"/>
    </w:rPr>
  </w:style>
  <w:style w:type="paragraph" w:customStyle="1" w:styleId="32">
    <w:name w:val="表内"/>
    <w:basedOn w:val="1"/>
    <w:qFormat/>
    <w:uiPriority w:val="99"/>
    <w:pPr>
      <w:framePr w:hSpace="180" w:wrap="around" w:vAnchor="page" w:hAnchor="margin" w:y="1411"/>
      <w:widowControl/>
      <w:jc w:val="both"/>
    </w:pPr>
    <w:rPr>
      <w:rFonts w:cs="Times New Roman" w:asciiTheme="minorEastAsia" w:hAnsiTheme="minorEastAsia"/>
      <w:snapToGrid/>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wmf"/><Relationship Id="rId22" Type="http://schemas.openxmlformats.org/officeDocument/2006/relationships/oleObject" Target="embeddings/oleObject6.bin"/><Relationship Id="rId21" Type="http://schemas.openxmlformats.org/officeDocument/2006/relationships/image" Target="media/image11.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4.bin"/><Relationship Id="rId17" Type="http://schemas.openxmlformats.org/officeDocument/2006/relationships/image" Target="media/image9.emf"/><Relationship Id="rId16" Type="http://schemas.openxmlformats.org/officeDocument/2006/relationships/oleObject" Target="embeddings/oleObject3.bin"/><Relationship Id="rId15" Type="http://schemas.openxmlformats.org/officeDocument/2006/relationships/image" Target="media/image8.emf"/><Relationship Id="rId14" Type="http://schemas.openxmlformats.org/officeDocument/2006/relationships/oleObject" Target="embeddings/oleObject2.bin"/><Relationship Id="rId13" Type="http://schemas.openxmlformats.org/officeDocument/2006/relationships/image" Target="media/image7.emf"/><Relationship Id="rId12" Type="http://schemas.openxmlformats.org/officeDocument/2006/relationships/oleObject" Target="embeddings/oleObject1.bin"/><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7" textRotate="1"/>
    <customShpInfo spid="_x0000_s103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2021-04-07T01:34:00Z</dcterms:created>
  <dc:creator>游城逝</dc:creator>
  <cp:lastModifiedBy>游城逝</cp:lastModifiedBy>
  <dcterms:modified xsi:type="dcterms:W3CDTF">2021-04-20T02:02:45Z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7A0E59B18A1F46D6BC254AE1E6E8698B</vt:lpwstr>
  </property>
</Properties>
</file>