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方正小标宋简体" w:cs="Times New Roman"/>
          <w:i w:val="0"/>
          <w:color w:val="000000"/>
          <w:kern w:val="0"/>
          <w:sz w:val="36"/>
          <w:szCs w:val="36"/>
          <w:u w:val="none"/>
          <w:lang w:val="en-US" w:eastAsia="zh-CN" w:bidi="ar"/>
        </w:rPr>
      </w:pPr>
      <w:r>
        <w:rPr>
          <w:rFonts w:hint="default" w:ascii="Times New Roman" w:hAnsi="Times New Roman" w:eastAsia="黑体" w:cs="Times New Roman"/>
          <w:i w:val="0"/>
          <w:color w:val="000000"/>
          <w:kern w:val="0"/>
          <w:sz w:val="32"/>
          <w:szCs w:val="32"/>
          <w:u w:val="none"/>
          <w:lang w:val="en-US" w:eastAsia="zh-CN" w:bidi="ar"/>
        </w:rPr>
        <w:t>附件1</w:t>
      </w:r>
    </w:p>
    <w:p>
      <w:pPr>
        <w:keepNext w:val="0"/>
        <w:keepLines w:val="0"/>
        <w:pageBreakBefore w:val="0"/>
        <w:kinsoku/>
        <w:wordWrap/>
        <w:overflowPunct/>
        <w:topLinePunct w:val="0"/>
        <w:autoSpaceDE/>
        <w:autoSpaceDN/>
        <w:bidi w:val="0"/>
        <w:adjustRightInd/>
        <w:snapToGrid/>
        <w:spacing w:line="560" w:lineRule="exact"/>
        <w:jc w:val="center"/>
        <w:rPr>
          <w:rStyle w:val="7"/>
          <w:rFonts w:hint="default" w:ascii="Times New Roman" w:hAnsi="Times New Roman" w:cs="Times New Roman"/>
          <w:color w:val="000000"/>
          <w:sz w:val="44"/>
          <w:szCs w:val="44"/>
          <w:lang w:val="en-US" w:eastAsia="zh-CN" w:bidi="ar"/>
        </w:rPr>
      </w:pPr>
      <w:bookmarkStart w:id="0" w:name="_GoBack"/>
      <w:r>
        <w:rPr>
          <w:rFonts w:hint="default" w:ascii="Times New Roman" w:hAnsi="Times New Roman" w:eastAsia="方正小标宋简体" w:cs="Times New Roman"/>
          <w:i w:val="0"/>
          <w:color w:val="000000"/>
          <w:kern w:val="0"/>
          <w:sz w:val="44"/>
          <w:szCs w:val="44"/>
          <w:u w:val="none"/>
          <w:lang w:val="en-US" w:eastAsia="zh-CN" w:bidi="ar"/>
        </w:rPr>
        <w:t>新乡市凤泉区2013-2020年</w:t>
      </w:r>
      <w:r>
        <w:rPr>
          <w:rStyle w:val="7"/>
          <w:rFonts w:hint="default" w:ascii="Times New Roman" w:hAnsi="Times New Roman" w:cs="Times New Roman"/>
          <w:color w:val="000000"/>
          <w:sz w:val="44"/>
          <w:szCs w:val="44"/>
          <w:lang w:val="en-US" w:eastAsia="zh-CN" w:bidi="ar"/>
        </w:rPr>
        <w:t>扶贫项目资产管理台账</w:t>
      </w:r>
    </w:p>
    <w:bookmarkEnd w:id="0"/>
    <w:p>
      <w:pPr>
        <w:pStyle w:val="2"/>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 xml:space="preserve">填报单位：                                                  单位：万元、人 </w:t>
      </w:r>
    </w:p>
    <w:tbl>
      <w:tblPr>
        <w:tblStyle w:val="5"/>
        <w:tblW w:w="14548" w:type="dxa"/>
        <w:jc w:val="center"/>
        <w:tblInd w:w="-10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894"/>
        <w:gridCol w:w="555"/>
        <w:gridCol w:w="555"/>
        <w:gridCol w:w="555"/>
        <w:gridCol w:w="555"/>
        <w:gridCol w:w="555"/>
        <w:gridCol w:w="555"/>
        <w:gridCol w:w="555"/>
        <w:gridCol w:w="560"/>
        <w:gridCol w:w="815"/>
        <w:gridCol w:w="488"/>
        <w:gridCol w:w="574"/>
        <w:gridCol w:w="574"/>
        <w:gridCol w:w="575"/>
        <w:gridCol w:w="601"/>
        <w:gridCol w:w="602"/>
        <w:gridCol w:w="1062"/>
        <w:gridCol w:w="616"/>
        <w:gridCol w:w="616"/>
        <w:gridCol w:w="617"/>
        <w:gridCol w:w="10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189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资产编号</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项目</w:t>
            </w:r>
          </w:p>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名称</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资产</w:t>
            </w:r>
          </w:p>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名称</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资产类别</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产权归属</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规格型号</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规模数量</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购建或取得时间</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预计使用年限</w:t>
            </w:r>
          </w:p>
        </w:tc>
        <w:tc>
          <w:tcPr>
            <w:tcW w:w="81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资产状况（使用、闲置、处置）</w:t>
            </w:r>
          </w:p>
        </w:tc>
        <w:tc>
          <w:tcPr>
            <w:tcW w:w="48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资产总值</w:t>
            </w:r>
          </w:p>
        </w:tc>
        <w:tc>
          <w:tcPr>
            <w:tcW w:w="1723"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资金来源构成</w:t>
            </w:r>
          </w:p>
        </w:tc>
        <w:tc>
          <w:tcPr>
            <w:tcW w:w="60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管护责任单位</w:t>
            </w: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受益对象人数</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运营方式(自营、发包、出租、入股、折股量化)</w:t>
            </w:r>
          </w:p>
        </w:tc>
        <w:tc>
          <w:tcPr>
            <w:tcW w:w="1849"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资产处置情况</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1" w:hRule="atLeast"/>
          <w:jc w:val="center"/>
        </w:trPr>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1"/>
                <w:szCs w:val="21"/>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1"/>
                <w:szCs w:val="21"/>
                <w:u w:val="none"/>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1"/>
                <w:szCs w:val="21"/>
                <w:u w:val="none"/>
              </w:rPr>
            </w:pPr>
          </w:p>
        </w:tc>
        <w:tc>
          <w:tcPr>
            <w:tcW w:w="48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1"/>
                <w:szCs w:val="21"/>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财政扶贫资金</w:t>
            </w: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社会资金</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其他资金</w:t>
            </w:r>
          </w:p>
        </w:tc>
        <w:tc>
          <w:tcPr>
            <w:tcW w:w="60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1"/>
                <w:szCs w:val="21"/>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1"/>
                <w:szCs w:val="21"/>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1"/>
                <w:szCs w:val="21"/>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时间</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方式</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收益</w:t>
            </w: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3" w:hRule="atLeast"/>
          <w:jc w:val="center"/>
        </w:trPr>
        <w:tc>
          <w:tcPr>
            <w:tcW w:w="189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555" w:type="dxa"/>
            <w:tcBorders>
              <w:top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81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60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602"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3" w:hRule="atLeast"/>
          <w:jc w:val="center"/>
        </w:trPr>
        <w:tc>
          <w:tcPr>
            <w:tcW w:w="189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555" w:type="dxa"/>
            <w:tcBorders>
              <w:top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81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60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602"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3" w:hRule="atLeast"/>
          <w:jc w:val="center"/>
        </w:trPr>
        <w:tc>
          <w:tcPr>
            <w:tcW w:w="189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555" w:type="dxa"/>
            <w:tcBorders>
              <w:top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81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60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602"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3" w:hRule="atLeast"/>
          <w:jc w:val="center"/>
        </w:trPr>
        <w:tc>
          <w:tcPr>
            <w:tcW w:w="189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555" w:type="dxa"/>
            <w:tcBorders>
              <w:top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81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60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602"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1062"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48" w:hRule="atLeast"/>
          <w:jc w:val="center"/>
        </w:trPr>
        <w:tc>
          <w:tcPr>
            <w:tcW w:w="14548" w:type="dxa"/>
            <w:gridSpan w:val="2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说明：1.资产编号命名规则为行政区域拼音缩写+资产类型缩写（g、j、d）+两位数字乡镇编号+四位数字项目编号，如原阳县公益性项目编号为xx+yy+g+01+0001；2.资产名称根据扶贫项目所形成的不同资产分别进行统计填报，如厂房、道路、设备、大棚、股权等；3.资产类别分为公益性资产、经营性资产、到户类资产；4.产权归属根据公益类资产和经营性资产实际确权到县政府或县直部门、具体乡镇、具体村，到户类资产默认确权到户；5.规格型号根据不同性质的资产按照计量单位进行填报；6.构建或取得时间按照资产形成时间填报；7.预计使用年限按照资产预计使用寿命填报；8.资产总值按照项目决算后实际价值填报，对应资金来源构成；9.运营方式按照公益类资产和到户类资产为自营，经营性资产根据实际填报；10.资产处置情况仅限于资产状况为处置的填报，公益类资产处置方式可分修建、改建、重建、废弃，经营性资产处置方式可分为拍卖、转让、报废，收益按照实际处置收益填报。</w:t>
            </w:r>
          </w:p>
        </w:tc>
      </w:tr>
    </w:tbl>
    <w:p>
      <w:pPr>
        <w:ind w:firstLine="9870" w:firstLineChars="4700"/>
        <w:rPr>
          <w:rFonts w:hint="default" w:ascii="Times New Roman" w:hAnsi="Times New Roman" w:cs="Times New Roman"/>
        </w:rPr>
      </w:pPr>
      <w:r>
        <w:rPr>
          <w:rFonts w:hint="default" w:ascii="Times New Roman" w:hAnsi="Times New Roman" w:eastAsia="宋体" w:cs="Times New Roman"/>
          <w:i w:val="0"/>
          <w:color w:val="000000"/>
          <w:kern w:val="0"/>
          <w:sz w:val="21"/>
          <w:szCs w:val="21"/>
          <w:u w:val="none"/>
          <w:lang w:val="en-US" w:eastAsia="zh-CN" w:bidi="ar"/>
        </w:rPr>
        <w:t>填报日期：2021年  月   日</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标宋">
    <w:altName w:val="微软雅黑"/>
    <w:panose1 w:val="02010604000101010101"/>
    <w:charset w:val="00"/>
    <w:family w:val="auto"/>
    <w:pitch w:val="default"/>
    <w:sig w:usb0="00000000" w:usb1="00000000" w:usb2="00000010"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390DA1"/>
    <w:rsid w:val="76390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line="560" w:lineRule="exact"/>
      <w:jc w:val="center"/>
    </w:pPr>
    <w:rPr>
      <w:rFonts w:ascii="文星标宋" w:eastAsia="文星标宋"/>
      <w:sz w:val="44"/>
      <w:szCs w:val="36"/>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customStyle="1" w:styleId="7">
    <w:name w:val="font11"/>
    <w:basedOn w:val="6"/>
    <w:uiPriority w:val="0"/>
    <w:rPr>
      <w:rFonts w:hint="eastAsia" w:ascii="方正小标宋简体" w:hAnsi="方正小标宋简体" w:eastAsia="方正小标宋简体" w:cs="方正小标宋简体"/>
      <w:color w:val="000000"/>
      <w:sz w:val="36"/>
      <w:szCs w:val="3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2022-01-13T02:26:00Z</dcterms:created>
  <dc:creator>Administrator</dc:creator>
  <cp:lastModifiedBy>Administrator</cp:lastModifiedBy>
  <dcterms:modified xsi:type="dcterms:W3CDTF">2022-01-13T02:26:48Z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